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September 25, 2023</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333-267983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rPr>
          <w:sz w:val="20"/>
          <w:szCs w:val="20"/>
          <w:color w:val="auto"/>
        </w:rPr>
      </w:pPr>
      <w:r>
        <w:rPr>
          <w:rFonts w:ascii="Arial" w:cs="Arial" w:eastAsia="Arial" w:hAnsi="Arial"/>
          <w:sz w:val="32"/>
          <w:szCs w:val="32"/>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DRAGONFLY ENERGY HOLDINGS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3690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85-1873463</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1190 Trademark Drive #108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622 - 3448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Denis Phares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1190 Trademark Drive #108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Reno, Nevada 89521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(775) 622-3448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send copies of all communications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M. Skolnick,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Lowenstein Sandler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262-6700</w:t>
      </w: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 xml:space="preserve">Approximate date of commencement of proposed sale to the public: </w:t>
      </w:r>
      <w:r>
        <w:rPr>
          <w:rFonts w:ascii="Arial" w:cs="Arial" w:eastAsia="Arial" w:hAnsi="Arial"/>
          <w:sz w:val="17"/>
          <w:szCs w:val="17"/>
          <w:color w:val="auto"/>
        </w:rPr>
        <w:t>From time to time after this registration statement becomes effective.</w:t>
      </w:r>
    </w:p>
    <w:p>
      <w:pPr>
        <w:spacing w:after="0" w:line="241" w:lineRule="exact"/>
        <w:rPr>
          <w:sz w:val="24"/>
          <w:szCs w:val="24"/>
          <w:color w:val="auto"/>
        </w:rPr>
      </w:pPr>
    </w:p>
    <w:p>
      <w:pPr>
        <w:jc w:val="both"/>
        <w:ind w:right="20"/>
        <w:spacing w:after="0" w:line="238"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ind w:right="2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9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0"/>
                <w:szCs w:val="20"/>
                <w:color w:val="auto"/>
              </w:rPr>
            </w:pPr>
            <w:r>
              <w:rPr>
                <w:rFonts w:ascii="Arial" w:cs="Arial" w:eastAsia="Arial" w:hAnsi="Arial"/>
                <w:sz w:val="18"/>
                <w:szCs w:val="18"/>
                <w:color w:val="auto"/>
              </w:rPr>
              <w:t>Non-accelerated filer</w:t>
            </w:r>
          </w:p>
        </w:tc>
        <w:tc>
          <w:tcPr>
            <w:tcW w:w="322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516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16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4"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445" w:right="339" w:bottom="0" w:gutter="0" w:footer="0" w:header="0"/>
        </w:sectPr>
      </w:pPr>
    </w:p>
    <w:bookmarkStart w:id="1" w:name="page2"/>
    <w:bookmarkEnd w:id="1"/>
    <w:p>
      <w:pPr>
        <w:jc w:val="both"/>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21, 2022, Dragonfly Energy Holdings Corp., a Delaware corporation (“</w:t>
      </w:r>
      <w:r>
        <w:rPr>
          <w:rFonts w:ascii="Arial" w:cs="Arial" w:eastAsia="Arial" w:hAnsi="Arial"/>
          <w:sz w:val="18"/>
          <w:szCs w:val="18"/>
          <w:b w:val="1"/>
          <w:bCs w:val="1"/>
          <w:color w:val="auto"/>
        </w:rPr>
        <w:t>Dragonfly Delaware</w:t>
      </w:r>
      <w:r>
        <w:rPr>
          <w:rFonts w:ascii="Arial" w:cs="Arial" w:eastAsia="Arial" w:hAnsi="Arial"/>
          <w:sz w:val="18"/>
          <w:szCs w:val="18"/>
          <w:color w:val="auto"/>
        </w:rPr>
        <w:t>”), filed a Registration Statement on Form S-1 (File No. 333-267983), covering the resale of up to 21,512,027 shares of its common stock, par value $0.0001 per share, as amended by Amendment No. 1 on December 9, 2022, which was subsequently declared effective by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on December 30, 2022 (as amended,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Post-Effective Amendment No. 1 (this “</w:t>
      </w:r>
      <w:r>
        <w:rPr>
          <w:rFonts w:ascii="Arial" w:cs="Arial" w:eastAsia="Arial" w:hAnsi="Arial"/>
          <w:sz w:val="18"/>
          <w:szCs w:val="18"/>
          <w:b w:val="1"/>
          <w:bCs w:val="1"/>
          <w:color w:val="auto"/>
        </w:rPr>
        <w:t>Post-Effective Amendment</w:t>
      </w:r>
      <w:r>
        <w:rPr>
          <w:rFonts w:ascii="Arial" w:cs="Arial" w:eastAsia="Arial" w:hAnsi="Arial"/>
          <w:sz w:val="18"/>
          <w:szCs w:val="18"/>
          <w:color w:val="auto"/>
        </w:rPr>
        <w:t>”) to the Registration Statement is being filed pursuant to Rule 414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by Dragonfly Energy Holdings Corp., a Nevada corporation (“</w:t>
      </w:r>
      <w:r>
        <w:rPr>
          <w:rFonts w:ascii="Arial" w:cs="Arial" w:eastAsia="Arial" w:hAnsi="Arial"/>
          <w:sz w:val="18"/>
          <w:szCs w:val="18"/>
          <w:b w:val="1"/>
          <w:bCs w:val="1"/>
          <w:color w:val="auto"/>
        </w:rPr>
        <w:t>Dragonfly Nevada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Dragonfly Nevada is the successor to Dragonfly Delaware following a reincorporation by conversion (the “</w:t>
      </w:r>
      <w:r>
        <w:rPr>
          <w:rFonts w:ascii="Arial" w:cs="Arial" w:eastAsia="Arial" w:hAnsi="Arial"/>
          <w:sz w:val="18"/>
          <w:szCs w:val="18"/>
          <w:b w:val="1"/>
          <w:bCs w:val="1"/>
          <w:color w:val="auto"/>
        </w:rPr>
        <w:t>Reincorporation</w:t>
      </w:r>
      <w:r>
        <w:rPr>
          <w:rFonts w:ascii="Arial" w:cs="Arial" w:eastAsia="Arial" w:hAnsi="Arial"/>
          <w:sz w:val="18"/>
          <w:szCs w:val="18"/>
          <w:color w:val="auto"/>
        </w:rPr>
        <w:t>”) on March 31, 2023. The Reincorporation was effected by a Plan of Conversion, which provided that the Company: (1) file with the Secretary of State of the State of Delaware a Certificate of Conversion, and (2) file with the Secretary of State of the State of Nevada (i) Articles of Conversion, and (ii) Articles of Incorporation.</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Reincorporation was approved by security holders pursuant to which proxies were solicited pursuant to Section 14(a)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As a result of the Reincorporation, pursuant to the Nevada Revised Statutes (the “</w:t>
      </w:r>
      <w:r>
        <w:rPr>
          <w:rFonts w:ascii="Arial" w:cs="Arial" w:eastAsia="Arial" w:hAnsi="Arial"/>
          <w:sz w:val="16"/>
          <w:szCs w:val="16"/>
          <w:b w:val="1"/>
          <w:bCs w:val="1"/>
          <w:color w:val="auto"/>
        </w:rPr>
        <w:t>NRS</w:t>
      </w:r>
      <w:r>
        <w:rPr>
          <w:rFonts w:ascii="Arial" w:cs="Arial" w:eastAsia="Arial" w:hAnsi="Arial"/>
          <w:sz w:val="16"/>
          <w:szCs w:val="16"/>
          <w:color w:val="auto"/>
        </w:rPr>
        <w:t>”), the Company has continued its existence under the NRS as a corporation incorporated in the State of Nevada. The business, assets and liabilities of the Company and its subsidiary on a consolidated basis, as well as its principal locations and fiscal year, were the same immediately after the Reincorporation as they were immediately prior to the Reincorporation. In addition, the directors and executive officers of the Company immediately after the Reincorporation were the same individuals who were directors and executive officers, respectively, of the Company immediately prior to the Reincorporation.</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Following the Reincorporation, (i) all issued and outstanding shares of common stock of Dragonfly Delaware were automatically converted into issued and outstanding shares of common stock of Dragonfly Nevada, without any action on the part of the Company’s stockholders, and (ii) each outstanding option or warrant to purchase a share of Dragonfly Delaware common stock (collectively, the “</w:t>
      </w:r>
      <w:r>
        <w:rPr>
          <w:rFonts w:ascii="Arial" w:cs="Arial" w:eastAsia="Arial" w:hAnsi="Arial"/>
          <w:sz w:val="16"/>
          <w:szCs w:val="16"/>
          <w:b w:val="1"/>
          <w:bCs w:val="1"/>
          <w:color w:val="auto"/>
        </w:rPr>
        <w:t>Dragonfly Delaware Stock</w:t>
      </w:r>
      <w:r>
        <w:rPr>
          <w:rFonts w:ascii="Arial" w:cs="Arial" w:eastAsia="Arial" w:hAnsi="Arial"/>
          <w:sz w:val="16"/>
          <w:szCs w:val="16"/>
          <w:color w:val="auto"/>
        </w:rPr>
        <w:t>”), and other equity awards relating to Dragonfly Delaware Stock, was deemed to constitute an option or warrant to purchase one share of common stock or equity award, as applicable, of Dragonfly Nevada at an exercise price per full share equal to the stated exercise price or other terms or provisions of the option, warrant or equity award.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Rule 414(d) of the Securities Act, Dragonfly Nevada, as successor issuer to Dragonfly Delaware, hereby expressly adopts the Registration Statement as its own for all purposes under the Securities Act and the Exchange Act.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Post-Effective Amendment is also being filed to include information contained in the Company’s Annual Report on Form 10-K for the fiscal year ended December 31, 2022 filed with the SEC on April 17, 2023 and to update certain other information in the Registration Statement. No additional securities are being registered under this Post-Effective Amendment. All applicable registration and filing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jc w:val="both"/>
        <w:spacing w:after="0" w:line="26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SEPTEMBER 25,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21,512,027 Shares of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prospectus relates to the potential offer and resale, from time to time, of up to 21,512,027 shares of our common stock, par value $0.0001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by the selling stockholder, Chardan Capital Markets LLC (“</w:t>
      </w:r>
      <w:r>
        <w:rPr>
          <w:rFonts w:ascii="Arial" w:cs="Arial" w:eastAsia="Arial" w:hAnsi="Arial"/>
          <w:sz w:val="18"/>
          <w:szCs w:val="18"/>
          <w:b w:val="1"/>
          <w:bCs w:val="1"/>
          <w:color w:val="auto"/>
        </w:rPr>
        <w:t>CCM</w:t>
      </w:r>
      <w:r>
        <w:rPr>
          <w:rFonts w:ascii="Arial" w:cs="Arial" w:eastAsia="Arial" w:hAnsi="Arial"/>
          <w:sz w:val="18"/>
          <w:szCs w:val="18"/>
          <w:color w:val="auto"/>
        </w:rPr>
        <w:t>” or the “</w:t>
      </w:r>
      <w:r>
        <w:rPr>
          <w:rFonts w:ascii="Arial" w:cs="Arial" w:eastAsia="Arial" w:hAnsi="Arial"/>
          <w:sz w:val="18"/>
          <w:szCs w:val="18"/>
          <w:b w:val="1"/>
          <w:bCs w:val="1"/>
          <w:color w:val="auto"/>
        </w:rPr>
        <w:t>selling stockholder</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shares of common stock to which this prospectus relates includes shares that have been or may be issued to CCM pursuant to a purchase agreement between us and CCM, dated October 7, 2022 (the “</w:t>
      </w:r>
      <w:r>
        <w:rPr>
          <w:rFonts w:ascii="Arial" w:cs="Arial" w:eastAsia="Arial" w:hAnsi="Arial"/>
          <w:sz w:val="17"/>
          <w:szCs w:val="17"/>
          <w:b w:val="1"/>
          <w:bCs w:val="1"/>
          <w:color w:val="auto"/>
        </w:rPr>
        <w:t>Purchase Agreement</w:t>
      </w:r>
      <w:r>
        <w:rPr>
          <w:rFonts w:ascii="Arial" w:cs="Arial" w:eastAsia="Arial" w:hAnsi="Arial"/>
          <w:sz w:val="17"/>
          <w:szCs w:val="17"/>
          <w:color w:val="auto"/>
        </w:rPr>
        <w:t>”) establishing an equity facility (the “</w:t>
      </w:r>
      <w:r>
        <w:rPr>
          <w:rFonts w:ascii="Arial" w:cs="Arial" w:eastAsia="Arial" w:hAnsi="Arial"/>
          <w:sz w:val="17"/>
          <w:szCs w:val="17"/>
          <w:b w:val="1"/>
          <w:bCs w:val="1"/>
          <w:color w:val="auto"/>
        </w:rPr>
        <w:t>ChEF Equity Facility</w:t>
      </w:r>
      <w:r>
        <w:rPr>
          <w:rFonts w:ascii="Arial" w:cs="Arial" w:eastAsia="Arial" w:hAnsi="Arial"/>
          <w:sz w:val="17"/>
          <w:szCs w:val="17"/>
          <w:color w:val="auto"/>
        </w:rPr>
        <w:t>”).</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CCM is an “underwriter” within the meaning of Section 2(a)(11)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See “</w:t>
      </w:r>
      <w:r>
        <w:rPr>
          <w:rFonts w:ascii="Arial" w:cs="Arial" w:eastAsia="Arial" w:hAnsi="Arial"/>
          <w:sz w:val="18"/>
          <w:szCs w:val="18"/>
          <w:i w:val="1"/>
          <w:iCs w:val="1"/>
          <w:color w:val="auto"/>
        </w:rPr>
        <w:t>ChEF Equity</w:t>
      </w:r>
      <w:r>
        <w:rPr>
          <w:rFonts w:ascii="Arial" w:cs="Arial" w:eastAsia="Arial" w:hAnsi="Arial"/>
          <w:sz w:val="18"/>
          <w:szCs w:val="18"/>
          <w:color w:val="auto"/>
        </w:rPr>
        <w:t xml:space="preserve"> </w:t>
      </w:r>
      <w:r>
        <w:rPr>
          <w:rFonts w:ascii="Arial" w:cs="Arial" w:eastAsia="Arial" w:hAnsi="Arial"/>
          <w:sz w:val="18"/>
          <w:szCs w:val="18"/>
          <w:i w:val="1"/>
          <w:iCs w:val="1"/>
          <w:color w:val="auto"/>
        </w:rPr>
        <w:t>Facility</w:t>
      </w:r>
      <w:r>
        <w:rPr>
          <w:rFonts w:ascii="Arial" w:cs="Arial" w:eastAsia="Arial" w:hAnsi="Arial"/>
          <w:sz w:val="18"/>
          <w:szCs w:val="18"/>
          <w:color w:val="auto"/>
        </w:rPr>
        <w:t>” and “</w:t>
      </w:r>
      <w:r>
        <w:rPr>
          <w:rFonts w:ascii="Arial" w:cs="Arial" w:eastAsia="Arial" w:hAnsi="Arial"/>
          <w:sz w:val="18"/>
          <w:szCs w:val="18"/>
          <w:i w:val="1"/>
          <w:iCs w:val="1"/>
          <w:color w:val="auto"/>
        </w:rPr>
        <w:t>Plan of Distribution (Conflicts of Interest)</w:t>
      </w:r>
      <w:r>
        <w:rPr>
          <w:rFonts w:ascii="Arial" w:cs="Arial" w:eastAsia="Arial" w:hAnsi="Arial"/>
          <w:sz w:val="18"/>
          <w:szCs w:val="18"/>
          <w:color w:val="auto"/>
        </w:rPr>
        <w:t>” for more information about how CCM may sell the shares of common stock being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this prospectus and for a description of compensation payable to CCM.</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Arial" w:cs="Arial" w:eastAsia="Arial" w:hAnsi="Arial"/>
          <w:sz w:val="18"/>
          <w:szCs w:val="18"/>
          <w:i w:val="1"/>
          <w:iCs w:val="1"/>
          <w:color w:val="auto"/>
        </w:rPr>
        <w:t>ChEF Equity Facility</w:t>
      </w:r>
      <w:r>
        <w:rPr>
          <w:rFonts w:ascii="Arial" w:cs="Arial" w:eastAsia="Arial" w:hAnsi="Arial"/>
          <w:sz w:val="18"/>
          <w:szCs w:val="18"/>
          <w:color w:val="auto"/>
        </w:rPr>
        <w:t>” on page 104 for more information.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filed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Our common stock is currently listed on the Nasdaq Global Market (“</w:t>
      </w:r>
      <w:r>
        <w:rPr>
          <w:rFonts w:ascii="Arial" w:cs="Arial" w:eastAsia="Arial" w:hAnsi="Arial"/>
          <w:sz w:val="18"/>
          <w:szCs w:val="18"/>
          <w:b w:val="1"/>
          <w:bCs w:val="1"/>
          <w:color w:val="auto"/>
        </w:rPr>
        <w:t>Nasdaq</w:t>
      </w:r>
      <w:r>
        <w:rPr>
          <w:rFonts w:ascii="Arial" w:cs="Arial" w:eastAsia="Arial" w:hAnsi="Arial"/>
          <w:sz w:val="18"/>
          <w:szCs w:val="18"/>
          <w:color w:val="auto"/>
        </w:rPr>
        <w:t>”) under the symbol “DFLI” and our public warrants are currently listed on the Nasdaq Capital Market under the symbol “DFLIW.” As of September 18, 2023, the closing price of our common stock and warrants was $1.77 and $0.15, respectively.</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an “emerging growth company” under applicable federal securities laws and will be subject to reduced public company reporting requirements.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INVESTING IN OUR SECURITIES INVOLVES RISKS THAT ARE DESCRIBED IN THE “RISK FACTORS” SECTION BEGINNING ON PAGE 9 OF THIS PROSPECTUS.</w:t>
      </w:r>
    </w:p>
    <w:p>
      <w:pPr>
        <w:spacing w:after="0" w:line="16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080"/>
              <w:spacing w:after="0"/>
              <w:rPr>
                <w:sz w:val="20"/>
                <w:szCs w:val="20"/>
                <w:color w:val="auto"/>
              </w:rPr>
            </w:pPr>
            <w:r>
              <w:rPr>
                <w:rFonts w:ascii="Arial" w:cs="Arial" w:eastAsia="Arial" w:hAnsi="Arial"/>
                <w:sz w:val="18"/>
                <w:szCs w:val="18"/>
                <w:color w:val="auto"/>
                <w:w w:val="98"/>
              </w:rPr>
              <w:t>The date of this prospectus is</w:t>
            </w:r>
          </w:p>
        </w:tc>
        <w:tc>
          <w:tcPr>
            <w:tcW w:w="4820" w:type="dxa"/>
            <w:vAlign w:val="bottom"/>
          </w:tcPr>
          <w:p>
            <w:pPr>
              <w:jc w:val="right"/>
              <w:ind w:right="3970"/>
              <w:spacing w:after="0"/>
              <w:rPr>
                <w:sz w:val="20"/>
                <w:szCs w:val="20"/>
                <w:color w:val="auto"/>
              </w:rPr>
            </w:pPr>
            <w:r>
              <w:rPr>
                <w:rFonts w:ascii="Arial" w:cs="Arial" w:eastAsia="Arial" w:hAnsi="Arial"/>
                <w:sz w:val="18"/>
                <w:szCs w:val="18"/>
                <w:color w:val="auto"/>
              </w:rPr>
              <w:t>, 2023.</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865"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6"/>
          </w:tcPr>
          <w:p>
            <w:pPr>
              <w:ind w:left="280"/>
              <w:spacing w:after="0"/>
              <w:rPr>
                <w:sz w:val="20"/>
                <w:szCs w:val="20"/>
                <w:color w:val="auto"/>
              </w:rPr>
            </w:pPr>
            <w:r>
              <w:rPr>
                <w:rFonts w:ascii="Arial" w:cs="Arial" w:eastAsia="Arial" w:hAnsi="Arial"/>
                <w:sz w:val="18"/>
                <w:szCs w:val="18"/>
                <w:b w:val="1"/>
                <w:bCs w:val="1"/>
                <w:color w:val="auto"/>
              </w:rPr>
              <w:t>TABLE OF CONTENTS</w:t>
            </w:r>
          </w:p>
        </w:tc>
        <w:tc>
          <w:tcPr>
            <w:tcW w:w="138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94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w w:val="95"/>
              </w:rPr>
              <w:t>INTRODUCTORY NOTE</w:t>
            </w:r>
          </w:p>
        </w:tc>
        <w:tc>
          <w:tcPr>
            <w:tcW w:w="7920" w:type="dxa"/>
            <w:vAlign w:val="bottom"/>
            <w:tcBorders>
              <w:bottom w:val="single" w:sz="8" w:color="CCEEFF"/>
            </w:tcBorders>
            <w:gridSpan w:val="15"/>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79"/>
              </w:rPr>
              <w:t>1</w:t>
            </w:r>
          </w:p>
        </w:tc>
      </w:tr>
      <w:tr>
        <w:trPr>
          <w:trHeight w:val="176"/>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FREQUENTLY USED TERMS</w:t>
            </w:r>
          </w:p>
        </w:tc>
        <w:tc>
          <w:tcPr>
            <w:tcW w:w="1380" w:type="dxa"/>
            <w:vAlign w:val="bottom"/>
          </w:tcPr>
          <w:p>
            <w:pPr>
              <w:jc w:val="center"/>
              <w:ind w:left="650"/>
              <w:spacing w:after="0" w:line="176" w:lineRule="exact"/>
              <w:rPr>
                <w:sz w:val="20"/>
                <w:szCs w:val="20"/>
                <w:color w:val="auto"/>
              </w:rPr>
            </w:pPr>
            <w:r>
              <w:rPr>
                <w:rFonts w:ascii="Arial" w:cs="Arial" w:eastAsia="Arial" w:hAnsi="Arial"/>
                <w:sz w:val="18"/>
                <w:szCs w:val="18"/>
                <w:color w:val="auto"/>
                <w:w w:val="79"/>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6"/>
              </w:rPr>
              <w:t>CAUTIONARY NOTE REGARDING FORWARD-LOOKING STATEMENTS</w:t>
            </w:r>
          </w:p>
        </w:tc>
        <w:tc>
          <w:tcPr>
            <w:tcW w:w="4060" w:type="dxa"/>
            <w:vAlign w:val="bottom"/>
            <w:tcBorders>
              <w:bottom w:val="single" w:sz="8" w:color="CCEEFF"/>
            </w:tcBorders>
            <w:gridSpan w:val="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79"/>
              </w:rPr>
              <w:t>4</w:t>
            </w:r>
          </w:p>
        </w:tc>
      </w:tr>
      <w:tr>
        <w:trPr>
          <w:trHeight w:val="175"/>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SUMMARY OF THE PROSPECTUS</w:t>
            </w:r>
          </w:p>
        </w:tc>
        <w:tc>
          <w:tcPr>
            <w:tcW w:w="1380" w:type="dxa"/>
            <w:vAlign w:val="bottom"/>
          </w:tcPr>
          <w:p>
            <w:pPr>
              <w:jc w:val="center"/>
              <w:ind w:left="650"/>
              <w:spacing w:after="0" w:line="176" w:lineRule="exact"/>
              <w:rPr>
                <w:sz w:val="20"/>
                <w:szCs w:val="20"/>
                <w:color w:val="auto"/>
              </w:rPr>
            </w:pPr>
            <w:r>
              <w:rPr>
                <w:rFonts w:ascii="Arial" w:cs="Arial" w:eastAsia="Arial" w:hAnsi="Arial"/>
                <w:sz w:val="18"/>
                <w:szCs w:val="18"/>
                <w:color w:val="auto"/>
                <w:w w:val="79"/>
              </w:rPr>
              <w:t>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THE OFFERING</w:t>
            </w:r>
          </w:p>
        </w:tc>
        <w:tc>
          <w:tcPr>
            <w:tcW w:w="1380" w:type="dxa"/>
            <w:vAlign w:val="bottom"/>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79"/>
              </w:rPr>
              <w:t>8</w:t>
            </w:r>
          </w:p>
        </w:tc>
      </w:tr>
      <w:tr>
        <w:trPr>
          <w:trHeight w:val="176"/>
        </w:trPr>
        <w:tc>
          <w:tcPr>
            <w:tcW w:w="1280" w:type="dxa"/>
            <w:vAlign w:val="bottom"/>
            <w:tcBorders>
              <w:top w:val="single" w:sz="8" w:color="0000EE"/>
            </w:tcBorders>
            <w:gridSpan w:val="4"/>
          </w:tcPr>
          <w:p>
            <w:pPr>
              <w:spacing w:after="0" w:line="176" w:lineRule="exact"/>
              <w:rPr>
                <w:sz w:val="20"/>
                <w:szCs w:val="20"/>
                <w:color w:val="auto"/>
              </w:rPr>
            </w:pPr>
            <w:r>
              <w:rPr>
                <w:rFonts w:ascii="Arial" w:cs="Arial" w:eastAsia="Arial" w:hAnsi="Arial"/>
                <w:sz w:val="18"/>
                <w:szCs w:val="18"/>
                <w:color w:val="0000EE"/>
                <w:w w:val="94"/>
              </w:rPr>
              <w:t>RISK FACTORS</w:t>
            </w:r>
          </w:p>
        </w:tc>
        <w:tc>
          <w:tcPr>
            <w:tcW w:w="8580" w:type="dxa"/>
            <w:vAlign w:val="bottom"/>
            <w:tcBorders>
              <w:top w:val="single" w:sz="8" w:color="CCEEFF"/>
            </w:tcBorders>
            <w:gridSpan w:val="19"/>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Arial" w:cs="Arial" w:eastAsia="Arial" w:hAnsi="Arial"/>
                <w:sz w:val="18"/>
                <w:szCs w:val="18"/>
                <w:color w:val="auto"/>
                <w:w w:val="79"/>
              </w:rPr>
              <w:t>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USE OF PROCEEDS</w:t>
            </w:r>
          </w:p>
        </w:tc>
        <w:tc>
          <w:tcPr>
            <w:tcW w:w="138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9"/>
              </w:rPr>
              <w:t>35</w:t>
            </w:r>
          </w:p>
        </w:tc>
      </w:tr>
      <w:tr>
        <w:trPr>
          <w:trHeight w:val="176"/>
        </w:trPr>
        <w:tc>
          <w:tcPr>
            <w:tcW w:w="1580" w:type="dxa"/>
            <w:vAlign w:val="bottom"/>
            <w:tcBorders>
              <w:top w:val="single" w:sz="8" w:color="0000EE"/>
            </w:tcBorders>
            <w:gridSpan w:val="7"/>
          </w:tcPr>
          <w:p>
            <w:pPr>
              <w:spacing w:after="0" w:line="176" w:lineRule="exact"/>
              <w:rPr>
                <w:sz w:val="20"/>
                <w:szCs w:val="20"/>
                <w:color w:val="auto"/>
              </w:rPr>
            </w:pPr>
            <w:r>
              <w:rPr>
                <w:rFonts w:ascii="Arial" w:cs="Arial" w:eastAsia="Arial" w:hAnsi="Arial"/>
                <w:sz w:val="18"/>
                <w:szCs w:val="18"/>
                <w:color w:val="0000EE"/>
              </w:rPr>
              <w:t>DILUTION</w:t>
            </w:r>
          </w:p>
        </w:tc>
        <w:tc>
          <w:tcPr>
            <w:tcW w:w="8280" w:type="dxa"/>
            <w:vAlign w:val="bottom"/>
            <w:tcBorders>
              <w:top w:val="single" w:sz="8" w:color="CCEEFF"/>
            </w:tcBorders>
            <w:gridSpan w:val="16"/>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Arial" w:cs="Arial" w:eastAsia="Arial" w:hAnsi="Arial"/>
                <w:sz w:val="18"/>
                <w:szCs w:val="18"/>
                <w:color w:val="auto"/>
                <w:w w:val="89"/>
              </w:rPr>
              <w:t>36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MARKET PRICE AND DIVIDEND INFORMATION</w:t>
            </w:r>
          </w:p>
        </w:tc>
        <w:tc>
          <w:tcPr>
            <w:tcW w:w="138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9"/>
              </w:rPr>
              <w:t>37</w:t>
            </w:r>
          </w:p>
        </w:tc>
      </w:tr>
      <w:tr>
        <w:trPr>
          <w:trHeight w:val="175"/>
        </w:trPr>
        <w:tc>
          <w:tcPr>
            <w:tcW w:w="3960" w:type="dxa"/>
            <w:vAlign w:val="bottom"/>
            <w:tcBorders>
              <w:top w:val="single" w:sz="8" w:color="0000EE"/>
            </w:tcBorders>
            <w:gridSpan w:val="16"/>
          </w:tcPr>
          <w:p>
            <w:pPr>
              <w:spacing w:after="0" w:line="176" w:lineRule="exact"/>
              <w:rPr>
                <w:sz w:val="20"/>
                <w:szCs w:val="20"/>
                <w:color w:val="auto"/>
              </w:rPr>
            </w:pPr>
            <w:r>
              <w:rPr>
                <w:rFonts w:ascii="Arial" w:cs="Arial" w:eastAsia="Arial" w:hAnsi="Arial"/>
                <w:sz w:val="18"/>
                <w:szCs w:val="18"/>
                <w:color w:val="0000EE"/>
              </w:rPr>
              <w:t>BUSINESS</w:t>
            </w:r>
          </w:p>
        </w:tc>
        <w:tc>
          <w:tcPr>
            <w:tcW w:w="5900" w:type="dxa"/>
            <w:vAlign w:val="bottom"/>
            <w:tcBorders>
              <w:top w:val="single" w:sz="8" w:color="CCEEFF"/>
            </w:tcBorders>
            <w:gridSpan w:val="7"/>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Arial" w:cs="Arial" w:eastAsia="Arial" w:hAnsi="Arial"/>
                <w:sz w:val="18"/>
                <w:szCs w:val="18"/>
                <w:color w:val="auto"/>
                <w:w w:val="89"/>
              </w:rPr>
              <w:t>38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138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9"/>
              </w:rPr>
              <w:t>61</w:t>
            </w:r>
          </w:p>
        </w:tc>
      </w:tr>
      <w:tr>
        <w:trPr>
          <w:trHeight w:val="176"/>
        </w:trPr>
        <w:tc>
          <w:tcPr>
            <w:tcW w:w="8920" w:type="dxa"/>
            <w:vAlign w:val="bottom"/>
            <w:tcBorders>
              <w:top w:val="single" w:sz="8" w:color="0000EE"/>
            </w:tcBorders>
            <w:gridSpan w:val="22"/>
          </w:tcPr>
          <w:p>
            <w:pPr>
              <w:spacing w:after="0" w:line="176" w:lineRule="exact"/>
              <w:rPr>
                <w:sz w:val="20"/>
                <w:szCs w:val="20"/>
                <w:color w:val="auto"/>
              </w:rPr>
            </w:pPr>
            <w:r>
              <w:rPr>
                <w:rFonts w:ascii="Arial" w:cs="Arial" w:eastAsia="Arial" w:hAnsi="Arial"/>
                <w:sz w:val="18"/>
                <w:szCs w:val="18"/>
                <w:color w:val="0000EE"/>
              </w:rPr>
              <w:t>MANAGEMENT</w:t>
            </w:r>
          </w:p>
        </w:tc>
        <w:tc>
          <w:tcPr>
            <w:tcW w:w="940" w:type="dxa"/>
            <w:vAlign w:val="bottom"/>
            <w:tcBorders>
              <w:top w:val="single" w:sz="8" w:color="CCEEFF"/>
            </w:tcBorders>
          </w:tcPr>
          <w:p>
            <w:pPr>
              <w:spacing w:after="0"/>
              <w:rPr>
                <w:sz w:val="15"/>
                <w:szCs w:val="15"/>
                <w:color w:val="auto"/>
              </w:rPr>
            </w:pPr>
          </w:p>
        </w:tc>
        <w:tc>
          <w:tcPr>
            <w:tcW w:w="1380" w:type="dxa"/>
            <w:vAlign w:val="bottom"/>
            <w:tcBorders>
              <w:top w:val="single" w:sz="8" w:color="CCEEFF"/>
            </w:tcBorders>
          </w:tcPr>
          <w:p>
            <w:pPr>
              <w:jc w:val="center"/>
              <w:ind w:left="630"/>
              <w:spacing w:after="0" w:line="176" w:lineRule="exact"/>
              <w:rPr>
                <w:sz w:val="20"/>
                <w:szCs w:val="20"/>
                <w:color w:val="auto"/>
              </w:rPr>
            </w:pPr>
            <w:r>
              <w:rPr>
                <w:rFonts w:ascii="Arial" w:cs="Arial" w:eastAsia="Arial" w:hAnsi="Arial"/>
                <w:sz w:val="18"/>
                <w:szCs w:val="18"/>
                <w:color w:val="auto"/>
                <w:w w:val="89"/>
              </w:rPr>
              <w:t>75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7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EXECUTIVE AND DIRECTOR COMPENSATION</w:t>
            </w:r>
          </w:p>
        </w:tc>
        <w:tc>
          <w:tcPr>
            <w:tcW w:w="1380" w:type="dxa"/>
            <w:vAlign w:val="bottom"/>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9"/>
              </w:rPr>
              <w:t>81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CERTAIN RELATIONSHIPS AND RELATED PERSON TRANSACTIONS</w:t>
            </w:r>
          </w:p>
        </w:tc>
        <w:tc>
          <w:tcPr>
            <w:tcW w:w="1380" w:type="dxa"/>
            <w:vAlign w:val="bottom"/>
          </w:tcPr>
          <w:p>
            <w:pPr>
              <w:jc w:val="center"/>
              <w:ind w:left="630"/>
              <w:spacing w:after="0" w:line="176" w:lineRule="exact"/>
              <w:rPr>
                <w:sz w:val="20"/>
                <w:szCs w:val="20"/>
                <w:color w:val="auto"/>
              </w:rPr>
            </w:pPr>
            <w:r>
              <w:rPr>
                <w:rFonts w:ascii="Arial" w:cs="Arial" w:eastAsia="Arial" w:hAnsi="Arial"/>
                <w:sz w:val="18"/>
                <w:szCs w:val="18"/>
                <w:color w:val="auto"/>
                <w:w w:val="89"/>
              </w:rPr>
              <w:t>88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93"/>
              </w:rPr>
              <w:t>DESCRIPTION OF SECURITIES</w:t>
            </w:r>
          </w:p>
        </w:tc>
        <w:tc>
          <w:tcPr>
            <w:tcW w:w="7340" w:type="dxa"/>
            <w:vAlign w:val="bottom"/>
            <w:tcBorders>
              <w:bottom w:val="single" w:sz="8" w:color="CCEEFF"/>
            </w:tcBorders>
            <w:gridSpan w:val="11"/>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30"/>
              <w:spacing w:after="0" w:line="176" w:lineRule="exact"/>
              <w:rPr>
                <w:sz w:val="20"/>
                <w:szCs w:val="20"/>
                <w:color w:val="auto"/>
              </w:rPr>
            </w:pPr>
            <w:r>
              <w:rPr>
                <w:rFonts w:ascii="Arial" w:cs="Arial" w:eastAsia="Arial" w:hAnsi="Arial"/>
                <w:sz w:val="18"/>
                <w:szCs w:val="18"/>
                <w:color w:val="auto"/>
                <w:w w:val="89"/>
              </w:rPr>
              <w:t>92</w:t>
            </w:r>
          </w:p>
        </w:tc>
      </w:tr>
      <w:tr>
        <w:trPr>
          <w:trHeight w:val="175"/>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SECURITY OWNERSHIP OF CERTAIN BENEFICIAL OWNERS AND MANAGEMENT</w:t>
            </w:r>
          </w:p>
        </w:tc>
        <w:tc>
          <w:tcPr>
            <w:tcW w:w="1380" w:type="dxa"/>
            <w:vAlign w:val="bottom"/>
          </w:tcPr>
          <w:p>
            <w:pPr>
              <w:jc w:val="center"/>
              <w:ind w:left="630"/>
              <w:spacing w:after="0" w:line="176" w:lineRule="exact"/>
              <w:rPr>
                <w:sz w:val="20"/>
                <w:szCs w:val="20"/>
                <w:color w:val="auto"/>
              </w:rPr>
            </w:pPr>
            <w:r>
              <w:rPr>
                <w:rFonts w:ascii="Arial" w:cs="Arial" w:eastAsia="Arial" w:hAnsi="Arial"/>
                <w:sz w:val="18"/>
                <w:szCs w:val="18"/>
                <w:color w:val="auto"/>
                <w:w w:val="89"/>
              </w:rPr>
              <w:t>98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120" w:type="dxa"/>
            <w:vAlign w:val="bottom"/>
            <w:tcBorders>
              <w:bottom w:val="single" w:sz="8" w:color="0000EE"/>
            </w:tcBorders>
            <w:gridSpan w:val="10"/>
            <w:shd w:val="clear" w:color="auto" w:fill="CCEEFF"/>
          </w:tcPr>
          <w:p>
            <w:pPr>
              <w:spacing w:after="0" w:line="176" w:lineRule="exact"/>
              <w:rPr>
                <w:sz w:val="20"/>
                <w:szCs w:val="20"/>
                <w:color w:val="auto"/>
              </w:rPr>
            </w:pPr>
            <w:r>
              <w:rPr>
                <w:rFonts w:ascii="Arial" w:cs="Arial" w:eastAsia="Arial" w:hAnsi="Arial"/>
                <w:sz w:val="18"/>
                <w:szCs w:val="18"/>
                <w:color w:val="0000EE"/>
                <w:w w:val="96"/>
              </w:rPr>
              <w:t>SELLING STOCKHOLDER</w:t>
            </w:r>
          </w:p>
        </w:tc>
        <w:tc>
          <w:tcPr>
            <w:tcW w:w="7740" w:type="dxa"/>
            <w:vAlign w:val="bottom"/>
            <w:tcBorders>
              <w:bottom w:val="single" w:sz="8" w:color="CCEEFF"/>
            </w:tcBorders>
            <w:gridSpan w:val="13"/>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3"/>
              </w:rPr>
              <w:t>100</w:t>
            </w:r>
          </w:p>
        </w:tc>
      </w:tr>
      <w:tr>
        <w:trPr>
          <w:trHeight w:val="176"/>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U.S. FEDERAL INCOME TAX CONSIDERATIONS FOR NON-U.S. HOLDERS</w:t>
            </w:r>
          </w:p>
        </w:tc>
        <w:tc>
          <w:tcPr>
            <w:tcW w:w="1380" w:type="dxa"/>
            <w:vAlign w:val="bottom"/>
          </w:tcPr>
          <w:p>
            <w:pPr>
              <w:jc w:val="center"/>
              <w:ind w:left="650"/>
              <w:spacing w:after="0" w:line="176" w:lineRule="exact"/>
              <w:rPr>
                <w:sz w:val="20"/>
                <w:szCs w:val="20"/>
                <w:color w:val="auto"/>
              </w:rPr>
            </w:pPr>
            <w:r>
              <w:rPr>
                <w:rFonts w:ascii="Arial" w:cs="Arial" w:eastAsia="Arial" w:hAnsi="Arial"/>
                <w:sz w:val="18"/>
                <w:szCs w:val="18"/>
                <w:color w:val="auto"/>
                <w:w w:val="93"/>
              </w:rPr>
              <w:t>101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2040" w:type="dxa"/>
            <w:vAlign w:val="bottom"/>
            <w:tcBorders>
              <w:bottom w:val="single" w:sz="8" w:color="0000EE"/>
            </w:tcBorders>
            <w:gridSpan w:val="9"/>
            <w:shd w:val="clear" w:color="auto" w:fill="CCEEFF"/>
          </w:tcPr>
          <w:p>
            <w:pPr>
              <w:spacing w:after="0" w:line="176" w:lineRule="exact"/>
              <w:rPr>
                <w:sz w:val="20"/>
                <w:szCs w:val="20"/>
                <w:color w:val="auto"/>
              </w:rPr>
            </w:pPr>
            <w:r>
              <w:rPr>
                <w:rFonts w:ascii="Arial" w:cs="Arial" w:eastAsia="Arial" w:hAnsi="Arial"/>
                <w:sz w:val="18"/>
                <w:szCs w:val="18"/>
                <w:color w:val="0000EE"/>
                <w:w w:val="98"/>
              </w:rPr>
              <w:t>CHEF EQUITY FACILITY</w:t>
            </w:r>
          </w:p>
        </w:tc>
        <w:tc>
          <w:tcPr>
            <w:tcW w:w="7820" w:type="dxa"/>
            <w:vAlign w:val="bottom"/>
            <w:tcBorders>
              <w:bottom w:val="single" w:sz="8" w:color="CCEEFF"/>
            </w:tcBorders>
            <w:gridSpan w:val="14"/>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3"/>
              </w:rPr>
              <w:t>104</w:t>
            </w:r>
          </w:p>
        </w:tc>
      </w:tr>
      <w:tr>
        <w:trPr>
          <w:trHeight w:val="175"/>
        </w:trPr>
        <w:tc>
          <w:tcPr>
            <w:tcW w:w="9860" w:type="dxa"/>
            <w:vAlign w:val="bottom"/>
            <w:gridSpan w:val="23"/>
          </w:tcPr>
          <w:p>
            <w:pPr>
              <w:spacing w:after="0" w:line="176" w:lineRule="exact"/>
              <w:rPr>
                <w:sz w:val="20"/>
                <w:szCs w:val="20"/>
                <w:color w:val="auto"/>
              </w:rPr>
            </w:pPr>
            <w:r>
              <w:rPr>
                <w:rFonts w:ascii="Arial" w:cs="Arial" w:eastAsia="Arial" w:hAnsi="Arial"/>
                <w:sz w:val="18"/>
                <w:szCs w:val="18"/>
                <w:color w:val="0000EE"/>
              </w:rPr>
              <w:t>PLAN OF DISTRIBUTION (CONFLICTS OF INTEREST)</w:t>
            </w:r>
          </w:p>
        </w:tc>
        <w:tc>
          <w:tcPr>
            <w:tcW w:w="1380" w:type="dxa"/>
            <w:vAlign w:val="bottom"/>
          </w:tcPr>
          <w:p>
            <w:pPr>
              <w:jc w:val="center"/>
              <w:ind w:left="650"/>
              <w:spacing w:after="0" w:line="176" w:lineRule="exact"/>
              <w:rPr>
                <w:sz w:val="20"/>
                <w:szCs w:val="20"/>
                <w:color w:val="auto"/>
              </w:rPr>
            </w:pPr>
            <w:r>
              <w:rPr>
                <w:rFonts w:ascii="Arial" w:cs="Arial" w:eastAsia="Arial" w:hAnsi="Arial"/>
                <w:sz w:val="18"/>
                <w:szCs w:val="18"/>
                <w:color w:val="auto"/>
                <w:w w:val="93"/>
              </w:rPr>
              <w:t>107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LEGAL MATTERS</w:t>
            </w:r>
          </w:p>
        </w:tc>
        <w:tc>
          <w:tcPr>
            <w:tcW w:w="1380" w:type="dxa"/>
            <w:vAlign w:val="bottom"/>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3"/>
              </w:rPr>
              <w:t>109</w:t>
            </w:r>
          </w:p>
        </w:tc>
      </w:tr>
      <w:tr>
        <w:trPr>
          <w:trHeight w:val="175"/>
        </w:trPr>
        <w:tc>
          <w:tcPr>
            <w:tcW w:w="1460" w:type="dxa"/>
            <w:vAlign w:val="bottom"/>
            <w:tcBorders>
              <w:top w:val="single" w:sz="8" w:color="0000EE"/>
            </w:tcBorders>
            <w:gridSpan w:val="6"/>
          </w:tcPr>
          <w:p>
            <w:pPr>
              <w:spacing w:after="0" w:line="176" w:lineRule="exact"/>
              <w:rPr>
                <w:sz w:val="20"/>
                <w:szCs w:val="20"/>
                <w:color w:val="auto"/>
              </w:rPr>
            </w:pPr>
            <w:r>
              <w:rPr>
                <w:rFonts w:ascii="Arial" w:cs="Arial" w:eastAsia="Arial" w:hAnsi="Arial"/>
                <w:sz w:val="18"/>
                <w:szCs w:val="18"/>
                <w:color w:val="0000EE"/>
              </w:rPr>
              <w:t>EXPERTS</w:t>
            </w:r>
          </w:p>
        </w:tc>
        <w:tc>
          <w:tcPr>
            <w:tcW w:w="8400" w:type="dxa"/>
            <w:vAlign w:val="bottom"/>
            <w:tcBorders>
              <w:top w:val="single" w:sz="8" w:color="CCEEFF"/>
            </w:tcBorders>
            <w:gridSpan w:val="17"/>
          </w:tcPr>
          <w:p>
            <w:pPr>
              <w:spacing w:after="0"/>
              <w:rPr>
                <w:sz w:val="15"/>
                <w:szCs w:val="15"/>
                <w:color w:val="auto"/>
              </w:rPr>
            </w:pPr>
          </w:p>
        </w:tc>
        <w:tc>
          <w:tcPr>
            <w:tcW w:w="1380" w:type="dxa"/>
            <w:vAlign w:val="bottom"/>
            <w:tcBorders>
              <w:top w:val="single" w:sz="8" w:color="CCEEFF"/>
            </w:tcBorders>
          </w:tcPr>
          <w:p>
            <w:pPr>
              <w:jc w:val="center"/>
              <w:ind w:left="650"/>
              <w:spacing w:after="0" w:line="176" w:lineRule="exact"/>
              <w:rPr>
                <w:sz w:val="20"/>
                <w:szCs w:val="20"/>
                <w:color w:val="auto"/>
              </w:rPr>
            </w:pPr>
            <w:r>
              <w:rPr>
                <w:rFonts w:ascii="Arial" w:cs="Arial" w:eastAsia="Arial" w:hAnsi="Arial"/>
                <w:sz w:val="18"/>
                <w:szCs w:val="18"/>
                <w:color w:val="auto"/>
                <w:w w:val="93"/>
              </w:rPr>
              <w:t>109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98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color w:val="0000EE"/>
              </w:rPr>
              <w:t>WHERE YOU CAN FIND MORE INFORMATION</w:t>
            </w:r>
          </w:p>
        </w:tc>
        <w:tc>
          <w:tcPr>
            <w:tcW w:w="1380" w:type="dxa"/>
            <w:vAlign w:val="bottom"/>
            <w:shd w:val="clear" w:color="auto" w:fill="CCEEFF"/>
          </w:tcPr>
          <w:p>
            <w:pPr>
              <w:jc w:val="center"/>
              <w:ind w:left="650"/>
              <w:spacing w:after="0" w:line="176" w:lineRule="exact"/>
              <w:rPr>
                <w:sz w:val="20"/>
                <w:szCs w:val="20"/>
                <w:color w:val="auto"/>
              </w:rPr>
            </w:pPr>
            <w:r>
              <w:rPr>
                <w:rFonts w:ascii="Arial" w:cs="Arial" w:eastAsia="Arial" w:hAnsi="Arial"/>
                <w:sz w:val="18"/>
                <w:szCs w:val="18"/>
                <w:color w:val="auto"/>
                <w:w w:val="93"/>
              </w:rPr>
              <w:t>109</w:t>
            </w:r>
          </w:p>
        </w:tc>
      </w:tr>
      <w:tr>
        <w:trPr>
          <w:trHeight w:val="176"/>
        </w:trPr>
        <w:tc>
          <w:tcPr>
            <w:tcW w:w="3820" w:type="dxa"/>
            <w:vAlign w:val="bottom"/>
            <w:tcBorders>
              <w:top w:val="single" w:sz="8" w:color="0000EE"/>
            </w:tcBorders>
            <w:gridSpan w:val="15"/>
          </w:tcPr>
          <w:p>
            <w:pPr>
              <w:spacing w:after="0" w:line="176" w:lineRule="exact"/>
              <w:rPr>
                <w:sz w:val="20"/>
                <w:szCs w:val="20"/>
                <w:color w:val="auto"/>
              </w:rPr>
            </w:pPr>
            <w:r>
              <w:rPr>
                <w:rFonts w:ascii="Arial" w:cs="Arial" w:eastAsia="Arial" w:hAnsi="Arial"/>
                <w:sz w:val="18"/>
                <w:szCs w:val="18"/>
                <w:color w:val="0000EE"/>
              </w:rPr>
              <w:t>INDEX TO FINANCIAL STATEMENTS</w:t>
            </w:r>
          </w:p>
        </w:tc>
        <w:tc>
          <w:tcPr>
            <w:tcW w:w="6040" w:type="dxa"/>
            <w:vAlign w:val="bottom"/>
            <w:tcBorders>
              <w:top w:val="single" w:sz="8" w:color="CCEEFF"/>
            </w:tcBorders>
            <w:gridSpan w:val="8"/>
          </w:tcPr>
          <w:p>
            <w:pPr>
              <w:spacing w:after="0"/>
              <w:rPr>
                <w:sz w:val="15"/>
                <w:szCs w:val="15"/>
                <w:color w:val="auto"/>
              </w:rPr>
            </w:pPr>
          </w:p>
        </w:tc>
        <w:tc>
          <w:tcPr>
            <w:tcW w:w="1380" w:type="dxa"/>
            <w:vAlign w:val="bottom"/>
            <w:tcBorders>
              <w:top w:val="single" w:sz="8" w:color="CCEEFF"/>
            </w:tcBorders>
          </w:tcPr>
          <w:p>
            <w:pPr>
              <w:ind w:left="940"/>
              <w:spacing w:after="0" w:line="17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For investors outside the United States: </w:t>
      </w:r>
      <w:r>
        <w:rPr>
          <w:rFonts w:ascii="Arial" w:cs="Arial" w:eastAsia="Arial" w:hAnsi="Arial"/>
          <w:sz w:val="18"/>
          <w:szCs w:val="18"/>
          <w:color w:val="auto"/>
        </w:rPr>
        <w:t>We have not done anything that would permit this offering or possession or distribution of this prospectus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where action for that purpose is required, other than in the United States. You are required to inform yourselves about and to observe any restrictions relating to this offering and the distribution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INTRODUCTORY NOTE</w:t>
      </w:r>
    </w:p>
    <w:p>
      <w:pPr>
        <w:spacing w:after="0" w:line="225" w:lineRule="exact"/>
        <w:rPr>
          <w:sz w:val="20"/>
          <w:szCs w:val="20"/>
          <w:color w:val="auto"/>
        </w:rPr>
      </w:pPr>
    </w:p>
    <w:p>
      <w:pPr>
        <w:jc w:val="both"/>
        <w:ind w:right="20"/>
        <w:spacing w:after="0" w:line="289" w:lineRule="auto"/>
        <w:rPr>
          <w:sz w:val="20"/>
          <w:szCs w:val="20"/>
          <w:color w:val="auto"/>
        </w:rPr>
      </w:pPr>
      <w:r>
        <w:rPr>
          <w:rFonts w:ascii="Arial" w:cs="Arial" w:eastAsia="Arial" w:hAnsi="Arial"/>
          <w:sz w:val="17"/>
          <w:szCs w:val="17"/>
          <w:color w:val="auto"/>
        </w:rPr>
        <w:t>On October 7, 2022 (the “</w:t>
      </w:r>
      <w:r>
        <w:rPr>
          <w:rFonts w:ascii="Arial" w:cs="Arial" w:eastAsia="Arial" w:hAnsi="Arial"/>
          <w:sz w:val="17"/>
          <w:szCs w:val="17"/>
          <w:b w:val="1"/>
          <w:bCs w:val="1"/>
          <w:color w:val="auto"/>
        </w:rPr>
        <w:t>Closing</w:t>
      </w:r>
      <w:r>
        <w:rPr>
          <w:rFonts w:ascii="Arial" w:cs="Arial" w:eastAsia="Arial" w:hAnsi="Arial"/>
          <w:sz w:val="17"/>
          <w:szCs w:val="17"/>
          <w:color w:val="auto"/>
        </w:rPr>
        <w:t>” and such date the “</w:t>
      </w:r>
      <w:r>
        <w:rPr>
          <w:rFonts w:ascii="Arial" w:cs="Arial" w:eastAsia="Arial" w:hAnsi="Arial"/>
          <w:sz w:val="17"/>
          <w:szCs w:val="17"/>
          <w:b w:val="1"/>
          <w:bCs w:val="1"/>
          <w:color w:val="auto"/>
        </w:rPr>
        <w:t>Closing Date</w:t>
      </w:r>
      <w:r>
        <w:rPr>
          <w:rFonts w:ascii="Arial" w:cs="Arial" w:eastAsia="Arial" w:hAnsi="Arial"/>
          <w:sz w:val="17"/>
          <w:szCs w:val="17"/>
          <w:color w:val="auto"/>
        </w:rPr>
        <w:t>”), Chardan NexTech Acquisition 2 Corp., a Delaware corporation (“</w:t>
      </w:r>
      <w:r>
        <w:rPr>
          <w:rFonts w:ascii="Arial" w:cs="Arial" w:eastAsia="Arial" w:hAnsi="Arial"/>
          <w:sz w:val="17"/>
          <w:szCs w:val="17"/>
          <w:b w:val="1"/>
          <w:bCs w:val="1"/>
          <w:color w:val="auto"/>
        </w:rPr>
        <w:t>CNTQ</w:t>
      </w:r>
      <w:r>
        <w:rPr>
          <w:rFonts w:ascii="Arial" w:cs="Arial" w:eastAsia="Arial" w:hAnsi="Arial"/>
          <w:sz w:val="17"/>
          <w:szCs w:val="17"/>
          <w:color w:val="auto"/>
        </w:rPr>
        <w:t>”), and Bronco Merger Sub, Inc., a Nevada corporation and newly formed wholly-owned subsidiary of CNTQ (“</w:t>
      </w:r>
      <w:r>
        <w:rPr>
          <w:rFonts w:ascii="Arial" w:cs="Arial" w:eastAsia="Arial" w:hAnsi="Arial"/>
          <w:sz w:val="17"/>
          <w:szCs w:val="17"/>
          <w:b w:val="1"/>
          <w:bCs w:val="1"/>
          <w:color w:val="auto"/>
        </w:rPr>
        <w:t>Merger Sub</w:t>
      </w:r>
      <w:r>
        <w:rPr>
          <w:rFonts w:ascii="Arial" w:cs="Arial" w:eastAsia="Arial" w:hAnsi="Arial"/>
          <w:sz w:val="17"/>
          <w:szCs w:val="17"/>
          <w:color w:val="auto"/>
        </w:rPr>
        <w:t>”), consummated the previously announced Business Combination (as defined below) pursuant to the terms of the Business Combination Agreement (as defined below).</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the Closing Date, (i) CNTQ changed its name to “Dragonfly Energy Holdings Corp.” (“</w:t>
      </w:r>
      <w:r>
        <w:rPr>
          <w:rFonts w:ascii="Arial" w:cs="Arial" w:eastAsia="Arial" w:hAnsi="Arial"/>
          <w:sz w:val="16"/>
          <w:szCs w:val="16"/>
          <w:b w:val="1"/>
          <w:bCs w:val="1"/>
          <w:color w:val="auto"/>
        </w:rPr>
        <w:t>Dragonfly</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(ii) Merger Sub merged with and into Dragonfly Energy Corp., a Nevada corporation (“</w:t>
      </w:r>
      <w:r>
        <w:rPr>
          <w:rFonts w:ascii="Arial" w:cs="Arial" w:eastAsia="Arial" w:hAnsi="Arial"/>
          <w:sz w:val="16"/>
          <w:szCs w:val="16"/>
          <w:b w:val="1"/>
          <w:bCs w:val="1"/>
          <w:color w:val="auto"/>
        </w:rPr>
        <w:t>Legacy Dragonfly</w:t>
      </w:r>
      <w:r>
        <w:rPr>
          <w:rFonts w:ascii="Arial" w:cs="Arial" w:eastAsia="Arial" w:hAnsi="Arial"/>
          <w:sz w:val="16"/>
          <w:szCs w:val="16"/>
          <w:color w:val="auto"/>
        </w:rPr>
        <w:t>”), with Legacy Dragonfly surviving the Merger as a direct, wholly-owned subsidiary of the Company (the “</w:t>
      </w:r>
      <w:r>
        <w:rPr>
          <w:rFonts w:ascii="Arial" w:cs="Arial" w:eastAsia="Arial" w:hAnsi="Arial"/>
          <w:sz w:val="16"/>
          <w:szCs w:val="16"/>
          <w:b w:val="1"/>
          <w:bCs w:val="1"/>
          <w:color w:val="auto"/>
        </w:rPr>
        <w:t>Merger</w:t>
      </w:r>
      <w:r>
        <w:rPr>
          <w:rFonts w:ascii="Arial" w:cs="Arial" w:eastAsia="Arial" w:hAnsi="Arial"/>
          <w:sz w:val="16"/>
          <w:szCs w:val="16"/>
          <w:color w:val="auto"/>
        </w:rPr>
        <w:t>”); and (iii) the parties to the Business Combination Agreement consummated the other transactions contemplated thereby. On March 31, 2023, Dragonfly was reincorporated under the laws of the State of Nevada pursuant to a reincorporation by conversion.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FREQUENTLY USED TERMS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 Warrants</w:t>
      </w:r>
      <w:r>
        <w:rPr>
          <w:rFonts w:ascii="Arial" w:cs="Arial" w:eastAsia="Arial" w:hAnsi="Arial"/>
          <w:sz w:val="18"/>
          <w:szCs w:val="18"/>
          <w:color w:val="auto"/>
        </w:rPr>
        <w:t>” means warrants to initially acquire 1,600,000 shares of common stock at an initial $10.00 per share exercise price issued at Closing in connection with the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$10 Warrants Shares</w:t>
      </w:r>
      <w:r>
        <w:rPr>
          <w:rFonts w:ascii="Arial" w:cs="Arial" w:eastAsia="Arial" w:hAnsi="Arial"/>
          <w:sz w:val="18"/>
          <w:szCs w:val="18"/>
          <w:color w:val="auto"/>
        </w:rPr>
        <w:t>” means the 457,142 shares of common stock issued upon exercise of the $10 Warrants.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Limitation</w:t>
      </w:r>
      <w:r>
        <w:rPr>
          <w:rFonts w:ascii="Arial" w:cs="Arial" w:eastAsia="Arial" w:hAnsi="Arial"/>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 means the Merger and the other transactions contemplated by the Business Combination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means that certain Agreement and Plan of Merger, dated May 15, 2022, as amended on July 12, 2022, by and among CNTQ, Merger Sub and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CCM</w:t>
      </w:r>
      <w:r>
        <w:rPr>
          <w:rFonts w:ascii="Arial" w:cs="Arial" w:eastAsia="Arial" w:hAnsi="Arial"/>
          <w:sz w:val="18"/>
          <w:szCs w:val="18"/>
          <w:color w:val="auto"/>
        </w:rPr>
        <w:t>” means Chardan Capital Markets LLC, a New York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Charter</w:t>
      </w:r>
      <w:r>
        <w:rPr>
          <w:rFonts w:ascii="Arial" w:cs="Arial" w:eastAsia="Arial" w:hAnsi="Arial"/>
          <w:sz w:val="18"/>
          <w:szCs w:val="18"/>
          <w:color w:val="auto"/>
        </w:rPr>
        <w:t>” means the articles of incorporation of Dragonfly, in effect as of the date of this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closing of the Business Combination.</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w:t>
      </w:r>
      <w:r>
        <w:rPr>
          <w:rFonts w:ascii="Arial" w:cs="Arial" w:eastAsia="Arial" w:hAnsi="Arial"/>
          <w:sz w:val="18"/>
          <w:szCs w:val="18"/>
          <w:color w:val="auto"/>
        </w:rPr>
        <w:t>” means Chardan NexTech Acquisition 2 Corp., a Delaware corporation, which was renamed “Dragonfly Energy Holdings Corp.” in connection with the Closing.</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Common Stock</w:t>
      </w:r>
      <w:r>
        <w:rPr>
          <w:rFonts w:ascii="Arial" w:cs="Arial" w:eastAsia="Arial" w:hAnsi="Arial"/>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CNTQ IPO</w:t>
      </w:r>
      <w:r>
        <w:rPr>
          <w:rFonts w:ascii="Arial" w:cs="Arial" w:eastAsia="Arial" w:hAnsi="Arial"/>
          <w:sz w:val="18"/>
          <w:szCs w:val="18"/>
          <w:color w:val="auto"/>
        </w:rPr>
        <w:t>” means the initial public offering by CNTQ, which closed on August 13,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Dragonfly</w:t>
      </w:r>
      <w:r>
        <w:rPr>
          <w:rFonts w:ascii="Arial" w:cs="Arial" w:eastAsia="Arial" w:hAnsi="Arial"/>
          <w:sz w:val="18"/>
          <w:szCs w:val="18"/>
          <w:color w:val="auto"/>
        </w:rPr>
        <w:t>” means Dragonfly Energy Holdings Corp., a Nevada corporation.</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Earnout Shares</w:t>
      </w:r>
      <w:r>
        <w:rPr>
          <w:rFonts w:ascii="Arial" w:cs="Arial" w:eastAsia="Arial" w:hAnsi="Arial"/>
          <w:sz w:val="18"/>
          <w:szCs w:val="18"/>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Founder Shares</w:t>
      </w:r>
      <w:r>
        <w:rPr>
          <w:rFonts w:ascii="Arial" w:cs="Arial" w:eastAsia="Arial" w:hAnsi="Arial"/>
          <w:sz w:val="17"/>
          <w:szCs w:val="17"/>
          <w:color w:val="auto"/>
        </w:rPr>
        <w:t>” means the shares of CNTQ common stock held by the Sponsor, CNTQ’s directors, and affiliates of CNTQ’s management team.</w:t>
      </w:r>
    </w:p>
    <w:p>
      <w:pPr>
        <w:spacing w:after="0" w:line="23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Legacy Dragonfly</w:t>
      </w:r>
      <w:r>
        <w:rPr>
          <w:rFonts w:ascii="Arial" w:cs="Arial" w:eastAsia="Arial" w:hAnsi="Arial"/>
          <w:sz w:val="18"/>
          <w:szCs w:val="18"/>
          <w:color w:val="auto"/>
        </w:rPr>
        <w:t>” means Dragonfly Energy Corp., a Nevada corporation, and includes the surviving corporation after the Merger. References herein to Dragonfly will include its subsidiaries, including Legacy Dragonfly, to the extent reasonably applicable.</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w:t>
      </w:r>
      <w:r>
        <w:rPr>
          <w:rFonts w:ascii="Arial" w:cs="Arial" w:eastAsia="Arial" w:hAnsi="Arial"/>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Sub</w:t>
      </w:r>
      <w:r>
        <w:rPr>
          <w:rFonts w:ascii="Arial" w:cs="Arial" w:eastAsia="Arial" w:hAnsi="Arial"/>
          <w:sz w:val="18"/>
          <w:szCs w:val="18"/>
          <w:color w:val="auto"/>
        </w:rPr>
        <w:t>” means Bronco Merger Sub, Inc., a Nevada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NRS</w:t>
      </w:r>
      <w:r>
        <w:rPr>
          <w:rFonts w:ascii="Arial" w:cs="Arial" w:eastAsia="Arial" w:hAnsi="Arial"/>
          <w:sz w:val="18"/>
          <w:szCs w:val="18"/>
          <w:color w:val="auto"/>
        </w:rPr>
        <w:t>” means the Nevada Revised Statutes.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Penny Warrants</w:t>
      </w:r>
      <w:r>
        <w:rPr>
          <w:rFonts w:ascii="Arial" w:cs="Arial" w:eastAsia="Arial" w:hAnsi="Arial"/>
          <w:sz w:val="18"/>
          <w:szCs w:val="18"/>
          <w:color w:val="auto"/>
        </w:rPr>
        <w:t>” means warrants to initially acquire 2,593,056 shares of common stock at an exercise price of $0.01 per share issued at Closing in connection with the Term Loan.</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Private Warrants</w:t>
      </w:r>
      <w:r>
        <w:rPr>
          <w:rFonts w:ascii="Arial" w:cs="Arial" w:eastAsia="Arial" w:hAnsi="Arial"/>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Warrants</w:t>
      </w:r>
      <w:r>
        <w:rPr>
          <w:rFonts w:ascii="Arial" w:cs="Arial" w:eastAsia="Arial" w:hAnsi="Arial"/>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means Chardan NexTech Investments 2 LLC, a Delaware limited liability company and an affiliate of CCM.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means the $75 million aggregate principal amount senior secured term loan facility entered into at Closing.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means the Merger, and the other transactions contemplated by the Business Combination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Account</w:t>
      </w:r>
      <w:r>
        <w:rPr>
          <w:rFonts w:ascii="Arial" w:cs="Arial" w:eastAsia="Arial" w:hAnsi="Arial"/>
          <w:sz w:val="18"/>
          <w:szCs w:val="18"/>
          <w:color w:val="auto"/>
        </w:rPr>
        <w:t>” means the trust account of CNTQ that held the proceeds from the CNTQ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means the Public Warrants, the Private Warrants and the Penny Warrants of Dragonfly.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 Holdings</w:t>
      </w:r>
      <w:r>
        <w:rPr>
          <w:rFonts w:ascii="Arial" w:cs="Arial" w:eastAsia="Arial" w:hAnsi="Arial"/>
          <w:sz w:val="18"/>
          <w:szCs w:val="18"/>
          <w:color w:val="auto"/>
        </w:rPr>
        <w:t>” means Chardan NexTech 2 Warrant Holdings LLC, a Delaware limited liability company.</w:t>
      </w:r>
    </w:p>
    <w:p>
      <w:pPr>
        <w:spacing w:after="0" w:line="22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70" w:lineRule="exact"/>
        <w:rPr>
          <w:sz w:val="20"/>
          <w:szCs w:val="20"/>
          <w:color w:val="auto"/>
        </w:rPr>
      </w:pPr>
    </w:p>
    <w:p>
      <w:pPr>
        <w:ind w:left="660" w:right="20" w:hanging="328"/>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our recent Business Combination (as defined herein), which may be affected by, among other things, the factors listed below;</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successfully increase market penetration into target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addressable markets that we intend to target do not grow as expected;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any members of our senior management team or other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any relationships with key suppliers, including suppliers in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loss of any relationships with key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our patents and other intellectual property;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to successfully optimize solid-state cells or to produce commercially viable solid-state cells in a timely manner or at all, or to scale to mass production;</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the listing of our common stock on the Nasdaq Global Market and Public Warrants (as defined herein) on the Nasdaq Capital Market;</w:t>
      </w:r>
    </w:p>
    <w:p>
      <w:pPr>
        <w:ind w:left="660" w:right="2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sell the desired amounts of shares of common stock at desired prices under our equity facility;</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potential for events or circumstances that result in our failure to timely achieve the anticipated benefits of our customer arrangements with THOR Industries and its affiliate brands (including Keystone RV Company (“</w:t>
      </w:r>
      <w:r>
        <w:rPr>
          <w:rFonts w:ascii="Arial" w:cs="Arial" w:eastAsia="Arial" w:hAnsi="Arial"/>
          <w:sz w:val="17"/>
          <w:szCs w:val="17"/>
          <w:b w:val="1"/>
          <w:bCs w:val="1"/>
          <w:color w:val="auto"/>
        </w:rPr>
        <w:t>Keystone</w:t>
      </w:r>
      <w:r>
        <w:rPr>
          <w:rFonts w:ascii="Arial" w:cs="Arial" w:eastAsia="Arial" w:hAnsi="Arial"/>
          <w:sz w:val="17"/>
          <w:szCs w:val="17"/>
          <w:color w:val="auto"/>
        </w:rPr>
        <w:t>”)), including Keystone’s decision in July 2023, that, due to weaker demand for its products and their subsequent focus on reducing costs, it would no longer install our storage solutions as standard equipment, but rather return to offering those solutions as an option to dealers and consumers;</w:t>
      </w: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accuracy of our projections and estimates regarding our expenses, capital requirements, cash utilization, and need for additional financing;</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retain these customers for future orders;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reliance on two suppliers for our lithium iron phosphate cells and a single supplier for the manufacture of our battery management system; and</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current dependence on a single manufacturing facility.</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Arial" w:cs="Arial" w:eastAsia="Arial" w:hAnsi="Arial"/>
          <w:sz w:val="18"/>
          <w:szCs w:val="18"/>
          <w:i w:val="1"/>
          <w:iCs w:val="1"/>
          <w:color w:val="auto"/>
        </w:rPr>
        <w:t>Risk Factors</w:t>
      </w:r>
      <w:r>
        <w:rPr>
          <w:rFonts w:ascii="Arial" w:cs="Arial" w:eastAsia="Arial" w:hAnsi="Arial"/>
          <w:sz w:val="18"/>
          <w:szCs w:val="18"/>
          <w:color w:val="auto"/>
        </w:rPr>
        <w:t>” for additional risks which could adversely impact our business and financial performance.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forward-looking statements are expressly qualified in their entirety by this cautionary notice. You are cautioned not to place undue reliance on any forward-looking statements, which speak only as of the date of this Registration Statement. We have no obligation, and expressly disclaim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436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436485"/>
                    </a:xfrm>
                    <a:prstGeom prst="rect">
                      <a:avLst/>
                    </a:prstGeom>
                    <a:noFill/>
                  </pic:spPr>
                </pic:pic>
              </a:graphicData>
            </a:graphic>
          </wp:anchor>
        </w:drawing>
        <w:t>SUMMARY OF THE PROSPECTUS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financial statements included elsewhere in this</w:t>
      </w:r>
      <w:r>
        <w:rPr>
          <w:rFonts w:ascii="Arial" w:cs="Arial" w:eastAsia="Arial" w:hAnsi="Arial"/>
          <w:sz w:val="18"/>
          <w:szCs w:val="18"/>
          <w:color w:val="auto"/>
        </w:rPr>
        <w:t xml:space="preserve"> </w:t>
      </w:r>
      <w:r>
        <w:rPr>
          <w:rFonts w:ascii="Arial" w:cs="Arial" w:eastAsia="Arial" w:hAnsi="Arial"/>
          <w:sz w:val="18"/>
          <w:szCs w:val="18"/>
          <w:i w:val="1"/>
          <w:iCs w:val="1"/>
          <w:color w:val="auto"/>
        </w:rPr>
        <w:t>prospectus.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manufacturer of non-toxic deep cycle lithium-ion batteries that are designed to displace lead acid batteries in a number of different storage applications and end markets including recreational vehicles (“</w:t>
      </w:r>
      <w:r>
        <w:rPr>
          <w:rFonts w:ascii="Arial" w:cs="Arial" w:eastAsia="Arial" w:hAnsi="Arial"/>
          <w:sz w:val="16"/>
          <w:szCs w:val="16"/>
          <w:b w:val="1"/>
          <w:bCs w:val="1"/>
          <w:color w:val="auto"/>
        </w:rPr>
        <w:t>RV</w:t>
      </w:r>
      <w:r>
        <w:rPr>
          <w:rFonts w:ascii="Arial" w:cs="Arial" w:eastAsia="Arial" w:hAnsi="Arial"/>
          <w:sz w:val="16"/>
          <w:szCs w:val="16"/>
          <w:color w:val="auto"/>
        </w:rPr>
        <w:t>”), marine vessel and off-grid residence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2020, we have sold over 266,000 batteries. We currently offer a line of batteries across our “Battle Born” (“</w:t>
      </w:r>
      <w:r>
        <w:rPr>
          <w:rFonts w:ascii="Arial" w:cs="Arial" w:eastAsia="Arial" w:hAnsi="Arial"/>
          <w:sz w:val="18"/>
          <w:szCs w:val="18"/>
          <w:b w:val="1"/>
          <w:bCs w:val="1"/>
          <w:color w:val="auto"/>
        </w:rPr>
        <w:t>Battle Born</w:t>
      </w:r>
      <w:r>
        <w:rPr>
          <w:rFonts w:ascii="Arial" w:cs="Arial" w:eastAsia="Arial" w:hAnsi="Arial"/>
          <w:sz w:val="18"/>
          <w:szCs w:val="18"/>
          <w:color w:val="auto"/>
        </w:rPr>
        <w:t>”) and “Dragonfly Energy” (“</w:t>
      </w:r>
      <w:r>
        <w:rPr>
          <w:rFonts w:ascii="Arial" w:cs="Arial" w:eastAsia="Arial" w:hAnsi="Arial"/>
          <w:sz w:val="18"/>
          <w:szCs w:val="18"/>
          <w:b w:val="1"/>
          <w:bCs w:val="1"/>
          <w:color w:val="auto"/>
        </w:rPr>
        <w:t>Dragonfly Energy</w:t>
      </w:r>
      <w:r>
        <w:rPr>
          <w:rFonts w:ascii="Arial" w:cs="Arial" w:eastAsia="Arial" w:hAnsi="Arial"/>
          <w:sz w:val="18"/>
          <w:szCs w:val="18"/>
          <w:color w:val="auto"/>
        </w:rPr>
        <w:t>”) brands, each differentiated by size, power and capacity, consisting of seven different models, four of which come with a heated option. We primarily sell “Battle Born” branded batteries directly to consumers (“</w:t>
      </w:r>
      <w:r>
        <w:rPr>
          <w:rFonts w:ascii="Arial" w:cs="Arial" w:eastAsia="Arial" w:hAnsi="Arial"/>
          <w:sz w:val="18"/>
          <w:szCs w:val="18"/>
          <w:b w:val="1"/>
          <w:bCs w:val="1"/>
          <w:color w:val="auto"/>
        </w:rPr>
        <w:t>DTC</w:t>
      </w:r>
      <w:r>
        <w:rPr>
          <w:rFonts w:ascii="Arial" w:cs="Arial" w:eastAsia="Arial" w:hAnsi="Arial"/>
          <w:sz w:val="18"/>
          <w:szCs w:val="18"/>
          <w:color w:val="auto"/>
        </w:rPr>
        <w:t>”) and Dragonfly Energy branded batteries to original equipment manufacturers (“</w:t>
      </w:r>
      <w:r>
        <w:rPr>
          <w:rFonts w:ascii="Arial" w:cs="Arial" w:eastAsia="Arial" w:hAnsi="Arial"/>
          <w:sz w:val="18"/>
          <w:szCs w:val="18"/>
          <w:b w:val="1"/>
          <w:bCs w:val="1"/>
          <w:color w:val="auto"/>
        </w:rPr>
        <w:t>OEMs</w:t>
      </w:r>
      <w:r>
        <w:rPr>
          <w:rFonts w:ascii="Arial" w:cs="Arial" w:eastAsia="Arial" w:hAnsi="Arial"/>
          <w:sz w:val="18"/>
          <w:szCs w:val="18"/>
          <w:color w:val="auto"/>
        </w:rPr>
        <w: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supplement our battery offerings, we also offer our line of proprietary Wakespeed Offshore brand (“</w:t>
      </w:r>
      <w:r>
        <w:rPr>
          <w:rFonts w:ascii="Arial" w:cs="Arial" w:eastAsia="Arial" w:hAnsi="Arial"/>
          <w:sz w:val="18"/>
          <w:szCs w:val="18"/>
          <w:b w:val="1"/>
          <w:bCs w:val="1"/>
          <w:color w:val="auto"/>
        </w:rPr>
        <w:t>Wakespeed</w:t>
      </w:r>
      <w:r>
        <w:rPr>
          <w:rFonts w:ascii="Arial" w:cs="Arial" w:eastAsia="Arial" w:hAnsi="Arial"/>
          <w:sz w:val="18"/>
          <w:szCs w:val="18"/>
          <w:color w:val="auto"/>
        </w:rPr>
        <w:t>”)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accessories, we are also a reseller of accessories for battery systems. These include chargers, inverters, monitors, controllers, solar panels and other system accessories from brands such as Victron Energy, Progressive Dynamics, REDARK, Rich Solar, and Sterling Power.</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our conventional lithium iron phosphate (“</w:t>
      </w:r>
      <w:r>
        <w:rPr>
          <w:rFonts w:ascii="Arial" w:cs="Arial" w:eastAsia="Arial" w:hAnsi="Arial"/>
          <w:sz w:val="17"/>
          <w:szCs w:val="17"/>
          <w:b w:val="1"/>
          <w:bCs w:val="1"/>
          <w:color w:val="auto"/>
        </w:rPr>
        <w:t>LFP</w:t>
      </w:r>
      <w:r>
        <w:rPr>
          <w:rFonts w:ascii="Arial" w:cs="Arial" w:eastAsia="Arial" w:hAnsi="Arial"/>
          <w:sz w:val="17"/>
          <w:szCs w:val="17"/>
          <w:color w:val="auto"/>
        </w:rPr>
        <w:t>”)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mailing address of our principal executive office is 1190 Trademark Dr. #108, Reno, Nevada 89521, and our telephone number is (775) 622-3448.</w:t>
      </w:r>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information about us, see the sections entitled “</w:t>
      </w:r>
      <w:r>
        <w:rPr>
          <w:rFonts w:ascii="Arial" w:cs="Arial" w:eastAsia="Arial" w:hAnsi="Arial"/>
          <w:sz w:val="18"/>
          <w:szCs w:val="18"/>
          <w:i w:val="1"/>
          <w:iCs w:val="1"/>
          <w:color w:val="auto"/>
        </w:rPr>
        <w:t>Business</w:t>
      </w:r>
      <w:r>
        <w:rPr>
          <w:rFonts w:ascii="Arial" w:cs="Arial" w:eastAsia="Arial" w:hAnsi="Arial"/>
          <w:sz w:val="18"/>
          <w:szCs w:val="18"/>
          <w:color w:val="auto"/>
        </w:rPr>
        <w:t>” and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Jumpstart Our Business Startups Act of 2012 (the “</w:t>
      </w:r>
      <w:r>
        <w:rPr>
          <w:rFonts w:ascii="Arial" w:cs="Arial" w:eastAsia="Arial" w:hAnsi="Arial"/>
          <w:sz w:val="16"/>
          <w:szCs w:val="16"/>
          <w:b w:val="1"/>
          <w:bCs w:val="1"/>
          <w:color w:val="auto"/>
        </w:rPr>
        <w:t>JOBS Act</w:t>
      </w:r>
      <w:r>
        <w:rPr>
          <w:rFonts w:ascii="Arial" w:cs="Arial" w:eastAsia="Arial" w:hAnsi="Arial"/>
          <w:sz w:val="16"/>
          <w:szCs w:val="16"/>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6613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We will remain an emerging growth company until the earlier of: (1) the last day of the fiscal year (a) ending December 31, 2026, (b) 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You should consider all the information contained in this prospectus before making a decision to invest in our common stock or warrants. In particular, you should consider the risk factors described under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9. Such risks include, but are not limited to, the following risks: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this Offering</w:t>
      </w:r>
    </w:p>
    <w:p>
      <w:pPr>
        <w:spacing w:after="0" w:line="225" w:lineRule="exact"/>
        <w:rPr>
          <w:sz w:val="20"/>
          <w:szCs w:val="20"/>
          <w:color w:val="auto"/>
        </w:rPr>
      </w:pPr>
    </w:p>
    <w:p>
      <w:pPr>
        <w:ind w:left="660" w:hanging="331"/>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jc w:val="both"/>
        <w:ind w:left="660" w:hanging="331"/>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Investors who buy common stock from CCM at different times will likely pay different prices.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Existing Lithium-Ion Battery Operations</w:t>
      </w:r>
    </w:p>
    <w:p>
      <w:pPr>
        <w:spacing w:after="0" w:line="225" w:lineRule="exact"/>
        <w:rPr>
          <w:sz w:val="20"/>
          <w:szCs w:val="20"/>
          <w:color w:val="auto"/>
        </w:rPr>
      </w:pPr>
    </w:p>
    <w:p>
      <w:pPr>
        <w:ind w:left="660" w:hanging="331"/>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future growth depends on the needs and success of our customers.</w:t>
      </w:r>
    </w:p>
    <w:p>
      <w:pPr>
        <w:spacing w:after="0" w:line="23" w:lineRule="exact"/>
        <w:rPr>
          <w:rFonts w:ascii="Arial" w:cs="Arial" w:eastAsia="Arial" w:hAnsi="Arial"/>
          <w:sz w:val="18"/>
          <w:szCs w:val="18"/>
          <w:color w:val="auto"/>
        </w:rPr>
      </w:pPr>
    </w:p>
    <w:p>
      <w:pPr>
        <w:ind w:left="660" w:right="20" w:hanging="331"/>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right="20" w:hanging="331"/>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Arial" w:cs="Arial" w:eastAsia="Arial" w:hAnsi="Arial"/>
          <w:sz w:val="16"/>
          <w:szCs w:val="16"/>
          <w:color w:val="auto"/>
        </w:rPr>
      </w:pPr>
    </w:p>
    <w:p>
      <w:pPr>
        <w:ind w:left="660" w:right="20" w:hanging="331"/>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jc w:val="both"/>
        <w:ind w:left="660" w:right="20" w:hanging="331"/>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Solid-State Technology Development</w:t>
      </w:r>
    </w:p>
    <w:p>
      <w:pPr>
        <w:spacing w:after="0" w:line="225" w:lineRule="exact"/>
        <w:rPr>
          <w:sz w:val="20"/>
          <w:szCs w:val="20"/>
          <w:color w:val="auto"/>
        </w:rPr>
      </w:pPr>
    </w:p>
    <w:p>
      <w:pPr>
        <w:ind w:left="660" w:hanging="331"/>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1" w:name="page12"/>
    <w:bookmarkEnd w:id="11"/>
    <w:p>
      <w:pPr>
        <w:ind w:left="660" w:right="20" w:hanging="331"/>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5104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7875" cy="5104765"/>
                    </a:xfrm>
                    <a:prstGeom prst="rect">
                      <a:avLst/>
                    </a:prstGeom>
                    <a:noFill/>
                  </pic:spPr>
                </pic:pic>
              </a:graphicData>
            </a:graphic>
          </wp:anchor>
        </w:drawing>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 w:lineRule="exact"/>
        <w:rPr>
          <w:rFonts w:ascii="Arial" w:cs="Arial" w:eastAsia="Arial" w:hAnsi="Arial"/>
          <w:sz w:val="18"/>
          <w:szCs w:val="18"/>
          <w:color w:val="auto"/>
        </w:rPr>
      </w:pPr>
    </w:p>
    <w:p>
      <w:pPr>
        <w:ind w:left="660" w:hanging="331"/>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solid-state batteries fail to perform as expected, our ability to further develop, market and sell our solid-state batteries could be harmed.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w:t>
      </w:r>
    </w:p>
    <w:p>
      <w:pPr>
        <w:spacing w:after="0" w:line="225" w:lineRule="exact"/>
        <w:rPr>
          <w:sz w:val="20"/>
          <w:szCs w:val="20"/>
          <w:color w:val="auto"/>
        </w:rPr>
      </w:pPr>
    </w:p>
    <w:p>
      <w:pPr>
        <w:ind w:left="660" w:right="20" w:hanging="331"/>
        <w:spacing w:after="0" w:line="25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heavily upon our intellectual property portfolio. If we are unable to protect our intellectual property rights, our business and competitive position would be harmed.</w:t>
      </w:r>
    </w:p>
    <w:p>
      <w:pPr>
        <w:spacing w:after="0" w:line="1" w:lineRule="exact"/>
        <w:rPr>
          <w:rFonts w:ascii="Arial" w:cs="Arial" w:eastAsia="Arial" w:hAnsi="Arial"/>
          <w:sz w:val="18"/>
          <w:szCs w:val="18"/>
          <w:color w:val="auto"/>
        </w:rPr>
      </w:pPr>
    </w:p>
    <w:p>
      <w:pPr>
        <w:ind w:left="660" w:right="20" w:hanging="331"/>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need to defend ourselves against intellectual property infringement claims, which may be time-consuming and could cause us to incur substantial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225" w:lineRule="exact"/>
        <w:rPr>
          <w:sz w:val="20"/>
          <w:szCs w:val="20"/>
          <w:color w:val="auto"/>
        </w:rPr>
      </w:pPr>
    </w:p>
    <w:p>
      <w:pPr>
        <w:ind w:left="660" w:hanging="331"/>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uncertainty in global economic conditions, including the Russia-Ukraine conflict, could reduce consumer spending and disrupt our supply chain which could negatively affect our results of operations.</w:t>
      </w:r>
    </w:p>
    <w:p>
      <w:pPr>
        <w:spacing w:after="0" w:line="1" w:lineRule="exact"/>
        <w:rPr>
          <w:rFonts w:ascii="Arial" w:cs="Arial" w:eastAsia="Arial" w:hAnsi="Arial"/>
          <w:sz w:val="18"/>
          <w:szCs w:val="18"/>
          <w:color w:val="auto"/>
        </w:rPr>
      </w:pPr>
    </w:p>
    <w:p>
      <w:pPr>
        <w:ind w:left="660" w:right="20" w:hanging="331"/>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right="20" w:hanging="331"/>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manage our growth effectively, we may be unable to execute our business plan, maintain high levels of customer service, or adequately address competitive challenges.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Financial Position and Capital Requirements</w:t>
      </w:r>
    </w:p>
    <w:p>
      <w:pPr>
        <w:spacing w:after="0" w:line="225" w:lineRule="exact"/>
        <w:rPr>
          <w:sz w:val="20"/>
          <w:szCs w:val="20"/>
          <w:color w:val="auto"/>
        </w:rPr>
      </w:pPr>
    </w:p>
    <w:p>
      <w:pPr>
        <w:ind w:left="660" w:right="20" w:hanging="331"/>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 w:lineRule="exact"/>
        <w:rPr>
          <w:rFonts w:ascii="Arial" w:cs="Arial" w:eastAsia="Arial" w:hAnsi="Arial"/>
          <w:sz w:val="18"/>
          <w:szCs w:val="18"/>
          <w:color w:val="auto"/>
        </w:rPr>
      </w:pPr>
    </w:p>
    <w:p>
      <w:pPr>
        <w:jc w:val="both"/>
        <w:ind w:left="660" w:right="20" w:hanging="331"/>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Arial" w:cs="Arial" w:eastAsia="Arial" w:hAnsi="Arial"/>
          <w:sz w:val="18"/>
          <w:szCs w:val="18"/>
          <w:color w:val="auto"/>
        </w:rPr>
      </w:pPr>
    </w:p>
    <w:p>
      <w:pPr>
        <w:ind w:left="660" w:right="20" w:hanging="331"/>
        <w:spacing w:after="0" w:line="290"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225" w:lineRule="exact"/>
        <w:rPr>
          <w:sz w:val="20"/>
          <w:szCs w:val="20"/>
          <w:color w:val="auto"/>
        </w:rPr>
      </w:pPr>
    </w:p>
    <w:p>
      <w:pPr>
        <w:ind w:left="660" w:hanging="331"/>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Future issuances of debt securities and equity securities may adversely affect us and may be dilutive to existing stockholders.</w:t>
      </w:r>
    </w:p>
    <w:p>
      <w:pPr>
        <w:spacing w:after="0" w:line="23" w:lineRule="exact"/>
        <w:rPr>
          <w:rFonts w:ascii="Arial" w:cs="Arial" w:eastAsia="Arial" w:hAnsi="Arial"/>
          <w:sz w:val="18"/>
          <w:szCs w:val="18"/>
          <w:color w:val="auto"/>
        </w:rPr>
      </w:pPr>
    </w:p>
    <w:p>
      <w:pPr>
        <w:ind w:left="660" w:right="20" w:hanging="331"/>
        <w:spacing w:after="0" w:line="26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8" w:right="49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434340</wp:posOffset>
            </wp:positionV>
            <wp:extent cx="7127875" cy="9356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9356725"/>
                    </a:xfrm>
                    <a:prstGeom prst="rect">
                      <a:avLst/>
                    </a:prstGeom>
                    <a:noFill/>
                  </pic:spPr>
                </pic:pic>
              </a:graphicData>
            </a:graphic>
          </wp:anchor>
        </w:drawing>
        <w:t>THE OFFERING</w:t>
      </w:r>
    </w:p>
    <w:p>
      <w:pPr>
        <w:spacing w:after="0" w:line="229"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Dragonfly Energy Holdings Corp.</w:t>
      </w:r>
    </w:p>
    <w:p>
      <w:pPr>
        <w:spacing w:after="0" w:line="225" w:lineRule="exact"/>
        <w:rPr>
          <w:sz w:val="20"/>
          <w:szCs w:val="20"/>
          <w:color w:val="auto"/>
        </w:rPr>
      </w:pPr>
    </w:p>
    <w:p>
      <w:pPr>
        <w:jc w:val="both"/>
        <w:ind w:left="3820" w:right="20" w:hanging="3819"/>
        <w:spacing w:after="0" w:line="263" w:lineRule="auto"/>
        <w:rPr>
          <w:sz w:val="20"/>
          <w:szCs w:val="20"/>
          <w:color w:val="auto"/>
        </w:rPr>
      </w:pPr>
      <w:r>
        <w:rPr>
          <w:rFonts w:ascii="Arial" w:cs="Arial" w:eastAsia="Arial" w:hAnsi="Arial"/>
          <w:sz w:val="18"/>
          <w:szCs w:val="18"/>
          <w:color w:val="auto"/>
        </w:rPr>
        <w:t>Securities offered by CCM as the selling stockholderUp to 21,512,027 shares of common stock that we may sell to CCM, from time to time in accordance with the Purchase Agreement. All sales under the Purchase Agreement are at our sole discretion.</w:t>
      </w:r>
    </w:p>
    <w:p>
      <w:pPr>
        <w:spacing w:after="0" w:line="184" w:lineRule="exact"/>
        <w:rPr>
          <w:sz w:val="20"/>
          <w:szCs w:val="20"/>
          <w:color w:val="auto"/>
        </w:rPr>
      </w:pPr>
    </w:p>
    <w:p>
      <w:pPr>
        <w:jc w:val="both"/>
        <w:ind w:left="3820"/>
        <w:spacing w:after="0" w:line="279" w:lineRule="auto"/>
        <w:rPr>
          <w:sz w:val="20"/>
          <w:szCs w:val="20"/>
          <w:color w:val="auto"/>
        </w:rPr>
      </w:pPr>
      <w:r>
        <w:rPr>
          <w:rFonts w:ascii="Arial" w:cs="Arial" w:eastAsia="Arial" w:hAnsi="Arial"/>
          <w:sz w:val="17"/>
          <w:szCs w:val="17"/>
          <w:color w:val="auto"/>
        </w:rPr>
        <w:t>The actual number of our common stock issued and sold to CCM under the ChEF Equity Facility will vary depending on the then current market price of our common stock sold to CCM under the ChEF Equity Facility. As of September 18, 2023, 98,500 shares have been issued pursuant to the Purchase Agreement with CCM for aggregate net proceeds to us of $670,593.</w:t>
      </w:r>
    </w:p>
    <w:p>
      <w:pPr>
        <w:sectPr>
          <w:pgSz w:w="11900" w:h="16838" w:orient="portrait"/>
          <w:cols w:equalWidth="0" w:num="1">
            <w:col w:w="10920"/>
          </w:cols>
          <w:pgMar w:left="480" w:top="904" w:right="499" w:bottom="443" w:gutter="0" w:footer="0" w:header="0"/>
        </w:sectPr>
      </w:pP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Terms of the Offering</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CCM will determine when and how it will dispose of any shares of common stock registered under this prospectus for resale.</w:t>
      </w:r>
    </w:p>
    <w:p>
      <w:pPr>
        <w:spacing w:after="0" w:line="170" w:lineRule="exact"/>
        <w:rPr>
          <w:sz w:val="20"/>
          <w:szCs w:val="20"/>
          <w:color w:val="auto"/>
        </w:rPr>
      </w:pPr>
    </w:p>
    <w:p>
      <w:pPr>
        <w:sectPr>
          <w:pgSz w:w="11900" w:h="16838" w:orient="portrait"/>
          <w:cols w:equalWidth="0" w:num="2">
            <w:col w:w="3100" w:space="720"/>
            <w:col w:w="7100"/>
          </w:cols>
          <w:pgMar w:left="480" w:top="904" w:right="499" w:bottom="443"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jc w:val="both"/>
        <w:ind w:right="20"/>
        <w:spacing w:after="0" w:line="287" w:lineRule="auto"/>
        <w:rPr>
          <w:sz w:val="20"/>
          <w:szCs w:val="20"/>
          <w:color w:val="auto"/>
        </w:rPr>
      </w:pPr>
      <w:r>
        <w:rPr>
          <w:rFonts w:ascii="Arial" w:cs="Arial" w:eastAsia="Arial" w:hAnsi="Arial"/>
          <w:sz w:val="16"/>
          <w:szCs w:val="16"/>
          <w:color w:val="auto"/>
        </w:rPr>
        <w:t>We will receive no proceeds from the sale of shares of common stock by CCM in this offering. We may receive up to $150 million in gross proceeds from the sale of shares to CCM pursuant to the Purchase Agreement from time to time. However, the actual proceeds we receive may be less than $150 million (before being reduced for the discount to CCM) depending on the number of shares of common stock sold and the price at which the shares of common stock are sold. Any proceeds we receive from CCM, we intend to use for the repayment of all or a portion of our outstanding debt and for working capital and general corporate purposes. Additionally, pending the uses described above, we plan to invest the net proceeds from the sale of shares of common stock to CCM, if any, in short- and intermediate-term, interest-bearing obligations, investment-grade instruments, certificates of deposit or direct or guaranteed obligations of the U.S. government. See “</w:t>
      </w:r>
      <w:r>
        <w:rPr>
          <w:rFonts w:ascii="Arial" w:cs="Arial" w:eastAsia="Arial" w:hAnsi="Arial"/>
          <w:sz w:val="16"/>
          <w:szCs w:val="16"/>
          <w:i w:val="1"/>
          <w:iCs w:val="1"/>
          <w:color w:val="auto"/>
        </w:rPr>
        <w:t>Use of Proceeds</w:t>
      </w:r>
      <w:r>
        <w:rPr>
          <w:rFonts w:ascii="Arial" w:cs="Arial" w:eastAsia="Arial" w:hAnsi="Arial"/>
          <w:sz w:val="16"/>
          <w:szCs w:val="16"/>
          <w:color w:val="auto"/>
        </w:rPr>
        <w:t>” for additional information.</w:t>
      </w:r>
    </w:p>
    <w:p>
      <w:pPr>
        <w:spacing w:after="0" w:line="172" w:lineRule="exact"/>
        <w:rPr>
          <w:sz w:val="20"/>
          <w:szCs w:val="20"/>
          <w:color w:val="auto"/>
        </w:rPr>
      </w:pPr>
    </w:p>
    <w:p>
      <w:pPr>
        <w:sectPr>
          <w:pgSz w:w="11900" w:h="16838" w:orient="portrait"/>
          <w:cols w:equalWidth="0" w:num="2">
            <w:col w:w="3100" w:space="720"/>
            <w:col w:w="7100"/>
          </w:cols>
          <w:pgMar w:left="480" w:top="904" w:right="499" w:bottom="443" w:gutter="0" w:footer="0" w:header="0"/>
          <w:type w:val="continuous"/>
        </w:sectPr>
      </w:pPr>
    </w:p>
    <w:p>
      <w:pPr>
        <w:spacing w:after="0"/>
        <w:rPr>
          <w:sz w:val="20"/>
          <w:szCs w:val="20"/>
          <w:color w:val="auto"/>
        </w:rPr>
      </w:pPr>
      <w:r>
        <w:rPr>
          <w:rFonts w:ascii="Arial" w:cs="Arial" w:eastAsia="Arial" w:hAnsi="Arial"/>
          <w:sz w:val="16"/>
          <w:szCs w:val="16"/>
          <w:color w:val="auto"/>
        </w:rPr>
        <w:t>Conflicts of Interest</w:t>
      </w:r>
    </w:p>
    <w:p>
      <w:pPr>
        <w:spacing w:after="0" w:line="20" w:lineRule="exact"/>
        <w:rPr>
          <w:sz w:val="20"/>
          <w:szCs w:val="20"/>
          <w:color w:val="auto"/>
        </w:rPr>
      </w:pPr>
      <w:r>
        <w:rPr>
          <w:sz w:val="20"/>
          <w:szCs w:val="20"/>
          <w:color w:val="auto"/>
        </w:rPr>
        <w:br w:type="column"/>
      </w:r>
    </w:p>
    <w:p>
      <w:pPr>
        <w:jc w:val="both"/>
        <w:ind w:right="20"/>
        <w:spacing w:after="0" w:line="268" w:lineRule="auto"/>
        <w:rPr>
          <w:sz w:val="20"/>
          <w:szCs w:val="20"/>
          <w:color w:val="auto"/>
        </w:rPr>
      </w:pPr>
      <w:r>
        <w:rPr>
          <w:rFonts w:ascii="Arial" w:cs="Arial" w:eastAsia="Arial" w:hAnsi="Arial"/>
          <w:sz w:val="17"/>
          <w:szCs w:val="17"/>
          <w:color w:val="auto"/>
        </w:rPr>
        <w:t>CCM, an affiliate of the Sponsor, is a member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and is expected to act as an executing broker for the resale of common stock in this offering. CCM’s receipt of all the proceeds from resales of common stock results in a “conflict of interest” under FINRA Rule 5121. Accordingly, resales by CCM will be conducted in compliance with FINRA Rule 5121. To the extent that the common stock does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and, beginning one year after the date of the Purchase Agreement until its termination, a quarterly fee of $25,000 for doing so, or up to $300,000 in the aggregate. Pursuant to FINRA Rule 5121, CCM will not confirm resales of common stock to any account over which it exercises discretionary authority without the prior written approval of the customer. See “</w:t>
      </w:r>
      <w:r>
        <w:rPr>
          <w:rFonts w:ascii="Arial" w:cs="Arial" w:eastAsia="Arial" w:hAnsi="Arial"/>
          <w:sz w:val="17"/>
          <w:szCs w:val="17"/>
          <w:i w:val="1"/>
          <w:iCs w:val="1"/>
          <w:color w:val="auto"/>
        </w:rPr>
        <w:t>Plan of Distribution (Conflicts of Interest) —</w:t>
      </w:r>
      <w:r>
        <w:rPr>
          <w:rFonts w:ascii="Arial" w:cs="Arial" w:eastAsia="Arial" w:hAnsi="Arial"/>
          <w:sz w:val="17"/>
          <w:szCs w:val="17"/>
          <w:color w:val="auto"/>
        </w:rPr>
        <w:t xml:space="preserve"> </w:t>
      </w:r>
      <w:r>
        <w:rPr>
          <w:rFonts w:ascii="Arial" w:cs="Arial" w:eastAsia="Arial" w:hAnsi="Arial"/>
          <w:sz w:val="17"/>
          <w:szCs w:val="17"/>
          <w:i w:val="1"/>
          <w:iCs w:val="1"/>
          <w:color w:val="auto"/>
        </w:rPr>
        <w:t>Conflicts of Interest</w:t>
      </w:r>
      <w:r>
        <w:rPr>
          <w:rFonts w:ascii="Arial" w:cs="Arial" w:eastAsia="Arial" w:hAnsi="Arial"/>
          <w:sz w:val="17"/>
          <w:szCs w:val="17"/>
          <w:color w:val="auto"/>
        </w:rPr>
        <w:t>.”</w:t>
      </w:r>
    </w:p>
    <w:p>
      <w:pPr>
        <w:spacing w:after="0" w:line="184" w:lineRule="exact"/>
        <w:rPr>
          <w:sz w:val="20"/>
          <w:szCs w:val="20"/>
          <w:color w:val="auto"/>
        </w:rPr>
      </w:pPr>
    </w:p>
    <w:p>
      <w:pPr>
        <w:sectPr>
          <w:pgSz w:w="11900" w:h="16838" w:orient="portrait"/>
          <w:cols w:equalWidth="0" w:num="2">
            <w:col w:w="3100" w:space="720"/>
            <w:col w:w="7100"/>
          </w:cols>
          <w:pgMar w:left="480" w:top="904" w:right="499" w:bottom="443" w:gutter="0" w:footer="0" w:header="0"/>
          <w:type w:val="continuous"/>
        </w:sectPr>
      </w:pPr>
    </w:p>
    <w:p>
      <w:pPr>
        <w:spacing w:after="0"/>
        <w:rPr>
          <w:sz w:val="20"/>
          <w:szCs w:val="20"/>
          <w:color w:val="auto"/>
        </w:rPr>
      </w:pPr>
      <w:r>
        <w:rPr>
          <w:rFonts w:ascii="Arial" w:cs="Arial" w:eastAsia="Arial" w:hAnsi="Arial"/>
          <w:sz w:val="16"/>
          <w:szCs w:val="16"/>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currently listed on Nasdaq under the symbol “DFLI”.</w:t>
      </w:r>
    </w:p>
    <w:p>
      <w:pPr>
        <w:spacing w:after="0" w:line="200" w:lineRule="exact"/>
        <w:rPr>
          <w:sz w:val="20"/>
          <w:szCs w:val="20"/>
          <w:color w:val="auto"/>
        </w:rPr>
      </w:pPr>
    </w:p>
    <w:p>
      <w:pPr>
        <w:sectPr>
          <w:pgSz w:w="11900" w:h="16838" w:orient="portrait"/>
          <w:cols w:equalWidth="0" w:num="2">
            <w:col w:w="3100" w:space="720"/>
            <w:col w:w="7100"/>
          </w:cols>
          <w:pgMar w:left="480" w:top="904" w:right="499" w:bottom="443"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Any investment in the securities offered hereby is speculative and involves a high degree of risk. You should carefully consider the information set forth under “Risk Factors” and elsewhere in this prospectus.</w:t>
      </w:r>
    </w:p>
    <w:p>
      <w:pPr>
        <w:spacing w:after="0" w:line="184" w:lineRule="exact"/>
        <w:rPr>
          <w:sz w:val="20"/>
          <w:szCs w:val="20"/>
          <w:color w:val="auto"/>
        </w:rPr>
      </w:pPr>
    </w:p>
    <w:p>
      <w:pPr>
        <w:sectPr>
          <w:pgSz w:w="11900" w:h="16838" w:orient="portrait"/>
          <w:cols w:equalWidth="0" w:num="2">
            <w:col w:w="3100" w:space="720"/>
            <w:col w:w="7100"/>
          </w:cols>
          <w:pgMar w:left="480" w:top="904" w:right="499" w:bottom="443" w:gutter="0" w:footer="0" w:header="0"/>
          <w:type w:val="continuous"/>
        </w:sectPr>
      </w:pPr>
    </w:p>
    <w:p>
      <w:pPr>
        <w:jc w:val="both"/>
        <w:spacing w:after="0" w:line="263" w:lineRule="auto"/>
        <w:rPr>
          <w:sz w:val="20"/>
          <w:szCs w:val="20"/>
          <w:color w:val="auto"/>
        </w:rPr>
      </w:pPr>
      <w:r>
        <w:rPr>
          <w:rFonts w:ascii="Arial" w:cs="Arial" w:eastAsia="Arial" w:hAnsi="Arial"/>
          <w:sz w:val="18"/>
          <w:szCs w:val="18"/>
          <w:color w:val="auto"/>
        </w:rPr>
        <w:t>Unless we specifically state otherwise or the context otherwise requires, the information above is as of September 18, 2023, does not give effect to issuances of our common stock, warrants or options to purchase shares of our common stock, or the exercise of warrants or options after such date, and excludes:</w:t>
      </w:r>
    </w:p>
    <w:p>
      <w:pPr>
        <w:spacing w:after="0" w:line="184" w:lineRule="exact"/>
        <w:rPr>
          <w:sz w:val="20"/>
          <w:szCs w:val="20"/>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3" w:lineRule="exact"/>
        <w:rPr>
          <w:rFonts w:ascii="Arial" w:cs="Arial" w:eastAsia="Arial" w:hAnsi="Arial"/>
          <w:sz w:val="18"/>
          <w:szCs w:val="18"/>
          <w:color w:val="auto"/>
        </w:rPr>
      </w:pPr>
    </w:p>
    <w:p>
      <w:pPr>
        <w:ind w:left="660" w:hanging="331"/>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1,501,386 shares of common stock (the “</w:t>
      </w:r>
      <w:r>
        <w:rPr>
          <w:rFonts w:ascii="Arial" w:cs="Arial" w:eastAsia="Arial" w:hAnsi="Arial"/>
          <w:sz w:val="18"/>
          <w:szCs w:val="18"/>
          <w:b w:val="1"/>
          <w:bCs w:val="1"/>
          <w:color w:val="auto"/>
        </w:rPr>
        <w:t>Private Warrant Shares</w:t>
      </w:r>
      <w:r>
        <w:rPr>
          <w:rFonts w:ascii="Arial" w:cs="Arial" w:eastAsia="Arial" w:hAnsi="Arial"/>
          <w:sz w:val="18"/>
          <w:szCs w:val="18"/>
          <w:color w:val="auto"/>
        </w:rPr>
        <w:t>”) issuable upon exercise of the private placement warrants that were originally issued in a private placement at the time of the CNTQ IPO;</w:t>
      </w:r>
    </w:p>
    <w:p>
      <w:pPr>
        <w:ind w:left="660" w:right="20" w:hanging="331"/>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9,422,519 shares of common stock (the “</w:t>
      </w:r>
      <w:r>
        <w:rPr>
          <w:rFonts w:ascii="Arial" w:cs="Arial" w:eastAsia="Arial" w:hAnsi="Arial"/>
          <w:sz w:val="18"/>
          <w:szCs w:val="18"/>
          <w:b w:val="1"/>
          <w:bCs w:val="1"/>
          <w:color w:val="auto"/>
        </w:rPr>
        <w:t>Public Warrant Shares</w:t>
      </w:r>
      <w:r>
        <w:rPr>
          <w:rFonts w:ascii="Arial" w:cs="Arial" w:eastAsia="Arial" w:hAnsi="Arial"/>
          <w:sz w:val="18"/>
          <w:szCs w:val="18"/>
          <w:color w:val="auto"/>
        </w:rPr>
        <w:t>”) issuable upon exercise of the Public Warrants sold as part of the units in the CNTQ IPO;</w:t>
      </w:r>
    </w:p>
    <w:p>
      <w:pPr>
        <w:ind w:left="660" w:right="80" w:hanging="331"/>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593,056 shares of common stock (the “</w:t>
      </w:r>
      <w:r>
        <w:rPr>
          <w:rFonts w:ascii="Arial" w:cs="Arial" w:eastAsia="Arial" w:hAnsi="Arial"/>
          <w:sz w:val="18"/>
          <w:szCs w:val="18"/>
          <w:b w:val="1"/>
          <w:bCs w:val="1"/>
          <w:color w:val="auto"/>
        </w:rPr>
        <w:t>Penny Warrant Shares</w:t>
      </w:r>
      <w:r>
        <w:rPr>
          <w:rFonts w:ascii="Arial" w:cs="Arial" w:eastAsia="Arial" w:hAnsi="Arial"/>
          <w:sz w:val="18"/>
          <w:szCs w:val="18"/>
          <w:color w:val="auto"/>
        </w:rPr>
        <w:t>”) currently issuable upon exercise of the Penny Warrants issued as part of the Term Loan;</w:t>
      </w:r>
    </w:p>
    <w:p>
      <w:pPr>
        <w:ind w:left="660" w:right="20" w:hanging="331"/>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11,131,900 shares of common stock (the “</w:t>
      </w:r>
      <w:r>
        <w:rPr>
          <w:rFonts w:ascii="Arial" w:cs="Arial" w:eastAsia="Arial" w:hAnsi="Arial"/>
          <w:sz w:val="18"/>
          <w:szCs w:val="18"/>
          <w:b w:val="1"/>
          <w:bCs w:val="1"/>
          <w:color w:val="auto"/>
        </w:rPr>
        <w:t>Investor Warrant Shares</w:t>
      </w:r>
      <w:r>
        <w:rPr>
          <w:rFonts w:ascii="Arial" w:cs="Arial" w:eastAsia="Arial" w:hAnsi="Arial"/>
          <w:sz w:val="18"/>
          <w:szCs w:val="18"/>
          <w:color w:val="auto"/>
        </w:rPr>
        <w:t>”) currently issuable upon exercise of the Investor Warrants issued as part of the June 2023 S-1 Offering;</w:t>
      </w:r>
    </w:p>
    <w:p>
      <w:pPr>
        <w:ind w:left="660" w:hanging="331"/>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570,250 shares of common stock (the “</w:t>
      </w:r>
      <w:r>
        <w:rPr>
          <w:rFonts w:ascii="Arial" w:cs="Arial" w:eastAsia="Arial" w:hAnsi="Arial"/>
          <w:sz w:val="18"/>
          <w:szCs w:val="18"/>
          <w:b w:val="1"/>
          <w:bCs w:val="1"/>
          <w:color w:val="auto"/>
        </w:rPr>
        <w:t>Underwriters’ Warrant Shares</w:t>
      </w:r>
      <w:r>
        <w:rPr>
          <w:rFonts w:ascii="Arial" w:cs="Arial" w:eastAsia="Arial" w:hAnsi="Arial"/>
          <w:sz w:val="18"/>
          <w:szCs w:val="18"/>
          <w:color w:val="auto"/>
        </w:rPr>
        <w:t>”) currently issuable upon the exercise of the Underwriters’ Warrants (defined below) issued as part of the June 2023 S-1 Offering;</w:t>
      </w: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3,443,099 shares of common stock underlying outstanding options; and</w:t>
      </w:r>
    </w:p>
    <w:p>
      <w:pPr>
        <w:spacing w:after="0" w:line="9" w:lineRule="exact"/>
        <w:rPr>
          <w:rFonts w:ascii="Arial" w:cs="Arial" w:eastAsia="Arial" w:hAnsi="Arial"/>
          <w:sz w:val="18"/>
          <w:szCs w:val="18"/>
          <w:color w:val="auto"/>
        </w:rPr>
      </w:pPr>
    </w:p>
    <w:p>
      <w:pPr>
        <w:ind w:left="660" w:hanging="33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180,000 shares of common stock underlying outstanding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80" w:top="904" w:right="499" w:bottom="443"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Arial" w:cs="Arial" w:eastAsia="Arial" w:hAnsi="Arial"/>
          <w:sz w:val="17"/>
          <w:szCs w:val="17"/>
          <w:color w:val="auto"/>
        </w:rPr>
        <w:t>“</w:t>
      </w:r>
      <w:r>
        <w:rPr>
          <w:rFonts w:ascii="Arial" w:cs="Arial" w:eastAsia="Arial" w:hAnsi="Arial"/>
          <w:sz w:val="17"/>
          <w:szCs w:val="17"/>
          <w:i w:val="1"/>
          <w:iCs w:val="1"/>
          <w:color w:val="auto"/>
        </w:rPr>
        <w:t xml:space="preserve">Cautionary Note Regarding Forward-Looking Statement.” Please see the section entitled </w:t>
      </w:r>
      <w:r>
        <w:rPr>
          <w:rFonts w:ascii="Arial" w:cs="Arial" w:eastAsia="Arial" w:hAnsi="Arial"/>
          <w:sz w:val="17"/>
          <w:szCs w:val="17"/>
          <w:color w:val="auto"/>
        </w:rPr>
        <w:t>“</w:t>
      </w:r>
      <w:r>
        <w:rPr>
          <w:rFonts w:ascii="Arial" w:cs="Arial" w:eastAsia="Arial" w:hAnsi="Arial"/>
          <w:sz w:val="17"/>
          <w:szCs w:val="17"/>
          <w:i w:val="1"/>
          <w:iCs w:val="1"/>
          <w:color w:val="auto"/>
        </w:rPr>
        <w:t>Where You Can Find More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in this prospectus. These risk factors are not exhaustive, and investors are encouraged to perform their own</w:t>
      </w:r>
      <w:r>
        <w:rPr>
          <w:rFonts w:ascii="Arial" w:cs="Arial" w:eastAsia="Arial" w:hAnsi="Arial"/>
          <w:sz w:val="17"/>
          <w:szCs w:val="17"/>
          <w:color w:val="auto"/>
        </w:rPr>
        <w:t xml:space="preserve"> </w:t>
      </w:r>
      <w:r>
        <w:rPr>
          <w:rFonts w:ascii="Arial" w:cs="Arial" w:eastAsia="Arial" w:hAnsi="Arial"/>
          <w:sz w:val="17"/>
          <w:szCs w:val="17"/>
          <w:i w:val="1"/>
          <w:iCs w:val="1"/>
          <w:color w:val="auto"/>
        </w:rPr>
        <w:t>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the financial statements and notes to the financial statements included herein.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ChEF</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Arial" w:cs="Arial" w:eastAsia="Arial" w:hAnsi="Arial"/>
          <w:sz w:val="16"/>
          <w:szCs w:val="16"/>
          <w:i w:val="1"/>
          <w:iCs w:val="1"/>
          <w:color w:val="auto"/>
        </w:rPr>
        <w:t>ChEF Equity Facility</w:t>
      </w:r>
      <w:r>
        <w:rPr>
          <w:rFonts w:ascii="Arial" w:cs="Arial" w:eastAsia="Arial" w:hAnsi="Arial"/>
          <w:sz w:val="16"/>
          <w:szCs w:val="16"/>
          <w:color w:val="auto"/>
        </w:rPr>
        <w:t>” on page 104 for more information regarding the Purchase Agreement and the ChEF Equity Facility. 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the purchase price per share to be paid by CCM for shares of common stock that we may elect to sell to CCM under the ChEF Equity Facility, if any, will fluctuate based on the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18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VWAP on the applicable Purchase Date of such purchase. Our inability to access a portion or the full amount available under the ChEF Equity Facility, in the absence of any other financing sources, could have a material adverse effect on our business.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CCM is an affiliate of CNTQ’s Sponsor. See “</w:t>
      </w:r>
      <w:r>
        <w:rPr>
          <w:rFonts w:ascii="Arial" w:cs="Arial" w:eastAsia="Arial" w:hAnsi="Arial"/>
          <w:sz w:val="18"/>
          <w:szCs w:val="18"/>
          <w:i w:val="1"/>
          <w:iCs w:val="1"/>
          <w:color w:val="auto"/>
        </w:rPr>
        <w:t>Selling Stockholder</w:t>
      </w:r>
      <w:r>
        <w:rPr>
          <w:rFonts w:ascii="Arial" w:cs="Arial" w:eastAsia="Arial" w:hAnsi="Arial"/>
          <w:sz w:val="18"/>
          <w:szCs w:val="18"/>
          <w:color w:val="auto"/>
        </w:rPr>
        <w:t>” on page 100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 beneficially own, or it would cause the Sponsor and such affiliates to be deemed to beneficially own, more than 7.5% of our common stock.</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for the shares that we may sell to CCM under the Purchase Agreement will fluctuate based on the price of our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Depending on market liquidity at the time, sales of such shares may cause the trading price of shares of our common stock to fall.</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(as defined herein). The shares being registered for resale into the public markets represent a substantial majority of our outstanding common stock as of September 18, 2023.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 37% of the shares of our common stock outstanding as of September 18,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Our management team may invest or spend the proceeds from sales of our common stock made pursuant to the Purchase Agreement in ways with which you may not agree or in ways which may not yield a significant return.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who buy common stock from CCM at different times will likely pay different prices.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Existing Lithium-Ion Battery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future growth depends on the needs and success of our OEM’s and similar customers.</w:t>
      </w:r>
    </w:p>
    <w:p>
      <w:pPr>
        <w:spacing w:after="0" w:line="22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demand for our products, including sales to OEM</w:t>
      </w:r>
      <w:r>
        <w:rPr>
          <w:rFonts w:ascii="Arial" w:cs="Arial" w:eastAsia="Arial" w:hAnsi="Arial"/>
          <w:sz w:val="17"/>
          <w:szCs w:val="17"/>
          <w:b w:val="1"/>
          <w:bCs w:val="1"/>
          <w:color w:val="auto"/>
        </w:rPr>
        <w:t>s</w:t>
      </w:r>
      <w:r>
        <w:rPr>
          <w:rFonts w:ascii="Arial" w:cs="Arial" w:eastAsia="Arial" w:hAnsi="Arial"/>
          <w:sz w:val="17"/>
          <w:szCs w:val="17"/>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(as defined herein) with Keystone RV Company, the largest manufacturer of towable RVs in North America, Keystone has agreed to offer our storage solutions as an option to dealers and consumers on certain of its products. However, this arrangement may not deliver the anticipated benefits, as there are no firm purchase commitments, sales will continue to be made on a purchase order basis, and this arrangement may not be renewed. In addition, in July 2022, we agreed to a strategic investment by THOR Industries (“</w:t>
      </w:r>
      <w:r>
        <w:rPr>
          <w:rFonts w:ascii="Arial" w:cs="Arial" w:eastAsia="Arial" w:hAnsi="Arial"/>
          <w:sz w:val="16"/>
          <w:szCs w:val="16"/>
          <w:b w:val="1"/>
          <w:bCs w:val="1"/>
          <w:color w:val="auto"/>
        </w:rPr>
        <w:t>THOR</w:t>
      </w:r>
      <w:r>
        <w:rPr>
          <w:rFonts w:ascii="Arial" w:cs="Arial" w:eastAsia="Arial" w:hAnsi="Arial"/>
          <w:sz w:val="16"/>
          <w:szCs w:val="16"/>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arrangements;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79" w:lineRule="auto"/>
        <w:rPr>
          <w:sz w:val="20"/>
          <w:szCs w:val="20"/>
          <w:color w:val="auto"/>
        </w:rPr>
      </w:pPr>
      <w:r>
        <w:rPr>
          <w:rFonts w:ascii="Arial" w:cs="Arial" w:eastAsia="Arial" w:hAnsi="Arial"/>
          <w:sz w:val="17"/>
          <w:szCs w:val="17"/>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engage target customers successfully and convert these customers into meaningful orders in the future.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which we aim to convert into collaborations on custom designs and/or long-term contractual arrangements.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We may be unable to convert these relationships into meaningful orders or renew these arrangements going forward, which may require us to expend additional cost and management resources to engage other target customers.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electric vehicle’s (“</w:t>
      </w:r>
      <w:r>
        <w:rPr>
          <w:rFonts w:ascii="Arial" w:cs="Arial" w:eastAsia="Arial" w:hAnsi="Arial"/>
          <w:sz w:val="17"/>
          <w:szCs w:val="17"/>
          <w:b w:val="1"/>
          <w:bCs w:val="1"/>
          <w:color w:val="auto"/>
        </w:rPr>
        <w:t>EV</w:t>
      </w:r>
      <w:r>
        <w:rPr>
          <w:rFonts w:ascii="Arial" w:cs="Arial" w:eastAsia="Arial" w:hAnsi="Arial"/>
          <w:sz w:val="17"/>
          <w:szCs w:val="17"/>
          <w:color w:val="auto"/>
        </w:rPr>
        <w:t>”) to our target markets.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p>
      <w:pPr>
        <w:jc w:val="both"/>
        <w:spacing w:after="0" w:line="286" w:lineRule="auto"/>
        <w:rPr>
          <w:sz w:val="20"/>
          <w:szCs w:val="20"/>
          <w:color w:val="auto"/>
        </w:rPr>
      </w:pPr>
      <w:r>
        <w:rPr>
          <w:rFonts w:ascii="Arial" w:cs="Arial" w:eastAsia="Arial" w:hAnsi="Arial"/>
          <w:sz w:val="17"/>
          <w:szCs w:val="17"/>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spacing w:after="0" w:line="287" w:lineRule="auto"/>
        <w:rPr>
          <w:sz w:val="20"/>
          <w:szCs w:val="20"/>
          <w:color w:val="auto"/>
        </w:rPr>
      </w:pPr>
      <w:r>
        <w:rPr>
          <w:rFonts w:ascii="Arial" w:cs="Arial" w:eastAsia="Arial" w:hAnsi="Arial"/>
          <w:sz w:val="16"/>
          <w:szCs w:val="16"/>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failure or unwillingness of third-party suppliers to comply with regulatory requirements;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breach of supply agreements by the third-party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misappropriation or disclosure of our proprietary information, including our trade secrets and know-how;</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termination or nonrenewal of agreements by third-party suppliers at times that are costly or inconvenient for us.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facility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Lithium-ion battery cells have been observed to catch fire or release smoke and flame, which may have a negative impact on our reputation and business.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LFP batteries use LFP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of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Solid-State Technology Development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1" w:name="page22"/>
    <w:bookmarkEnd w:id="21"/>
    <w:p>
      <w:pPr>
        <w:jc w:val="both"/>
        <w:spacing w:after="0" w:line="291" w:lineRule="auto"/>
        <w:rPr>
          <w:sz w:val="20"/>
          <w:szCs w:val="20"/>
          <w:color w:val="auto"/>
        </w:rPr>
      </w:pPr>
      <w:r>
        <w:rPr>
          <w:rFonts w:ascii="Arial" w:cs="Arial" w:eastAsia="Arial" w:hAnsi="Arial"/>
          <w:sz w:val="16"/>
          <w:szCs w:val="16"/>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solid-state batteries fail to perform as expected, our ability to further develop, market and sell our solid-state batteries could be harmed.</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Supply Chain and Third-Party 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vendors from whom our products are sourced.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both"/>
        <w:ind w:right="20"/>
        <w:spacing w:after="0" w:line="308" w:lineRule="auto"/>
        <w:rPr>
          <w:sz w:val="20"/>
          <w:szCs w:val="20"/>
          <w:color w:val="auto"/>
        </w:rPr>
      </w:pPr>
      <w:r>
        <w:rPr>
          <w:rFonts w:ascii="Arial" w:cs="Arial" w:eastAsia="Arial" w:hAnsi="Arial"/>
          <w:sz w:val="17"/>
          <w:szCs w:val="17"/>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jc w:val="both"/>
        <w:spacing w:after="0" w:line="289" w:lineRule="auto"/>
        <w:rPr>
          <w:sz w:val="20"/>
          <w:szCs w:val="20"/>
          <w:color w:val="auto"/>
        </w:rPr>
      </w:pPr>
      <w:r>
        <w:rPr>
          <w:rFonts w:ascii="Arial" w:cs="Arial" w:eastAsia="Arial" w:hAnsi="Arial"/>
          <w:sz w:val="16"/>
          <w:szCs w:val="16"/>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Arial" w:cs="Arial" w:eastAsia="Arial" w:hAnsi="Arial"/>
          <w:sz w:val="17"/>
          <w:szCs w:val="17"/>
          <w:b w:val="1"/>
          <w:bCs w:val="1"/>
          <w:color w:val="auto"/>
        </w:rPr>
        <w:t>FTO</w:t>
      </w:r>
      <w:r>
        <w:rPr>
          <w:rFonts w:ascii="Arial" w:cs="Arial" w:eastAsia="Arial" w:hAnsi="Arial"/>
          <w:sz w:val="17"/>
          <w:szCs w:val="17"/>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79" w:lineRule="exact"/>
        <w:rPr>
          <w:sz w:val="20"/>
          <w:szCs w:val="20"/>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using, making, having made, selling, having sold, developing, having developed or importing products that incorporate the infringed intellectual property rights;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 a license from the holder of the infringed intellectual property rights, which license may not be available on reasonable terms or at all; or</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0"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0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jc w:val="both"/>
        <w:spacing w:after="0" w:line="291" w:lineRule="auto"/>
        <w:rPr>
          <w:sz w:val="20"/>
          <w:szCs w:val="20"/>
          <w:color w:val="auto"/>
        </w:rPr>
      </w:pPr>
      <w:r>
        <w:rPr>
          <w:rFonts w:ascii="Arial" w:cs="Arial" w:eastAsia="Arial" w:hAnsi="Arial"/>
          <w:sz w:val="16"/>
          <w:szCs w:val="16"/>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uncertainty in global economic conditions, including the Russia-Ukraine conflict, could reduce consumer spending and disrupt our supply chain which could negatively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 recently, the closures of Silicon Valley Bank, or SVB, and Signature Bank and their placement into receivership with the Federal Deposit Insurance Corporation, or FDIC created bank-specific and broader financial institution liquidity risk and concerns. Although the Department of the Treasury, the Federal Reserve, and the FDIC jointly released a statement that depositors at SVB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jc w:val="both"/>
        <w:spacing w:after="0" w:line="271" w:lineRule="auto"/>
        <w:rPr>
          <w:sz w:val="20"/>
          <w:szCs w:val="20"/>
          <w:color w:val="auto"/>
        </w:rPr>
      </w:pPr>
      <w:r>
        <w:rPr>
          <w:rFonts w:ascii="Arial" w:cs="Arial" w:eastAsia="Arial" w:hAnsi="Arial"/>
          <w:sz w:val="17"/>
          <w:szCs w:val="17"/>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highly dependent on the talent and services of Denis Phares, our Chief Executive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b w:val="1"/>
          <w:bCs w:val="1"/>
          <w:i w:val="1"/>
          <w:iCs w:val="1"/>
          <w:color w:val="auto"/>
        </w:rPr>
        <w:t>We may expand our business through acquisitions in the future, and any future acquisition may not be accretive and may negatively affect our business.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Arial" w:cs="Arial" w:eastAsia="Arial" w:hAnsi="Arial"/>
          <w:sz w:val="17"/>
          <w:szCs w:val="17"/>
          <w:b w:val="1"/>
          <w:bCs w:val="1"/>
          <w:color w:val="auto"/>
        </w:rPr>
        <w:t>FCPA</w:t>
      </w:r>
      <w:r>
        <w:rPr>
          <w:rFonts w:ascii="Arial" w:cs="Arial" w:eastAsia="Arial" w:hAnsi="Arial"/>
          <w:sz w:val="17"/>
          <w:szCs w:val="17"/>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social and governance matters may cause us to incur additional costs.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legislatures, government agencies and listing exchanges have mandated or proposed, and others may in the future further mandate, certain environmental, social and governance (“</w:t>
      </w:r>
      <w:r>
        <w:rPr>
          <w:rFonts w:ascii="Arial" w:cs="Arial" w:eastAsia="Arial" w:hAnsi="Arial"/>
          <w:sz w:val="17"/>
          <w:szCs w:val="17"/>
          <w:b w:val="1"/>
          <w:bCs w:val="1"/>
          <w:color w:val="auto"/>
        </w:rPr>
        <w:t>ESG</w:t>
      </w:r>
      <w:r>
        <w:rPr>
          <w:rFonts w:ascii="Arial" w:cs="Arial" w:eastAsia="Arial" w:hAnsi="Arial"/>
          <w:sz w:val="17"/>
          <w:szCs w:val="17"/>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faced significant increased expenses and administrative burdens as a public company, which could have an adverse effect on our business, financial condition and operating results.</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have faced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Public Company Accounting Oversight Board (United States) (“</w:t>
      </w:r>
      <w:r>
        <w:rPr>
          <w:rFonts w:ascii="Arial" w:cs="Arial" w:eastAsia="Arial" w:hAnsi="Arial"/>
          <w:sz w:val="16"/>
          <w:szCs w:val="16"/>
          <w:b w:val="1"/>
          <w:bCs w:val="1"/>
          <w:color w:val="auto"/>
        </w:rPr>
        <w:t>PCAOB</w:t>
      </w:r>
      <w:r>
        <w:rPr>
          <w:rFonts w:ascii="Arial" w:cs="Arial" w:eastAsia="Arial" w:hAnsi="Arial"/>
          <w:sz w:val="16"/>
          <w:szCs w:val="16"/>
          <w:color w:val="auto"/>
        </w:rPr>
        <w:t>”)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have created new board committees, entered into new insurance policies and adopted new internal controls and disclosure controls and procedures. In addition, expenses associated with SEC reporting requirements continue to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Registration Statement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Most of the members of our management team have limited to no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former shell company, we face certain disadvantages relative to companies that pursued a traditional initial public offering.</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CNTQ was a special purpose acquisition company (a “</w:t>
      </w:r>
      <w:r>
        <w:rPr>
          <w:rFonts w:ascii="Arial" w:cs="Arial" w:eastAsia="Arial" w:hAnsi="Arial"/>
          <w:sz w:val="16"/>
          <w:szCs w:val="16"/>
          <w:b w:val="1"/>
          <w:bCs w:val="1"/>
          <w:color w:val="auto"/>
        </w:rPr>
        <w:t>SPAC</w:t>
      </w:r>
      <w:r>
        <w:rPr>
          <w:rFonts w:ascii="Arial" w:cs="Arial" w:eastAsia="Arial" w:hAnsi="Arial"/>
          <w:sz w:val="16"/>
          <w:szCs w:val="16"/>
          <w:color w:val="auto"/>
        </w:rPr>
        <w:t>”), a form of shell company under the rules of the SEC. Shell companies are more highly regulated than non-shell operating companies and face significant additional restrictions on their activities under federal securities laws. As a result of the Business Combination, we ceased to be a shell company. However, companies that were formerly shell companies continue to face disadvantages under SEC rules, including (a) the inability to use Form S-3 until at least one year after the filing of information equivalent to that required by Form 10 after ceasing to be a shell company, (b) the inability to qualify as a “well-known seasoned issuer” and file automatically effective registration statements for three years after ceasing to be a shell company, (c) the inability to “incorporate by reference” information in certain registration statements filed under the Securities Act for a period of three years after ceasing to be a shell company, (d) the inability to use most free writing prospectuses until at least three years after a qualifying business combination, (e) the inability to use Form S-8 to register shares issuable in connection with certain compensatory plans and arrangements until 60 days after the filing of information equivalent to that required by Form 10, (f) the inability of stockholders to rely on Rule 144 for resales of securities until at least one year after the filing of information equivalent to that required by Form 10 and the provision of current public information, and (g) exclusion from certain safe harbors for offering-related communications under the Securities Act for three years after ceasing to be a shell company, including for research reports and certain communications in connection with business combinations. We expect that these disadvantages will make it more challenging and expensive, and create greater risks and delays, for both us and our stockholders to offer securities. These challenges may make our securities less attractive than those of companies that are not former shell companies and may raise our relative cost of capital.</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the Business Combination with a special purpose acquisition company, regulatory obligations may impact us differently than other publicly traded companies.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became a publicly traded company by completing the Business Combination with CNTQ, a SPAC. As a result of the Business Combination, and the transactions contemplated thereby, our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SPAC. Managing this regulatory environment, which has and may continue to evolve, could divert management’s attention from the operation of our business, negatively impact our ability to raise additional capital when needed or have an adverse effect on the price of our common stock.</w:t>
      </w:r>
    </w:p>
    <w:p>
      <w:pPr>
        <w:sectPr>
          <w:pgSz w:w="11900" w:h="16873" w:orient="portrait"/>
          <w:cols w:equalWidth="0" w:num="1">
            <w:col w:w="11240"/>
          </w:cols>
          <w:pgMar w:left="320" w:top="665" w:right="339" w:bottom="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of June 30, 2023, we had cash totaling $33.0 million. Our net loss for the quarters ended June 30, 2023 and 2022 was $11.7 million and $1.5 million, respectively, and our accumulated deficit as of June 30, 2023 was approximately $33.9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(as defined herein) to provide additional capital to us. However, market conditions and certain restrictions contained in the agreements governing the ChEF Equity Facility and the Term Loan may limit our ability to access capital under such agreements.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difficult for us to pay other obligations;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our cost of borrowing from other sources;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us from making acquisitions or causing us to make divestitures or similar transactions;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less leveraged competitors;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limiting our flexibility in planning for and reacting to changes in our business.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quarter ended June 30, 2023, we had a net loss of $11.7 million and a negative cash flow from operations. As of June 30, 2023, we had approximately $33 million in cash and working capital of $30.6 million. Our ability to achieve profitability and positive cash flow depends on our ability to increase revenue, contain our expenses and maintain compliance with the financial covenants in our outstanding indebtedness agreements.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(as defined herein) and Term Loan Lenders of our failures to satisfy the fixed charge coverage ratio and maximum senior leverage ratio with respect to the minimum cash requirements under the Term Loan during the quarter ended March 31, 2023.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88"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agreements governing our indebtedness restrict us from engaging in specified types of transactions. These restrictive covenants restrict our ability to, among other things:</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or incur encumbrances or liens;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consolidations, amalgamations, mergers, acquisitions, liquidations, dissolutions or dispositions;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sell, transfer or otherwise dispose of assets;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and distributions on, or purchase, redeem, defease, or otherwise acquire or retire for value, our stock.</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jc w:val="both"/>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Arial" w:cs="Arial" w:eastAsia="Arial" w:hAnsi="Arial"/>
          <w:sz w:val="16"/>
          <w:szCs w:val="16"/>
          <w:b w:val="1"/>
          <w:bCs w:val="1"/>
          <w:color w:val="auto"/>
        </w:rPr>
        <w:t>U.S. GAAP</w:t>
      </w:r>
      <w:r>
        <w:rPr>
          <w:rFonts w:ascii="Arial" w:cs="Arial" w:eastAsia="Arial" w:hAnsi="Arial"/>
          <w:sz w:val="16"/>
          <w:szCs w:val="16"/>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described elsewhere in this Registration Statement, our management identified material weaknesses in our internal control over financial reporting relating to (i) an insufficient number of accounting and 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 As a result of these material weaknesses, our management concluded that our internal control over financial reporting was not effective as of December 31, 2022.</w:t>
      </w:r>
    </w:p>
    <w:p>
      <w:pPr>
        <w:spacing w:after="0" w:line="17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in the process of developing a plan to remediate these material weaknesses. In 2021, we implemented an enterprise resource planning system and hired a new Chief Financial Officer. In 2022, we began to implement a comprehensive Sarbanes-Oxley Act compliance program, and we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7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 we are an 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and Public Warrants are currently listed on the Nasdaq Global Market and the Nasdaq Capital Market, respectively. There can be no assurance that we will be able to comply with the continued listing standards of Nasdaq. If Nasdaq delists our common stock from trading on its exchange for failure to meet the listing standards, our stockholders could face significant material adverse consequences including:</w:t>
      </w:r>
    </w:p>
    <w:p>
      <w:pPr>
        <w:spacing w:after="0" w:line="16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would require brokers trading in such securities to adhere to more stringent rules, could adversely impact the value of our securities and/or possibly result in a reduced level of trading activity in the secondary trading market for our securities;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We may be unable to sell all of the remaining unsold amount of shares of our common stock under the Purchase Agreement. In addition, if we issue substantially all of our available authorized shares of common stock pursuant to the Purchase Agreement, we will not be able to issue additional shares for future capital raising transactions or strategic transactions, for equity awards or pursuant to other transactions or agreements unless we obtain stockholder approval to amend our Articles of Incorporation to increase the number of authorized shares of common stock.</w:t>
      </w:r>
    </w:p>
    <w:p>
      <w:pPr>
        <w:spacing w:after="0" w:line="15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currently have 170,000,000 authorized shares of common stock under our Articles of Incorporation. As of September 18, 2023, we had: (i) 58,880,812 shares of common stock outstanding; (ii) 3,443,099 shares of common stock issuable upon the exercise of stock options outstanding;; (iii) 1,501,386 shares of common stock issuable upon the exercise of the Private Warrants; (iv) 9,422,519 shares of common stock issuable upon the exercise of the Public Warrants; (v) 593,056 shares of common stock issuable upon the exerciser of the Penny Warrants; (vi) 11,131,900 shares of common stock issuable upon the exercise of the Investor Warrants; (vii) 570,250 share of common stock issuable upon the exercise of the Underwriters’ Warrants; (viii) 40,000,000 shares of common stock reserved for future issuance as Earnout Shares; and (ix) 4,434,916 shares available for future issuance as awards under the 2022 Plan and ESPP, including 180,000 shares of common stock issuable upon the exercise of outstanding RSUs. As a result, as of September 18, 2023, we had approximately 40,022,062 authorized shares of common stock available and unreserved for future issuance.</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Due to the limited number of authorized shares available for issuance, we may not be able to offer and sell all of the remaining unsold amount of shares of our common stock under the Purchase Agreement and this prospectus or in other future capital raising transactions or strategic transactions unless we obtain stockholder approval to amend our Articles of Incorporation to increase the number of shares we are authorized to issue. For example, if we were to issue the full $150,000,000 of shares being offered pursuant to this prospectus at a price per share of $1.77, the closing price of our common stock on September 18, 2023, we would need stockholder approval to increase the number of authorized shares of our common stock in order to issue the full amount of shares of our common stock that would be issuable at that price. If we determine that we need to seek stockholder approval to increase the number of authorized shares in the future, this may cause a delay in utilizing the ChEF Equity Facility and our future capital raising, collaboration, partnership or other strategic transactions, and/or we may be unable to obtain stockholder approval once sought, any of these events may have a material adverse effect on our business and financial condition. In addition, because our common stock is listed on The Nasdaq Global Market, we are subject to the Nasdaq Stock Market Rules, which may limit our ability to issue shares in certain instances without stockholder approval.</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resales of our outstanding securities may cause the market price of our securities to drop significantly, even if our business is doing well.</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registering 21,512,027 shares of common stock to be issued and sold to CCM in connection with the ChEF Equity Facility under this prospectus. The 21,512,027 shares that may be resold and/or issued into the public markets pursuant to the ChEF Equity Facility represent approximately 37% of the shares of our common stock outstanding as of September 18, 2023.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7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also filed registration statements registering the resale of up to 47,428,544 shares that may be sold and/or issued into the public markets by certain securityholders. The shares registered for resale into the public markets represent approximately 81% of 58,880,812 shares of our outstanding common stock as of September 18,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CNTQ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w:t>
      </w:r>
    </w:p>
    <w:p>
      <w:pPr>
        <w:sectPr>
          <w:pgSz w:w="11900" w:h="16838" w:orient="portrait"/>
          <w:cols w:equalWidth="0" w:num="1">
            <w:col w:w="11240"/>
          </w:cols>
          <w:pgMar w:left="320" w:top="665" w:right="339" w:bottom="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securities may trade at prices significantly below the price you paid for them. In such circumstances, the trading price of our securities may not recover and may experience a further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financial results or the quarterly financial results of companies perceived to be similar to ours;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market’s expectations about our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competitors’ businesses or the competitive landscape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innovations or new products developed by us or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supply or distribution delays or shortages;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changes to our relationship with any manufacturers, suppliers, licensors, future collaborators, or other strategic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operating results failing to meet the expectation of securities analysts or investors in a particular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us or the market in general;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ours;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us;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volume of our common stock available for public sale;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major change in our board of directors or management;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substantial amounts of our common stock by our directors, officers or significant stockholders or the perception that such sales could occur;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“trade wars,” pandemics (such as COVID-19) and acts of war or terrorism (including the Russia-Ukraine conflict).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6" w:name="page37"/>
    <w:bookmarkEnd w:id="36"/>
    <w:p>
      <w:pPr>
        <w:jc w:val="both"/>
        <w:spacing w:after="0" w:line="273" w:lineRule="auto"/>
        <w:rPr>
          <w:sz w:val="20"/>
          <w:szCs w:val="20"/>
          <w:color w:val="auto"/>
        </w:rPr>
      </w:pPr>
      <w:r>
        <w:rPr>
          <w:rFonts w:ascii="Arial" w:cs="Arial" w:eastAsia="Arial" w:hAnsi="Arial"/>
          <w:sz w:val="17"/>
          <w:szCs w:val="17"/>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 Furthermore, our predecessor, CNTQ, was a SPAC. SPACs have been subject to increased regulatory oversight and scrutiny, including from the SEC. Any governmental or regulatory investigation or inquiry related to the Business Combination or otherwise could have a material adverse effect on our business and negatively affect our reputation.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trading market for our securities may not be available on a consistent basis to provide stockholders with adequate liquidity.</w:t>
      </w:r>
    </w:p>
    <w:p>
      <w:pPr>
        <w:spacing w:after="0" w:line="23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exercise of outstanding warrants to acquire our common stock will increase the number of shares eligible for future resale in the public market and result in dilution to our stockholders. As of September 18, 2023, there were (i) 9,422,519 shares of common stock issuable upon the exercise of outstanding Public Warrants at an exercise price of $11.50 per share; (ii) 1,501,386 shares of common stock issuable upon the exercise of outstanding Private Warrants at an exercise price of $11.50 per share; (iii) 593,056 shares of common stock issuable upon exercise of outstanding Penny Warrants at an exercise price of $0.01 per share; (iv) 11,131,900 shares of common stock issuable upon exercise of outstanding Investor Warrants at an exercise price of $2.00 per share; and (v) 570,250 shares of common stock issuable upon the exercise of the Underwriters’ Warrants at an exercise price of $2.50 per share. The $10 Warrants have been exercised in full and are no longer outstanding.</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 Under the terms of the Investor Warrants and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in such fundamental transaction.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engage target customers and successfully convert these customers into meaningful orders in the future;</w:t>
      </w:r>
    </w:p>
    <w:p>
      <w:pPr>
        <w:spacing w:after="0" w:line="225" w:lineRule="exact"/>
        <w:rPr>
          <w:rFonts w:ascii="Arial" w:cs="Arial" w:eastAsia="Arial" w:hAnsi="Arial"/>
          <w:sz w:val="18"/>
          <w:szCs w:val="18"/>
          <w:color w:val="auto"/>
        </w:rPr>
      </w:pPr>
    </w:p>
    <w:p>
      <w:pPr>
        <w:ind w:left="5540" w:right="1940" w:hanging="5208"/>
        <w:spacing w:after="0" w:line="527" w:lineRule="auto"/>
        <w:tabs>
          <w:tab w:leader="none" w:pos="6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reliance on two suppliers for LFP cells and a single supplier for the manufacture of our battery management system;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batteries and its ability to serve those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challenges in our attempts to develop and produce solid state battery cells;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products, which may vary significantly;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macroeconomic conditions, both nationally and locally;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6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NRS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jc w:val="both"/>
        <w:spacing w:after="0" w:line="255" w:lineRule="auto"/>
        <w:rPr>
          <w:sz w:val="20"/>
          <w:szCs w:val="20"/>
          <w:color w:val="auto"/>
        </w:rPr>
      </w:pPr>
      <w:r>
        <w:rPr>
          <w:rFonts w:ascii="Arial" w:cs="Arial" w:eastAsia="Arial" w:hAnsi="Arial"/>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5"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each class serving staggered three-year terms, which may delay the ability of stockholders to change the membership of a majority of our board of directors;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stockholders may not act by written consent, which forces stockholder action to be taken at an annual or special meeting of stockholders;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Articles of Incorporation prohibits cumulative voting in the election of directors, which limits the ability of minority stockholders to elect director candidates;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board of directors may alter certain provisions of our Bylaws without obtaining stockholder approval;</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approval of the holders of at least sixty-six and two-thirds percent (662∕3%)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65"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65"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24"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being required to have an independent registered public accounting firm audit our internal control over financial reporting under Section 404 of the Sarbanes-Oxley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fiscal year in which we have at least $1.235 billion in annual revenue;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$700.0 million of equity securities held by non-affiliates;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our IPO.</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public company, we are required to comply with the requirements of the Sarbanes-Oxley Act, including, among other things, that we maintain effective disclosure controls and procedures and internal control over financial reporting. See “</w:t>
      </w:r>
      <w:r>
        <w:rPr>
          <w:rFonts w:ascii="Arial" w:cs="Arial" w:eastAsia="Arial" w:hAnsi="Arial"/>
          <w:sz w:val="17"/>
          <w:szCs w:val="17"/>
          <w:i w:val="1"/>
          <w:iCs w:val="1"/>
          <w:color w:val="auto"/>
        </w:rPr>
        <w:t>We have identified material weaknesses in our 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control over financial reporting. These material weaknesses could continue to adversely affect our ability to report our results of operations and financial condition accurately and in a timely manner</w:t>
      </w:r>
      <w:r>
        <w:rPr>
          <w:rFonts w:ascii="Arial" w:cs="Arial" w:eastAsia="Arial" w:hAnsi="Arial"/>
          <w:sz w:val="17"/>
          <w:szCs w:val="17"/>
          <w:color w:val="auto"/>
        </w:rPr>
        <w:t>.” We are continuing to develop and refine our disclosure controls and other procedures that are designed to</w:t>
      </w:r>
      <w:r>
        <w:rPr>
          <w:rFonts w:ascii="Arial" w:cs="Arial" w:eastAsia="Arial" w:hAnsi="Arial"/>
          <w:sz w:val="17"/>
          <w:szCs w:val="17"/>
          <w:i w:val="1"/>
          <w:iCs w:val="1"/>
          <w:color w:val="auto"/>
        </w:rPr>
        <w:t xml:space="preserve"> </w:t>
      </w:r>
      <w:r>
        <w:rPr>
          <w:rFonts w:ascii="Arial" w:cs="Arial" w:eastAsia="Arial" w:hAnsi="Arial"/>
          <w:sz w:val="17"/>
          <w:szCs w:val="17"/>
          <w:color w:val="auto"/>
        </w:rPr>
        <w:t>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 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“Plan of Distribution” elsewhere in this prospectus for more information.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use the net proceeds from CCM pursuant to the Purchase Agreement for the repayment of all or a portion of our outstanding debt and for working capital and general corporate purposes.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amounts and timing of our actual expenditures will depend on numerous factors, including the factors described under “</w:t>
      </w:r>
      <w:r>
        <w:rPr>
          <w:rFonts w:ascii="Arial" w:cs="Arial" w:eastAsia="Arial" w:hAnsi="Arial"/>
          <w:sz w:val="17"/>
          <w:szCs w:val="17"/>
          <w:i w:val="1"/>
          <w:iCs w:val="1"/>
          <w:color w:val="auto"/>
        </w:rPr>
        <w:t>Risk Factors</w:t>
      </w:r>
      <w:r>
        <w:rPr>
          <w:rFonts w:ascii="Arial" w:cs="Arial" w:eastAsia="Arial" w:hAnsi="Arial"/>
          <w:sz w:val="17"/>
          <w:szCs w:val="17"/>
          <w:color w:val="auto"/>
        </w:rPr>
        <w:t>” in this prospectus and in any accompanying prospectus supplements,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price that CCM will pay for the shares to be resold pursuant to this prospectus will depend upon the timing of sales and will fluctuate based on the trading price of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we had 58,504,541 outstanding shares of common stock. This total excludes:</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40,000,000 Earnout Shares;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1,501,386 Private Warrants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9,422,529 Public Warrants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593,056 Penny Warrant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11,405,000 Investor Warrant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570,250 Underwriters’ Warrant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3,443,099 shares underlying outstanding options;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180,000 shares underlying outstanding RSUs.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common stock is currently listed on Nasdaq under the symbol “DFLI” and our Public Warrants are currently listed on the Nasdaq Capital Market under the symbol “DFLIW.” As of September 18, 2023, the closing price of our common stock and Public Warrants was $1.77 and $0.15, respectively. As of September 18, 2023, there were 103 holders of record of our common stock and 35 holders of record of our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references in this Registration Statement to “Dragonfly,” the “Company,” “we,” “us,” or “our” mean Dragonfly Energy Holdings Corp. and its subsidiaries unless stated otherwise or the context otherwise indicates.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RVs, marine vessel, solar and off-grid industries, with disruptive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glasses, which are chemically unstable and form hydrogen sulfide when exposed to air).</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dual-brand strategy for battery products, Dragonfly Energy and Battle Born. Battle Born branded products are primarily sold direct to consumers, while the Dragonfly Energy brand is primarily sold to OEMs.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2020, we have sold over 266,000 batteries. For the quarters ended June 30, 2023 and 2022, we sold 20,966 and 21,651 batteries, respectively, and had $19.3 million and $21.6 million in net sales, respectively. Over time, we have increased total sales through a combination of: increasing direct-to-consumer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who offers our storage solutions as an option to dealers and consumers on certain of its products pursuant to a supply agreement (with potential annual renewals), THOR,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offer a line of batteries across our “Battle Born” and “Dragonfly”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Arial" w:cs="Arial" w:eastAsia="Arial" w:hAnsi="Arial"/>
          <w:sz w:val="18"/>
          <w:szCs w:val="18"/>
          <w:b w:val="1"/>
          <w:bCs w:val="1"/>
          <w:color w:val="auto"/>
        </w:rPr>
        <w:t>Thomason Jones</w:t>
      </w:r>
      <w:r>
        <w:rPr>
          <w:rFonts w:ascii="Arial" w:cs="Arial" w:eastAsia="Arial" w:hAnsi="Arial"/>
          <w:sz w:val="18"/>
          <w:szCs w:val="18"/>
          <w:color w:val="auto"/>
        </w:rPr>
        <w:t>”) and the other parties thereto, we also acquired the assets, including Wakespeed of Thomason Jones, allowing us to include our own alternator regulator in systems that we sell.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55" w:lineRule="auto"/>
        <w:rPr>
          <w:sz w:val="20"/>
          <w:szCs w:val="20"/>
          <w:color w:val="auto"/>
        </w:rPr>
      </w:pPr>
      <w:r>
        <w:rPr>
          <w:rFonts w:ascii="Arial" w:cs="Arial" w:eastAsia="Arial" w:hAnsi="Arial"/>
          <w:sz w:val="18"/>
          <w:szCs w:val="18"/>
          <w:color w:val="auto"/>
        </w:rPr>
        <w:t>Our battery packs are designed and assembled in-house in the United States. In April 2021, we opened our new 99,000 square foot facility in Reno, Nevada,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currently focus on three main consumer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our conventional LFP batteries, our experienced research and development team, headed by our founder and Chief Executive Officer, is currently developing the next generation of LFP solid-state cells. Since our inception,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Many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businesses, organizations and individuals increasingly seek improved clean energy use and energy storage, we believe we are well-positioned to achieve our objectives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decades, lead-acid batteries have been the dominant player in power and energy markets worldwide. Since the introduction of the absorbed glass mat (“</w:t>
      </w:r>
      <w:r>
        <w:rPr>
          <w:rFonts w:ascii="Arial" w:cs="Arial" w:eastAsia="Arial" w:hAnsi="Arial"/>
          <w:sz w:val="18"/>
          <w:szCs w:val="18"/>
          <w:b w:val="1"/>
          <w:bCs w:val="1"/>
          <w:color w:val="auto"/>
        </w:rPr>
        <w:t>AGM</w:t>
      </w:r>
      <w:r>
        <w:rPr>
          <w:rFonts w:ascii="Arial" w:cs="Arial" w:eastAsia="Arial" w:hAnsi="Arial"/>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84" w:lineRule="exact"/>
        <w:rPr>
          <w:sz w:val="20"/>
          <w:szCs w:val="20"/>
          <w:color w:val="auto"/>
        </w:rPr>
      </w:pPr>
    </w:p>
    <w:p>
      <w:pPr>
        <w:jc w:val="both"/>
        <w:ind w:left="660" w:hanging="328"/>
        <w:spacing w:after="0" w:line="25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Environmentally Friendly, Socially Responsible and Safer. </w:t>
      </w:r>
      <w:r>
        <w:rPr>
          <w:rFonts w:ascii="Arial" w:cs="Arial" w:eastAsia="Arial" w:hAnsi="Arial"/>
          <w:sz w:val="18"/>
          <w:szCs w:val="18"/>
          <w:color w:val="auto"/>
        </w:rPr>
        <w:t>Lead-acid batteries that are not recycled or disposed of properly are extremely toxic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jc w:val="both"/>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Longer Lifespan. </w:t>
      </w:r>
      <w:r>
        <w:rPr>
          <w:rFonts w:ascii="Arial" w:cs="Arial" w:eastAsia="Arial" w:hAnsi="Arial"/>
          <w:sz w:val="16"/>
          <w:szCs w:val="16"/>
          <w:color w:val="auto"/>
        </w:rPr>
        <w:t>Lithium-ion batteries have longer lifecycles compared to lead-acid batteries. LFP batteries are able to cycle (i.e., discharge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66" w:lineRule="exact"/>
        <w:rPr>
          <w:rFonts w:ascii="Arial" w:cs="Arial" w:eastAsia="Arial" w:hAnsi="Arial"/>
          <w:sz w:val="16"/>
          <w:szCs w:val="16"/>
          <w:color w:val="auto"/>
        </w:rPr>
      </w:pPr>
    </w:p>
    <w:p>
      <w:pPr>
        <w:jc w:val="both"/>
        <w:ind w:left="660" w:hanging="328"/>
        <w:spacing w:after="0" w:line="273"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Power and Performance. </w:t>
      </w:r>
      <w:r>
        <w:rPr>
          <w:rFonts w:ascii="Arial" w:cs="Arial" w:eastAsia="Arial" w:hAnsi="Arial"/>
          <w:sz w:val="17"/>
          <w:szCs w:val="17"/>
          <w:color w:val="auto"/>
        </w:rPr>
        <w:t>As new technologies evolve and people consume more electricity, the importance of battery power and performance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77" w:lineRule="exact"/>
        <w:rPr>
          <w:rFonts w:ascii="Arial" w:cs="Arial" w:eastAsia="Arial" w:hAnsi="Arial"/>
          <w:sz w:val="17"/>
          <w:szCs w:val="17"/>
          <w:color w:val="auto"/>
        </w:rPr>
      </w:pPr>
    </w:p>
    <w:p>
      <w:pPr>
        <w:jc w:val="both"/>
        <w:ind w:left="660" w:hanging="328"/>
        <w:spacing w:after="0" w:line="275"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Charging. </w:t>
      </w:r>
      <w:r>
        <w:rPr>
          <w:rFonts w:ascii="Arial" w:cs="Arial" w:eastAsia="Arial" w:hAnsi="Arial"/>
          <w:sz w:val="17"/>
          <w:szCs w:val="17"/>
          <w:color w:val="auto"/>
        </w:rPr>
        <w:t>Lead-acid batteries were the first rechargeable batteries on the market. However, due to new advancements in energy density (i.e.,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6"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Maintenance-Free. </w:t>
      </w:r>
      <w:r>
        <w:rPr>
          <w:rFonts w:ascii="Arial" w:cs="Arial" w:eastAsia="Arial" w:hAnsi="Arial"/>
          <w:sz w:val="18"/>
          <w:szCs w:val="18"/>
          <w:color w:val="auto"/>
        </w:rPr>
        <w:t>LFP batteries provide the benefit of being a maintenance-free option compared to lead-acid batteries. Unlike lead-acid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Markets</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According to a Frost and Sullivan report commissioned by us (“</w:t>
      </w:r>
      <w:r>
        <w:rPr>
          <w:rFonts w:ascii="Arial" w:cs="Arial" w:eastAsia="Arial" w:hAnsi="Arial"/>
          <w:sz w:val="18"/>
          <w:szCs w:val="18"/>
          <w:b w:val="1"/>
          <w:bCs w:val="1"/>
          <w:color w:val="auto"/>
        </w:rPr>
        <w:t>Frost &amp; Sullivan</w:t>
      </w:r>
      <w:r>
        <w:rPr>
          <w:rFonts w:ascii="Arial" w:cs="Arial" w:eastAsia="Arial" w:hAnsi="Arial"/>
          <w:sz w:val="18"/>
          <w:szCs w:val="18"/>
          <w:color w:val="auto"/>
        </w:rPr>
        <w:t>”), the total addressable market (“</w:t>
      </w:r>
      <w:r>
        <w:rPr>
          <w:rFonts w:ascii="Arial" w:cs="Arial" w:eastAsia="Arial" w:hAnsi="Arial"/>
          <w:sz w:val="18"/>
          <w:szCs w:val="18"/>
          <w:b w:val="1"/>
          <w:bCs w:val="1"/>
          <w:color w:val="auto"/>
        </w:rPr>
        <w:t>TAM</w:t>
      </w:r>
      <w:r>
        <w:rPr>
          <w:rFonts w:ascii="Arial" w:cs="Arial" w:eastAsia="Arial" w:hAnsi="Arial"/>
          <w:sz w:val="18"/>
          <w:szCs w:val="18"/>
          <w:color w:val="auto"/>
        </w:rPr>
        <w:t>”) of our three current end markets is estimated to be approximately $12 billion by 2025.</w:t>
      </w:r>
    </w:p>
    <w:p>
      <w:pPr>
        <w:spacing w:after="0" w:line="166" w:lineRule="exact"/>
        <w:rPr>
          <w:sz w:val="20"/>
          <w:szCs w:val="20"/>
          <w:color w:val="auto"/>
        </w:rPr>
      </w:pPr>
    </w:p>
    <w:p>
      <w:pPr>
        <w:jc w:val="both"/>
        <w:ind w:left="660" w:hanging="328"/>
        <w:spacing w:after="0" w:line="287"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Recreational Vehicles. </w:t>
      </w:r>
      <w:r>
        <w:rPr>
          <w:rFonts w:ascii="Arial" w:cs="Arial" w:eastAsia="Arial" w:hAnsi="Arial"/>
          <w:sz w:val="16"/>
          <w:szCs w:val="16"/>
          <w:color w:val="auto"/>
        </w:rPr>
        <w:t>The growth of the RV market is expected to continue to drive demand for LFP storage batteries. According to the 2022 RV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 Association (“</w:t>
      </w:r>
      <w:r>
        <w:rPr>
          <w:rFonts w:ascii="Arial" w:cs="Arial" w:eastAsia="Arial" w:hAnsi="Arial"/>
          <w:sz w:val="16"/>
          <w:szCs w:val="16"/>
          <w:b w:val="1"/>
          <w:bCs w:val="1"/>
          <w:color w:val="auto"/>
        </w:rPr>
        <w:t>RVIA</w:t>
      </w:r>
      <w:r>
        <w:rPr>
          <w:rFonts w:ascii="Arial" w:cs="Arial" w:eastAsia="Arial" w:hAnsi="Arial"/>
          <w:sz w:val="16"/>
          <w:szCs w:val="16"/>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Arial" w:cs="Arial" w:eastAsia="Arial" w:hAnsi="Arial"/>
          <w:sz w:val="16"/>
          <w:szCs w:val="16"/>
          <w:b w:val="1"/>
          <w:bCs w:val="1"/>
          <w:color w:val="auto"/>
        </w:rPr>
        <w:t>CAGR</w:t>
      </w:r>
      <w:r>
        <w:rPr>
          <w:rFonts w:ascii="Arial" w:cs="Arial" w:eastAsia="Arial" w:hAnsi="Arial"/>
          <w:sz w:val="16"/>
          <w:szCs w:val="16"/>
          <w:color w:val="auto"/>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both"/>
        <w:ind w:left="660" w:hanging="328"/>
        <w:spacing w:after="0" w:line="272"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Marine Vessels. </w:t>
      </w:r>
      <w:r>
        <w:rPr>
          <w:rFonts w:ascii="Arial" w:cs="Arial" w:eastAsia="Arial" w:hAnsi="Arial"/>
          <w:sz w:val="17"/>
          <w:szCs w:val="17"/>
          <w:color w:val="auto"/>
        </w:rPr>
        <w:t>As boating becomes more popular in North America, the need for a reliable, non-flammable energy storage system is becoming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Off-Grid Residences. </w:t>
      </w:r>
      <w:r>
        <w:rPr>
          <w:rFonts w:ascii="Arial" w:cs="Arial" w:eastAsia="Arial" w:hAnsi="Arial"/>
          <w:sz w:val="17"/>
          <w:szCs w:val="17"/>
          <w:color w:val="auto"/>
        </w:rPr>
        <w:t>Many people are turning to off-grid housing and, as individuals and governments become more conscious of their carbon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Arial" w:cs="Arial" w:eastAsia="Arial" w:hAnsi="Arial"/>
          <w:sz w:val="17"/>
          <w:szCs w:val="17"/>
          <w:b w:val="1"/>
          <w:bCs w:val="1"/>
          <w:color w:val="auto"/>
        </w:rPr>
        <w:t>SEIA</w:t>
      </w:r>
      <w:r>
        <w:rPr>
          <w:rFonts w:ascii="Arial" w:cs="Arial" w:eastAsia="Arial" w:hAnsi="Arial"/>
          <w:sz w:val="17"/>
          <w:szCs w:val="17"/>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Addressable Adjacent Markets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87"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Industrial / Material Handlings / Work Truck. </w:t>
      </w:r>
      <w:r>
        <w:rPr>
          <w:rFonts w:ascii="Arial" w:cs="Arial" w:eastAsia="Arial" w:hAnsi="Arial"/>
          <w:sz w:val="18"/>
          <w:szCs w:val="18"/>
          <w:color w:val="auto"/>
        </w:rPr>
        <w:t>The industrial vehicle market includes work trucks, material handling and warehousing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9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Specialty Vehicles. </w:t>
      </w:r>
      <w:r>
        <w:rPr>
          <w:rFonts w:ascii="Arial" w:cs="Arial" w:eastAsia="Arial" w:hAnsi="Arial"/>
          <w:sz w:val="17"/>
          <w:szCs w:val="17"/>
          <w:color w:val="auto"/>
        </w:rPr>
        <w:t>According to Mordor Intelligence, as of 2019, approximately 40% of the specialty vehicle market in the United States consists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jc w:val="both"/>
        <w:ind w:left="328" w:hanging="328"/>
        <w:spacing w:after="0" w:line="25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Emergency and Standby Power. </w:t>
      </w:r>
      <w:r>
        <w:rPr>
          <w:rFonts w:ascii="Arial" w:cs="Arial" w:eastAsia="Arial" w:hAnsi="Arial"/>
          <w:sz w:val="18"/>
          <w:szCs w:val="18"/>
          <w:color w:val="auto"/>
        </w:rPr>
        <w:t>Demand for reliable emergency and standby power sources is expected to continue to drive demand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91" w:lineRule="exact"/>
        <w:rPr>
          <w:rFonts w:ascii="Arial" w:cs="Arial" w:eastAsia="Arial" w:hAnsi="Arial"/>
          <w:sz w:val="18"/>
          <w:szCs w:val="18"/>
          <w:color w:val="auto"/>
        </w:rPr>
      </w:pPr>
    </w:p>
    <w:p>
      <w:pPr>
        <w:jc w:val="both"/>
        <w:ind w:left="328" w:hanging="328"/>
        <w:spacing w:after="0" w:line="291" w:lineRule="auto"/>
        <w:tabs>
          <w:tab w:leader="none" w:pos="328"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Telecom. </w:t>
      </w:r>
      <w:r>
        <w:rPr>
          <w:rFonts w:ascii="Arial" w:cs="Arial" w:eastAsia="Arial" w:hAnsi="Arial"/>
          <w:sz w:val="16"/>
          <w:szCs w:val="16"/>
          <w:color w:val="auto"/>
        </w:rPr>
        <w:t>Demand for mobile data continues to increase and network providers are investing heavily in 5G networks, particularly in unserved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66" w:lineRule="exact"/>
        <w:rPr>
          <w:rFonts w:ascii="Arial" w:cs="Arial" w:eastAsia="Arial" w:hAnsi="Arial"/>
          <w:sz w:val="16"/>
          <w:szCs w:val="16"/>
          <w:color w:val="auto"/>
        </w:rPr>
      </w:pPr>
    </w:p>
    <w:p>
      <w:pPr>
        <w:jc w:val="both"/>
        <w:ind w:left="328" w:hanging="328"/>
        <w:spacing w:after="0" w:line="254" w:lineRule="auto"/>
        <w:tabs>
          <w:tab w:leader="none" w:pos="328"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Rail. </w:t>
      </w:r>
      <w:r>
        <w:rPr>
          <w:rFonts w:ascii="Arial" w:cs="Arial" w:eastAsia="Arial" w:hAnsi="Arial"/>
          <w:sz w:val="18"/>
          <w:szCs w:val="18"/>
          <w:color w:val="auto"/>
        </w:rPr>
        <w:t>Rail transportation is a large potential market, with an estimated U.S. market size of $110.1 billion in 2023, according to IBISWorld. Many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91"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Centers. </w:t>
      </w:r>
      <w:r>
        <w:rPr>
          <w:rFonts w:ascii="Arial" w:cs="Arial" w:eastAsia="Arial" w:hAnsi="Arial"/>
          <w:sz w:val="17"/>
          <w:szCs w:val="17"/>
          <w:color w:val="auto"/>
        </w:rPr>
        <w:t>Data centers have seen strong growth in recent years, with over 5,000 data centers in the United States as of September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0" w:lineRule="exact"/>
        <w:rPr>
          <w:rFonts w:ascii="Arial" w:cs="Arial" w:eastAsia="Arial" w:hAnsi="Arial"/>
          <w:sz w:val="17"/>
          <w:szCs w:val="17"/>
          <w:color w:val="auto"/>
        </w:rPr>
      </w:pPr>
    </w:p>
    <w:p>
      <w:pPr>
        <w:jc w:val="both"/>
        <w:ind w:left="328" w:hanging="328"/>
        <w:spacing w:after="0" w:line="270" w:lineRule="auto"/>
        <w:tabs>
          <w:tab w:leader="none" w:pos="328" w:val="left"/>
        </w:tabs>
        <w:numPr>
          <w:ilvl w:val="0"/>
          <w:numId w:val="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On-grid Storage. </w:t>
      </w:r>
      <w:r>
        <w:rPr>
          <w:rFonts w:ascii="Arial" w:cs="Arial" w:eastAsia="Arial" w:hAnsi="Arial"/>
          <w:sz w:val="17"/>
          <w:szCs w:val="17"/>
          <w:color w:val="auto"/>
        </w:rPr>
        <w:t>On-grid energy storage is used on a large-scale platform within an electrical power grid in conjunction with variable renewable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450 MWh in 2020.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8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70" w:lineRule="exact"/>
        <w:rPr>
          <w:sz w:val="20"/>
          <w:szCs w:val="20"/>
          <w:color w:val="auto"/>
        </w:rPr>
      </w:pPr>
    </w:p>
    <w:p>
      <w:pPr>
        <w:jc w:val="both"/>
        <w:ind w:left="660" w:hanging="328"/>
        <w:spacing w:after="0" w:line="25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Premier Lithium-Ion Battery Technology. </w:t>
      </w:r>
      <w:r>
        <w:rPr>
          <w:rFonts w:ascii="Arial" w:cs="Arial" w:eastAsia="Arial" w:hAnsi="Arial"/>
          <w:sz w:val="18"/>
          <w:szCs w:val="18"/>
          <w:color w:val="auto"/>
        </w:rPr>
        <w:t>Each of our innovative batteries features custom designed components to enhance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94"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Growing Patent Portfolio. </w:t>
      </w:r>
      <w:r>
        <w:rPr>
          <w:rFonts w:ascii="Arial" w:cs="Arial" w:eastAsia="Arial" w:hAnsi="Arial"/>
          <w:sz w:val="18"/>
          <w:szCs w:val="18"/>
          <w:color w:val="auto"/>
        </w:rPr>
        <w:t>We have developed and filed patent applications on commercially relevant aspects of our business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chemical compositions systems and production processes. To date, we have owned 28 issued patents, with an additional 46 patent applications pending, in the United States, China, Europe, Australia, Canada and other countries and regions.</w:t>
      </w:r>
    </w:p>
    <w:p>
      <w:pPr>
        <w:spacing w:after="0" w:line="183" w:lineRule="exact"/>
        <w:rPr>
          <w:rFonts w:ascii="Arial" w:cs="Arial" w:eastAsia="Arial" w:hAnsi="Arial"/>
          <w:sz w:val="18"/>
          <w:szCs w:val="18"/>
          <w:color w:val="auto"/>
        </w:rPr>
      </w:pPr>
    </w:p>
    <w:p>
      <w:pPr>
        <w:jc w:val="both"/>
        <w:ind w:left="660" w:hanging="328"/>
        <w:spacing w:after="0" w:line="27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Go-To-Market Strategy. </w:t>
      </w:r>
      <w:r>
        <w:rPr>
          <w:rFonts w:ascii="Arial" w:cs="Arial" w:eastAsia="Arial" w:hAnsi="Arial"/>
          <w:sz w:val="17"/>
          <w:szCs w:val="17"/>
          <w:color w:val="auto"/>
        </w:rPr>
        <w:t>We have successfully established a direct-to-consumer platform and have developed strong working relationships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76"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Established Customer Base with Brand Recognition. </w:t>
      </w:r>
      <w:r>
        <w:rPr>
          <w:rFonts w:ascii="Arial" w:cs="Arial" w:eastAsia="Arial" w:hAnsi="Arial"/>
          <w:sz w:val="16"/>
          <w:szCs w:val="16"/>
          <w:color w:val="auto"/>
        </w:rPr>
        <w:t>We have a growing customer base of more than 15,000 customers featuring OEMs,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135% since 2020) with visibility for future growth through further expansion of our existing relationships.</w:t>
      </w:r>
    </w:p>
    <w:p>
      <w:pPr>
        <w:spacing w:after="0" w:line="157"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Quality Manufacturing Process. </w:t>
      </w:r>
      <w:r>
        <w:rPr>
          <w:rFonts w:ascii="Arial" w:cs="Arial" w:eastAsia="Arial" w:hAnsi="Arial"/>
          <w:sz w:val="18"/>
          <w:szCs w:val="18"/>
          <w:color w:val="auto"/>
        </w:rPr>
        <w:t>Unlike competitors that outsource their manufacturing processes, our batteries are designed, assembled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83"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Drop-in Replacement. </w:t>
      </w:r>
      <w:r>
        <w:rPr>
          <w:rFonts w:ascii="Arial" w:cs="Arial" w:eastAsia="Arial" w:hAnsi="Arial"/>
          <w:sz w:val="16"/>
          <w:szCs w:val="16"/>
          <w:color w:val="auto"/>
        </w:rPr>
        <w:t>Our battery modules are largely designed to be “drop-in replacements” for traditional lead-acid batteries, which means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intend to leverage our competitive strengths, technology leadership and market share position to pursue our growth strategy through the following:</w:t>
      </w:r>
    </w:p>
    <w:p>
      <w:pPr>
        <w:spacing w:after="0" w:line="248" w:lineRule="exact"/>
        <w:rPr>
          <w:sz w:val="20"/>
          <w:szCs w:val="20"/>
          <w:color w:val="auto"/>
        </w:rPr>
      </w:pPr>
    </w:p>
    <w:p>
      <w:pPr>
        <w:jc w:val="both"/>
        <w:ind w:left="660" w:hanging="328"/>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Product Offerings. </w:t>
      </w:r>
      <w:r>
        <w:rPr>
          <w:rFonts w:ascii="Arial" w:cs="Arial" w:eastAsia="Arial" w:hAnsi="Arial"/>
          <w:sz w:val="18"/>
          <w:szCs w:val="18"/>
          <w:color w:val="auto"/>
        </w:rPr>
        <w:t>In the short-term, our aim is to further diversify our product offerings to give consumers, as well as OEMs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Moreover, in the first quarter of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9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End Markets. </w:t>
      </w:r>
      <w:r>
        <w:rPr>
          <w:rFonts w:ascii="Arial" w:cs="Arial" w:eastAsia="Arial" w:hAnsi="Arial"/>
          <w:sz w:val="18"/>
          <w:szCs w:val="18"/>
          <w:color w:val="auto"/>
        </w:rPr>
        <w:t>We have identified additional end markets that we believe in the medium- to longer-term will increasingly look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8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Commercialize Solid-State Technology. </w:t>
      </w:r>
      <w:r>
        <w:rPr>
          <w:rFonts w:ascii="Arial" w:cs="Arial" w:eastAsia="Arial" w:hAnsi="Arial"/>
          <w:sz w:val="16"/>
          <w:szCs w:val="16"/>
          <w:color w:val="auto"/>
        </w:rPr>
        <w:t>We believe solid-state technology presents a significant advantage to all products currently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Chemistry Comparison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There are several dominant battery chemistries in the lithium-ion market that can be used for different purposes. Two widely adopted chemistries found in the market today are nickel manganese cobalt (“</w:t>
      </w:r>
      <w:r>
        <w:rPr>
          <w:rFonts w:ascii="Arial" w:cs="Arial" w:eastAsia="Arial" w:hAnsi="Arial"/>
          <w:sz w:val="17"/>
          <w:szCs w:val="17"/>
          <w:b w:val="1"/>
          <w:bCs w:val="1"/>
          <w:color w:val="auto"/>
        </w:rPr>
        <w:t>NMC</w:t>
      </w:r>
      <w:r>
        <w:rPr>
          <w:rFonts w:ascii="Arial" w:cs="Arial" w:eastAsia="Arial" w:hAnsi="Arial"/>
          <w:sz w:val="17"/>
          <w:szCs w:val="17"/>
          <w:color w:val="auto"/>
        </w:rPr>
        <w:t>”), and nickel cobalt aluminum (“</w:t>
      </w:r>
      <w:r>
        <w:rPr>
          <w:rFonts w:ascii="Arial" w:cs="Arial" w:eastAsia="Arial" w:hAnsi="Arial"/>
          <w:sz w:val="17"/>
          <w:szCs w:val="17"/>
          <w:b w:val="1"/>
          <w:bCs w:val="1"/>
          <w:color w:val="auto"/>
        </w:rPr>
        <w:t>NCA</w:t>
      </w:r>
      <w:r>
        <w:rPr>
          <w:rFonts w:ascii="Arial" w:cs="Arial" w:eastAsia="Arial" w:hAnsi="Arial"/>
          <w:sz w:val="17"/>
          <w:szCs w:val="17"/>
          <w:color w:val="auto"/>
        </w:rPr>
        <w:t>”). The higher energy density and shorter cycle life found in NMC and NCA batteries are suitable for markets where fast charging and high energy density are required, such as EV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120650</wp:posOffset>
            </wp:positionV>
            <wp:extent cx="4937760" cy="129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7760"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54" w:lineRule="auto"/>
        <w:rPr>
          <w:sz w:val="20"/>
          <w:szCs w:val="20"/>
          <w:color w:val="auto"/>
        </w:rPr>
      </w:pPr>
      <w:r>
        <w:rPr>
          <w:rFonts w:ascii="Arial" w:cs="Arial" w:eastAsia="Arial" w:hAnsi="Arial"/>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Arial" w:cs="Arial" w:eastAsia="Arial" w:hAnsi="Arial"/>
          <w:sz w:val="18"/>
          <w:szCs w:val="18"/>
          <w:i w:val="1"/>
          <w:iCs w:val="1"/>
          <w:color w:val="auto"/>
        </w:rPr>
        <w:t>Lithium and Cobalt: A tale of</w:t>
      </w:r>
      <w:r>
        <w:rPr>
          <w:rFonts w:ascii="Arial" w:cs="Arial" w:eastAsia="Arial" w:hAnsi="Arial"/>
          <w:sz w:val="18"/>
          <w:szCs w:val="18"/>
          <w:color w:val="auto"/>
        </w:rPr>
        <w:t xml:space="preserve"> </w:t>
      </w:r>
      <w:r>
        <w:rPr>
          <w:rFonts w:ascii="Arial" w:cs="Arial" w:eastAsia="Arial" w:hAnsi="Arial"/>
          <w:sz w:val="18"/>
          <w:szCs w:val="18"/>
          <w:i w:val="1"/>
          <w:iCs w:val="1"/>
          <w:color w:val="auto"/>
        </w:rPr>
        <w:t>two commodities</w:t>
      </w:r>
      <w:r>
        <w:rPr>
          <w:rFonts w:ascii="Arial" w:cs="Arial" w:eastAsia="Arial" w:hAnsi="Arial"/>
          <w:sz w:val="18"/>
          <w:szCs w:val="18"/>
          <w:color w:val="auto"/>
        </w:rPr>
        <w:t>”, global forecasts for cobalt show supply shortages arising as early as 2022, slowing down NMC battery growth. Both of these elements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compared to NMC and NCA batteries, making LFP batteries less flammable and safer.</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Solid-State Cells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Arial" w:cs="Arial" w:eastAsia="Arial" w:hAnsi="Arial"/>
          <w:sz w:val="17"/>
          <w:szCs w:val="17"/>
          <w:i w:val="1"/>
          <w:iCs w:val="1"/>
          <w:color w:val="auto"/>
        </w:rPr>
        <w:t>Research and Development</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Our core products are LFP battery modules with a built-in battery management system offered under two brand names: Dragonfly Energy, which sells primarily to OEMs, and Battle Born Batteries, which sells primarily direct to consumers and increasingly to OEMs. We currently offer seven LFP battery models across our two brands, each differentiated by size, power and capacity, consisting of seven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127635</wp:posOffset>
            </wp:positionV>
            <wp:extent cx="5743575" cy="26574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357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of 2022, we acquired the assets and intellectual property portfolio of Thomason Jones Company, LLC, including Wakespeed, in a move that provides our OEM arm and consumer brand, Battle Born Batteries, the ability to offer complete alternator-connected systems for marine and RV consumers and manufacturers. Wakespeed offers a unique alternator regulator and several other devices focused on energy systems that are charged by a vehicle alternator. Wakespeed’s product line continues to be offered to specialty OEM manufacturers and customers but is now additionally offered alongside the innovative product lines of Dragonfly Energy and Battle Born Batteries.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21088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776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117475</wp:posOffset>
            </wp:positionV>
            <wp:extent cx="4937760" cy="1911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776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Management System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8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it enables batteries to draw power under 135 degrees Fahrenheit, and is designed to cut off charging at 24 degrees Fahrenheit to protect cells;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it actively monitors the rate of change of currents to detect and prevent short circuiting, and also protects against potential ground faults;</w:t>
      </w:r>
    </w:p>
    <w:p>
      <w:pPr>
        <w:spacing w:after="0" w:line="236" w:lineRule="exact"/>
        <w:rPr>
          <w:rFonts w:ascii="Arial" w:cs="Arial" w:eastAsia="Arial" w:hAnsi="Arial"/>
          <w:sz w:val="17"/>
          <w:szCs w:val="17"/>
          <w:color w:val="auto"/>
        </w:rPr>
      </w:pPr>
    </w:p>
    <w:p>
      <w:pPr>
        <w:jc w:val="center"/>
        <w:ind w:left="5540" w:right="200" w:hanging="5208"/>
        <w:spacing w:after="0" w:line="527" w:lineRule="auto"/>
        <w:tabs>
          <w:tab w:leader="none" w:pos="6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allows for up to an average of 300 amps continuously, 500 amp surges for 30 seconds, and momentary, half second maximum capacity surges;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enables batteries to recharge even if completely drained;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utilizes larger resistors to ensure balanced loads to improve performance and extend useful life;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facilitates scalability by enabling batteries to be combined in parallel and in series.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Battery Communication System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customers as an adjacent component and in our product bundles during the fourth quarter of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Alternator Regulation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allows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Beyond our current battery modules, we have several LFP products in development that will enable us to access additional end markets.</w:t>
      </w:r>
    </w:p>
    <w:p>
      <w:pPr>
        <w:spacing w:after="0" w:line="225" w:lineRule="exact"/>
        <w:rPr>
          <w:sz w:val="20"/>
          <w:szCs w:val="20"/>
          <w:color w:val="auto"/>
        </w:rPr>
      </w:pPr>
    </w:p>
    <w:p>
      <w:pPr>
        <w:jc w:val="both"/>
        <w:ind w:left="66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New Products. </w:t>
      </w:r>
      <w:r>
        <w:rPr>
          <w:rFonts w:ascii="Arial" w:cs="Arial" w:eastAsia="Arial" w:hAnsi="Arial"/>
          <w:sz w:val="18"/>
          <w:szCs w:val="18"/>
          <w:color w:val="auto"/>
        </w:rPr>
        <w:t>Our current offerings feature battery products that serve the RV, marine vessel and off-grid markets. Although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were previously capacity constrained the expansion into our manufacturing facility will allow us to add production capacity and increase product offerings and scale based on demand.</w:t>
      </w:r>
    </w:p>
    <w:p>
      <w:pPr>
        <w:spacing w:after="0" w:line="183"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majority of our current batteries are 12 voltage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1" w:lineRule="exact"/>
        <w:rPr>
          <w:rFonts w:ascii="Arial" w:cs="Arial" w:eastAsia="Arial" w:hAnsi="Arial"/>
          <w:sz w:val="17"/>
          <w:szCs w:val="17"/>
          <w:color w:val="auto"/>
        </w:rPr>
      </w:pPr>
    </w:p>
    <w:p>
      <w:pPr>
        <w:jc w:val="both"/>
        <w:ind w:left="980" w:hanging="324"/>
        <w:spacing w:after="0" w:line="275" w:lineRule="auto"/>
        <w:tabs>
          <w:tab w:leader="none" w:pos="980" w:val="left"/>
        </w:tabs>
        <w:numPr>
          <w:ilvl w:val="1"/>
          <w:numId w:val="35"/>
        </w:numPr>
        <w:rPr>
          <w:rFonts w:ascii="Arial" w:cs="Arial" w:eastAsia="Arial" w:hAnsi="Arial"/>
          <w:sz w:val="17"/>
          <w:szCs w:val="17"/>
          <w:color w:val="auto"/>
        </w:rPr>
      </w:pPr>
      <w:r>
        <w:rPr>
          <w:rFonts w:ascii="Arial" w:cs="Arial" w:eastAsia="Arial" w:hAnsi="Arial"/>
          <w:sz w:val="17"/>
          <w:szCs w:val="17"/>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76" w:lineRule="exact"/>
        <w:rPr>
          <w:rFonts w:ascii="Arial" w:cs="Arial" w:eastAsia="Arial" w:hAnsi="Arial"/>
          <w:sz w:val="17"/>
          <w:szCs w:val="17"/>
          <w:color w:val="auto"/>
        </w:rPr>
      </w:pPr>
    </w:p>
    <w:p>
      <w:pPr>
        <w:jc w:val="both"/>
        <w:ind w:left="980" w:hanging="324"/>
        <w:spacing w:after="0" w:line="257" w:lineRule="auto"/>
        <w:tabs>
          <w:tab w:leader="none" w:pos="98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jc w:val="both"/>
        <w:ind w:left="660" w:hanging="328"/>
        <w:spacing w:after="0" w:line="273"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System Integrator. </w:t>
      </w:r>
      <w:r>
        <w:rPr>
          <w:rFonts w:ascii="Arial" w:cs="Arial" w:eastAsia="Arial" w:hAnsi="Arial"/>
          <w:sz w:val="17"/>
          <w:szCs w:val="17"/>
          <w:color w:val="auto"/>
        </w:rPr>
        <w:t>A natural evolution of our business is to offer customers a system integration solution providing more efficient power solutions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 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by early 2024.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2914650" cy="19716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1465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3171825" cy="2280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317182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 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Manufacturing and Production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4937760" cy="934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3776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8, 2022, we entered into a 124-month lease for an additional 390,240 square foot warehouse, which, once built, we intend to utilize for the manufacture of our solid-state batteries.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 Relationships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we look toward the production of our solid-state cells, we have signed a non-binding Memorandum of Understanding with a lithium mining company and a lithium recycling company, both located in Nevada for the supply of lithium.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RV OEM Strategic Arrangements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serve more than 15,000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2022 and 2021, OEM sales represented 39.2% and 10.5% of our total revenues, respectively.</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deep, long-standing relationships with many of our customers. We also have a diverse customer base, with our top 10 customers accounting for 36.3% of our revenue for the year ended December 31, 2022. Our customers primarily utilize our products for RVs, marine vessels and off-grid residences. We work directly with OEMs to ensure compatibility with existing designs and also collaborate on custom designs for new applications.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7"/>
          <w:szCs w:val="17"/>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Arial" w:cs="Arial" w:eastAsia="Arial" w:hAnsi="Arial"/>
          <w:sz w:val="17"/>
          <w:szCs w:val="17"/>
          <w:b w:val="1"/>
          <w:bCs w:val="1"/>
          <w:color w:val="auto"/>
        </w:rPr>
        <w:t>Supply Agreement</w:t>
      </w:r>
      <w:r>
        <w:rPr>
          <w:rFonts w:ascii="Arial" w:cs="Arial" w:eastAsia="Arial" w:hAnsi="Arial"/>
          <w:sz w:val="17"/>
          <w:szCs w:val="17"/>
          <w:color w:val="auto"/>
        </w:rPr>
        <w:t>”). Under the Supply Agreement, we are a supplier to Keystone for certain of its future LFP battery requirements, solidifying our long-standing relationship with Keystone. In July of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is not moving to a different solution or competitor, we do expect this change in strategy to have a material limiting effect on our revenue throughout the remainder of 2023. DTC revenue was $20.0 million for the six months ended June 30, 2023, compared to $29.5 million for the six months ended June 30, 2022, a decrease of $9.5 million as a result of decreased customer demand for our products due to rising interest rates and inflation.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In July 2022, we strengthened our ties with the THOR group of RV OEMs when (i) THOR Industries made a $15,000,000 strategic investment in us and</w:t>
      </w:r>
    </w:p>
    <w:p>
      <w:pPr>
        <w:spacing w:after="0" w:line="46" w:lineRule="exact"/>
        <w:rPr>
          <w:sz w:val="20"/>
          <w:szCs w:val="20"/>
          <w:color w:val="auto"/>
        </w:rPr>
      </w:pPr>
    </w:p>
    <w:p>
      <w:pPr>
        <w:jc w:val="both"/>
        <w:ind w:firstLine="8"/>
        <w:spacing w:after="0" w:line="267" w:lineRule="auto"/>
        <w:tabs>
          <w:tab w:leader="none" w:pos="274"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5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utilize a multi-pronged sales and marketing strategy to ensure that the Dragonfly Energy, Battle Born and Wakespeed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to create a lasting relationship that showcases the performance of our products, rather than one-off promotions. Our products have also been featured in television shows and on podcasts that cater specifically to RV enthusiasts.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We also value our direct relationships with retail customers. Our website and our customer service are key elements to our sales strategy. Our website enables customers to purchase Wakespeed and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6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December 31, 2022 we owned 26 issued patents and 22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2023 and 2043, absent any patent term adjustments or extensions.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2022, we own four trademark registrations to cover our house marks in the United States and we have seven pending trademark applications relating to our design logos and slogans in the United States.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Government Regulation and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7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2023, we had 166 employees; 159 full-time, 3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65" w:lineRule="exact"/>
        <w:rPr>
          <w:sz w:val="20"/>
          <w:szCs w:val="20"/>
          <w:color w:val="auto"/>
        </w:rPr>
      </w:pPr>
    </w:p>
    <w:p>
      <w:pPr>
        <w:jc w:val="both"/>
        <w:ind w:left="6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Safety</w:t>
      </w:r>
      <w:r>
        <w:rPr>
          <w:rFonts w:ascii="Arial" w:cs="Arial" w:eastAsia="Arial" w:hAnsi="Arial"/>
          <w:sz w:val="18"/>
          <w:szCs w:val="18"/>
          <w:color w:val="auto"/>
        </w:rPr>
        <w:t> — Employees are regularly educated in safety around their workspaces, and employees participate in volunteer roles on a safety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and in emergency readiness roles. We have a dedicated safety coordinator who tracks and measures our performance, and helps us benchmark our safety programs against our peers.</w:t>
      </w:r>
    </w:p>
    <w:p>
      <w:pPr>
        <w:spacing w:after="0" w:line="183"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Diversity, Equity &amp; Inclusion</w:t>
      </w:r>
      <w:r>
        <w:rPr>
          <w:rFonts w:ascii="Arial" w:cs="Arial" w:eastAsia="Arial" w:hAnsi="Arial"/>
          <w:sz w:val="16"/>
          <w:szCs w:val="16"/>
          <w:color w:val="auto"/>
        </w:rPr>
        <w:t> — Our culture has benefitted from the diversity of our workforce from the very beginning. Inclusion and equity are</w:t>
      </w:r>
      <w:r>
        <w:rPr>
          <w:rFonts w:ascii="Arial" w:cs="Arial" w:eastAsia="Arial" w:hAnsi="Arial"/>
          <w:sz w:val="16"/>
          <w:szCs w:val="16"/>
          <w:i w:val="1"/>
          <w:iCs w:val="1"/>
          <w:color w:val="auto"/>
        </w:rPr>
        <w:t xml:space="preserve"> </w:t>
      </w:r>
      <w:r>
        <w:rPr>
          <w:rFonts w:ascii="Arial" w:cs="Arial" w:eastAsia="Arial" w:hAnsi="Arial"/>
          <w:sz w:val="16"/>
          <w:szCs w:val="16"/>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48"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Collaboration</w:t>
      </w:r>
      <w:r>
        <w:rPr>
          <w:rFonts w:ascii="Arial" w:cs="Arial" w:eastAsia="Arial" w:hAnsi="Arial"/>
          <w:sz w:val="16"/>
          <w:szCs w:val="16"/>
          <w:color w:val="auto"/>
        </w:rPr>
        <w:t> — As we grow, opportunities for cross-functional collaboration are not as organic as they used to be. We have responded to that</w:t>
      </w:r>
      <w:r>
        <w:rPr>
          <w:rFonts w:ascii="Arial" w:cs="Arial" w:eastAsia="Arial" w:hAnsi="Arial"/>
          <w:sz w:val="16"/>
          <w:szCs w:val="16"/>
          <w:i w:val="1"/>
          <w:iCs w:val="1"/>
          <w:color w:val="auto"/>
        </w:rPr>
        <w:t xml:space="preserve"> </w:t>
      </w:r>
      <w:r>
        <w:rPr>
          <w:rFonts w:ascii="Arial" w:cs="Arial" w:eastAsia="Arial" w:hAnsi="Arial"/>
          <w:sz w:val="16"/>
          <w:szCs w:val="16"/>
          <w:color w:val="auto"/>
        </w:rPr>
        <w:t>change by staying mindful and acting intentionally to gather cross-functional input on new initiatives and continuous improvement efforts.</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Continuous Improvement</w:t>
      </w:r>
      <w:r>
        <w:rPr>
          <w:rFonts w:ascii="Arial" w:cs="Arial" w:eastAsia="Arial" w:hAnsi="Arial"/>
          <w:sz w:val="18"/>
          <w:szCs w:val="18"/>
          <w:color w:val="auto"/>
        </w:rPr>
        <w:t> — We apply continuous improvement measures to processes as well as people. We encourage professional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through ongoing learning, credentialing, and collaboration with their industry peers.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October 7, 2022 (the “</w:t>
      </w:r>
      <w:r>
        <w:rPr>
          <w:rFonts w:ascii="Arial" w:cs="Arial" w:eastAsia="Arial" w:hAnsi="Arial"/>
          <w:sz w:val="17"/>
          <w:szCs w:val="17"/>
          <w:b w:val="1"/>
          <w:bCs w:val="1"/>
          <w:color w:val="auto"/>
        </w:rPr>
        <w:t>Closing Date</w:t>
      </w:r>
      <w:r>
        <w:rPr>
          <w:rFonts w:ascii="Arial" w:cs="Arial" w:eastAsia="Arial" w:hAnsi="Arial"/>
          <w:sz w:val="17"/>
          <w:szCs w:val="17"/>
          <w:color w:val="auto"/>
        </w:rPr>
        <w:t>”), CNTQ and Legacy Dragonfly consummated the merger (the “</w:t>
      </w:r>
      <w:r>
        <w:rPr>
          <w:rFonts w:ascii="Arial" w:cs="Arial" w:eastAsia="Arial" w:hAnsi="Arial"/>
          <w:sz w:val="17"/>
          <w:szCs w:val="17"/>
          <w:b w:val="1"/>
          <w:bCs w:val="1"/>
          <w:color w:val="auto"/>
        </w:rPr>
        <w:t>Closing</w:t>
      </w:r>
      <w:r>
        <w:rPr>
          <w:rFonts w:ascii="Arial" w:cs="Arial" w:eastAsia="Arial" w:hAnsi="Arial"/>
          <w:sz w:val="17"/>
          <w:szCs w:val="17"/>
          <w:color w:val="auto"/>
        </w:rPr>
        <w:t>”) pursuant to the Agreement and Plan of Merger, dated as of May 15, 2022 (as amended,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by and among CNTQ, Bronco Merger Sub, Inc., a Delaware corporation and wholly-owned subsidiary of CNTQ (“</w:t>
      </w:r>
      <w:r>
        <w:rPr>
          <w:rFonts w:ascii="Arial" w:cs="Arial" w:eastAsia="Arial" w:hAnsi="Arial"/>
          <w:sz w:val="17"/>
          <w:szCs w:val="17"/>
          <w:b w:val="1"/>
          <w:bCs w:val="1"/>
          <w:color w:val="auto"/>
        </w:rPr>
        <w:t>Merger Sub</w:t>
      </w:r>
      <w:r>
        <w:rPr>
          <w:rFonts w:ascii="Arial" w:cs="Arial" w:eastAsia="Arial" w:hAnsi="Arial"/>
          <w:sz w:val="17"/>
          <w:szCs w:val="17"/>
          <w:color w:val="auto"/>
        </w:rPr>
        <w:t>”), and Legacy Dragonfly. Pursuant to the Business Combination Agreement, Merger Sub merged with and into Legacy Dragonfly (the “</w:t>
      </w:r>
      <w:r>
        <w:rPr>
          <w:rFonts w:ascii="Arial" w:cs="Arial" w:eastAsia="Arial" w:hAnsi="Arial"/>
          <w:sz w:val="17"/>
          <w:szCs w:val="17"/>
          <w:b w:val="1"/>
          <w:bCs w:val="1"/>
          <w:color w:val="auto"/>
        </w:rPr>
        <w:t>Merger</w:t>
      </w:r>
      <w:r>
        <w:rPr>
          <w:rFonts w:ascii="Arial" w:cs="Arial" w:eastAsia="Arial" w:hAnsi="Arial"/>
          <w:sz w:val="17"/>
          <w:szCs w:val="17"/>
          <w:color w:val="auto"/>
        </w:rPr>
        <w:t>” and, together with the other transactions contemplated by the Business Combination Agreement,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with Legacy Dragonfly continuing as the surviving corporation in the Merger and as our wholly owned subsidiary. In connection with the Business Combination, CNTQ changed its name to Dragonfly Energy Holdings Corp.</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spacing w:after="0" w:line="259" w:lineRule="auto"/>
        <w:rPr>
          <w:sz w:val="20"/>
          <w:szCs w:val="20"/>
          <w:color w:val="auto"/>
        </w:rPr>
      </w:pPr>
      <w:r>
        <w:rPr>
          <w:rFonts w:ascii="Arial" w:cs="Arial" w:eastAsia="Arial" w:hAnsi="Arial"/>
          <w:sz w:val="18"/>
          <w:szCs w:val="18"/>
          <w:color w:val="auto"/>
        </w:rPr>
        <w:t>Prior to the completion of the Business Combination, CNTQ was a shell company. CNTQ was incorporated in the state of Delaware on June 23, 2020. CNTQ consummated its initial public offering at a price of $10 per unit on August 13, 2021 (the “</w:t>
      </w:r>
      <w:r>
        <w:rPr>
          <w:rFonts w:ascii="Arial" w:cs="Arial" w:eastAsia="Arial" w:hAnsi="Arial"/>
          <w:sz w:val="18"/>
          <w:szCs w:val="18"/>
          <w:b w:val="1"/>
          <w:bCs w:val="1"/>
          <w:color w:val="auto"/>
        </w:rPr>
        <w:t>CNTQ IPO</w:t>
      </w:r>
      <w:r>
        <w:rPr>
          <w:rFonts w:ascii="Arial" w:cs="Arial" w:eastAsia="Arial" w:hAnsi="Arial"/>
          <w:sz w:val="18"/>
          <w:szCs w:val="18"/>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by virtue of the Merger and without any action on the part of CNTQ, Merger Sub, Legacy Dragonfly or the holders of any of the following securities:</w:t>
      </w:r>
    </w:p>
    <w:p>
      <w:pPr>
        <w:spacing w:after="0" w:line="166" w:lineRule="exact"/>
        <w:rPr>
          <w:sz w:val="20"/>
          <w:szCs w:val="20"/>
          <w:color w:val="auto"/>
        </w:rPr>
      </w:pPr>
    </w:p>
    <w:p>
      <w:pPr>
        <w:jc w:val="both"/>
        <w:ind w:firstLine="8"/>
        <w:spacing w:after="0" w:line="281" w:lineRule="auto"/>
        <w:tabs>
          <w:tab w:leader="none" w:pos="25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outstanding share of Legacy Dragonfly’s common stock, par value $0.001 per share (“</w:t>
      </w:r>
      <w:r>
        <w:rPr>
          <w:rFonts w:ascii="Arial" w:cs="Arial" w:eastAsia="Arial" w:hAnsi="Arial"/>
          <w:sz w:val="17"/>
          <w:szCs w:val="17"/>
          <w:b w:val="1"/>
          <w:bCs w:val="1"/>
          <w:color w:val="auto"/>
        </w:rPr>
        <w:t>Legacy Dragonfly Common Stock</w:t>
      </w:r>
      <w:r>
        <w:rPr>
          <w:rFonts w:ascii="Arial" w:cs="Arial" w:eastAsia="Arial" w:hAnsi="Arial"/>
          <w:sz w:val="17"/>
          <w:szCs w:val="17"/>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Arial" w:cs="Arial" w:eastAsia="Arial" w:hAnsi="Arial"/>
          <w:sz w:val="17"/>
          <w:szCs w:val="17"/>
          <w:b w:val="1"/>
          <w:bCs w:val="1"/>
          <w:color w:val="auto"/>
        </w:rPr>
        <w:t>Merger Consideration</w:t>
      </w:r>
      <w:r>
        <w:rPr>
          <w:rFonts w:ascii="Arial" w:cs="Arial" w:eastAsia="Arial" w:hAnsi="Arial"/>
          <w:sz w:val="17"/>
          <w:szCs w:val="17"/>
          <w:color w:val="auto"/>
        </w:rPr>
        <w:t>”) and (ii) the contingent right to receive Earnout Shares (as defined below) (which may be zero) following the Closing.</w:t>
      </w:r>
    </w:p>
    <w:p>
      <w:pPr>
        <w:spacing w:after="0" w:line="168" w:lineRule="exact"/>
        <w:rPr>
          <w:rFonts w:ascii="Arial" w:cs="Arial" w:eastAsia="Arial" w:hAnsi="Arial"/>
          <w:sz w:val="17"/>
          <w:szCs w:val="17"/>
          <w:color w:val="auto"/>
        </w:rPr>
      </w:pPr>
    </w:p>
    <w:p>
      <w:pPr>
        <w:jc w:val="both"/>
        <w:ind w:firstLine="8"/>
        <w:spacing w:after="0" w:line="273" w:lineRule="auto"/>
        <w:tabs>
          <w:tab w:leader="none" w:pos="261" w:val="left"/>
        </w:tabs>
        <w:numPr>
          <w:ilvl w:val="0"/>
          <w:numId w:val="39"/>
        </w:numPr>
        <w:rPr>
          <w:rFonts w:ascii="Arial" w:cs="Arial" w:eastAsia="Arial" w:hAnsi="Arial"/>
          <w:sz w:val="17"/>
          <w:szCs w:val="17"/>
          <w:color w:val="auto"/>
        </w:rPr>
      </w:pPr>
      <w:r>
        <w:rPr>
          <w:rFonts w:ascii="Arial" w:cs="Arial" w:eastAsia="Arial" w:hAnsi="Arial"/>
          <w:sz w:val="17"/>
          <w:szCs w:val="17"/>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Merger Consideration</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In addition to the Merger Consideration set forth above, additional contingent shares (“</w:t>
      </w:r>
      <w:r>
        <w:rPr>
          <w:rFonts w:ascii="Arial" w:cs="Arial" w:eastAsia="Arial" w:hAnsi="Arial"/>
          <w:sz w:val="18"/>
          <w:szCs w:val="18"/>
          <w:b w:val="1"/>
          <w:bCs w:val="1"/>
          <w:color w:val="auto"/>
        </w:rPr>
        <w:t>Earnout Shares</w:t>
      </w:r>
      <w:r>
        <w:rPr>
          <w:rFonts w:ascii="Arial" w:cs="Arial" w:eastAsia="Arial" w:hAnsi="Arial"/>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first tranche of 15,000,000 shares is issuable if our 2023 total audited revenue is equal to or greater than $250 million and our 2023 audited operating income is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i w:val="1"/>
          <w:iCs w:val="1"/>
          <w:color w:val="auto"/>
        </w:rPr>
        <w:t>PIPE Investment</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Pursuant to the subscription agreement, dated as of May 15, 2022 (the “</w:t>
      </w:r>
      <w:r>
        <w:rPr>
          <w:rFonts w:ascii="Arial" w:cs="Arial" w:eastAsia="Arial" w:hAnsi="Arial"/>
          <w:sz w:val="17"/>
          <w:szCs w:val="17"/>
          <w:b w:val="1"/>
          <w:bCs w:val="1"/>
          <w:color w:val="auto"/>
        </w:rPr>
        <w:t>Subscription Agreement</w:t>
      </w:r>
      <w:r>
        <w:rPr>
          <w:rFonts w:ascii="Arial" w:cs="Arial" w:eastAsia="Arial" w:hAnsi="Arial"/>
          <w:sz w:val="17"/>
          <w:szCs w:val="17"/>
          <w:color w:val="auto"/>
        </w:rPr>
        <w:t>”), by and between CNTQ and Chardan NexTech Investments 2 LLC (or an affiliate thereof if assigned pursuant to the Subscription Agreement, the “</w:t>
      </w:r>
      <w:r>
        <w:rPr>
          <w:rFonts w:ascii="Arial" w:cs="Arial" w:eastAsia="Arial" w:hAnsi="Arial"/>
          <w:sz w:val="17"/>
          <w:szCs w:val="17"/>
          <w:b w:val="1"/>
          <w:bCs w:val="1"/>
          <w:color w:val="auto"/>
        </w:rPr>
        <w:t>Sponsor</w:t>
      </w:r>
      <w:r>
        <w:rPr>
          <w:rFonts w:ascii="Arial" w:cs="Arial" w:eastAsia="Arial" w:hAnsi="Arial"/>
          <w:sz w:val="17"/>
          <w:szCs w:val="17"/>
          <w:color w:val="auto"/>
        </w:rPr>
        <w:t>”), the Sponsor agreed to purchase, and CNTQ agreed to sell to the Sponsor, an aggregate of 500,000 shares of CNTQ Common Stock for gross proceeds to CNTQ of $5 million in a private placement (the “</w:t>
      </w:r>
      <w:r>
        <w:rPr>
          <w:rFonts w:ascii="Arial" w:cs="Arial" w:eastAsia="Arial" w:hAnsi="Arial"/>
          <w:sz w:val="17"/>
          <w:szCs w:val="17"/>
          <w:b w:val="1"/>
          <w:bCs w:val="1"/>
          <w:color w:val="auto"/>
        </w:rPr>
        <w:t>PIPE Investment</w:t>
      </w:r>
      <w:r>
        <w:rPr>
          <w:rFonts w:ascii="Arial" w:cs="Arial" w:eastAsia="Arial" w:hAnsi="Arial"/>
          <w:sz w:val="17"/>
          <w:szCs w:val="17"/>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Arial" w:cs="Arial" w:eastAsia="Arial" w:hAnsi="Arial"/>
          <w:sz w:val="16"/>
          <w:szCs w:val="16"/>
          <w:b w:val="1"/>
          <w:bCs w:val="1"/>
          <w:color w:val="auto"/>
        </w:rPr>
        <w:t>Offset</w:t>
      </w:r>
      <w:r>
        <w:rPr>
          <w:rFonts w:ascii="Arial" w:cs="Arial" w:eastAsia="Arial" w:hAnsi="Arial"/>
          <w:sz w:val="16"/>
          <w:szCs w:val="16"/>
          <w:color w:val="auto"/>
        </w:rPr>
        <w:t>”). During the week of September 26, 2022, CCM acquired in the open market in total 485,000 shares of our common stock at purchase prices per share ranging from $10.33 to $10.38 (such shares, the “</w:t>
      </w:r>
      <w:r>
        <w:rPr>
          <w:rFonts w:ascii="Arial" w:cs="Arial" w:eastAsia="Arial" w:hAnsi="Arial"/>
          <w:sz w:val="16"/>
          <w:szCs w:val="16"/>
          <w:b w:val="1"/>
          <w:bCs w:val="1"/>
          <w:color w:val="auto"/>
        </w:rPr>
        <w:t>Purchased Shares</w:t>
      </w:r>
      <w:r>
        <w:rPr>
          <w:rFonts w:ascii="Arial" w:cs="Arial" w:eastAsia="Arial" w:hAnsi="Arial"/>
          <w:sz w:val="16"/>
          <w:szCs w:val="16"/>
          <w:color w:val="auto"/>
        </w:rPr>
        <w:t>”). The Purchased Shares were not redeemed, resulting in (i) our receipt of $5,016,547 from the trust account that held the proceeds from the CNTQ IPO (based on a per share redemption price of $10.34) and (ii) a reduction in CCM’s purchase commitment under the Subscription Agreement to zero in accordance with the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Consistent with the commitment letter (the “</w:t>
      </w:r>
      <w:r>
        <w:rPr>
          <w:rFonts w:ascii="Arial" w:cs="Arial" w:eastAsia="Arial" w:hAnsi="Arial"/>
          <w:sz w:val="18"/>
          <w:szCs w:val="18"/>
          <w:b w:val="1"/>
          <w:bCs w:val="1"/>
          <w:color w:val="auto"/>
        </w:rPr>
        <w:t>Debt Commitment Letter</w:t>
      </w:r>
      <w:r>
        <w:rPr>
          <w:rFonts w:ascii="Arial" w:cs="Arial" w:eastAsia="Arial" w:hAnsi="Arial"/>
          <w:sz w:val="18"/>
          <w:szCs w:val="18"/>
          <w:color w:val="auto"/>
        </w:rPr>
        <w:t>”) dated May 15, 2022 by and between CNTQ and Legacy Dragonfly, CCM Investments 5 LLC, an affiliate of CCM (“</w:t>
      </w:r>
      <w:r>
        <w:rPr>
          <w:rFonts w:ascii="Arial" w:cs="Arial" w:eastAsia="Arial" w:hAnsi="Arial"/>
          <w:sz w:val="18"/>
          <w:szCs w:val="18"/>
          <w:b w:val="1"/>
          <w:bCs w:val="1"/>
          <w:color w:val="auto"/>
        </w:rPr>
        <w:t>CCM 5</w:t>
      </w:r>
      <w:r>
        <w:rPr>
          <w:rFonts w:ascii="Arial" w:cs="Arial" w:eastAsia="Arial" w:hAnsi="Arial"/>
          <w:sz w:val="18"/>
          <w:szCs w:val="18"/>
          <w:color w:val="auto"/>
        </w:rPr>
        <w:t>”, and in connection with the Term Loan, the “</w:t>
      </w:r>
      <w:r>
        <w:rPr>
          <w:rFonts w:ascii="Arial" w:cs="Arial" w:eastAsia="Arial" w:hAnsi="Arial"/>
          <w:sz w:val="18"/>
          <w:szCs w:val="18"/>
          <w:b w:val="1"/>
          <w:bCs w:val="1"/>
          <w:color w:val="auto"/>
        </w:rPr>
        <w:t>CNTQ Lender</w:t>
      </w:r>
      <w:r>
        <w:rPr>
          <w:rFonts w:ascii="Arial" w:cs="Arial" w:eastAsia="Arial" w:hAnsi="Arial"/>
          <w:sz w:val="18"/>
          <w:szCs w:val="18"/>
          <w:color w:val="auto"/>
        </w:rPr>
        <w:t>”), and EICF Agent LLC (“</w:t>
      </w:r>
      <w:r>
        <w:rPr>
          <w:rFonts w:ascii="Arial" w:cs="Arial" w:eastAsia="Arial" w:hAnsi="Arial"/>
          <w:sz w:val="18"/>
          <w:szCs w:val="18"/>
          <w:b w:val="1"/>
          <w:bCs w:val="1"/>
          <w:color w:val="auto"/>
        </w:rPr>
        <w:t>EIP</w:t>
      </w:r>
      <w:r>
        <w:rPr>
          <w:rFonts w:ascii="Arial" w:cs="Arial" w:eastAsia="Arial" w:hAnsi="Arial"/>
          <w:sz w:val="18"/>
          <w:szCs w:val="18"/>
          <w:color w:val="auto"/>
        </w:rPr>
        <w:t>” and, collectively with the CNTQ Lender, the “</w:t>
      </w:r>
      <w:r>
        <w:rPr>
          <w:rFonts w:ascii="Arial" w:cs="Arial" w:eastAsia="Arial" w:hAnsi="Arial"/>
          <w:sz w:val="18"/>
          <w:szCs w:val="18"/>
          <w:b w:val="1"/>
          <w:bCs w:val="1"/>
          <w:color w:val="auto"/>
        </w:rPr>
        <w:t>Initial Term Loan Lenders</w:t>
      </w:r>
      <w:r>
        <w:rPr>
          <w:rFonts w:ascii="Arial" w:cs="Arial" w:eastAsia="Arial" w:hAnsi="Arial"/>
          <w:sz w:val="18"/>
          <w:szCs w:val="18"/>
          <w:color w:val="auto"/>
        </w:rPr>
        <w:t>”), in connection with the Closing, CNTQ, Legacy Dragonfly and the Initial Term Loan Lenders entered into the Term Loan, Guarantee and Security Agreement (the “</w:t>
      </w:r>
      <w:r>
        <w:rPr>
          <w:rFonts w:ascii="Arial" w:cs="Arial" w:eastAsia="Arial" w:hAnsi="Arial"/>
          <w:sz w:val="18"/>
          <w:szCs w:val="18"/>
          <w:b w:val="1"/>
          <w:bCs w:val="1"/>
          <w:color w:val="auto"/>
        </w:rPr>
        <w:t>Term Loan Agreement</w:t>
      </w:r>
      <w:r>
        <w:rPr>
          <w:rFonts w:ascii="Arial" w:cs="Arial" w:eastAsia="Arial" w:hAnsi="Arial"/>
          <w:sz w:val="18"/>
          <w:szCs w:val="18"/>
          <w:color w:val="auto"/>
        </w:rPr>
        <w:t>”) setting forth the terms of a senior secured term loan facility in an aggregate principal amount of $75 million (the “</w:t>
      </w:r>
      <w:r>
        <w:rPr>
          <w:rFonts w:ascii="Arial" w:cs="Arial" w:eastAsia="Arial" w:hAnsi="Arial"/>
          <w:sz w:val="18"/>
          <w:szCs w:val="18"/>
          <w:b w:val="1"/>
          <w:bCs w:val="1"/>
          <w:color w:val="auto"/>
        </w:rPr>
        <w:t>Term Loan</w:t>
      </w:r>
      <w:r>
        <w:rPr>
          <w:rFonts w:ascii="Arial" w:cs="Arial" w:eastAsia="Arial" w:hAnsi="Arial"/>
          <w:sz w:val="18"/>
          <w:szCs w:val="18"/>
          <w:color w:val="auto"/>
        </w:rPr>
        <w:t>”). The CNTQ Lender backstopped its commitment under the Debt Commitment Letter by entering into a backstop commitment letter, dated as of May 20, 2022 (the “</w:t>
      </w:r>
      <w:r>
        <w:rPr>
          <w:rFonts w:ascii="Arial" w:cs="Arial" w:eastAsia="Arial" w:hAnsi="Arial"/>
          <w:sz w:val="18"/>
          <w:szCs w:val="18"/>
          <w:b w:val="1"/>
          <w:bCs w:val="1"/>
          <w:color w:val="auto"/>
        </w:rPr>
        <w:t>Backstop Commitment Letter</w:t>
      </w:r>
      <w:r>
        <w:rPr>
          <w:rFonts w:ascii="Arial" w:cs="Arial" w:eastAsia="Arial" w:hAnsi="Arial"/>
          <w:sz w:val="18"/>
          <w:szCs w:val="18"/>
          <w:color w:val="auto"/>
        </w:rPr>
        <w:t>”), with a certain third-party financing source (the “</w:t>
      </w:r>
      <w:r>
        <w:rPr>
          <w:rFonts w:ascii="Arial" w:cs="Arial" w:eastAsia="Arial" w:hAnsi="Arial"/>
          <w:sz w:val="18"/>
          <w:szCs w:val="18"/>
          <w:b w:val="1"/>
          <w:bCs w:val="1"/>
          <w:color w:val="auto"/>
        </w:rPr>
        <w:t>Backstop Lender</w:t>
      </w:r>
      <w:r>
        <w:rPr>
          <w:rFonts w:ascii="Arial" w:cs="Arial" w:eastAsia="Arial" w:hAnsi="Arial"/>
          <w:sz w:val="18"/>
          <w:szCs w:val="18"/>
          <w:color w:val="auto"/>
        </w:rPr>
        <w:t>” and collectively with EIP, the “</w:t>
      </w:r>
      <w:r>
        <w:rPr>
          <w:rFonts w:ascii="Arial" w:cs="Arial" w:eastAsia="Arial" w:hAnsi="Arial"/>
          <w:sz w:val="18"/>
          <w:szCs w:val="18"/>
          <w:b w:val="1"/>
          <w:bCs w:val="1"/>
          <w:color w:val="auto"/>
        </w:rPr>
        <w:t>Term Loan Lenders</w:t>
      </w:r>
      <w:r>
        <w:rPr>
          <w:rFonts w:ascii="Arial" w:cs="Arial" w:eastAsia="Arial" w:hAnsi="Arial"/>
          <w:sz w:val="18"/>
          <w:szCs w:val="18"/>
          <w:color w:val="auto"/>
        </w:rPr>
        <w:t>”), pursuant to which the Backstop Lender committed to purchase from the CNTQ Lender the aggregate amount of the Term Loan held by the CNTQ Lender (the “</w:t>
      </w:r>
      <w:r>
        <w:rPr>
          <w:rFonts w:ascii="Arial" w:cs="Arial" w:eastAsia="Arial" w:hAnsi="Arial"/>
          <w:sz w:val="18"/>
          <w:szCs w:val="18"/>
          <w:b w:val="1"/>
          <w:bCs w:val="1"/>
          <w:color w:val="auto"/>
        </w:rPr>
        <w:t>Backstopped Loans</w:t>
      </w:r>
      <w:r>
        <w:rPr>
          <w:rFonts w:ascii="Arial" w:cs="Arial" w:eastAsia="Arial" w:hAnsi="Arial"/>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Arial" w:cs="Arial" w:eastAsia="Arial" w:hAnsi="Arial"/>
          <w:sz w:val="17"/>
          <w:szCs w:val="17"/>
          <w:b w:val="1"/>
          <w:bCs w:val="1"/>
          <w:color w:val="auto"/>
        </w:rPr>
        <w:t>Maturity Date</w:t>
      </w:r>
      <w:r>
        <w:rPr>
          <w:rFonts w:ascii="Arial" w:cs="Arial" w:eastAsia="Arial" w:hAnsi="Arial"/>
          <w:sz w:val="17"/>
          <w:szCs w:val="17"/>
          <w:color w:val="auto"/>
        </w:rPr>
        <w:t>”). The Term Loan accrues interest (i) until April 1, 2023, at a per annum rate equal to the adjusted Secured Overnight Financing Rate (“</w:t>
      </w:r>
      <w:r>
        <w:rPr>
          <w:rFonts w:ascii="Arial" w:cs="Arial" w:eastAsia="Arial" w:hAnsi="Arial"/>
          <w:sz w:val="17"/>
          <w:szCs w:val="17"/>
          <w:b w:val="1"/>
          <w:bCs w:val="1"/>
          <w:color w:val="auto"/>
        </w:rPr>
        <w:t>SOFR</w:t>
      </w:r>
      <w:r>
        <w:rPr>
          <w:rFonts w:ascii="Arial" w:cs="Arial" w:eastAsia="Arial" w:hAnsi="Arial"/>
          <w:sz w:val="17"/>
          <w:szCs w:val="17"/>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may elect to prepay all or any portion of the amounts owed prior to the Maturity Date; provided that we provide notice to Alter Domus (US) LLC, as administrative agent for the lenders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jc w:val="both"/>
        <w:spacing w:after="0" w:line="255" w:lineRule="auto"/>
        <w:rPr>
          <w:sz w:val="20"/>
          <w:szCs w:val="20"/>
          <w:color w:val="auto"/>
        </w:rPr>
      </w:pPr>
      <w:r>
        <w:rPr>
          <w:rFonts w:ascii="Arial" w:cs="Arial" w:eastAsia="Arial" w:hAnsi="Arial"/>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Arial" w:cs="Arial" w:eastAsia="Arial" w:hAnsi="Arial"/>
          <w:sz w:val="17"/>
          <w:szCs w:val="17"/>
          <w:b w:val="1"/>
          <w:bCs w:val="1"/>
          <w:color w:val="auto"/>
        </w:rPr>
        <w:t>Pledge Agreement</w:t>
      </w:r>
      <w:r>
        <w:rPr>
          <w:rFonts w:ascii="Arial" w:cs="Arial" w:eastAsia="Arial" w:hAnsi="Arial"/>
          <w:sz w:val="17"/>
          <w:szCs w:val="17"/>
          <w:color w:val="auto"/>
        </w:rPr>
        <w:t>”) pursuant to which we pledged to the Administrative Agent our equity interests in Legacy Dragonfly as further collateral security for the obligations under the Term Loan Agreement.</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95" w:lineRule="auto"/>
        <w:tabs>
          <w:tab w:leader="none" w:pos="2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Agreements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Arial" w:cs="Arial" w:eastAsia="Arial" w:hAnsi="Arial"/>
          <w:sz w:val="18"/>
          <w:szCs w:val="18"/>
          <w:b w:val="1"/>
          <w:bCs w:val="1"/>
          <w:color w:val="auto"/>
        </w:rPr>
        <w:t>Penny Warrants</w:t>
      </w:r>
      <w:r>
        <w:rPr>
          <w:rFonts w:ascii="Arial" w:cs="Arial" w:eastAsia="Arial" w:hAnsi="Arial"/>
          <w:sz w:val="18"/>
          <w:szCs w:val="18"/>
          <w:color w:val="auto"/>
        </w:rPr>
        <w:t xml:space="preserve">”), and (ii) warrants to the Term Loan Lenders under the Term Loan exercisable to purchase 1,600,000 shares of our common stock at an exercise price of $10.00 per share (the </w:t>
      </w:r>
      <w:r>
        <w:rPr>
          <w:rFonts w:ascii="Arial" w:cs="Arial" w:eastAsia="Arial" w:hAnsi="Arial"/>
          <w:sz w:val="18"/>
          <w:szCs w:val="18"/>
          <w:b w:val="1"/>
          <w:bCs w:val="1"/>
          <w:color w:val="auto"/>
        </w:rPr>
        <w:t>“$10 Warrants</w:t>
      </w:r>
      <w:r>
        <w:rPr>
          <w:rFonts w:ascii="Arial" w:cs="Arial" w:eastAsia="Arial" w:hAnsi="Arial"/>
          <w:sz w:val="18"/>
          <w:szCs w:val="18"/>
          <w:color w:val="auto"/>
        </w:rPr>
        <w:t>” and, together with the Penny Warrants, the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The Penny Warrants have an exercise period of 10 years from the date of issuance. As of September 18, 2023, 1,996,323 shares of common stock have been issued upon the exercise of Penny Warrants and 593,056 shares of common stock are currently issuable upon the exercise of outstanding Penny Warrants.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Consistent with the equity facility letter agreement between Legacy Dragonfly and CCM 5, we entered into the Purchase Agreement and the Registration Rights Agreement (the “</w:t>
      </w:r>
      <w:r>
        <w:rPr>
          <w:rFonts w:ascii="Arial" w:cs="Arial" w:eastAsia="Arial" w:hAnsi="Arial"/>
          <w:sz w:val="16"/>
          <w:szCs w:val="16"/>
          <w:b w:val="1"/>
          <w:bCs w:val="1"/>
          <w:color w:val="auto"/>
        </w:rPr>
        <w:t>ChEF RRA</w:t>
      </w:r>
      <w:r>
        <w:rPr>
          <w:rFonts w:ascii="Arial" w:cs="Arial" w:eastAsia="Arial" w:hAnsi="Arial"/>
          <w:sz w:val="16"/>
          <w:szCs w:val="16"/>
          <w:color w:val="auto"/>
        </w:rPr>
        <w:t>”) with CCM in connection with the Closing. Pursuant to and on the terms of the Purchase Agreement, we have the right to sell and direct CCM to purchase an amount of shares of our common stock over the term of the ChEF Equity Facility. In addition, we appointed LifeSci Capital, LLC as a “qualified independent underwriter” with respect to the transactions contemplated by the Purchase Agreement.</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terms of the Purchase Agreement, CCM is not be obligated to (but may, at its option, choose to) purchase shares of common stock to the extent such amount purchased exceeds the amount of shares of common stock equal to the least of: (i) a number of shares that would result in beneficial ownership (as calculated pursuant to Section 13(d) of the Exchange Act and Rule 13d-3 promulgated thereunder) by CCM, together with its affiliates, of more than 9.9%, (ii) a number of shares that would cause the aggregate purchase price on the applicable VWAP Purchase Date (as defined in the Purchase Agreement) for such purchases to exceed $3 million and (iii) a number of shares that would equal 20% of the total number of shares of common stock that would count towards VWAP on the applicable Purchase Date of such purchase. As of September 18, 2023, 98,500 shares have been issued pursuant to the Purchase Agreement with CCM for aggregate net proceeds to us of $670,593.</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To the extent we sell shares of our common stock under the Purchase Agreement, we currently plan to use any proceeds therefrom for working capital and other general corporate purposes.</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CCM is an affiliate of the Sponsor. In light of the beneficial ownership limitation set forth above, the Sponsor has agreed that the private placement warrants held by Chardan NexTech 2 Warrant Holdings, also an affiliate of the Sponsor, may not be exercised to the extent an affiliate of the Sponsor (including CCM) is deemed to beneficially own, or it would cause such affiliate to be deemed to beneficially own, more than 7.5% of our common stock.</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pursuant to the ChEF RRA, we have agreed to provide CCM with certain registration rights with respect to the shares of common stock issued subject to the Purchase Agreement.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Unless earlier terminated, the Purchase Agreement will remain in effect until the earliest to occur of (i) the 36-month anniversary of the later of the effective date of the Initial Registration Statement (as defined in the Purchase Agreement), (ii) the date on which CCM shall have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t>Related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Concurrently with the execution of the Business Combination Agreement, CNTQ, Legacy Dragonfly and the Sponsor entered into a sponsor support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of Directors and Officers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Closing Date, in connection with the consummation of the Business Combination Agreement, we entered into the Amended and Restated Registration Rights Agreement (the “</w:t>
      </w:r>
      <w:r>
        <w:rPr>
          <w:rFonts w:ascii="Arial" w:cs="Arial" w:eastAsia="Arial" w:hAnsi="Arial"/>
          <w:sz w:val="18"/>
          <w:szCs w:val="18"/>
          <w:b w:val="1"/>
          <w:bCs w:val="1"/>
          <w:color w:val="auto"/>
        </w:rPr>
        <w:t>Insider Registration Rights Agreement</w:t>
      </w:r>
      <w:r>
        <w:rPr>
          <w:rFonts w:ascii="Arial" w:cs="Arial" w:eastAsia="Arial" w:hAnsi="Arial"/>
          <w:sz w:val="18"/>
          <w:szCs w:val="18"/>
          <w:color w:val="auto"/>
        </w:rPr>
        <w:t>”) with the Sponsor, CNTQ’s officers, directors, initial stockholders, CCM and Warrant Holdings, an affiliate of the Sponsor (collectively, the “</w:t>
      </w:r>
      <w:r>
        <w:rPr>
          <w:rFonts w:ascii="Arial" w:cs="Arial" w:eastAsia="Arial" w:hAnsi="Arial"/>
          <w:sz w:val="18"/>
          <w:szCs w:val="18"/>
          <w:b w:val="1"/>
          <w:bCs w:val="1"/>
          <w:color w:val="auto"/>
        </w:rPr>
        <w:t>Insiders</w:t>
      </w:r>
      <w:r>
        <w:rPr>
          <w:rFonts w:ascii="Arial" w:cs="Arial" w:eastAsia="Arial" w:hAnsi="Arial"/>
          <w:sz w:val="18"/>
          <w:szCs w:val="18"/>
          <w:color w:val="auto"/>
        </w:rPr>
        <w:t>”) and certain Legacy Dragonfly stockholders for the registration of certain securities held by the Insiders.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 2022, we entered into an asset purchase agreement (the “</w:t>
      </w:r>
      <w:r>
        <w:rPr>
          <w:rFonts w:ascii="Arial" w:cs="Arial" w:eastAsia="Arial" w:hAnsi="Arial"/>
          <w:sz w:val="18"/>
          <w:szCs w:val="18"/>
          <w:b w:val="1"/>
          <w:bCs w:val="1"/>
          <w:color w:val="auto"/>
        </w:rPr>
        <w:t>Bourns 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w:t>
      </w:r>
      <w:r>
        <w:rPr>
          <w:rFonts w:ascii="Arial" w:cs="Arial" w:eastAsia="Arial" w:hAnsi="Arial"/>
          <w:sz w:val="18"/>
          <w:szCs w:val="18"/>
          <w:color w:val="auto"/>
        </w:rPr>
        <w:t>”), pursuant to which we acquired machinery, equipment and a lease for a podcast studio from Bourns Production as set forth in the Bourns</w:t>
      </w:r>
      <w:r>
        <w:rPr>
          <w:rFonts w:ascii="Arial" w:cs="Arial" w:eastAsia="Arial" w:hAnsi="Arial"/>
          <w:sz w:val="18"/>
          <w:szCs w:val="18"/>
          <w:b w:val="1"/>
          <w:bCs w:val="1"/>
          <w:color w:val="auto"/>
        </w:rPr>
        <w:t xml:space="preserve"> </w:t>
      </w:r>
      <w:r>
        <w:rPr>
          <w:rFonts w:ascii="Arial" w:cs="Arial" w:eastAsia="Arial" w:hAnsi="Arial"/>
          <w:sz w:val="18"/>
          <w:szCs w:val="18"/>
          <w:color w:val="auto"/>
        </w:rPr>
        <w:t>APA for a purchase price of approximately $197,000, which was the approximated fair market value. Tyler Bourns, who has served as our Chief Marketing Officer since November 2022, is the owner and president of Bourns Productions.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April 4, 2022, we entered into an asset purchase agreement (“</w:t>
      </w:r>
      <w:r>
        <w:rPr>
          <w:rFonts w:ascii="Arial" w:cs="Arial" w:eastAsia="Arial" w:hAnsi="Arial"/>
          <w:sz w:val="18"/>
          <w:szCs w:val="18"/>
          <w:b w:val="1"/>
          <w:bCs w:val="1"/>
          <w:color w:val="auto"/>
        </w:rPr>
        <w:t>TJC APA</w:t>
      </w:r>
      <w:r>
        <w:rPr>
          <w:rFonts w:ascii="Arial" w:cs="Arial" w:eastAsia="Arial" w:hAnsi="Arial"/>
          <w:sz w:val="18"/>
          <w:szCs w:val="18"/>
          <w:color w:val="auto"/>
        </w:rPr>
        <w:t>”) with Thomason Jones Company, LLC, a Washington limited liability company (“</w:t>
      </w:r>
      <w:r>
        <w:rPr>
          <w:rFonts w:ascii="Arial" w:cs="Arial" w:eastAsia="Arial" w:hAnsi="Arial"/>
          <w:sz w:val="18"/>
          <w:szCs w:val="18"/>
          <w:b w:val="1"/>
          <w:bCs w:val="1"/>
          <w:color w:val="auto"/>
        </w:rPr>
        <w:t>TJC</w:t>
      </w:r>
      <w:r>
        <w:rPr>
          <w:rFonts w:ascii="Arial" w:cs="Arial" w:eastAsia="Arial" w:hAnsi="Arial"/>
          <w:sz w:val="18"/>
          <w:szCs w:val="18"/>
          <w:color w:val="auto"/>
        </w:rPr>
        <w:t>”), pursuant to which we acquired intellectual property rights and inventory for a purchase price of approximately $444,000 which was the approximated fair market value. William Thomason and Richard Jones, our engineer and sales representatives, each of whom he hired in connection with the entry into the TJC APA, are the managing members of TJC.</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November 4, 2022, we announced that Sean Nichols, our former Chief Operating Officer, would be leaving the Company to pursue other interests. His last day of employment was November 7, 2022 (the “</w:t>
      </w:r>
      <w:r>
        <w:rPr>
          <w:rFonts w:ascii="Arial" w:cs="Arial" w:eastAsia="Arial" w:hAnsi="Arial"/>
          <w:sz w:val="16"/>
          <w:szCs w:val="16"/>
          <w:b w:val="1"/>
          <w:bCs w:val="1"/>
          <w:color w:val="auto"/>
        </w:rPr>
        <w:t>Separation Date</w:t>
      </w:r>
      <w:r>
        <w:rPr>
          <w:rFonts w:ascii="Arial" w:cs="Arial" w:eastAsia="Arial" w:hAnsi="Arial"/>
          <w:sz w:val="16"/>
          <w:szCs w:val="16"/>
          <w:color w:val="auto"/>
        </w:rPr>
        <w:t>”). On October 25, 2022, we entered into a separation and release agreement with Mr. Nichols that became effective and fully irrevocable on November 2, 2022, which was subsequently amended on November 14, 2022 (as amended, the “</w:t>
      </w:r>
      <w:r>
        <w:rPr>
          <w:rFonts w:ascii="Arial" w:cs="Arial" w:eastAsia="Arial" w:hAnsi="Arial"/>
          <w:sz w:val="16"/>
          <w:szCs w:val="16"/>
          <w:b w:val="1"/>
          <w:bCs w:val="1"/>
          <w:color w:val="auto"/>
        </w:rPr>
        <w:t>Separation Agreement</w:t>
      </w:r>
      <w:r>
        <w:rPr>
          <w:rFonts w:ascii="Arial" w:cs="Arial" w:eastAsia="Arial" w:hAnsi="Arial"/>
          <w:sz w:val="16"/>
          <w:szCs w:val="16"/>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6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February 24, 2023, we entered into the First Amended and Restated Employment Agreement (the “</w:t>
      </w:r>
      <w:r>
        <w:rPr>
          <w:rFonts w:ascii="Arial" w:cs="Arial" w:eastAsia="Arial" w:hAnsi="Arial"/>
          <w:sz w:val="17"/>
          <w:szCs w:val="17"/>
          <w:b w:val="1"/>
          <w:bCs w:val="1"/>
          <w:color w:val="auto"/>
        </w:rPr>
        <w:t>Restated Agreement</w:t>
      </w:r>
      <w:r>
        <w:rPr>
          <w:rFonts w:ascii="Arial" w:cs="Arial" w:eastAsia="Arial" w:hAnsi="Arial"/>
          <w:sz w:val="17"/>
          <w:szCs w:val="17"/>
          <w:color w:val="auto"/>
        </w:rPr>
        <w:t>”) with John Marchetti, our Chief Financial Officer. The Restated Agreement amended and restated the employment agreement, dated October 11, 2022, by and between us and Mr. Marchetti (the “</w:t>
      </w:r>
      <w:r>
        <w:rPr>
          <w:rFonts w:ascii="Arial" w:cs="Arial" w:eastAsia="Arial" w:hAnsi="Arial"/>
          <w:sz w:val="17"/>
          <w:szCs w:val="17"/>
          <w:b w:val="1"/>
          <w:bCs w:val="1"/>
          <w:color w:val="auto"/>
        </w:rPr>
        <w:t>Original Agreement</w:t>
      </w:r>
      <w:r>
        <w:rPr>
          <w:rFonts w:ascii="Arial" w:cs="Arial" w:eastAsia="Arial" w:hAnsi="Arial"/>
          <w:sz w:val="17"/>
          <w:szCs w:val="17"/>
          <w:color w:val="auto"/>
        </w:rPr>
        <w:t>”). The Restated Agreement provides that Mr. Marchetti will receive a minimum annual bonus of $175,000 for the fiscal year ending December 31, 2023. All other terms of the Restated Agreement remain the same as the Original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jc w:val="both"/>
        <w:spacing w:after="0" w:line="261" w:lineRule="auto"/>
        <w:rPr>
          <w:sz w:val="20"/>
          <w:szCs w:val="20"/>
          <w:color w:val="auto"/>
        </w:rPr>
      </w:pPr>
      <w:r>
        <w:rPr>
          <w:rFonts w:ascii="Arial" w:cs="Arial" w:eastAsia="Arial" w:hAnsi="Arial"/>
          <w:sz w:val="18"/>
          <w:szCs w:val="18"/>
          <w:color w:val="auto"/>
        </w:rPr>
        <w:t>On March 5, 2023, we issued an unsecured convertible promissory note (the “</w:t>
      </w:r>
      <w:r>
        <w:rPr>
          <w:rFonts w:ascii="Arial" w:cs="Arial" w:eastAsia="Arial" w:hAnsi="Arial"/>
          <w:sz w:val="18"/>
          <w:szCs w:val="18"/>
          <w:b w:val="1"/>
          <w:bCs w:val="1"/>
          <w:color w:val="auto"/>
        </w:rPr>
        <w:t>Note</w:t>
      </w:r>
      <w:r>
        <w:rPr>
          <w:rFonts w:ascii="Arial" w:cs="Arial" w:eastAsia="Arial" w:hAnsi="Arial"/>
          <w:sz w:val="18"/>
          <w:szCs w:val="18"/>
          <w:color w:val="auto"/>
        </w:rPr>
        <w:t>”) in the principal amount of $1.0 million (the “</w:t>
      </w:r>
      <w:r>
        <w:rPr>
          <w:rFonts w:ascii="Arial" w:cs="Arial" w:eastAsia="Arial" w:hAnsi="Arial"/>
          <w:sz w:val="18"/>
          <w:szCs w:val="18"/>
          <w:b w:val="1"/>
          <w:bCs w:val="1"/>
          <w:color w:val="auto"/>
        </w:rPr>
        <w:t>Principal Amount</w:t>
      </w:r>
      <w:r>
        <w:rPr>
          <w:rFonts w:ascii="Arial" w:cs="Arial" w:eastAsia="Arial" w:hAnsi="Arial"/>
          <w:sz w:val="18"/>
          <w:szCs w:val="18"/>
          <w:color w:val="auto"/>
        </w:rPr>
        <w:t>”) to Brian Nelson, one of our directors, in a private placement in exchange for cash in an equal amount. The Note became due and payable in full on April 1, 2023. We were also obligated to pay $100,000 (the “</w:t>
      </w:r>
      <w:r>
        <w:rPr>
          <w:rFonts w:ascii="Arial" w:cs="Arial" w:eastAsia="Arial" w:hAnsi="Arial"/>
          <w:sz w:val="18"/>
          <w:szCs w:val="18"/>
          <w:b w:val="1"/>
          <w:bCs w:val="1"/>
          <w:color w:val="auto"/>
        </w:rPr>
        <w:t>Loan Fee</w:t>
      </w:r>
      <w:r>
        <w:rPr>
          <w:rFonts w:ascii="Arial" w:cs="Arial" w:eastAsia="Arial" w:hAnsi="Arial"/>
          <w:sz w:val="18"/>
          <w:szCs w:val="18"/>
          <w:color w:val="auto"/>
        </w:rPr>
        <w:t>”) to Mr. Nelson on April 4, 2023. We paid the Principal Amount and the Loan Fee in full on April 1, 2023 and April 4, 2023, respectively.</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2023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20, 2023, we entered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Roth Capital Partners, LLC, as representative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pursuant to which we sold to the Underwriters, in a firm commitment underwritten public offering (the “</w:t>
      </w:r>
      <w:r>
        <w:rPr>
          <w:rFonts w:ascii="Arial" w:cs="Arial" w:eastAsia="Arial" w:hAnsi="Arial"/>
          <w:sz w:val="17"/>
          <w:szCs w:val="17"/>
          <w:b w:val="1"/>
          <w:bCs w:val="1"/>
          <w:color w:val="auto"/>
        </w:rPr>
        <w:t>June</w:t>
      </w:r>
      <w:r>
        <w:rPr>
          <w:rFonts w:ascii="Arial" w:cs="Arial" w:eastAsia="Arial" w:hAnsi="Arial"/>
          <w:sz w:val="17"/>
          <w:szCs w:val="17"/>
          <w:color w:val="auto"/>
        </w:rPr>
        <w:t xml:space="preserve"> </w:t>
      </w:r>
      <w:r>
        <w:rPr>
          <w:rFonts w:ascii="Arial" w:cs="Arial" w:eastAsia="Arial" w:hAnsi="Arial"/>
          <w:sz w:val="17"/>
          <w:szCs w:val="17"/>
          <w:b w:val="1"/>
          <w:bCs w:val="1"/>
          <w:color w:val="auto"/>
        </w:rPr>
        <w:t>2023 Public Offering</w:t>
      </w:r>
      <w:r>
        <w:rPr>
          <w:rFonts w:ascii="Arial" w:cs="Arial" w:eastAsia="Arial" w:hAnsi="Arial"/>
          <w:sz w:val="17"/>
          <w:szCs w:val="17"/>
          <w:color w:val="auto"/>
        </w:rPr>
        <w:t>”), an aggregate of (i) 10,000,000 shares of our common stock, par value $0.0001, and (ii) accompanying warrants to purchase up to</w:t>
      </w:r>
      <w:r>
        <w:rPr>
          <w:rFonts w:ascii="Arial" w:cs="Arial" w:eastAsia="Arial" w:hAnsi="Arial"/>
          <w:sz w:val="17"/>
          <w:szCs w:val="17"/>
          <w:b w:val="1"/>
          <w:bCs w:val="1"/>
          <w:color w:val="auto"/>
        </w:rPr>
        <w:t xml:space="preserve"> </w:t>
      </w:r>
      <w:r>
        <w:rPr>
          <w:rFonts w:ascii="Arial" w:cs="Arial" w:eastAsia="Arial" w:hAnsi="Arial"/>
          <w:sz w:val="17"/>
          <w:szCs w:val="17"/>
          <w:color w:val="auto"/>
        </w:rPr>
        <w:t>10,000,000 shares of common stock (the “</w:t>
      </w:r>
      <w:r>
        <w:rPr>
          <w:rFonts w:ascii="Arial" w:cs="Arial" w:eastAsia="Arial" w:hAnsi="Arial"/>
          <w:sz w:val="17"/>
          <w:szCs w:val="17"/>
          <w:b w:val="1"/>
          <w:bCs w:val="1"/>
          <w:color w:val="auto"/>
        </w:rPr>
        <w:t>Investor Warrants</w:t>
      </w:r>
      <w:r>
        <w:rPr>
          <w:rFonts w:ascii="Arial" w:cs="Arial" w:eastAsia="Arial" w:hAnsi="Arial"/>
          <w:sz w:val="17"/>
          <w:szCs w:val="17"/>
          <w:color w:val="auto"/>
        </w:rPr>
        <w:t>”), at the combined public offering price of $2.00 per share and accompanying Investor Warrant, less underwriting discounts and commissions, and (iii) warrants to purchase up to an aggregate of 570,250 shares of common stock (the “</w:t>
      </w:r>
      <w:r>
        <w:rPr>
          <w:rFonts w:ascii="Arial" w:cs="Arial" w:eastAsia="Arial" w:hAnsi="Arial"/>
          <w:sz w:val="17"/>
          <w:szCs w:val="17"/>
          <w:b w:val="1"/>
          <w:bCs w:val="1"/>
          <w:color w:val="auto"/>
        </w:rPr>
        <w:t>Underwriters’ Warrants</w:t>
      </w:r>
      <w:r>
        <w:rPr>
          <w:rFonts w:ascii="Arial" w:cs="Arial" w:eastAsia="Arial" w:hAnsi="Arial"/>
          <w:sz w:val="17"/>
          <w:szCs w:val="17"/>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Nevada Reincorporation</w:t>
      </w:r>
    </w:p>
    <w:p>
      <w:pPr>
        <w:spacing w:after="0" w:line="225"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March 31, 2023 (the “</w:t>
      </w:r>
      <w:r>
        <w:rPr>
          <w:rFonts w:ascii="Arial" w:cs="Arial" w:eastAsia="Arial" w:hAnsi="Arial"/>
          <w:sz w:val="16"/>
          <w:szCs w:val="16"/>
          <w:b w:val="1"/>
          <w:bCs w:val="1"/>
          <w:color w:val="auto"/>
        </w:rPr>
        <w:t>Effective Date</w:t>
      </w:r>
      <w:r>
        <w:rPr>
          <w:rFonts w:ascii="Arial" w:cs="Arial" w:eastAsia="Arial" w:hAnsi="Arial"/>
          <w:sz w:val="16"/>
          <w:szCs w:val="16"/>
          <w:color w:val="auto"/>
        </w:rPr>
        <w:t>”), we changed our state of incorporation from the State of Delaware to the State of Nevada (the “</w:t>
      </w:r>
      <w:r>
        <w:rPr>
          <w:rFonts w:ascii="Arial" w:cs="Arial" w:eastAsia="Arial" w:hAnsi="Arial"/>
          <w:sz w:val="16"/>
          <w:szCs w:val="16"/>
          <w:b w:val="1"/>
          <w:bCs w:val="1"/>
          <w:color w:val="auto"/>
        </w:rPr>
        <w:t>Reincorporation</w:t>
      </w:r>
      <w:r>
        <w:rPr>
          <w:rFonts w:ascii="Arial" w:cs="Arial" w:eastAsia="Arial" w:hAnsi="Arial"/>
          <w:sz w:val="16"/>
          <w:szCs w:val="16"/>
          <w:color w:val="auto"/>
        </w:rPr>
        <w:t>”) pursuant to a plan of conversion dated March 30, 2023 (the “</w:t>
      </w:r>
      <w:r>
        <w:rPr>
          <w:rFonts w:ascii="Arial" w:cs="Arial" w:eastAsia="Arial" w:hAnsi="Arial"/>
          <w:sz w:val="16"/>
          <w:szCs w:val="16"/>
          <w:b w:val="1"/>
          <w:bCs w:val="1"/>
          <w:color w:val="auto"/>
        </w:rPr>
        <w:t>Plan of Conversion</w:t>
      </w:r>
      <w:r>
        <w:rPr>
          <w:rFonts w:ascii="Arial" w:cs="Arial" w:eastAsia="Arial" w:hAnsi="Arial"/>
          <w:sz w:val="16"/>
          <w:szCs w:val="16"/>
          <w:color w:val="auto"/>
        </w:rPr>
        <w:t>”). The Reincorporation was accomplished by filing:</w:t>
      </w:r>
    </w:p>
    <w:p>
      <w:pPr>
        <w:spacing w:after="0" w:line="1" w:lineRule="exact"/>
        <w:rPr>
          <w:sz w:val="20"/>
          <w:szCs w:val="20"/>
          <w:color w:val="auto"/>
        </w:rPr>
      </w:pPr>
    </w:p>
    <w:p>
      <w:pPr>
        <w:jc w:val="both"/>
        <w:ind w:firstLine="8"/>
        <w:spacing w:after="0" w:line="277" w:lineRule="auto"/>
        <w:tabs>
          <w:tab w:leader="none" w:pos="232"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certificate of conversion with the Secretary of State of the State of Delaware; (ii) articles of conversion with the Secretary of State of the State of Nevada; and (iii) articles of incorporation (the “</w:t>
      </w:r>
      <w:r>
        <w:rPr>
          <w:rFonts w:ascii="Arial" w:cs="Arial" w:eastAsia="Arial" w:hAnsi="Arial"/>
          <w:sz w:val="17"/>
          <w:szCs w:val="17"/>
          <w:b w:val="1"/>
          <w:bCs w:val="1"/>
          <w:color w:val="auto"/>
        </w:rPr>
        <w:t>Articles of Incorporation</w:t>
      </w:r>
      <w:r>
        <w:rPr>
          <w:rFonts w:ascii="Arial" w:cs="Arial" w:eastAsia="Arial" w:hAnsi="Arial"/>
          <w:sz w:val="17"/>
          <w:szCs w:val="17"/>
          <w:color w:val="auto"/>
        </w:rPr>
        <w:t>”) with the Secretary of State of the State of Nevada. In connection with the Reincorporation, our board of directors adopted new bylaws in the form attached to the Plan of Conversion (the “</w:t>
      </w:r>
      <w:r>
        <w:rPr>
          <w:rFonts w:ascii="Arial" w:cs="Arial" w:eastAsia="Arial" w:hAnsi="Arial"/>
          <w:sz w:val="17"/>
          <w:szCs w:val="17"/>
          <w:b w:val="1"/>
          <w:bCs w:val="1"/>
          <w:color w:val="auto"/>
        </w:rPr>
        <w:t>Bylaws</w:t>
      </w:r>
      <w:r>
        <w:rPr>
          <w:rFonts w:ascii="Arial" w:cs="Arial" w:eastAsia="Arial" w:hAnsi="Arial"/>
          <w:sz w:val="17"/>
          <w:szCs w:val="17"/>
          <w:color w:val="auto"/>
        </w:rPr>
        <w: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Reincorporation was previously submitted to a vote of, and approved by, the Company’s stockholders at a special meeting of stockholders held on February 28, 2023 (the “</w:t>
      </w:r>
      <w:r>
        <w:rPr>
          <w:rFonts w:ascii="Arial" w:cs="Arial" w:eastAsia="Arial" w:hAnsi="Arial"/>
          <w:sz w:val="16"/>
          <w:szCs w:val="16"/>
          <w:b w:val="1"/>
          <w:bCs w:val="1"/>
          <w:color w:val="auto"/>
        </w:rPr>
        <w:t>Special Meeting</w:t>
      </w:r>
      <w:r>
        <w:rPr>
          <w:rFonts w:ascii="Arial" w:cs="Arial" w:eastAsia="Arial" w:hAnsi="Arial"/>
          <w:sz w:val="16"/>
          <w:szCs w:val="16"/>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April 26, 2023, we entered into a separation and release of claims agreement with our Chief Legal Officer (“</w:t>
      </w:r>
      <w:r>
        <w:rPr>
          <w:rFonts w:ascii="Arial" w:cs="Arial" w:eastAsia="Arial" w:hAnsi="Arial"/>
          <w:sz w:val="16"/>
          <w:szCs w:val="16"/>
          <w:b w:val="1"/>
          <w:bCs w:val="1"/>
          <w:color w:val="auto"/>
        </w:rPr>
        <w:t>CLO</w:t>
      </w:r>
      <w:r>
        <w:rPr>
          <w:rFonts w:ascii="Arial" w:cs="Arial" w:eastAsia="Arial" w:hAnsi="Arial"/>
          <w:sz w:val="16"/>
          <w:szCs w:val="16"/>
          <w:color w:val="auto"/>
        </w:rPr>
        <w:t>”). As consideration for the CLO’s execution of the agreement, we agreed to pay the employee wages and benefits divided into 24 monthly payments commencing on June 1, 2023, and all outstanding equity-based compensation awards to become fully vested and exercisable. The CLO had three months from the termination date to exercise her outstanding options. The three-month period ended on July 26, 2023 in which the options were not exercised and the options were forfeited as a result.</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20, 2023, upon mutual agreement between the Company and Mr. Marchetti, Mr. Marchetti resigned from his position as the Company’s Chief Financial Officer. Mr. Marchetti will continue in the role of Senior Vice President, Operations. In connection with Mr. Marchetti’s resignation, on August 20, 2023, our board of directors appointed Denis Phares, the Company’s President, Chief Executive Officer, and Chairman of our board of directors, to succeed Mr. Marchetti as the Company’s interim Chief Financial Officer. Dr. Phares will continue his duties as President, Chief Executive Officer, and Chairman of our board of directors. The Company intends to commence a search for a full time Chief Financial Officer.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18, 2023, 98,500 shares have been issued under the ChEF Equity Facility for aggregate net proceeds to us of $670,593.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65"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the sole business and operating assets of the Company going forward, are now the financial statements of us.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2020, we have sold over 266,000 batteries. For the quarters ended June 30, 2023 and 2022, we sold 20,966 and 21,651 batteries, respectively, and had $19.3 million and $21.6 million in net sales, respectively. We currently offer a line of batteries across our “Battle Born” and “Dragonfly Energy” brands, each differentiated by size, power and capacity, consisting of seven different models, four of which come with a heated option. We primarily sell “Battle Born” branded batteries DTC and “Dragonfly Energy” branded batteries to OEMs.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increased total sales are a reflection of strong growth in OEM sales and Wakespeed products,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supplement our battery offerings, we our line of proprietary Wakespeed alternator regulation products which are necessary to ensure that the alternator does not get unduly stressed during the current delivery to the batteries and that the current delivery remains within the operating limits of the onboard battery bank. In addition to its own accessors, we are also a reseller of accessories for battery systems. These include chargers, inverters, monitors, controllers, solar panels and other system accessories from brands such as Victron Energy, Progressive Dynamics, Magnum Energy and Sterling Power.</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our conventional LFP batteries, we are currently developing the next generation of LFP solid-state cells. Since our founding, we have been developing proprietary battery cell manufacturing processes and solid-state battery cell technology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cell manufacturing process is highlighted by our dry deposition technology, which completely displaces the need for toxic solvents in the manufacturing process and allows for the rapid and scalable production of chemistry-agnostic cells. Additionally, our internal production of battery cells will streamline our supply chain, allowing us to vertically integrate our cells into our batteries, thereby lowering our production costs.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Under this method of accounting, CNTQ was treated as the acquired company for financial statement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the ChEF Equity Facility. We have chosen to be conservative because of the performance of our common stock in February and March 2023. Much of this was due to the low public float, low institutional interest (since we are pre-lockup expiration), and low visibility of the Company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9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$21.1 million.</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June 30, 2023, we had cash totaling $33.0 million. Our net loss for the quarter ended June 30, 2023 and 2022 was $11.7 million and $1.5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position and results of operations depend to a significant extent on the following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End Market Consumers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demand for our products ultimately depends on demand from consumers in our current end markets. We generate sales through (1) DTC and (2) through OEMs, particularly in the RV market.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Demand from end market consumers is impacted by a number of factors, including travel restrictions, fuel costs and energy demands (including an increasing trend towards the use of green energy), as well as overall macro-economic conditions.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such as inflation and rising interest rates, have caused a downward shift in decisions taken by end market consumers around spending in the RV market and in July of 2023, we were notified by our largest RV OEM customer that, due to weaker demand for its products and their subsequent focus on reducing costs, it would no longer install our</w:t>
      </w:r>
    </w:p>
    <w:p>
      <w:pPr>
        <w:sectPr>
          <w:pgSz w:w="11900" w:h="16901" w:orient="portrait"/>
          <w:cols w:equalWidth="0" w:num="1">
            <w:col w:w="11240"/>
          </w:cols>
          <w:pgMar w:left="320" w:top="665" w:right="339" w:bottom="0" w:gutter="0" w:footer="0" w:header="0"/>
        </w:sectPr>
      </w:pPr>
    </w:p>
    <w:bookmarkStart w:id="69" w:name="page70"/>
    <w:bookmarkEnd w:id="69"/>
    <w:p>
      <w:pPr>
        <w:jc w:val="both"/>
        <w:spacing w:after="0" w:line="263" w:lineRule="auto"/>
        <w:rPr>
          <w:sz w:val="20"/>
          <w:szCs w:val="20"/>
          <w:color w:val="auto"/>
        </w:rPr>
      </w:pPr>
      <w:r>
        <w:rPr>
          <w:rFonts w:ascii="Arial" w:cs="Arial" w:eastAsia="Arial" w:hAnsi="Arial"/>
          <w:sz w:val="18"/>
          <w:szCs w:val="18"/>
          <w:color w:val="auto"/>
        </w:rPr>
        <w:t>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jc w:val="both"/>
        <w:spacing w:after="0" w:line="290" w:lineRule="auto"/>
        <w:rPr>
          <w:sz w:val="20"/>
          <w:szCs w:val="20"/>
          <w:color w:val="auto"/>
        </w:rPr>
      </w:pPr>
      <w:r>
        <w:rPr>
          <w:rFonts w:ascii="Arial" w:cs="Arial" w:eastAsia="Arial" w:hAnsi="Arial"/>
          <w:sz w:val="16"/>
          <w:szCs w:val="16"/>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the Company is now actively working down its inventory to more appropriate safety stock levels.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and Customer Mix</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Production Capacity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have entered into a lease for an additional 390,240 square foot warehouse in Reno, Nevada, which is expected to be completed in early 2024. This facility, combined with our existing facility, will allow further scaling of our increasingly automated battery pack assembly capabilities, expand our warehousing space, and allow for deployment of our solid-state cell manufacturing.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sales is primarily generated from the sale of our LFP batteries to OEMs and consumers, as well as chargers and other accessories, either individually or bundled.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 of goods sold includes the cost of cells and other components of our LFP batteries, labor and overhead, logistics and freight costs, and depreciation of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2" w:name="page73"/>
    <w:bookmarkEnd w:id="72"/>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income (expense) consists primarily of interest expense, the change in fair value of the warrant liability and amortization of debt issuance costs.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Three months ended June 30, 2023 and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three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right"/>
              <w:ind w:right="661"/>
              <w:spacing w:after="0"/>
              <w:rPr>
                <w:sz w:val="20"/>
                <w:szCs w:val="20"/>
                <w:color w:val="auto"/>
              </w:rPr>
            </w:pPr>
            <w:r>
              <w:rPr>
                <w:rFonts w:ascii="Arial" w:cs="Arial" w:eastAsia="Arial" w:hAnsi="Arial"/>
                <w:sz w:val="18"/>
                <w:szCs w:val="18"/>
                <w:b w:val="1"/>
                <w:bCs w:val="1"/>
                <w:color w:val="auto"/>
              </w:rPr>
              <w:t>Three months ended June 30,</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1"/>
              <w:spacing w:after="0"/>
              <w:rPr>
                <w:sz w:val="20"/>
                <w:szCs w:val="20"/>
                <w:color w:val="auto"/>
              </w:rPr>
            </w:pPr>
            <w:r>
              <w:rPr>
                <w:rFonts w:ascii="Arial" w:cs="Arial" w:eastAsia="Arial" w:hAnsi="Arial"/>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100" w:type="dxa"/>
            <w:vAlign w:val="bottom"/>
            <w:gridSpan w:val="2"/>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19,274</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21,622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15,176</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78.7</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14,594</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67.5</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1,067</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5.5</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859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7,614</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39.5</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3,816</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3,808</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2,881</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r>
      <w:tr>
        <w:trPr>
          <w:trHeight w:val="237"/>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3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gridSpan w:val="2"/>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(43.5)</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(4,113)</w:t>
            </w:r>
          </w:p>
        </w:tc>
        <w:tc>
          <w:tcPr>
            <w:tcW w:w="1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(21.3)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(1,228)</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Arial" w:cs="Arial" w:eastAsia="Arial" w:hAnsi="Arial"/>
                <w:sz w:val="18"/>
                <w:szCs w:val="18"/>
                <w:color w:val="auto"/>
              </w:rPr>
              <w:t>804</w:t>
            </w:r>
          </w:p>
        </w:tc>
        <w:tc>
          <w:tcPr>
            <w:tcW w:w="1700" w:type="dxa"/>
            <w:vAlign w:val="bottom"/>
            <w:gridSpan w:val="2"/>
          </w:tcPr>
          <w:p>
            <w:pPr>
              <w:jc w:val="right"/>
              <w:ind w:right="241"/>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18"/>
                <w:szCs w:val="18"/>
                <w:b w:val="1"/>
                <w:bCs w:val="1"/>
                <w:color w:val="auto"/>
              </w:rPr>
              <w:t>Loss Before Taxes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(11,700)</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(60.7)</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(1,756)</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(8.1)</w:t>
            </w:r>
          </w:p>
        </w:tc>
        <w:tc>
          <w:tcPr>
            <w:tcW w:w="100" w:type="dxa"/>
            <w:vAlign w:val="bottom"/>
            <w:gridSpan w:val="2"/>
          </w:tcPr>
          <w:p>
            <w:pPr>
              <w:spacing w:after="0"/>
              <w:rPr>
                <w:sz w:val="17"/>
                <w:szCs w:val="17"/>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(287)</w:t>
            </w:r>
          </w:p>
        </w:tc>
        <w:tc>
          <w:tcPr>
            <w:tcW w:w="14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(11,700</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center"/>
              <w:ind w:left="496"/>
              <w:spacing w:after="0"/>
              <w:rPr>
                <w:sz w:val="20"/>
                <w:szCs w:val="20"/>
                <w:color w:val="auto"/>
              </w:rPr>
            </w:pPr>
            <w:r>
              <w:rPr>
                <w:rFonts w:ascii="Arial" w:cs="Arial" w:eastAsia="Arial" w:hAnsi="Arial"/>
                <w:sz w:val="18"/>
                <w:szCs w:val="18"/>
                <w:b w:val="1"/>
                <w:bCs w:val="1"/>
                <w:color w:val="auto"/>
                <w:w w:val="88"/>
              </w:rPr>
              <w:t>Three months ended 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2023</w:t>
            </w:r>
          </w:p>
        </w:tc>
        <w:tc>
          <w:tcPr>
            <w:tcW w:w="2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Retailer</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5,829</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11,850</w:t>
            </w:r>
          </w:p>
        </w:tc>
      </w:tr>
      <w:tr>
        <w:trPr>
          <w:trHeight w:val="236"/>
        </w:trPr>
        <w:tc>
          <w:tcPr>
            <w:tcW w:w="7440" w:type="dxa"/>
            <w:vAlign w:val="bottom"/>
          </w:tcPr>
          <w:p>
            <w:pPr>
              <w:spacing w:after="0"/>
              <w:rPr>
                <w:sz w:val="20"/>
                <w:szCs w:val="20"/>
                <w:color w:val="auto"/>
              </w:rPr>
            </w:pPr>
            <w:r>
              <w:rPr>
                <w:rFonts w:ascii="Arial" w:cs="Arial" w:eastAsia="Arial" w:hAnsi="Arial"/>
                <w:sz w:val="18"/>
                <w:szCs w:val="18"/>
                <w:color w:val="auto"/>
              </w:rPr>
              <w:t>Distributor</w:t>
            </w: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4,143</w:t>
            </w:r>
          </w:p>
        </w:tc>
        <w:tc>
          <w:tcPr>
            <w:tcW w:w="1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2,534</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51.7</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9,302</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48.3</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33.5</w:t>
            </w: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19,274</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sales decreased by $2.3 million, or 10.9%, to $19.3 million for the three months ended June 30, 2023, as compared to $21.6 million for the quarter ended June 30, 2022. This decrease was primarily due to lower DTC battery and accessory sales partially offset by higher OEM sales. For the quarter ended June 30, 2023, OEM revenue increased by $2.1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w:t>
      </w:r>
    </w:p>
    <w:p>
      <w:pPr>
        <w:sectPr>
          <w:pgSz w:w="11900" w:h="16953" w:orient="portrait"/>
          <w:cols w:equalWidth="0" w:num="1">
            <w:col w:w="11240"/>
          </w:cols>
          <w:pgMar w:left="320" w:top="665" w:right="339" w:bottom="0" w:gutter="0" w:footer="0" w:header="0"/>
        </w:sectPr>
      </w:pPr>
    </w:p>
    <w:bookmarkStart w:id="73" w:name="page74"/>
    <w:bookmarkEnd w:id="73"/>
    <w:p>
      <w:pPr>
        <w:jc w:val="both"/>
        <w:spacing w:after="0" w:line="277" w:lineRule="auto"/>
        <w:rPr>
          <w:sz w:val="20"/>
          <w:szCs w:val="20"/>
          <w:color w:val="auto"/>
        </w:rPr>
      </w:pPr>
      <w:r>
        <w:rPr>
          <w:rFonts w:ascii="Arial" w:cs="Arial" w:eastAsia="Arial" w:hAnsi="Arial"/>
          <w:sz w:val="18"/>
          <w:szCs w:val="18"/>
          <w:color w:val="auto"/>
        </w:rPr>
        <w:t>competitor, we do expect this change in strategy to have a material limiting effect on our revenue throughout the remainder of 2023. DTC revenue decreased by $4.4 million as a result of decreased customer demand for our products due to rising interest rates and inflation.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revenue increased by $0.6 million, or 4.0%, to $15.2 million for the three months ended June 30, 2023, as compared to $14.6 million for the quarter ended June 30, 2022. This increase was primarily due to higher material costs associated with consuming higher priced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by $2.9 million, or 41.7%, to $4.1 million for the three months ended June 30, 2023, as compared to $7.0 million for the quarter ended June 30, 2022. The decrease in gross profit was primarily due to a change in revenue mix that included a larger percentage of lower margin OEM sales and a lower percentage of higher margin DTC sales, combined with the aforementioned increase in material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$0.2 million or 24.2%, to $1.1 million for the three months ended June 30, 2023, as compared to $0.9 million for the quarter ended June 30, 2022. The increase was primarily due to higher patent expenses, increase wages associated with increased headcount, and higher materials and supply costs associated with development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General and administrative expenses increased by $3.8 million, or 99.5%, to $7.6 million for the three months ended June 30, 2023, as compared to $3.8 million for the quarter ended June 30, 2022. This increase was primarily due a $2.0 million increase in professional services, compliance, and insurance costs, a $0.7 million severance expense, and a $0.7 million increase in stock-based compensation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$0.9 million, or 32.2%, to $3.8 million for the three months ended June 30, 2023, as compared to $2.9 million for the quarter ended June 30, 2022. This increase was primarily due to a $1.1 million increase in wage-related expenses primarily due to the addition of sales and marketing personnel to support growth in our existing end markets, as well as to drive growth in the new, adjacent end markets we are targeting. This increase was partially offset by lower shipping costs, due to the decline in DTC sales and change in revenue mix.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Expense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Other expense totaled $3.3 million for the quarter ended June 30, 2023 as compared to total other expense of $1.2 million for the quarter ended June 30, 2022. Other income in the quarter ended June 30, 2023 is comprised of $4.1 million in interest expense related to our debt securities, partially offset by a change in fair market value of our warrants in the amount of $0.8. The $1.2 million expense in the quarter ended June 30, 2022 was comprised of interest expense related to the senior secured notes of $45 million which were retired as a result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quarter ended June 30, 2023, as compared to $0.3 million benefit for the quarter ended June 30, 2022. The income tax benefit of $0.3 million for the quarter ended June 30, 2022 was expected to be used against future tax obligations. 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quarter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generated a net loss of $11.7 million for the quarter ended June 30, 2023, as compared to a net loss of $1.5 million for the quarter ended June 30,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As described above, this result was driven lower sales, increased cost of goods sold, higher operating expenses, and increased other expense.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Six months ended June 30, 2023 and June 30,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six months ended June 30, 2023, and June 30, 2022. This data should be read together with our financial statements and related notes included elsewhere in this Quarterly Report,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center"/>
              <w:ind w:right="281"/>
              <w:spacing w:after="0"/>
              <w:rPr>
                <w:sz w:val="20"/>
                <w:szCs w:val="20"/>
                <w:color w:val="auto"/>
              </w:rPr>
            </w:pPr>
            <w:r>
              <w:rPr>
                <w:rFonts w:ascii="Arial" w:cs="Arial" w:eastAsia="Arial" w:hAnsi="Arial"/>
                <w:sz w:val="18"/>
                <w:szCs w:val="18"/>
                <w:b w:val="1"/>
                <w:bCs w:val="1"/>
                <w:color w:val="auto"/>
                <w:w w:val="88"/>
              </w:rPr>
              <w:t>Six months ended June 30,</w:t>
            </w:r>
          </w:p>
        </w:tc>
        <w:tc>
          <w:tcPr>
            <w:tcW w:w="1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5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b w:val="1"/>
                <w:bCs w:val="1"/>
                <w:color w:val="auto"/>
              </w:rPr>
              <w:t>% Net Sales</w:t>
            </w: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8"/>
              </w:rPr>
              <w:t>(in thousands)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36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38,065</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39,925</w:t>
            </w: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color w:val="auto"/>
              </w:rPr>
              <w:t>Cost of Goods Sold</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29,224</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76.8</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27,402</w:t>
            </w: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1,947</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1,198</w:t>
            </w: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17,109</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44.9</w:t>
            </w:r>
          </w:p>
        </w:tc>
        <w:tc>
          <w:tcPr>
            <w:tcW w:w="440" w:type="dxa"/>
            <w:vAlign w:val="bottom"/>
          </w:tcPr>
          <w:p>
            <w:pPr>
              <w:spacing w:after="0"/>
              <w:rPr>
                <w:sz w:val="18"/>
                <w:szCs w:val="18"/>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7,442</w:t>
            </w: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7,992</w:t>
            </w: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5,973</w:t>
            </w:r>
          </w:p>
        </w:tc>
        <w:tc>
          <w:tcPr>
            <w:tcW w:w="15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27,048</w:t>
            </w:r>
          </w:p>
        </w:tc>
        <w:tc>
          <w:tcPr>
            <w:tcW w:w="3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71.1</w:t>
            </w:r>
          </w:p>
        </w:tc>
        <w:tc>
          <w:tcPr>
            <w:tcW w:w="440" w:type="dxa"/>
            <w:vAlign w:val="bottom"/>
          </w:tcPr>
          <w:p>
            <w:pPr>
              <w:spacing w:after="0"/>
              <w:rPr>
                <w:sz w:val="19"/>
                <w:szCs w:val="19"/>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14,613</w:t>
            </w: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(18,207)</w:t>
            </w:r>
          </w:p>
        </w:tc>
        <w:tc>
          <w:tcPr>
            <w:tcW w:w="340" w:type="dxa"/>
            <w:vAlign w:val="bottom"/>
            <w:vMerge w:val="continue"/>
            <w:shd w:val="clear" w:color="auto" w:fill="CCEEFF"/>
          </w:tcPr>
          <w:p>
            <w:pPr>
              <w:spacing w:after="0"/>
              <w:rPr>
                <w:sz w:val="18"/>
                <w:szCs w:val="18"/>
                <w:color w:val="auto"/>
              </w:rPr>
            </w:pP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(47.8)</w:t>
            </w: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320" w:type="dxa"/>
            <w:vAlign w:val="bottom"/>
            <w:vMerge w:val="continue"/>
            <w:shd w:val="clear" w:color="auto" w:fill="CCEEFF"/>
          </w:tcPr>
          <w:p>
            <w:pPr>
              <w:spacing w:after="0"/>
              <w:rPr>
                <w:sz w:val="18"/>
                <w:szCs w:val="18"/>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(7,928)</w:t>
            </w:r>
          </w:p>
        </w:tc>
        <w:tc>
          <w:tcPr>
            <w:tcW w:w="1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(2,491)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color w:val="auto"/>
              </w:rPr>
              <w:t>Change in fair market value of warrant liability</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19,327</w:t>
            </w:r>
          </w:p>
        </w:tc>
        <w:tc>
          <w:tcPr>
            <w:tcW w:w="1820" w:type="dxa"/>
            <w:vAlign w:val="bottom"/>
            <w:gridSpan w:val="2"/>
          </w:tcPr>
          <w:p>
            <w:pPr>
              <w:jc w:val="right"/>
              <w:ind w:right="340"/>
              <w:spacing w:after="0"/>
              <w:rPr>
                <w:sz w:val="20"/>
                <w:szCs w:val="20"/>
                <w:color w:val="auto"/>
              </w:rPr>
            </w:pPr>
            <w:r>
              <w:rPr>
                <w:rFonts w:ascii="Arial" w:cs="Arial" w:eastAsia="Arial" w:hAnsi="Arial"/>
                <w:sz w:val="18"/>
                <w:szCs w:val="18"/>
                <w:color w:val="auto"/>
              </w:rPr>
              <w:t>50.8</w:t>
            </w:r>
          </w:p>
        </w:tc>
        <w:tc>
          <w:tcPr>
            <w:tcW w:w="440" w:type="dxa"/>
            <w:vAlign w:val="bottom"/>
          </w:tcPr>
          <w:p>
            <w:pPr>
              <w:spacing w:after="0"/>
              <w:rPr>
                <w:sz w:val="20"/>
                <w:szCs w:val="20"/>
                <w:color w:val="auto"/>
              </w:rPr>
            </w:pPr>
          </w:p>
        </w:tc>
        <w:tc>
          <w:tcPr>
            <w:tcW w:w="13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Income (Expense)</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r>
              <w:rPr>
                <w:rFonts w:ascii="Arial" w:cs="Arial" w:eastAsia="Arial" w:hAnsi="Arial"/>
                <w:sz w:val="18"/>
                <w:szCs w:val="18"/>
                <w:b w:val="1"/>
                <w:bCs w:val="1"/>
                <w:color w:val="auto"/>
              </w:rPr>
              <w:t>(Loss) Before Taxes</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(6,808)</w:t>
            </w:r>
          </w:p>
        </w:tc>
        <w:tc>
          <w:tcPr>
            <w:tcW w:w="1660" w:type="dxa"/>
            <w:vAlign w:val="bottom"/>
            <w:gridSpan w:val="2"/>
          </w:tcPr>
          <w:p>
            <w:pPr>
              <w:jc w:val="right"/>
              <w:ind w:right="41"/>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2"/>
          </w:tcPr>
          <w:p>
            <w:pPr>
              <w:jc w:val="right"/>
              <w:ind w:right="181"/>
              <w:spacing w:after="0"/>
              <w:rPr>
                <w:sz w:val="20"/>
                <w:szCs w:val="20"/>
                <w:color w:val="auto"/>
              </w:rPr>
            </w:pPr>
            <w:r>
              <w:rPr>
                <w:rFonts w:ascii="Arial" w:cs="Arial" w:eastAsia="Arial" w:hAnsi="Arial"/>
                <w:sz w:val="18"/>
                <w:szCs w:val="18"/>
                <w:color w:val="auto"/>
              </w:rPr>
              <w:t>(4,581)</w:t>
            </w:r>
          </w:p>
        </w:tc>
        <w:tc>
          <w:tcPr>
            <w:tcW w:w="9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(11.5)</w:t>
            </w:r>
          </w:p>
        </w:tc>
      </w:tr>
      <w:tr>
        <w:trPr>
          <w:trHeight w:val="249"/>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w:t>
            </w:r>
          </w:p>
        </w:tc>
        <w:tc>
          <w:tcPr>
            <w:tcW w:w="13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(814)</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7"/>
        </w:trPr>
        <w:tc>
          <w:tcPr>
            <w:tcW w:w="29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Borders>
              <w:top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2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tcBorders>
              <w:bottom w:val="single" w:sz="8" w:color="auto"/>
            </w:tcBorders>
            <w:gridSpan w:val="4"/>
          </w:tcPr>
          <w:p>
            <w:pPr>
              <w:jc w:val="center"/>
              <w:ind w:left="376"/>
              <w:spacing w:after="0"/>
              <w:rPr>
                <w:sz w:val="20"/>
                <w:szCs w:val="20"/>
                <w:color w:val="auto"/>
              </w:rPr>
            </w:pPr>
            <w:r>
              <w:rPr>
                <w:rFonts w:ascii="Arial" w:cs="Arial" w:eastAsia="Arial" w:hAnsi="Arial"/>
                <w:sz w:val="18"/>
                <w:szCs w:val="18"/>
                <w:b w:val="1"/>
                <w:bCs w:val="1"/>
                <w:color w:val="auto"/>
                <w:w w:val="87"/>
              </w:rPr>
              <w:t>Six months ended 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1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(in thousands)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Retailer</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12,898</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24,885</w:t>
            </w:r>
          </w:p>
        </w:tc>
      </w:tr>
      <w:tr>
        <w:trPr>
          <w:trHeight w:val="237"/>
        </w:trPr>
        <w:tc>
          <w:tcPr>
            <w:tcW w:w="2900" w:type="dxa"/>
            <w:vAlign w:val="bottom"/>
          </w:tcPr>
          <w:p>
            <w:pPr>
              <w:spacing w:after="0"/>
              <w:rPr>
                <w:sz w:val="20"/>
                <w:szCs w:val="20"/>
                <w:color w:val="auto"/>
              </w:rPr>
            </w:pPr>
            <w:r>
              <w:rPr>
                <w:rFonts w:ascii="Arial" w:cs="Arial" w:eastAsia="Arial" w:hAnsi="Arial"/>
                <w:sz w:val="18"/>
                <w:szCs w:val="18"/>
                <w:color w:val="auto"/>
              </w:rPr>
              <w:t>Distributor</w:t>
            </w: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7,111</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4,621</w:t>
            </w:r>
          </w:p>
        </w:tc>
      </w:tr>
      <w:tr>
        <w:trPr>
          <w:trHeight w:val="216"/>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1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20,009</w:t>
            </w:r>
          </w:p>
        </w:tc>
        <w:tc>
          <w:tcPr>
            <w:tcW w:w="3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29,506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 Net Sales</w:t>
            </w: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52.6</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73.9</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1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18,056</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10,419</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 Net Sales</w:t>
            </w:r>
          </w:p>
        </w:tc>
        <w:tc>
          <w:tcPr>
            <w:tcW w:w="1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47.4</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21"/>
              <w:spacing w:after="0"/>
              <w:rPr>
                <w:sz w:val="20"/>
                <w:szCs w:val="20"/>
                <w:color w:val="auto"/>
              </w:rPr>
            </w:pPr>
            <w:r>
              <w:rPr>
                <w:rFonts w:ascii="Arial" w:cs="Arial" w:eastAsia="Arial" w:hAnsi="Arial"/>
                <w:sz w:val="18"/>
                <w:szCs w:val="18"/>
                <w:color w:val="auto"/>
              </w:rPr>
              <w:t>26.1</w:t>
            </w:r>
          </w:p>
        </w:tc>
      </w:tr>
      <w:tr>
        <w:trPr>
          <w:trHeight w:val="22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38,065</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0"/>
              </w:rPr>
              <w:t>39,925</w:t>
            </w:r>
          </w:p>
        </w:tc>
      </w:tr>
      <w:tr>
        <w:trPr>
          <w:trHeight w:val="27"/>
        </w:trPr>
        <w:tc>
          <w:tcPr>
            <w:tcW w:w="29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Net sales decreased by $1.9 million, or 4.7%, to $38.1 million for the six months ended June 30, 2023, as compared to $39.9 million for the six months ended June 30, 2022. This decrease was primarily due to lower DTC battery and accessory sales partially offset by higher OEM sales. For the six months ended June 30, 2023, OEM revenue increased by $7.6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In July of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we do expect this change in strategy to have a material limiting effect on our revenue throughout the remainder of 2023. DTC revenue decreased by $9.5 million as a result of decreased customer demand for our products due to rising interest rates and inflation.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 increased by $1.8 million, or 6.6%, to $29.2 million for the six months ended June 30, 2023, as compared to $27.4 million for the six months ended June 30, 2022. This increase was primarily due to higher material costs associated with consuming higher priced inventory.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profit decreased by $3.7 million, or 29.4%, to $8.8 million for the six months ended June 30, 2023, as compared to $12.5 million for the six months ended June 30, 2022. The decrease in gross profit was primarily due to a change in revenue mix that included a larger percentage of lower margin OEM sales and a lower percentage of higher margin DTC sales, combined with the aforementioned higher material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$0.7 million or 62.5%, to $1.9 million for the six months ended June 30, 2023, as compared to $1.2 million for the six months ended June 30, 2022. The increase was primarily due increased wages in the amount of $0.4 million associated with higher headcount, higher patent expenses, and higher materials and supply costs associated with development work.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increased by $9.7 million, or 129.9%, to $17.1 million for the six months ended June 30, 2023, as compared to $7.4 million for the six months ended June 30, 2022. This increase was primarily due a $4.1 million increase in stock-based compensation costs, a $3.9 million increase in professional services, compliance, and insurance costs, a $0.7 million severance expense, and increased wages associated with higher headcount in the amount of $0.5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marketing expenses increased by $2.0 million, or 33.8%, to $8.0 million for the six months ended June 30, 2023, as compared to $6.0 million for the six months ended June 30, 2022. This increase was primarily due to a $2.7 million increase in wage-related expenses. This increase was partially offset by lower shipping costs, due to the decline in DTC sales and change in revenue mix.</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Other Income (Expense)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Other income totaled $11.4 million for the six months ended June 30, 2023 as compared to total other expense of $2.5 million for the six months ended June 30, 2022. Other income for the six months ended June 30, 2023 is comprised of a change in fair market value of our warrants in the amount of $19.3 million offset by $7.9 million in interest expense related to our debt securities. The $2.5 million expense in for the six months ended June 30, 2022 was comprised of interest expense related to the senior secured notes of $45 million which were retired as a result of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was no tax expense recorded for the six months ended June 30, 2023, as compared to a $0.8 million benefit for the six months ended June 30, 2022. The income tax benefit of $0.8 million for the six months ended June 30, 2022 was expected to be used against future tax obligations. Based on available evidence as of June 30, 2023, management believes it is more likely than not that some or all the deferred tax assets will not be realized. Accordingly, the Company established a 100% valuation allowance. As a result of the full valuation allowance, the Company did not record a tax benefit during the six months ended June 30,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generated a net loss of $6.8 million for the six months ended June 30, 2023, as compared to net loss of $3.8 million for the six months ended June 30, 2022. As described above, this result was driven primarily by lower sales, increased cost of goods sold, higher operating expenses, partially offset by increased other income (primarily as a result of a change in fair market value of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for the Years Ended December 31, 2022 and 2021</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our results of operations for the years ended December 31, 2022 and 2021. This data should be read together with our financial statements and related notes included elsewhere in this Registration Statement, and is qualified in its entirety by reference to such financial statements and related notes.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8"/>
                <w:szCs w:val="18"/>
                <w:b w:val="1"/>
                <w:bCs w:val="1"/>
                <w:color w:val="auto"/>
                <w:w w:val="88"/>
              </w:rPr>
              <w:t>Years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2021</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Net Sales</w:t>
            </w:r>
          </w:p>
        </w:tc>
        <w:tc>
          <w:tcPr>
            <w:tcW w:w="10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center"/>
              <w:ind w:left="770"/>
              <w:spacing w:after="0"/>
              <w:rPr>
                <w:sz w:val="20"/>
                <w:szCs w:val="20"/>
                <w:color w:val="auto"/>
              </w:rPr>
            </w:pPr>
            <w:r>
              <w:rPr>
                <w:rFonts w:ascii="Arial" w:cs="Arial" w:eastAsia="Arial" w:hAnsi="Arial"/>
                <w:sz w:val="18"/>
                <w:szCs w:val="18"/>
                <w:b w:val="1"/>
                <w:bCs w:val="1"/>
                <w:color w:val="auto"/>
                <w:w w:val="88"/>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86,251</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78,000</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36"/>
        </w:trPr>
        <w:tc>
          <w:tcPr>
            <w:tcW w:w="4740" w:type="dxa"/>
            <w:vAlign w:val="bottom"/>
          </w:tcPr>
          <w:p>
            <w:pPr>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62,247</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72.2</w:t>
            </w:r>
          </w:p>
        </w:tc>
        <w:tc>
          <w:tcPr>
            <w:tcW w:w="42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48,375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62.0</w:t>
            </w: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2,764</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2,689</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41,566</w:t>
            </w:r>
          </w:p>
        </w:tc>
        <w:tc>
          <w:tcPr>
            <w:tcW w:w="1700" w:type="dxa"/>
            <w:vAlign w:val="bottom"/>
            <w:gridSpan w:val="2"/>
          </w:tcPr>
          <w:p>
            <w:pPr>
              <w:jc w:val="right"/>
              <w:ind w:right="320"/>
              <w:spacing w:after="0"/>
              <w:rPr>
                <w:sz w:val="20"/>
                <w:szCs w:val="20"/>
                <w:color w:val="auto"/>
              </w:rPr>
            </w:pPr>
            <w:r>
              <w:rPr>
                <w:rFonts w:ascii="Arial" w:cs="Arial" w:eastAsia="Arial" w:hAnsi="Arial"/>
                <w:sz w:val="18"/>
                <w:szCs w:val="18"/>
                <w:color w:val="auto"/>
              </w:rPr>
              <w:t>48.2</w:t>
            </w:r>
          </w:p>
        </w:tc>
        <w:tc>
          <w:tcPr>
            <w:tcW w:w="42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10,621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13,671</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9,848</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37"/>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58,001</w:t>
            </w:r>
          </w:p>
        </w:tc>
        <w:tc>
          <w:tcPr>
            <w:tcW w:w="340" w:type="dxa"/>
            <w:vAlign w:val="bottom"/>
            <w:tcBorders>
              <w:bottom w:val="single" w:sz="8" w:color="CCEEFF"/>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3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23,158</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(39.4)</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(6,945)</w:t>
            </w: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(519)</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r>
      <w:tr>
        <w:trPr>
          <w:trHeight w:val="216"/>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5,446</w:t>
            </w:r>
          </w:p>
        </w:tc>
        <w:tc>
          <w:tcPr>
            <w:tcW w:w="1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240"/>
          </w:cols>
          <w:pgMar w:left="320" w:top="665" w:right="3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4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440" w:type="dxa"/>
            <w:vAlign w:val="bottom"/>
          </w:tcPr>
          <w:p>
            <w:pPr>
              <w:spacing w:after="0"/>
              <w:rPr>
                <w:sz w:val="22"/>
                <w:szCs w:val="22"/>
                <w:color w:val="auto"/>
              </w:rPr>
            </w:pPr>
          </w:p>
        </w:tc>
        <w:tc>
          <w:tcPr>
            <w:tcW w:w="1260" w:type="dxa"/>
            <w:vAlign w:val="bottom"/>
            <w:gridSpan w:val="2"/>
          </w:tcPr>
          <w:p>
            <w:pPr>
              <w:jc w:val="right"/>
              <w:ind w:right="201"/>
              <w:spacing w:after="0"/>
              <w:rPr>
                <w:sz w:val="20"/>
                <w:szCs w:val="20"/>
                <w:color w:val="auto"/>
              </w:rPr>
            </w:pPr>
            <w:r>
              <w:rPr>
                <w:rFonts w:ascii="Arial" w:cs="Arial" w:eastAsia="Arial" w:hAnsi="Arial"/>
                <w:sz w:val="18"/>
                <w:szCs w:val="18"/>
                <w:color w:val="auto"/>
              </w:rPr>
              <w:t>(4,824)</w:t>
            </w:r>
          </w:p>
        </w:tc>
        <w:tc>
          <w:tcPr>
            <w:tcW w:w="1700" w:type="dxa"/>
            <w:vAlign w:val="bottom"/>
            <w:gridSpan w:val="2"/>
          </w:tcPr>
          <w:p>
            <w:pPr>
              <w:jc w:val="right"/>
              <w:ind w:right="181"/>
              <w:spacing w:after="0"/>
              <w:rPr>
                <w:sz w:val="20"/>
                <w:szCs w:val="20"/>
                <w:color w:val="auto"/>
              </w:rPr>
            </w:pPr>
            <w:r>
              <w:rPr>
                <w:rFonts w:ascii="Arial" w:cs="Arial" w:eastAsia="Arial" w:hAnsi="Arial"/>
                <w:sz w:val="18"/>
                <w:szCs w:val="18"/>
                <w:color w:val="auto"/>
              </w:rPr>
              <w:t>(5.6)</w:t>
            </w:r>
          </w:p>
        </w:tc>
        <w:tc>
          <w:tcPr>
            <w:tcW w:w="500" w:type="dxa"/>
            <w:vAlign w:val="bottom"/>
          </w:tcPr>
          <w:p>
            <w:pPr>
              <w:spacing w:after="0"/>
              <w:rPr>
                <w:sz w:val="22"/>
                <w:szCs w:val="22"/>
                <w:color w:val="auto"/>
              </w:rPr>
            </w:pPr>
          </w:p>
        </w:tc>
        <w:tc>
          <w:tcPr>
            <w:tcW w:w="11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Expense</w:t>
            </w: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4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(40,280)</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(46.7)</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5,949</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7.6</w:t>
            </w:r>
          </w:p>
        </w:tc>
        <w:tc>
          <w:tcPr>
            <w:tcW w:w="100" w:type="dxa"/>
            <w:vAlign w:val="bottom"/>
          </w:tcPr>
          <w:p>
            <w:pPr>
              <w:spacing w:after="0"/>
              <w:rPr>
                <w:sz w:val="17"/>
                <w:szCs w:val="17"/>
                <w:color w:val="auto"/>
              </w:rPr>
            </w:pPr>
          </w:p>
        </w:tc>
      </w:tr>
      <w:tr>
        <w:trPr>
          <w:trHeight w:val="249"/>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4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(709)</w:t>
            </w:r>
          </w:p>
        </w:tc>
        <w:tc>
          <w:tcPr>
            <w:tcW w:w="17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(0.8)</w:t>
            </w:r>
          </w:p>
        </w:tc>
        <w:tc>
          <w:tcPr>
            <w:tcW w:w="5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1,611</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2.1</w:t>
            </w: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340" w:type="dxa"/>
            <w:vAlign w:val="bottom"/>
            <w:tcBorders>
              <w:top w:val="single" w:sz="8" w:color="CCEEFF"/>
            </w:tcBorders>
          </w:tcPr>
          <w:p>
            <w:pPr>
              <w:jc w:val="right"/>
              <w:ind w:right="201"/>
              <w:spacing w:after="0"/>
              <w:rPr>
                <w:sz w:val="20"/>
                <w:szCs w:val="20"/>
                <w:color w:val="auto"/>
              </w:rPr>
            </w:pPr>
            <w:r>
              <w:rPr>
                <w:rFonts w:ascii="Arial" w:cs="Arial" w:eastAsia="Arial" w:hAnsi="Arial"/>
                <w:sz w:val="16"/>
                <w:szCs w:val="16"/>
                <w:color w:val="auto"/>
                <w:w w:val="74"/>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32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47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66</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center"/>
              <w:ind w:left="476"/>
              <w:spacing w:after="0"/>
              <w:rPr>
                <w:sz w:val="20"/>
                <w:szCs w:val="20"/>
                <w:color w:val="auto"/>
              </w:rPr>
            </w:pPr>
            <w:r>
              <w:rPr>
                <w:rFonts w:ascii="Arial" w:cs="Arial" w:eastAsia="Arial" w:hAnsi="Arial"/>
                <w:sz w:val="18"/>
                <w:szCs w:val="18"/>
                <w:b w:val="1"/>
                <w:bCs w:val="1"/>
                <w:color w:val="auto"/>
                <w:w w:val="89"/>
              </w:rPr>
              <w:t>Years ended December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0" w:type="dxa"/>
            <w:vAlign w:val="bottom"/>
            <w:gridSpan w:val="3"/>
          </w:tcPr>
          <w:p>
            <w:pPr>
              <w:jc w:val="center"/>
              <w:ind w:right="458"/>
              <w:spacing w:after="0"/>
              <w:rPr>
                <w:sz w:val="20"/>
                <w:szCs w:val="20"/>
                <w:color w:val="auto"/>
              </w:rPr>
            </w:pPr>
            <w:r>
              <w:rPr>
                <w:rFonts w:ascii="Arial" w:cs="Arial" w:eastAsia="Arial" w:hAnsi="Arial"/>
                <w:sz w:val="18"/>
                <w:szCs w:val="18"/>
                <w:b w:val="1"/>
                <w:bCs w:val="1"/>
                <w:color w:val="auto"/>
                <w:w w:val="88"/>
              </w:rPr>
              <w:t>(in thousands)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Retailer</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43,344</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59,042</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Distributor</w:t>
            </w:r>
          </w:p>
        </w:tc>
        <w:tc>
          <w:tcPr>
            <w:tcW w:w="112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9,102</w:t>
            </w:r>
          </w:p>
        </w:tc>
        <w:tc>
          <w:tcPr>
            <w:tcW w:w="1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10,733</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DTC</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52,446</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60.8</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OEM</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33,805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 Net Sales</w:t>
            </w:r>
          </w:p>
        </w:tc>
        <w:tc>
          <w:tcPr>
            <w:tcW w:w="1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39.2</w:t>
            </w:r>
          </w:p>
        </w:tc>
        <w:tc>
          <w:tcPr>
            <w:tcW w:w="1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r>
      <w:tr>
        <w:trPr>
          <w:trHeight w:val="23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3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increased by $8.3 million, or 10.6%, to $86.3 million for the year ended December 31, 2022, as compared to $78.0 million for the year ended December 31, 2021. This increase was primarily due to higher OEM battery and accessory sales partially offset by lower DTC sales. For the year ended December 31, 2022, OEM revenue increased by $25.6 million as a result of increased adoption of our products by new and existing customers, several of whom have begun to “design in” our batteries in various RV models as original equipment or have increased purchases in response to end-customer demand for safer, more efficient batteries and as a replacement for traditional lead-acid batteries. DTC revenue decreased by $17.3 million as a result of decreased customer demand for our products due to rising interest rates and inflation.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Cost of revenue increased by $13.9 million, or 28.7%, to $62.2 million for the year ended December 31, 2022, as compared to $48.4 million for the year ended December 31, 2021. This increase was primarily due to growth in the number of units sold resulting in an $11.6 million increase of product cost, a $2.2 million increase in overhead expense associated with the new manufacturing facility, and higher labor costs due to growth in our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Gross profit decreased by $5.6 million, or 19.0%, to $24.0 million for the year ended December 31, 2022, as compared to $29.6 million for the year ended December 31, 2021. The decrease in gross profit was primarily due to a change in revenue mix that included a larger percentage of lower margin OEM sales and a lower percentage of higher margin DTC sales, together with an increase in cost of goods sold as noted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expenses increased by $0.1 million, or 2.8%, to $2.8 million for the year ended December 31, 2022, as compared to $2.7 million for the year ended December 31, 2021. The increase was primarily due to higher wage expense partially offset by lower product certification, patent expense and costs for materials used in research and development.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expenses increased by $30.9 million, or 291.4%, to $41.6 million for the year ended December 31, 2022, as compared to $10.6 million for the year ended December 31, 2021. This increase was primarily due to expenses associated with the aforementioned Business Combination and professional fees in the amount of $23.4 million and a $6.3 million increase in costs associated with personnel needed for public company readiness. Other increases relate to compliance, insurance and system costs related to being a public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$3.8 million, or 38.8%, to $13.7 million for the year ended December 31, 2022, as compared to $9.8 million for the year ended December 31, 2021. This increase was primarily due to the addition of sales and marketing personnel to support growth in our existing end markets, as well as to drive growth in the new, adjacent end markets we are targeting, overhead costs associated with our larger manufacturing facility, increased shipping expenses due to higher volumes and price increases, and advertising and sponsorship growth.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i w:val="1"/>
          <w:iCs w:val="1"/>
          <w:color w:val="auto"/>
        </w:rPr>
        <w:t>Total Other (Expense) Income</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Other expense totaled $6.3 million for the year ended December 31, 2022 as compared to total other expense of $0.5 million for the year ended December 31, 2021. Other expense in 2022 is comprised primarily of interest expense of $3.7 million related to senior secured notes of $45 million and $3.2 million related to debt securities of $75 million. Debt extinguishment expense of $4.8 million due to the retirement of the $45 million in senior secured notes as a result of the Business Combination, partially offset by $5.4 million in the change of the fair market value of our warrants. Interest expense will increase significantly as a result of approximately $75.0 million in post-closing indebtedness following completion of the Business Combination.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benefit was $0.7 million for the year ended December 31, 2022, as compared to $1.6 million expense for the year ended December 31, 2021.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$7.3 million was recorded as of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experienced a net loss of $39.6 million for the year ended December 31, 2022, as compared to net income of $4.3 million for the year ended December 31, 2021. As described above, this result was driven primarily by higher sales offset by increased cost of goods sold, higher operating expenses (primarily as a result of the Business Combination) and increased other expense.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Estimates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condensed consolidated financial statements have been prepared in accordance with generally accepted accounting principles in the United States. The preparation of these condensed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following accounting policies are those most critical to the judgments and estimates used in the preparation of our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reviews physical inventory for excess, obsolete, and potentially impaired items and reserves. Any such inventory is written down to net realizable value. The reserve estimate for excess and obsolete inventory is dependent on expected future use and requires management judgement.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b w:val="1"/>
          <w:bCs w:val="1"/>
          <w:color w:val="auto"/>
        </w:rPr>
        <w:t>ASC 815</w:t>
      </w:r>
      <w:r>
        <w:rPr>
          <w:rFonts w:ascii="Arial" w:cs="Arial" w:eastAsia="Arial" w:hAnsi="Arial"/>
          <w:sz w:val="17"/>
          <w:szCs w:val="17"/>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“Note 12— Warrants” in our accompanying consolidated financial statements for information on the warrants.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the Company’s common stock on the date of grant. Changes in assumptions used to estimate fair value could result in materially different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Registration Statement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promissory note forgiveness, and change in the fair market value of warrant liabilities.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The table below presents our adjusted EBITDA, reconciled to net income (loss) for the three and six months ended June 30, 2023, and June 30,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w w:val="94"/>
              </w:rPr>
              <w:t>Three months ended June 30,</w:t>
            </w:r>
          </w:p>
        </w:tc>
        <w:tc>
          <w:tcPr>
            <w:tcW w:w="280" w:type="dxa"/>
            <w:vAlign w:val="bottom"/>
          </w:tcPr>
          <w:p>
            <w:pPr>
              <w:spacing w:after="0"/>
              <w:rPr>
                <w:sz w:val="20"/>
                <w:szCs w:val="20"/>
                <w:color w:val="auto"/>
              </w:rPr>
            </w:pPr>
          </w:p>
        </w:tc>
        <w:tc>
          <w:tcPr>
            <w:tcW w:w="2820" w:type="dxa"/>
            <w:vAlign w:val="bottom"/>
            <w:gridSpan w:val="7"/>
          </w:tcPr>
          <w:p>
            <w:pPr>
              <w:jc w:val="center"/>
              <w:ind w:right="38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36"/>
        </w:trPr>
        <w:tc>
          <w:tcPr>
            <w:tcW w:w="4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20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2022</w:t>
            </w:r>
          </w:p>
        </w:tc>
        <w:tc>
          <w:tcPr>
            <w:tcW w:w="32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8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4"/>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8"/>
              </w:rPr>
              <w:t>(in thousands)</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(11,700)</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(6,808)</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4,113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1,228</w:t>
            </w:r>
          </w:p>
        </w:tc>
        <w:tc>
          <w:tcPr>
            <w:tcW w:w="28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7,928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2,491</w:t>
            </w: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7"/>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954</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5,441</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80" w:type="dxa"/>
            <w:vAlign w:val="bottom"/>
            <w:shd w:val="clear" w:color="auto" w:fill="CCEEFF"/>
          </w:tcPr>
          <w:p>
            <w:pPr>
              <w:spacing w:after="0"/>
              <w:rPr>
                <w:sz w:val="22"/>
                <w:szCs w:val="22"/>
                <w:color w:val="auto"/>
              </w:rPr>
            </w:pPr>
          </w:p>
        </w:tc>
      </w:tr>
      <w:tr>
        <w:trPr>
          <w:trHeight w:val="257"/>
        </w:trPr>
        <w:tc>
          <w:tcPr>
            <w:tcW w:w="4740" w:type="dxa"/>
            <w:vAlign w:val="bottom"/>
          </w:tcPr>
          <w:p>
            <w:pPr>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(2)</w:t>
            </w:r>
          </w:p>
        </w:tc>
        <w:tc>
          <w:tcPr>
            <w:tcW w:w="24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47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June Offering Costs </w:t>
            </w:r>
            <w:r>
              <w:rPr>
                <w:rFonts w:ascii="Arial" w:cs="Arial" w:eastAsia="Arial" w:hAnsi="Arial"/>
                <w:sz w:val="29"/>
                <w:szCs w:val="29"/>
                <w:color w:val="auto"/>
                <w:vertAlign w:val="superscript"/>
              </w:rPr>
              <w:t>(3)</w:t>
            </w:r>
          </w:p>
        </w:tc>
        <w:tc>
          <w:tcPr>
            <w:tcW w:w="24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904</w:t>
            </w: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4740" w:type="dxa"/>
            <w:vAlign w:val="bottom"/>
          </w:tcPr>
          <w:p>
            <w:pPr>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(4)</w:t>
            </w:r>
          </w:p>
        </w:tc>
        <w:tc>
          <w:tcPr>
            <w:tcW w:w="240" w:type="dxa"/>
            <w:vAlign w:val="bottom"/>
          </w:tcPr>
          <w:p>
            <w:pPr>
              <w:spacing w:after="0"/>
              <w:rPr>
                <w:sz w:val="22"/>
                <w:szCs w:val="22"/>
                <w:color w:val="auto"/>
              </w:rPr>
            </w:pPr>
          </w:p>
        </w:tc>
        <w:tc>
          <w:tcPr>
            <w:tcW w:w="13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22"/>
                <w:szCs w:val="22"/>
                <w:color w:val="auto"/>
              </w:rPr>
            </w:pPr>
          </w:p>
        </w:tc>
      </w:tr>
      <w:tr>
        <w:trPr>
          <w:trHeight w:val="290"/>
        </w:trPr>
        <w:tc>
          <w:tcPr>
            <w:tcW w:w="47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(5)</w:t>
            </w:r>
          </w:p>
        </w:tc>
        <w:tc>
          <w:tcPr>
            <w:tcW w:w="24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(19,327)</w:t>
            </w: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(5,517</w:t>
            </w:r>
          </w:p>
        </w:tc>
        <w:tc>
          <w:tcPr>
            <w:tcW w:w="200" w:type="dxa"/>
            <w:vAlign w:val="bottom"/>
            <w:tcBorders>
              <w:top w:val="single" w:sz="8" w:color="CCEEFF"/>
            </w:tcBorders>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180" w:type="dxa"/>
            <w:vAlign w:val="bottom"/>
            <w:tcBorders>
              <w:top w:val="single" w:sz="8" w:color="CCEEFF"/>
            </w:tcBorders>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Separation Agreement is comprised of $720 in cash severance associated with separation agreement dated April 26, 2023 between us and our former Chief Legal Officer.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June Offering Costs is comprised of fees and expenses, including legal, accounting, and other expenses associated with our secondary offering.</w:t>
      </w:r>
    </w:p>
    <w:p>
      <w:pPr>
        <w:spacing w:after="0" w:line="248"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former Chief Financial Officer.</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January 1, 2023 through June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adjusted EBITDA, reconciled to net (loss) income for the years ended December 31,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316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8"/>
                <w:szCs w:val="18"/>
                <w:b w:val="1"/>
                <w:bCs w:val="1"/>
                <w:color w:val="auto"/>
              </w:rPr>
              <w:t>Years ended December 31,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80" w:type="dxa"/>
            <w:vAlign w:val="bottom"/>
            <w:gridSpan w:val="3"/>
          </w:tcPr>
          <w:p>
            <w:pPr>
              <w:jc w:val="right"/>
              <w:ind w:right="681"/>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80" w:type="dxa"/>
            <w:vAlign w:val="bottom"/>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8"/>
              </w:rPr>
              <w:t>(39,571)</w:t>
            </w:r>
          </w:p>
        </w:tc>
        <w:tc>
          <w:tcPr>
            <w:tcW w:w="1140" w:type="dxa"/>
            <w:vAlign w:val="bottom"/>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6,945</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519</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(709)</w:t>
            </w:r>
          </w:p>
        </w:tc>
        <w:tc>
          <w:tcPr>
            <w:tcW w:w="1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891</w:t>
            </w:r>
          </w:p>
        </w:tc>
        <w:tc>
          <w:tcPr>
            <w:tcW w:w="1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(32,444)</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i w:val="1"/>
                <w:iCs w:val="1"/>
                <w:color w:val="auto"/>
              </w:rPr>
              <w:t>Adjusted for:</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9"/>
                <w:szCs w:val="29"/>
                <w:color w:val="auto"/>
                <w:vertAlign w:val="superscript"/>
              </w:rPr>
              <w:t>(1)</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2,467</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w:t>
            </w:r>
          </w:p>
        </w:tc>
      </w:tr>
      <w:tr>
        <w:trPr>
          <w:trHeight w:val="257"/>
        </w:trPr>
        <w:tc>
          <w:tcPr>
            <w:tcW w:w="7440" w:type="dxa"/>
            <w:vAlign w:val="bottom"/>
          </w:tcPr>
          <w:p>
            <w:pPr>
              <w:ind w:left="180"/>
              <w:spacing w:after="0" w:line="256" w:lineRule="exact"/>
              <w:rPr>
                <w:sz w:val="20"/>
                <w:szCs w:val="20"/>
                <w:color w:val="auto"/>
              </w:rPr>
            </w:pPr>
            <w:r>
              <w:rPr>
                <w:rFonts w:ascii="Arial" w:cs="Arial" w:eastAsia="Arial" w:hAnsi="Arial"/>
                <w:sz w:val="18"/>
                <w:szCs w:val="18"/>
                <w:color w:val="auto"/>
              </w:rPr>
              <w:t>ERP Implementation</w:t>
            </w:r>
            <w:r>
              <w:rPr>
                <w:rFonts w:ascii="Arial" w:cs="Arial" w:eastAsia="Arial" w:hAnsi="Arial"/>
                <w:sz w:val="29"/>
                <w:szCs w:val="29"/>
                <w:color w:val="auto"/>
                <w:vertAlign w:val="superscript"/>
              </w:rPr>
              <w:t>(2)</w:t>
            </w:r>
          </w:p>
        </w:tc>
        <w:tc>
          <w:tcPr>
            <w:tcW w:w="1080" w:type="dxa"/>
            <w:vAlign w:val="bottom"/>
          </w:tcPr>
          <w:p>
            <w:pPr>
              <w:spacing w:after="0"/>
              <w:rPr>
                <w:sz w:val="22"/>
                <w:szCs w:val="22"/>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233</w:t>
            </w: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Promissory Note Forgiveness</w:t>
            </w:r>
            <w:r>
              <w:rPr>
                <w:rFonts w:ascii="Arial" w:cs="Arial" w:eastAsia="Arial" w:hAnsi="Arial"/>
                <w:sz w:val="29"/>
                <w:szCs w:val="29"/>
                <w:color w:val="auto"/>
                <w:vertAlign w:val="superscript"/>
              </w:rPr>
              <w:t>(3)</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469</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Loss on Disposal of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56</w:t>
            </w:r>
          </w:p>
        </w:tc>
        <w:tc>
          <w:tcPr>
            <w:tcW w:w="1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Separation Agreement</w:t>
            </w:r>
            <w:r>
              <w:rPr>
                <w:rFonts w:ascii="Arial" w:cs="Arial" w:eastAsia="Arial" w:hAnsi="Arial"/>
                <w:sz w:val="29"/>
                <w:szCs w:val="29"/>
                <w:color w:val="auto"/>
                <w:vertAlign w:val="superscript"/>
              </w:rPr>
              <w:t>(4)</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1,197</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7440" w:type="dxa"/>
            <w:vAlign w:val="bottom"/>
          </w:tcPr>
          <w:p>
            <w:pPr>
              <w:ind w:left="180"/>
              <w:spacing w:after="0" w:line="256" w:lineRule="exact"/>
              <w:rPr>
                <w:sz w:val="20"/>
                <w:szCs w:val="20"/>
                <w:color w:val="auto"/>
              </w:rPr>
            </w:pPr>
            <w:r>
              <w:rPr>
                <w:rFonts w:ascii="Arial" w:cs="Arial" w:eastAsia="Arial" w:hAnsi="Arial"/>
                <w:sz w:val="18"/>
                <w:szCs w:val="18"/>
                <w:color w:val="auto"/>
              </w:rPr>
              <w:t>Business Combination Expenses</w:t>
            </w:r>
            <w:r>
              <w:rPr>
                <w:rFonts w:ascii="Arial" w:cs="Arial" w:eastAsia="Arial" w:hAnsi="Arial"/>
                <w:sz w:val="29"/>
                <w:szCs w:val="29"/>
                <w:color w:val="auto"/>
                <w:vertAlign w:val="superscript"/>
              </w:rPr>
              <w:t>(5)</w:t>
            </w:r>
          </w:p>
        </w:tc>
        <w:tc>
          <w:tcPr>
            <w:tcW w:w="1080" w:type="dxa"/>
            <w:vAlign w:val="bottom"/>
          </w:tcPr>
          <w:p>
            <w:pPr>
              <w:spacing w:after="0"/>
              <w:rPr>
                <w:sz w:val="22"/>
                <w:szCs w:val="22"/>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21,337</w:t>
            </w:r>
          </w:p>
        </w:tc>
        <w:tc>
          <w:tcPr>
            <w:tcW w:w="1140" w:type="dxa"/>
            <w:vAlign w:val="bottom"/>
          </w:tcPr>
          <w:p>
            <w:pPr>
              <w:spacing w:after="0"/>
              <w:rPr>
                <w:sz w:val="22"/>
                <w:szCs w:val="2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r>
      <w:tr>
        <w:trPr>
          <w:trHeight w:val="256"/>
        </w:trPr>
        <w:tc>
          <w:tcPr>
            <w:tcW w:w="7440" w:type="dxa"/>
            <w:vAlign w:val="bottom"/>
            <w:shd w:val="clear" w:color="auto" w:fill="CCEEFF"/>
          </w:tcPr>
          <w:p>
            <w:pPr>
              <w:ind w:left="180"/>
              <w:spacing w:after="0" w:line="256" w:lineRule="exact"/>
              <w:rPr>
                <w:sz w:val="20"/>
                <w:szCs w:val="20"/>
                <w:color w:val="auto"/>
              </w:rPr>
            </w:pPr>
            <w:r>
              <w:rPr>
                <w:rFonts w:ascii="Arial" w:cs="Arial" w:eastAsia="Arial" w:hAnsi="Arial"/>
                <w:sz w:val="18"/>
                <w:szCs w:val="18"/>
                <w:color w:val="auto"/>
              </w:rPr>
              <w:t xml:space="preserve">Debt extinguishment </w:t>
            </w:r>
            <w:r>
              <w:rPr>
                <w:rFonts w:ascii="Arial" w:cs="Arial" w:eastAsia="Arial" w:hAnsi="Arial"/>
                <w:sz w:val="29"/>
                <w:szCs w:val="29"/>
                <w:color w:val="auto"/>
                <w:vertAlign w:val="superscript"/>
              </w:rPr>
              <w:t>(6)</w:t>
            </w:r>
          </w:p>
        </w:tc>
        <w:tc>
          <w:tcPr>
            <w:tcW w:w="10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4,824</w:t>
            </w:r>
          </w:p>
        </w:tc>
        <w:tc>
          <w:tcPr>
            <w:tcW w:w="114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7"/>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Change in fair market value of warrant liability </w:t>
            </w:r>
            <w:r>
              <w:rPr>
                <w:rFonts w:ascii="Arial" w:cs="Arial" w:eastAsia="Arial" w:hAnsi="Arial"/>
                <w:sz w:val="29"/>
                <w:szCs w:val="29"/>
                <w:color w:val="auto"/>
                <w:vertAlign w:val="superscript"/>
              </w:rPr>
              <w:t>(7)</w:t>
            </w:r>
          </w:p>
        </w:tc>
        <w:tc>
          <w:tcPr>
            <w:tcW w:w="1080" w:type="dxa"/>
            <w:vAlign w:val="bottom"/>
          </w:tcPr>
          <w:p>
            <w:pPr>
              <w:spacing w:after="0"/>
              <w:rPr>
                <w:sz w:val="24"/>
                <w:szCs w:val="24"/>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(5,446)</w:t>
            </w:r>
          </w:p>
        </w:tc>
        <w:tc>
          <w:tcPr>
            <w:tcW w:w="1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80" w:type="dxa"/>
            <w:vAlign w:val="bottom"/>
            <w:tcBorders>
              <w:top w:val="single" w:sz="8" w:color="auto"/>
              <w:bottom w:val="single" w:sz="8" w:color="auto"/>
            </w:tcBorders>
            <w:shd w:val="clear" w:color="auto" w:fill="CCEEFF"/>
          </w:tcPr>
          <w:p>
            <w:pPr>
              <w:jc w:val="right"/>
              <w:ind w:right="918"/>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shd w:val="clear" w:color="auto" w:fill="CCEEFF"/>
          </w:tcPr>
          <w:p>
            <w:pPr>
              <w:jc w:val="right"/>
              <w:ind w:right="981"/>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Stock-Based Compensation is comprised of costs associated with option and RSU grants made to our employees, consultants and board members.</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ERP Implementation is comprised of costs and expenses associated with our implementation of an Enterprise Resource Planning (ERP) system in anticipation of the Business Combination and becoming a public company.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Promissory Note Forgiveness is comprised of the loan that was forgiven, prior to the Business Combination, in connection with the promissory note, with a maturity date of March 1, 2026, between us and John Marchetti, our Chief Financial Officer.</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Separation Agreement is comprised of $1.2 million in cash severance associated with the Separation Agreement, dated October 25, 2022, as amended on November 14, 2022, between us and Sean Nichols, our former Chief Operating Officer.</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Business Combination Expenses is comprised of fees and expenses, including legal, accounting, and others associated with the Business Combination.</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in fair market value of warrant liabilities represents the change in fair value from the date the warrants were issued through December 31, 2022.</w:t>
      </w:r>
    </w:p>
    <w:p>
      <w:pPr>
        <w:sectPr>
          <w:pgSz w:w="11900" w:h="16838" w:orient="portrait"/>
          <w:cols w:equalWidth="0" w:num="1">
            <w:col w:w="11240"/>
          </w:cols>
          <w:pgMar w:left="320" w:top="665" w:right="339" w:bottom="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June 30, 2023, we had cash totaling $33 million.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jc w:val="both"/>
        <w:spacing w:after="0" w:line="289" w:lineRule="auto"/>
        <w:rPr>
          <w:sz w:val="20"/>
          <w:szCs w:val="20"/>
          <w:color w:val="auto"/>
        </w:rPr>
      </w:pPr>
      <w:r>
        <w:rPr>
          <w:rFonts w:ascii="Arial" w:cs="Arial" w:eastAsia="Arial" w:hAnsi="Arial"/>
          <w:sz w:val="16"/>
          <w:szCs w:val="16"/>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Our inventory balance at June 30, 2023 was $44.2 million, a decrease of $5.6 million, compared to $49.8 million at December 31, 2022.</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 and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to repay the $45 million fixed rate senior notes, and ChEF Equity Facility.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Term Loan proceeds were used to: (i) support the Business Combination, (ii) prepay the fixed rate senior notes at closing of the Business Combination,</w:t>
      </w:r>
    </w:p>
    <w:p>
      <w:pPr>
        <w:spacing w:after="0" w:line="46" w:lineRule="exact"/>
        <w:rPr>
          <w:sz w:val="20"/>
          <w:szCs w:val="20"/>
          <w:color w:val="auto"/>
        </w:rPr>
      </w:pPr>
    </w:p>
    <w:p>
      <w:pPr>
        <w:jc w:val="both"/>
        <w:ind w:firstLine="8"/>
        <w:spacing w:after="0" w:line="267" w:lineRule="auto"/>
        <w:tabs>
          <w:tab w:leader="none" w:pos="331"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we obtained a waiver from our Administrative Agent and Term Loan Lenders of our failure to satisfy the fixed charge coverage ratio and maximum senior leverage ratio with respect to the minimum cash requirements under the Term Loan during the quarter ended March 31, 2023. We were in compliance with the covenants as of June 30, 2023. However,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3" w:name="page84"/>
    <w:bookmarkEnd w:id="83"/>
    <w:p>
      <w:pPr>
        <w:jc w:val="both"/>
        <w:spacing w:after="0" w:line="269" w:lineRule="auto"/>
        <w:rPr>
          <w:sz w:val="20"/>
          <w:szCs w:val="20"/>
          <w:color w:val="auto"/>
        </w:rPr>
      </w:pPr>
      <w:r>
        <w:rPr>
          <w:rFonts w:ascii="Arial" w:cs="Arial" w:eastAsia="Arial" w:hAnsi="Arial"/>
          <w:sz w:val="17"/>
          <w:szCs w:val="17"/>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we will have the right from time to time at our option to direct CCM to purchase up to a specified maximum amount of shares of common stock, up to a maximum aggregate purchase price of $150 million over the term of the ChEF Equity Facility. In connection with the ChEF Equity Facility, we are filing this registration statement registering the resale of up to 21,512,027 shares that may be resold into the public markets by CCM, which represents approximately 37% of the shares of our common stock outstanding as of September 18, 2023. During the year ended December 31, 2022, we did not sell any shares of our common stock under the ChEF Equity Facility. From January 1, 2023 to September 18, 2023, we issued and sold 98,500 shares of our common stock under this facility, resulting in net cash proceeds of $670,593. Any sales of such shares into the public market could have a significant negative impact on the trading price of our common stock. This impact may be heightened by the fact that sales to CCM will generally be at prices below the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1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also filed a registration statement registering the resale of up to 47,428,544 shares that may be resold and/or issued into the public markets, which represents approximately 81% of the 58,880,812 shares of our common stock outstanding as of September 18, 2023. The selling securityholders will determine the timing, pricing and rate at which they sell such shares into the public market. Although the current trading price of our common stock is below $10.00 per share, which was the sales price for units in the CNTQ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2023, we completed the June 2023 Offering, which provided net proceeds to us, including the partial over-allotment option exercise, of approximately $21.1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we incurred losses and had a negative cash flow from operations. As of December 31, 2022, we had approximately $17.8 million in cash and cash equivalents and working capital of $32.9 million. For the quarter ended June 30, 2023, we generated a net loss of $11.7 million and had a negative cash flow from operations. As of June 30, 2023, we had approximately $33.0 million in cash and cash equivalents and working capital of $30.6 million.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we will fail to meet these covenants within the next twelve months.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2022 consolidated financial statements, with respect to this uncertainty.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4" w:name="page85"/>
    <w:bookmarkEnd w:id="84"/>
    <w:p>
      <w:pPr>
        <w:jc w:val="both"/>
        <w:spacing w:after="0" w:line="291" w:lineRule="auto"/>
        <w:rPr>
          <w:sz w:val="20"/>
          <w:szCs w:val="20"/>
          <w:color w:val="auto"/>
        </w:rPr>
      </w:pPr>
      <w:r>
        <w:rPr>
          <w:rFonts w:ascii="Arial" w:cs="Arial" w:eastAsia="Arial" w:hAnsi="Arial"/>
          <w:sz w:val="16"/>
          <w:szCs w:val="16"/>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Six months ended June 30, 2023, and June 30, 2022</w:t>
            </w:r>
          </w:p>
        </w:tc>
        <w:tc>
          <w:tcPr>
            <w:tcW w:w="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8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Six months ended June 30,</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2023</w:t>
            </w:r>
          </w:p>
        </w:tc>
        <w:tc>
          <w:tcPr>
            <w:tcW w:w="8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Net Cash (used in)/provided by:</w:t>
            </w:r>
          </w:p>
        </w:tc>
        <w:tc>
          <w:tcPr>
            <w:tcW w:w="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21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(5,639)</w:t>
            </w:r>
          </w:p>
        </w:tc>
        <w:tc>
          <w:tcPr>
            <w:tcW w:w="13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(19,912)</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Investing activities</w:t>
            </w:r>
          </w:p>
        </w:tc>
        <w:tc>
          <w:tcPr>
            <w:tcW w:w="2100" w:type="dxa"/>
            <w:vAlign w:val="bottom"/>
            <w:gridSpan w:val="2"/>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(2,571)</w:t>
            </w:r>
          </w:p>
        </w:tc>
        <w:tc>
          <w:tcPr>
            <w:tcW w:w="136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(4,819)</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10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23,381</w:t>
            </w:r>
          </w:p>
        </w:tc>
        <w:tc>
          <w:tcPr>
            <w:tcW w:w="13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$5.6 million for six months ended June 30, 2023, primarily due to a net loss of $6.8 million and negative change of $19.3 million in the fair market value of our warrant liability during the period offset by lower inventory levels an increase in accounts payable and accrued expenses as a result of extended payments for the large influx of cells received late in 2022 and early 2023.</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operating activities was $19.9 million for the six months ended June 30, 2022, primarily due to a net loss during the period in addition to an increase in inventory.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$2.6 million for the six months ended June 30, 2023, as compared to net cash used in investing activities of $4.8 million for the three months ended June 30, 2022. The decrease in cash used in investing activities was primarily due to a decrease in capital equipment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$23.4 million for the six months ended June 30, 2023, as compared to net cash provided by financing activities of $0.2 million for the six months ended June 30, 2022, and was primarily due to net proceeds of $21.1 million from our June equity offering.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Cash Flows for the Years ended December 31, 2022 and 2021</w:t>
            </w: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7440" w:type="dxa"/>
            <w:vAlign w:val="bottom"/>
          </w:tcPr>
          <w:p>
            <w:pPr>
              <w:spacing w:after="0"/>
              <w:rPr>
                <w:sz w:val="24"/>
                <w:szCs w:val="24"/>
                <w:color w:val="auto"/>
              </w:rPr>
            </w:pPr>
          </w:p>
        </w:tc>
        <w:tc>
          <w:tcPr>
            <w:tcW w:w="30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Years ended December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7440" w:type="dxa"/>
            <w:vAlign w:val="bottom"/>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by/(used in):</w:t>
            </w:r>
          </w:p>
        </w:tc>
        <w:tc>
          <w:tcPr>
            <w:tcW w:w="1080" w:type="dxa"/>
            <w:vAlign w:val="bottom"/>
          </w:tcPr>
          <w:p>
            <w:pPr>
              <w:spacing w:after="0"/>
              <w:rPr>
                <w:sz w:val="18"/>
                <w:szCs w:val="18"/>
                <w:color w:val="auto"/>
              </w:rPr>
            </w:pPr>
          </w:p>
        </w:tc>
        <w:tc>
          <w:tcPr>
            <w:tcW w:w="200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(45,696)</w:t>
            </w:r>
          </w:p>
        </w:tc>
        <w:tc>
          <w:tcPr>
            <w:tcW w:w="12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(13,573)</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Investing activities</w:t>
            </w:r>
          </w:p>
        </w:tc>
        <w:tc>
          <w:tcPr>
            <w:tcW w:w="1080" w:type="dxa"/>
            <w:vAlign w:val="bottom"/>
          </w:tcPr>
          <w:p>
            <w:pPr>
              <w:jc w:val="right"/>
              <w:ind w:right="92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(6,827)</w:t>
            </w:r>
          </w:p>
        </w:tc>
        <w:tc>
          <w:tcPr>
            <w:tcW w:w="1200" w:type="dxa"/>
            <w:vAlign w:val="bottom"/>
          </w:tcPr>
          <w:p>
            <w:pPr>
              <w:jc w:val="right"/>
              <w:ind w:right="89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(2,909)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shd w:val="clear" w:color="auto" w:fill="CCEEFF"/>
          </w:tcPr>
          <w:p>
            <w:pPr>
              <w:jc w:val="right"/>
              <w:ind w:right="92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41,674</w:t>
            </w:r>
          </w:p>
        </w:tc>
        <w:tc>
          <w:tcPr>
            <w:tcW w:w="12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38,906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was $13.6 million for the year ended December 31, 2021 primarily due to net income during the period which was more than offset by an increase in working capital (particularly inventory as the Company made the operational decision to build a larger buffer inventory to protect against potential shortages as we were targeting larger OEM customers) as a result of growth in our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investing activities was $6.8 million for the year ended December 31, 2022, as compared to $2.9 million for the year ended December 31, 2021. The increase in net cash used in investing activities was primarily due to an increase in capital expenditures to support the expansion of our core battery business and our ongoing efforts to develop solid-state battery technology and manufacturing processes.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Industries, partially offset by a $45.0 million expense for the repayment of the senior secured notes.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provided by financing activities was $38.9 million for the year ended December 31, 2021, primarily as a result of $45.0 million in proceeds from the senior secured notes, partially offset by associated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ectPr>
          <w:pgSz w:w="11900" w:h="16838" w:orient="portrait"/>
          <w:cols w:equalWidth="0" w:num="1">
            <w:col w:w="11240"/>
          </w:cols>
          <w:pgMar w:left="320" w:top="665" w:right="339" w:bottom="123" w:gutter="0" w:footer="0" w:header="0"/>
        </w:sectPr>
      </w:pPr>
    </w:p>
    <w:bookmarkStart w:id="85" w:name="page86"/>
    <w:bookmarkEnd w:id="85"/>
    <w:p>
      <w:pPr>
        <w:spacing w:after="0" w:line="277" w:lineRule="auto"/>
        <w:rPr>
          <w:sz w:val="20"/>
          <w:szCs w:val="20"/>
          <w:color w:val="auto"/>
        </w:rPr>
      </w:pPr>
      <w:r>
        <w:rPr>
          <w:rFonts w:ascii="Arial" w:cs="Arial" w:eastAsia="Arial" w:hAnsi="Arial"/>
          <w:sz w:val="18"/>
          <w:szCs w:val="18"/>
          <w:color w:val="auto"/>
        </w:rPr>
        <w:t>Our estimated future obligations consist of short-term and long-term operating lease liabilities. As of June 30, 2023, we had $1.2 million in short-term operating lease liabilities and $2.9 million in long-term operating lease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As disclosed above, we have a Term Loan and as of June 30, 2023, the principal amount outstanding under the Term Loan was $78.7 million.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jc w:val="both"/>
        <w:spacing w:after="0" w:line="273" w:lineRule="auto"/>
        <w:rPr>
          <w:sz w:val="20"/>
          <w:szCs w:val="20"/>
          <w:color w:val="auto"/>
        </w:rPr>
      </w:pPr>
      <w:r>
        <w:rPr>
          <w:rFonts w:ascii="Arial" w:cs="Arial" w:eastAsia="Arial" w:hAnsi="Arial"/>
          <w:sz w:val="17"/>
          <w:szCs w:val="17"/>
          <w:color w:val="auto"/>
        </w:rPr>
        <w:t>As disclosed above, consistent with the Debt Commitment Letter dated May 15, 2022 by and between CCM 5, and EICF EIP, in connection with the Closing, CNTQ, Legacy Dragonfly and the Initial Term Loan Lenders entered into the Term Loan Agreement setting forth the terms of a senior secured term loan facility in an aggregate principal amount of $75 million. The CNTQ Lender backstopped its commitment under the Debt Commitment Letter by entering into a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00" w:type="dxa"/>
            <w:vAlign w:val="bottom"/>
          </w:tcPr>
          <w:p>
            <w:pPr>
              <w:ind w:left="200"/>
              <w:spacing w:after="0"/>
              <w:rPr>
                <w:sz w:val="20"/>
                <w:szCs w:val="20"/>
                <w:color w:val="auto"/>
              </w:rPr>
            </w:pPr>
            <w:r>
              <w:rPr>
                <w:rFonts w:ascii="Arial" w:cs="Arial" w:eastAsia="Arial" w:hAnsi="Arial"/>
                <w:sz w:val="18"/>
                <w:szCs w:val="18"/>
                <w:b w:val="1"/>
                <w:bCs w:val="1"/>
                <w:color w:val="auto"/>
              </w:rPr>
              <w:t>MANAGEMENT</w:t>
            </w:r>
          </w:p>
        </w:tc>
      </w:tr>
      <w:tr>
        <w:trPr>
          <w:trHeight w:val="432"/>
        </w:trPr>
        <w:tc>
          <w:tcPr>
            <w:tcW w:w="11240" w:type="dxa"/>
            <w:vAlign w:val="bottom"/>
            <w:gridSpan w:val="5"/>
          </w:tcPr>
          <w:p>
            <w:pPr>
              <w:spacing w:after="0"/>
              <w:rPr>
                <w:sz w:val="20"/>
                <w:szCs w:val="20"/>
                <w:color w:val="auto"/>
              </w:rPr>
            </w:pPr>
            <w:r>
              <w:rPr>
                <w:rFonts w:ascii="Arial" w:cs="Arial" w:eastAsia="Arial" w:hAnsi="Arial"/>
                <w:sz w:val="18"/>
                <w:szCs w:val="18"/>
                <w:color w:val="auto"/>
              </w:rPr>
              <w:t>The following table sets forth certain information regarding our executive officers and directors as of the date of this prospectus.</w:t>
            </w:r>
          </w:p>
        </w:tc>
      </w:tr>
      <w:tr>
        <w:trPr>
          <w:trHeight w:val="453"/>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Age</w:t>
            </w:r>
          </w:p>
        </w:tc>
        <w:tc>
          <w:tcPr>
            <w:tcW w:w="6500" w:type="dxa"/>
            <w:vAlign w:val="bottom"/>
          </w:tcPr>
          <w:p>
            <w:pPr>
              <w:spacing w:after="0"/>
              <w:rPr>
                <w:sz w:val="20"/>
                <w:szCs w:val="20"/>
                <w:color w:val="auto"/>
              </w:rPr>
            </w:pPr>
            <w:r>
              <w:rPr>
                <w:rFonts w:ascii="Arial" w:cs="Arial" w:eastAsia="Arial" w:hAnsi="Arial"/>
                <w:sz w:val="18"/>
                <w:szCs w:val="18"/>
                <w:b w:val="1"/>
                <w:bCs w:val="1"/>
                <w:color w:val="auto"/>
              </w:rPr>
              <w:t>Position(s) Held</w:t>
            </w:r>
          </w:p>
        </w:tc>
      </w:tr>
      <w:tr>
        <w:trPr>
          <w:trHeight w:val="202"/>
        </w:trPr>
        <w:tc>
          <w:tcPr>
            <w:tcW w:w="3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Dr. Denis Phares</w:t>
            </w:r>
          </w:p>
        </w:tc>
        <w:tc>
          <w:tcPr>
            <w:tcW w:w="2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50</w:t>
            </w:r>
          </w:p>
        </w:tc>
        <w:tc>
          <w:tcPr>
            <w:tcW w:w="220" w:type="dxa"/>
            <w:vAlign w:val="bottom"/>
            <w:tcBorders>
              <w:top w:val="single" w:sz="8" w:color="CCEEFF"/>
            </w:tcBorders>
            <w:shd w:val="clear" w:color="auto" w:fill="CCEEFF"/>
          </w:tcPr>
          <w:p>
            <w:pPr>
              <w:spacing w:after="0"/>
              <w:rPr>
                <w:sz w:val="17"/>
                <w:szCs w:val="17"/>
                <w:color w:val="auto"/>
              </w:rPr>
            </w:pPr>
          </w:p>
        </w:tc>
        <w:tc>
          <w:tcPr>
            <w:tcW w:w="6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95"/>
              </w:rPr>
              <w:t>Founder, Chief Executive Officer, Interim Chief Financial Officer and Chairman of the</w:t>
            </w:r>
          </w:p>
        </w:tc>
      </w:tr>
      <w:tr>
        <w:trPr>
          <w:trHeight w:val="230"/>
        </w:trPr>
        <w:tc>
          <w:tcPr>
            <w:tcW w:w="3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Board</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Tyler Bourns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Chief Marketing Officer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Luisa Ingargiola</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Lead Independent 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Brian Nelson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Perry Boyle</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Jonathan Bellows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Rick Parod</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2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Karina Montilla Edmonds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Dr. Denis Phares </w:t>
      </w:r>
      <w:r>
        <w:rPr>
          <w:rFonts w:ascii="Arial" w:cs="Arial" w:eastAsia="Arial" w:hAnsi="Arial"/>
          <w:sz w:val="18"/>
          <w:szCs w:val="18"/>
          <w:color w:val="auto"/>
        </w:rPr>
        <w:t>has served as our Chief Executive Officer and Chairman of our board of directors since October 2022 and as Interim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Dr. Phares is the co-founder of Legacy Dragonfly and has served as Legacy Dragonfly’s Chief Executive Officer and Chairman of the board of directors since 2012. From 2005 until 2012, Dr. Phares served as a faculty member of the Aerospace &amp; Mechanical Engineering Department at the University of Southern California, where he worked extensively on renewable energy technologies and received tenure in 2010. Dr. Phares holds an M.B.A. from the University of Nevada — Reno, a Ph.D. in Engineering from the California Institute of Technology and a B.S. in Physics from Villanova University. Dr. Phares is qualified to serve on our board based on his substantial business, leadership, and management experience as the Chief Executive Officer and Chairman of our board.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Tyler Bourns </w:t>
      </w:r>
      <w:r>
        <w:rPr>
          <w:rFonts w:ascii="Arial" w:cs="Arial" w:eastAsia="Arial" w:hAnsi="Arial"/>
          <w:sz w:val="17"/>
          <w:szCs w:val="17"/>
          <w:color w:val="auto"/>
        </w:rPr>
        <w:t>has served as our Chief Marketing Officer since November 2022. Prior to the Business Combination, Mr. Bourns served as the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Marketing of Legacy Dragonfly from December 2021 through October 2022. Previously, Mr. Bourns was the owner and served as the President of Bourns Productions Inc., a video production and marketing company focused on content creation, messaging and strategy for various brands across multiple industries, for twelve years. During his time at Bourns Productions Inc., he oversaw the day-to-day business of the company, worked closely with clients and provided hands on service in the creation of video, photography and graphic content, including for Legacy Dragonfly for the marketing of our Battle Born Batteries brand. In 2018, he was awarded the AAF Reno Ad Person of the Year. A three-time Emmy Award Winner, he has produced and filmed thought-leading content for companies such as Panasonic, GE Energy and Terrasmart. Mr. Bourns has also served on the board of directors for the Cordillera International Film Festival since its inception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Luisa Ingargiola </w:t>
      </w:r>
      <w:r>
        <w:rPr>
          <w:rFonts w:ascii="Arial" w:cs="Arial" w:eastAsia="Arial" w:hAnsi="Arial"/>
          <w:sz w:val="17"/>
          <w:szCs w:val="17"/>
          <w:color w:val="auto"/>
        </w:rPr>
        <w:t>has served as a member of our board since October 2022. Prior to the Business Combination, Ms. Ingargiola served on the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of Legacy Dragonfly from August 2021 to October 2022. Since February 2017, Ms. Ingargiola has served as Chief Financial Officer of Avalon GloboCare Corp., a publicly listed bio-tech health care company. Prior to joining Avalon GloboCare Corp., Ms. Ingargiola served as the Chief Financial Officer and Co-Founder of MagneGas Corporation from 2007 to 2016. Ms. Ingargiola has also served as a board director and audit committee chair for various over-the-counter and Nasdaq companies. Ms. Ingargiola has served as a member of the board of directors and as Audit Committee Chair for Progress Acquisition Corporation since November 2020, as a member of the board of directors and as Audit Committee Chair for AgEagle Aerial Systems since March 2019, and as a member of the board of directors and as Audit Committee Chair for Electra Meccanica since March 2018. Ms. Ingargiola holds a M.B.A. in Health from the University of South Florida and a B.S. in Finance from Boston University. Ms. Ingargiola is qualified to serve on our board based on her previous roles serving as Chief Financial Officer for multiple companies and extensive experience serving on multiple boards of directors for Nasdaq companies.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Brian Nelson </w:t>
      </w:r>
      <w:r>
        <w:rPr>
          <w:rFonts w:ascii="Arial" w:cs="Arial" w:eastAsia="Arial" w:hAnsi="Arial"/>
          <w:sz w:val="17"/>
          <w:szCs w:val="17"/>
          <w:color w:val="auto"/>
        </w:rPr>
        <w:t>has served as a member of our board since October 2022. Prior to the Business Combination, Mr. Nelson served on the board of directors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Dragonfly from April 2022 to October 2022. Mr. Nelson has served as the Chief 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our board based on his years of business experience as President and Chief Executive Officer of Precision Surfacing Solutions Group and Lapmaster.</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has served as a member of our board since October 2022. Prior to the Business Combination, he served on the board of directors of CNTQ</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August 2021 to October 2022. Previously, Mr. Boyle was with Point72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Mr. Boyle is qualified to serve on our board based on his industry leadership and capital markets experience from research to fundraising.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9" w:name="page90"/>
    <w:bookmarkEnd w:id="89"/>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Jonathan Bellows </w:t>
      </w:r>
      <w:r>
        <w:rPr>
          <w:rFonts w:ascii="Arial" w:cs="Arial" w:eastAsia="Arial" w:hAnsi="Arial"/>
          <w:sz w:val="17"/>
          <w:szCs w:val="17"/>
          <w:color w:val="auto"/>
        </w:rPr>
        <w:t>has served as a member of our board since October 2022. Mr. Bellows currently serves as President of KORE Power, which acquired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Northern Reliability in March 2022. He has served as President and Chief Executive Officer of Northern Reliability since April 2015. KORE Power is a publicly-traded fully integrated energy storage manufacturing company, combining Northern Reliability’s energy storage technology with KORE Power’s cell manufacturing capabilities. Mr. Bellows is also President and Chief Executive Officer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our board based on his energy storage industry expertise and operating and leadership experience.</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Rick Parod </w:t>
      </w:r>
      <w:r>
        <w:rPr>
          <w:rFonts w:ascii="Arial" w:cs="Arial" w:eastAsia="Arial" w:hAnsi="Arial"/>
          <w:sz w:val="17"/>
          <w:szCs w:val="17"/>
          <w:color w:val="auto"/>
        </w:rPr>
        <w:t>has served as a member of our board since October 2022. Mr. Parod currently serves as the CEO of AdeptAg, a company that serves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and as a member of the audit committee, compensation committee and nominating and corporate governance committee of Alamo Group Inc., a publicly listed company focusing on design, manufacturing, distribution, and service of equipment for infrastructure maintenance and agriculture, since December 2017 as well as a director of Raven Industries, Inc. from December 2017 until its acquisition by CNH Industrial N.V. in June 2022. Mr. Parod is qualified to serve on our board based on his experience in manufacturing operations, product development and sales and marketing.</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Karina Montilla Edmonds, Ph.D</w:t>
      </w:r>
      <w:r>
        <w:rPr>
          <w:rFonts w:ascii="Arial" w:cs="Arial" w:eastAsia="Arial" w:hAnsi="Arial"/>
          <w:sz w:val="17"/>
          <w:szCs w:val="17"/>
          <w:color w:val="auto"/>
        </w:rPr>
        <w:t>. has served as a member of our board since October 2022. Dr. Edmonds currently serves as the Senior Vice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Global Head of Academies and University Alliances at 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Corporation, a publicly listed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our board based on her industry leadership and expertise in technology transfer and commercialization.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business and affairs are managed by or under the direction of our board. Our Charter provides for a staggered, or classified, board of directors consisting of three classes of directors, each serving a staggered three-year term and with one class being elected at each year’s annual meeting of stockholders, as follows:</w:t>
      </w:r>
    </w:p>
    <w:p>
      <w:pPr>
        <w:spacing w:after="0" w:line="18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Class A, which consists of Rick Parod and Karina Montilla Edmonds, whose terms will expire at the 2023 annual meeting of stockholders;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Class B, which consists of Brian Nelson and Jonathan Bellows, whose terms will expire at the 2024 annual meeting of stockholders;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0" w:name="page91"/>
    <w:bookmarkEnd w:id="90"/>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Class C, which consists of Denis Phares, Luisa Ingargiola and Perry Boyle, whose terms will expire at the 2025 annual meeting of stockholders.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each annual meeting of stockholders,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our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our board may have the effect of delaying or preventing changes in our control or management. Our directors may be removed for cause by the affirmative vote of the holders of at least two-thirds of our voting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Leadership Structure</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Dr. Denis Phares serves as the Chairman of our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our independent Lead Director.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board has determined that Rick Parod, Perry Boyle, Jonathan Bellows, Karina Montilla Edmonds, Brian Nelson and Luisa Ingargiola qualify as independent directors, as defined under the rules of the Nasdaq, and our board consists of a majority of “independent directors,” as defined under the rules of the SEC and the Nasdaq relating to director independence requirements. In addition, we are subject to the rules of the SEC and the Nasdaq relating to the membership, qualifications, and operations of the audit committee, as discussed below. Luisa Ingargiola is our lead independent director under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Board of Directors in Risk Oversight/Risk Committee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of the key functions of our board is informed oversight of our risk management process. Our board does not anticipate having a standing risk management committee, but rather anticipates administering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audit committee also monitors compliance with legal and regulatory requirements. Our compensation committee also assess and monitors whether our compensation plans, policies and programs comply with applicable legal and regulatory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Committees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board has three standing committees — an audit committee, a compensation committee, and a nominating and corporate governance committee.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Copies of the charters for each committee are available on our website.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consists of Luisa Ingargiola, Rick Parod and Perry Boyle. Our board has determined that each of the members of the audit committee satisfy the independence requirements of Nasdaq and Rule 10A-3 under the Exchange Act and are able to read and understand fundamental financial statements in accordance with Nasdaq’s audit committee requirements. In arriving at this determination, our board examined each audit committee member’s scope of experience and the nature of their prior and/or current employment.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1" w:name="page92"/>
    <w:bookmarkEnd w:id="91"/>
    <w:p>
      <w:pPr>
        <w:jc w:val="both"/>
        <w:spacing w:after="0" w:line="259" w:lineRule="auto"/>
        <w:rPr>
          <w:sz w:val="20"/>
          <w:szCs w:val="20"/>
          <w:color w:val="auto"/>
        </w:rPr>
      </w:pPr>
      <w:r>
        <w:rPr>
          <w:rFonts w:ascii="Arial" w:cs="Arial" w:eastAsia="Arial" w:hAnsi="Arial"/>
          <w:sz w:val="18"/>
          <w:szCs w:val="18"/>
          <w:color w:val="auto"/>
        </w:rPr>
        <w:t>Luisa Ingargiola serves as the chair of the audit committee. Our board has determined that Luisa Ingargiola qualifies as an audit committee financial expert within the meaning of SEC regulations and meets the financial sophistication requirements of the Nasdaq rules. In making this determination, our board considered Luisa Ingargiola’s formal education and previous experience in financial roles. Both our independent registered public accounting firm and management periodically meet privately with our audit committee.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composition and function of the audit committee complies with all applicable requirements of the Sarbanes-Oxley Act and all applicable SEC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compensation committee consists of Luisa Ingargiola, Brian Nelson and Rick Parod. Brian Nelson serves as the chair of the compensation committee. Our board determined that each of the members of the compensation committee are a non-employee director, as defined in Rule 16b-3 promulgated under the Exchange Act and satisfies the independence requirements of Nasdaq.</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composition and function of our compensation committee complies with all applicable requirements of the Sarbanes-Oxley Act and all applicable SEC and the Nasdaq rules and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nominating and corporate governance committee consists of Brian Nelson, Jonathan Bellows and Karina Montilla Edmonds. Ms. Edmonds serves as the chair of the nominating and corporate governance committee. Our board determined that each of the members of the nominating and corporate governance committee satisfies the independence requirements of Nasdaq.</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composition and function of the nominating and corporate governance committee comply with all applicable requirements of the Sarbanes-Oxley Act and all applicable SEC and Nasdaq’s rules and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our board or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Code of Ethics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board adopted a code of conduct (“</w:t>
      </w:r>
      <w:r>
        <w:rPr>
          <w:rFonts w:ascii="Arial" w:cs="Arial" w:eastAsia="Arial" w:hAnsi="Arial"/>
          <w:sz w:val="18"/>
          <w:szCs w:val="18"/>
          <w:b w:val="1"/>
          <w:bCs w:val="1"/>
          <w:color w:val="auto"/>
        </w:rPr>
        <w:t>Code of Conduct</w:t>
      </w:r>
      <w:r>
        <w:rPr>
          <w:rFonts w:ascii="Arial" w:cs="Arial" w:eastAsia="Arial" w:hAnsi="Arial"/>
          <w:sz w:val="18"/>
          <w:szCs w:val="18"/>
          <w:color w:val="auto"/>
        </w:rPr>
        <w:t>”) and a code of ethics (“</w:t>
      </w:r>
      <w:r>
        <w:rPr>
          <w:rFonts w:ascii="Arial" w:cs="Arial" w:eastAsia="Arial" w:hAnsi="Arial"/>
          <w:sz w:val="18"/>
          <w:szCs w:val="18"/>
          <w:b w:val="1"/>
          <w:bCs w:val="1"/>
          <w:color w:val="auto"/>
        </w:rPr>
        <w:t>Code of Ethics</w:t>
      </w:r>
      <w:r>
        <w:rPr>
          <w:rFonts w:ascii="Arial" w:cs="Arial" w:eastAsia="Arial" w:hAnsi="Arial"/>
          <w:sz w:val="18"/>
          <w:szCs w:val="18"/>
          <w:color w:val="auto"/>
        </w:rPr>
        <w:t xml:space="preserve">”) that applies to all of our directors, officers and employees. The full text of the Code of Conduct and Code of Ethics is posted on the investor relations page on our website at </w:t>
      </w:r>
      <w:r>
        <w:rPr>
          <w:rFonts w:ascii="Arial" w:cs="Arial" w:eastAsia="Arial" w:hAnsi="Arial"/>
          <w:sz w:val="18"/>
          <w:szCs w:val="18"/>
          <w:i w:val="1"/>
          <w:iCs w:val="1"/>
          <w:color w:val="auto"/>
        </w:rPr>
        <w:t>https://dragonflyenergy.com/investors/</w:t>
      </w:r>
      <w:r>
        <w:rPr>
          <w:rFonts w:ascii="Arial" w:cs="Arial" w:eastAsia="Arial" w:hAnsi="Arial"/>
          <w:sz w:val="18"/>
          <w:szCs w:val="18"/>
          <w:color w:val="auto"/>
        </w:rPr>
        <w:t>. We will disclose any amendments to our Code of Conduct and Code of Ethics, or waivers of its requirements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identified above, or in filings under the Exchange 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78.138 of the NRS provides that, unless the corporation’s articles of incorporation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Unless otherwise restricted by the articles of incorporation,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articles of incorporation,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Charter provides that the Company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13"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section describes the material components of the executive compensation program for certain of our executive officers listed in the Summary Compensation Table below (the “</w:t>
      </w:r>
      <w:r>
        <w:rPr>
          <w:rFonts w:ascii="Arial" w:cs="Arial" w:eastAsia="Arial" w:hAnsi="Arial"/>
          <w:sz w:val="18"/>
          <w:szCs w:val="18"/>
          <w:b w:val="1"/>
          <w:bCs w:val="1"/>
          <w:color w:val="auto"/>
        </w:rPr>
        <w:t>NEOs</w:t>
      </w:r>
      <w:r>
        <w:rPr>
          <w:rFonts w:ascii="Arial" w:cs="Arial" w:eastAsia="Arial" w:hAnsi="Arial"/>
          <w:sz w:val="18"/>
          <w:szCs w:val="18"/>
          <w:color w:val="auto"/>
        </w:rPr>
        <w:t>”) and directors. This discussion may contain forward-looking statements that are based on our current plans, considerations, expectations and determinations regarding future compensation programs.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compensation program is designed to align executives’ compensation with our business objectives and the creation of stockholder value, while helping us to continue to attract, motivate and retain individuals who contribute to our long-term success.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compensation earned by, or awarded to, our NEOs for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 Fiscal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Non-Qualified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Non-Equity</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Deferred</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Stock</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Option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Incentive Plan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All Other</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vMerge w:val="restart"/>
          </w:tcPr>
          <w:p>
            <w:pPr>
              <w:spacing w:after="0"/>
              <w:rPr>
                <w:sz w:val="20"/>
                <w:szCs w:val="20"/>
                <w:color w:val="auto"/>
              </w:rPr>
            </w:pPr>
            <w:r>
              <w:rPr>
                <w:rFonts w:ascii="Arial" w:cs="Arial" w:eastAsia="Arial" w:hAnsi="Arial"/>
                <w:sz w:val="18"/>
                <w:szCs w:val="18"/>
                <w:b w:val="1"/>
                <w:bCs w:val="1"/>
                <w:color w:val="auto"/>
              </w:rPr>
              <w:t>Name and Principal</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b w:val="1"/>
                <w:bCs w:val="1"/>
                <w:color w:val="auto"/>
              </w:rPr>
              <w:t>Salary</w:t>
            </w:r>
          </w:p>
        </w:tc>
        <w:tc>
          <w:tcPr>
            <w:tcW w:w="880" w:type="dxa"/>
            <w:vAlign w:val="bottom"/>
            <w:gridSpan w:val="2"/>
          </w:tcPr>
          <w:p>
            <w:pPr>
              <w:ind w:left="80"/>
              <w:spacing w:after="0"/>
              <w:rPr>
                <w:sz w:val="20"/>
                <w:szCs w:val="20"/>
                <w:color w:val="auto"/>
              </w:rPr>
            </w:pPr>
            <w:r>
              <w:rPr>
                <w:rFonts w:ascii="Arial" w:cs="Arial" w:eastAsia="Arial" w:hAnsi="Arial"/>
                <w:sz w:val="18"/>
                <w:szCs w:val="18"/>
                <w:b w:val="1"/>
                <w:bCs w:val="1"/>
                <w:color w:val="auto"/>
              </w:rPr>
              <w:t>Bonus</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9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Awards</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Compensation</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Compensation</w:t>
            </w:r>
          </w:p>
        </w:tc>
        <w:tc>
          <w:tcPr>
            <w:tcW w:w="90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1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4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14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b w:val="1"/>
                <w:bCs w:val="1"/>
                <w:color w:val="auto"/>
              </w:rPr>
              <w:t>Year</w:t>
            </w:r>
          </w:p>
        </w:tc>
        <w:tc>
          <w:tcPr>
            <w:tcW w:w="68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5"/>
              </w:rPr>
              <w:t>($)(2)</w:t>
            </w:r>
          </w:p>
        </w:tc>
        <w:tc>
          <w:tcPr>
            <w:tcW w:w="20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5"/>
              </w:rPr>
              <w:t>($)(3)</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5"/>
              </w:rPr>
              <w:t>($)(4)</w:t>
            </w:r>
          </w:p>
        </w:tc>
        <w:tc>
          <w:tcPr>
            <w:tcW w:w="200" w:type="dxa"/>
            <w:vAlign w:val="bottom"/>
          </w:tcPr>
          <w:p>
            <w:pPr>
              <w:spacing w:after="0"/>
              <w:rPr>
                <w:sz w:val="20"/>
                <w:szCs w:val="20"/>
                <w:color w:val="auto"/>
              </w:rPr>
            </w:pPr>
          </w:p>
        </w:tc>
        <w:tc>
          <w:tcPr>
            <w:tcW w:w="8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682,000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806,207</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1,531,545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7"/>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3,019,752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Chief Executive</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579,593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362,137</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22,234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963,964</w:t>
            </w: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Sean Nichols(5)</w:t>
            </w:r>
          </w:p>
        </w:tc>
        <w:tc>
          <w:tcPr>
            <w:tcW w:w="6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598,462</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w w:val="98"/>
              </w:rPr>
              <w:t>655,587</w:t>
            </w: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157,693</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9"/>
              </w:rPr>
              <w:t>1,411,742</w:t>
            </w:r>
          </w:p>
        </w:tc>
        <w:tc>
          <w:tcPr>
            <w:tcW w:w="0" w:type="dxa"/>
            <w:vAlign w:val="bottom"/>
          </w:tcPr>
          <w:p>
            <w:pPr>
              <w:spacing w:after="0"/>
              <w:rPr>
                <w:sz w:val="1"/>
                <w:szCs w:val="1"/>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Former Chief</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Operating Officer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579,593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362,137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20,244</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961,974</w:t>
            </w: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John Marchetti(6)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316,153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769,366</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645,998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11,057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1,742,574</w:t>
            </w:r>
          </w:p>
        </w:tc>
        <w:tc>
          <w:tcPr>
            <w:tcW w:w="0" w:type="dxa"/>
            <w:vAlign w:val="bottom"/>
          </w:tcPr>
          <w:p>
            <w:pPr>
              <w:spacing w:after="0"/>
              <w:rPr>
                <w:sz w:val="1"/>
                <w:szCs w:val="1"/>
                <w:color w:val="auto"/>
              </w:rPr>
            </w:pPr>
          </w:p>
        </w:tc>
      </w:tr>
      <w:tr>
        <w:trPr>
          <w:trHeight w:val="202"/>
        </w:trPr>
        <w:tc>
          <w:tcPr>
            <w:tcW w:w="18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rPr>
              <w:t>Former Chief</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Financial Officer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91,154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82,000</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399,999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283,249</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856,402</w:t>
            </w:r>
          </w:p>
        </w:tc>
        <w:tc>
          <w:tcPr>
            <w:tcW w:w="0" w:type="dxa"/>
            <w:vAlign w:val="bottom"/>
          </w:tcPr>
          <w:p>
            <w:pPr>
              <w:spacing w:after="0"/>
              <w:rPr>
                <w:sz w:val="1"/>
                <w:szCs w:val="1"/>
                <w:color w:val="auto"/>
              </w:rPr>
            </w:pPr>
          </w:p>
        </w:tc>
      </w:tr>
      <w:tr>
        <w:trPr>
          <w:trHeight w:val="202"/>
        </w:trPr>
        <w:tc>
          <w:tcPr>
            <w:tcW w:w="1840" w:type="dxa"/>
            <w:vAlign w:val="bottom"/>
          </w:tcPr>
          <w:p>
            <w:pPr>
              <w:spacing w:after="0" w:line="201" w:lineRule="exact"/>
              <w:rPr>
                <w:sz w:val="20"/>
                <w:szCs w:val="20"/>
                <w:color w:val="auto"/>
              </w:rPr>
            </w:pPr>
            <w:r>
              <w:rPr>
                <w:rFonts w:ascii="Arial" w:cs="Arial" w:eastAsia="Arial" w:hAnsi="Arial"/>
                <w:sz w:val="18"/>
                <w:szCs w:val="18"/>
                <w:color w:val="auto"/>
              </w:rPr>
              <w:t>Nicole Harvey(7)</w:t>
            </w:r>
          </w:p>
        </w:tc>
        <w:tc>
          <w:tcPr>
            <w:tcW w:w="6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2022</w:t>
            </w:r>
          </w:p>
        </w:tc>
        <w:tc>
          <w:tcPr>
            <w:tcW w:w="220" w:type="dxa"/>
            <w:vAlign w:val="bottom"/>
          </w:tcPr>
          <w:p>
            <w:pPr>
              <w:spacing w:after="0"/>
              <w:rPr>
                <w:sz w:val="17"/>
                <w:szCs w:val="17"/>
                <w:color w:val="auto"/>
              </w:rPr>
            </w:pP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242,461</w:t>
            </w:r>
          </w:p>
        </w:tc>
        <w:tc>
          <w:tcPr>
            <w:tcW w:w="8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80,000</w:t>
            </w:r>
          </w:p>
        </w:tc>
        <w:tc>
          <w:tcPr>
            <w:tcW w:w="10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561,000</w:t>
            </w:r>
          </w:p>
        </w:tc>
        <w:tc>
          <w:tcPr>
            <w:tcW w:w="90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line="201"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883,461</w:t>
            </w:r>
          </w:p>
        </w:tc>
        <w:tc>
          <w:tcPr>
            <w:tcW w:w="0" w:type="dxa"/>
            <w:vAlign w:val="bottom"/>
          </w:tcPr>
          <w:p>
            <w:pPr>
              <w:spacing w:after="0"/>
              <w:rPr>
                <w:sz w:val="1"/>
                <w:szCs w:val="1"/>
                <w:color w:val="auto"/>
              </w:rPr>
            </w:pPr>
          </w:p>
        </w:tc>
      </w:tr>
      <w:tr>
        <w:trPr>
          <w:trHeight w:val="216"/>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Former Chief Legal</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ind w:left="180"/>
              <w:spacing w:after="0"/>
              <w:rPr>
                <w:sz w:val="20"/>
                <w:szCs w:val="20"/>
                <w:color w:val="auto"/>
              </w:rPr>
            </w:pPr>
            <w:r>
              <w:rPr>
                <w:rFonts w:ascii="Arial" w:cs="Arial" w:eastAsia="Arial" w:hAnsi="Arial"/>
                <w:sz w:val="18"/>
                <w:szCs w:val="18"/>
                <w:i w:val="1"/>
                <w:iCs w:val="1"/>
                <w:color w:val="auto"/>
              </w:rPr>
              <w:t>Officer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66,346</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341,621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432,967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reported in this column represent discretionary bonuses awarded to each executive for performance during the fiscal years ended December 31, 2022 and December 31, 2021.</w:t>
      </w:r>
    </w:p>
    <w:p>
      <w:pPr>
        <w:spacing w:after="0" w:line="1"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amounts reported in this column reflect the grant date fair value of restricted stock awards granted to the NEOs for their performance during the fiscal year ended December 31, 2022 under the 2022 Plan and are accounted for in accordance with FASB ASC Topic 718. Please see the section titled “</w:t>
      </w:r>
      <w:r>
        <w:rPr>
          <w:rFonts w:ascii="Arial" w:cs="Arial" w:eastAsia="Arial" w:hAnsi="Arial"/>
          <w:sz w:val="17"/>
          <w:szCs w:val="17"/>
          <w:i w:val="1"/>
          <w:iCs w:val="1"/>
          <w:color w:val="auto"/>
        </w:rPr>
        <w:t>Stock-Based Compensation</w:t>
      </w:r>
      <w:r>
        <w:rPr>
          <w:rFonts w:ascii="Arial" w:cs="Arial" w:eastAsia="Arial" w:hAnsi="Arial"/>
          <w:sz w:val="17"/>
          <w:szCs w:val="17"/>
          <w:color w:val="auto"/>
        </w:rPr>
        <w:t>” beginning on page F-11 of our Notes to Consolidated Financial Statements included elsewhere in this prospectus for a discussion of the relevant assumptions used in calculating these amounts.</w:t>
      </w:r>
    </w:p>
    <w:p>
      <w:pPr>
        <w:jc w:val="both"/>
        <w:ind w:left="66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reported in this column reflect the grant date fair value of the stock option awards granted to the NEOs during 2021 under our stock incentive plans and are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these amounts.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amount reflects our matching contribution to the executive’s account under our 401(k)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 November 4, 2022, we announced that Mr. Nichols would be stepping down as our Chief Operating Officer on November 7, 2022.</w:t>
      </w:r>
    </w:p>
    <w:p>
      <w:pPr>
        <w:spacing w:after="0" w:line="20"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Mr. Marchetti commenced employment as Legacy Dragonfly’s Chief Financial Officer on September 6, 2021. On August 20, 2023 Mr. Marchetti resigned from his position as our Chief Financial Officer and will continue with us as our Senior Vice President, Operations.</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Ms. Harvey’s employment with us ended on April 26,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Outstanding Equity Awards as of December 31, 2022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information regarding outstanding options to acquire our common stock held by each of the NEOs as of December 31, 2022, including the vesting dates for the portions of these awards that had not vested as of that date. The NEOs did not hold any other outstanding equity awards as of that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Option Awards</w:t>
            </w: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4"/>
              </w:rPr>
              <w:t>Equity</w:t>
            </w: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Incentive</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Plan Awards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3"/>
              </w:rPr>
              <w:t>Number of</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Number of</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5"/>
              </w:rPr>
              <w:t>Securities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Securities</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Underlying</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Underlying</w:t>
            </w:r>
          </w:p>
        </w:tc>
        <w:tc>
          <w:tcPr>
            <w:tcW w:w="14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Unexercised</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Unexercised</w:t>
            </w:r>
          </w:p>
        </w:tc>
        <w:tc>
          <w:tcPr>
            <w:tcW w:w="14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440" w:type="dxa"/>
            <w:vAlign w:val="bottom"/>
            <w:gridSpan w:val="2"/>
          </w:tcPr>
          <w:p>
            <w:pPr>
              <w:ind w:left="280"/>
              <w:spacing w:after="0"/>
              <w:rPr>
                <w:sz w:val="20"/>
                <w:szCs w:val="20"/>
                <w:color w:val="auto"/>
              </w:rPr>
            </w:pPr>
            <w:r>
              <w:rPr>
                <w:rFonts w:ascii="Arial" w:cs="Arial" w:eastAsia="Arial" w:hAnsi="Arial"/>
                <w:sz w:val="18"/>
                <w:szCs w:val="18"/>
                <w:b w:val="1"/>
                <w:bCs w:val="1"/>
                <w:color w:val="auto"/>
              </w:rPr>
              <w:t>Option</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r>
      <w:tr>
        <w:trPr>
          <w:trHeight w:val="229"/>
        </w:trPr>
        <w:tc>
          <w:tcPr>
            <w:tcW w:w="3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Options (#)</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Options (#)</w:t>
            </w:r>
          </w:p>
        </w:tc>
        <w:tc>
          <w:tcPr>
            <w:tcW w:w="140" w:type="dxa"/>
            <w:vAlign w:val="bottom"/>
          </w:tcPr>
          <w:p>
            <w:pPr>
              <w:spacing w:after="0"/>
              <w:rPr>
                <w:sz w:val="19"/>
                <w:szCs w:val="19"/>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Unearned</w:t>
            </w: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Exercise</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r>
      <w:tr>
        <w:trPr>
          <w:trHeight w:val="24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Exercisable</w:t>
            </w:r>
          </w:p>
        </w:tc>
        <w:tc>
          <w:tcPr>
            <w:tcW w:w="4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Unexercisable</w:t>
            </w:r>
          </w:p>
        </w:tc>
        <w:tc>
          <w:tcPr>
            <w:tcW w:w="2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Options (#)</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Price ($)</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Dr. Denis Phares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118,208</w:t>
            </w: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59,108(1)</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ind w:left="800"/>
              <w:spacing w:after="0"/>
              <w:rPr>
                <w:sz w:val="20"/>
                <w:szCs w:val="20"/>
                <w:color w:val="auto"/>
              </w:rPr>
            </w:pPr>
            <w:r>
              <w:rPr>
                <w:rFonts w:ascii="Arial" w:cs="Arial" w:eastAsia="Arial" w:hAnsi="Arial"/>
                <w:sz w:val="18"/>
                <w:szCs w:val="18"/>
                <w:color w:val="auto"/>
                <w:w w:val="79"/>
              </w:rPr>
              <w:t>0.32</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12/5/2029</w:t>
            </w: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Sean Nichols</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177,316</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0.32</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11/7/2023</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Marchetti</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93,587(2)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142,831</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2.89</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9/13/31</w:t>
            </w:r>
          </w:p>
        </w:tc>
      </w:tr>
      <w:tr>
        <w:trPr>
          <w:trHeight w:val="230"/>
        </w:trPr>
        <w:tc>
          <w:tcPr>
            <w:tcW w:w="4080" w:type="dxa"/>
            <w:vAlign w:val="bottom"/>
            <w:gridSpan w:val="2"/>
          </w:tcPr>
          <w:p>
            <w:pPr>
              <w:spacing w:after="0"/>
              <w:rPr>
                <w:sz w:val="20"/>
                <w:szCs w:val="20"/>
                <w:color w:val="auto"/>
              </w:rPr>
            </w:pPr>
            <w:r>
              <w:rPr>
                <w:rFonts w:ascii="Arial" w:cs="Arial" w:eastAsia="Arial" w:hAnsi="Arial"/>
                <w:sz w:val="18"/>
                <w:szCs w:val="18"/>
                <w:color w:val="auto"/>
              </w:rPr>
              <w:t>Nicole Harvey</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51,497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57,257</w:t>
            </w:r>
          </w:p>
        </w:tc>
        <w:tc>
          <w:tcPr>
            <w:tcW w:w="140" w:type="dxa"/>
            <w:vAlign w:val="bottom"/>
          </w:tcPr>
          <w:p>
            <w:pPr>
              <w:spacing w:after="0"/>
              <w:rPr>
                <w:sz w:val="20"/>
                <w:szCs w:val="20"/>
                <w:color w:val="auto"/>
              </w:rPr>
            </w:pPr>
          </w:p>
        </w:tc>
        <w:tc>
          <w:tcPr>
            <w:tcW w:w="14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800"/>
              <w:spacing w:after="0"/>
              <w:rPr>
                <w:sz w:val="20"/>
                <w:szCs w:val="20"/>
                <w:color w:val="auto"/>
              </w:rPr>
            </w:pPr>
            <w:r>
              <w:rPr>
                <w:rFonts w:ascii="Arial" w:cs="Arial" w:eastAsia="Arial" w:hAnsi="Arial"/>
                <w:sz w:val="18"/>
                <w:szCs w:val="18"/>
                <w:color w:val="auto"/>
              </w:rPr>
              <w:t>2.89</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10/22/2031</w:t>
            </w:r>
          </w:p>
        </w:tc>
      </w:tr>
    </w:tbl>
    <w:p>
      <w:pPr>
        <w:spacing w:after="0" w:line="18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unvested portion of this option vests in 20 monthly installments from January 12, 2022 and August 12, 2023.</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unvested portion of this option vests as to 25% of the option on September 10, 2022 and as to 75% of the option in 36 monthly installments from October 10, 2022 through September 10, 2025.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2021, Mr. Marchetti received an option to purchase 200,000 shares of our common stock at a price of $3.41 per share. This option was granted under the Legacy Dragonfly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For services performed during the year ended December 31, 2022, on February 10, 2023, Dr. Phares was granted 204,266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Mr. Marchetti was granted 86,133 RSUs, and Ms. Harvey was granted 74,800 RSUs. Each grant vested in full on the date of grant.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and the Dragonfly Energy Corp. 2021 Stock Incentive Plan (the “</w:t>
      </w:r>
      <w:r>
        <w:rPr>
          <w:rFonts w:ascii="Arial" w:cs="Arial" w:eastAsia="Arial" w:hAnsi="Arial"/>
          <w:sz w:val="18"/>
          <w:szCs w:val="18"/>
          <w:b w:val="1"/>
          <w:bCs w:val="1"/>
          <w:color w:val="auto"/>
        </w:rPr>
        <w:t>2021 Plan</w:t>
      </w:r>
      <w:r>
        <w:rPr>
          <w:rFonts w:ascii="Arial" w:cs="Arial" w:eastAsia="Arial" w:hAnsi="Arial"/>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w:t>
      </w:r>
      <w:r>
        <w:rPr>
          <w:rFonts w:ascii="Arial" w:cs="Arial" w:eastAsia="Arial" w:hAnsi="Arial"/>
          <w:sz w:val="17"/>
          <w:szCs w:val="17"/>
          <w:u w:val="single" w:color="auto"/>
          <w:color w:val="auto"/>
        </w:rPr>
        <w:t>site at</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http://www.sec.gov</w:t>
      </w:r>
      <w:r>
        <w:rPr>
          <w:rFonts w:ascii="Arial" w:cs="Arial" w:eastAsia="Arial" w:hAnsi="Arial"/>
          <w:sz w:val="17"/>
          <w:szCs w:val="17"/>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Plan and 2021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the Business Combination, we maintained the 2019 Plan and the 2021 Plan. Under the 2019 Plan and 2021 Plan,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5" w:name="page96"/>
    <w:bookmarkEnd w:id="95"/>
    <w:p>
      <w:pPr>
        <w:jc w:val="both"/>
        <w:spacing w:after="0" w:line="257" w:lineRule="auto"/>
        <w:rPr>
          <w:sz w:val="20"/>
          <w:szCs w:val="20"/>
          <w:color w:val="auto"/>
        </w:rPr>
      </w:pPr>
      <w:r>
        <w:rPr>
          <w:rFonts w:ascii="Arial" w:cs="Arial" w:eastAsia="Arial" w:hAnsi="Arial"/>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 be cancelled upon the transaction. Such adjustments were made to each of the then-outstanding options under the 2019 Plan and the 2021 Plan upon the Closing.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Equity Incentive Plan</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We maintain the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20"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select participants and determine the types of awards that they are to receive;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ind w:left="66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cancel, modify or waive our rights with respect to, or modify, discontinue, suspend or terminate any or all outstanding awards, subject to any required consents;</w:t>
      </w: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construe and interpret the terms of the 2022 Plan and any agreements relating to the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accelerate or extend the vesting or exercisability or extend the term of any or all outstanding awards subject to any required consent;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subject to the other provisions of the 2022 Plan, make certain adjustments to an outstanding award and authorize the termination, conversion, substitution or succession of an award; and</w:t>
      </w:r>
    </w:p>
    <w:p>
      <w:pPr>
        <w:jc w:val="both"/>
        <w:ind w:left="660" w:hanging="328"/>
        <w:spacing w:after="0" w:line="25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total of 2,785,950 shares of our common stock have been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September 18, 2023, 787,434 awards have been granted under the 2022 Plan, and 4,179,110 shares authorized under the 2022 Plan are available for award purposes.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6" w:name="page97"/>
    <w:bookmarkEnd w:id="96"/>
    <w:p>
      <w:pPr>
        <w:jc w:val="both"/>
        <w:spacing w:after="0" w:line="273" w:lineRule="auto"/>
        <w:rPr>
          <w:sz w:val="20"/>
          <w:szCs w:val="20"/>
          <w:color w:val="auto"/>
        </w:rPr>
      </w:pPr>
      <w:r>
        <w:rPr>
          <w:rFonts w:ascii="Arial" w:cs="Arial" w:eastAsia="Arial" w:hAnsi="Arial"/>
          <w:sz w:val="17"/>
          <w:szCs w:val="17"/>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2022 Plan will terminate on May 13, 2032. However, the plan administrator will retain its authority until all outstanding awards are exercised or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maintain the Employee Stock Purchase Plan (the “</w:t>
      </w:r>
      <w:r>
        <w:rPr>
          <w:rFonts w:ascii="Arial" w:cs="Arial" w:eastAsia="Arial" w:hAnsi="Arial"/>
          <w:sz w:val="18"/>
          <w:szCs w:val="18"/>
          <w:b w:val="1"/>
          <w:bCs w:val="1"/>
          <w:color w:val="auto"/>
        </w:rPr>
        <w:t>ESPP</w:t>
      </w:r>
      <w:r>
        <w:rPr>
          <w:rFonts w:ascii="Arial" w:cs="Arial" w:eastAsia="Arial" w:hAnsi="Arial"/>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 total of 2,464,400 shares of our common stock have been initially authorized for issuance under the ESPP. The share limit will</w:t>
      </w:r>
      <w:r>
        <w:rPr>
          <w:rFonts w:ascii="Arial" w:cs="Arial" w:eastAsia="Arial" w:hAnsi="Arial"/>
          <w:sz w:val="17"/>
          <w:szCs w:val="17"/>
          <w:i w:val="1"/>
          <w:iCs w:val="1"/>
          <w:color w:val="auto"/>
        </w:rPr>
        <w:t xml:space="preserve"> </w:t>
      </w:r>
      <w:r>
        <w:rPr>
          <w:rFonts w:ascii="Arial" w:cs="Arial" w:eastAsia="Arial" w:hAnsi="Arial"/>
          <w:sz w:val="17"/>
          <w:szCs w:val="17"/>
          <w:color w:val="auto"/>
        </w:rPr>
        <w:t>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Offering Periods</w:t>
      </w:r>
      <w:r>
        <w:rPr>
          <w:rFonts w:ascii="Arial" w:cs="Arial" w:eastAsia="Arial" w:hAnsi="Arial"/>
          <w:sz w:val="18"/>
          <w:szCs w:val="18"/>
          <w:color w:val="auto"/>
        </w:rPr>
        <w:t>. We currently expect the ESPP will have a series of successive six-month offering periods. However, the ESPP provides flexibility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Eligible Employees</w:t>
      </w:r>
      <w:r>
        <w:rPr>
          <w:rFonts w:ascii="Arial" w:cs="Arial" w:eastAsia="Arial" w:hAnsi="Arial"/>
          <w:sz w:val="18"/>
          <w:szCs w:val="18"/>
          <w:color w:val="auto"/>
        </w:rPr>
        <w:t>. Individuals scheduled to work more than 20 hours per week for more than five calendar months per year may join an offering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start date of that period. Employees may participate in only one offering period at a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A participant may contribute up to 15% of his or her cash earnings through payroll deductions, and the accumulated deductions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 Change in Control. If we are acquired by merger or sale of all or substantially all of our assets or more than 50% of our voting 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Other plan provisions</w:t>
      </w:r>
      <w:r>
        <w:rPr>
          <w:rFonts w:ascii="Arial" w:cs="Arial" w:eastAsia="Arial" w:hAnsi="Arial"/>
          <w:sz w:val="18"/>
          <w:szCs w:val="18"/>
          <w:color w:val="auto"/>
        </w:rPr>
        <w:t>. No new offering periods will commence on or after May 13, 2032. The board of directors may at any time amend, suspend or</w:t>
      </w:r>
      <w:r>
        <w:rPr>
          <w:rFonts w:ascii="Arial" w:cs="Arial" w:eastAsia="Arial" w:hAnsi="Arial"/>
          <w:sz w:val="18"/>
          <w:szCs w:val="18"/>
          <w:i w:val="1"/>
          <w:iCs w:val="1"/>
          <w:color w:val="auto"/>
        </w:rPr>
        <w:t xml:space="preserve"> </w:t>
      </w:r>
      <w:r>
        <w:rPr>
          <w:rFonts w:ascii="Arial" w:cs="Arial" w:eastAsia="Arial" w:hAnsi="Arial"/>
          <w:sz w:val="18"/>
          <w:szCs w:val="18"/>
          <w:color w:val="auto"/>
        </w:rPr>
        <w:t>discontinue the ESPP. However, certain amendments may require stockholder approval.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us through the date the bonus is paid (or if the executive’s employment terminates due to his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the executive’s employment is terminated by us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us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during the period commencing three months before a change in control of the Company and ending 12 months after a change in control, the executive’s employment is terminated by us without cause (or as a result of us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us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each case, the executive’s right to receive the severance benefits described above is subject to his providing a release of claims to us and his continued compliance with the restrictive covenants in favor of us in the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8" w:name="page99"/>
    <w:bookmarkEnd w:id="98"/>
    <w:p>
      <w:pPr>
        <w:jc w:val="both"/>
        <w:spacing w:after="0" w:line="271" w:lineRule="auto"/>
        <w:rPr>
          <w:sz w:val="20"/>
          <w:szCs w:val="20"/>
          <w:color w:val="auto"/>
        </w:rPr>
      </w:pPr>
      <w:r>
        <w:rPr>
          <w:rFonts w:ascii="Arial" w:cs="Arial" w:eastAsia="Arial" w:hAnsi="Arial"/>
          <w:sz w:val="17"/>
          <w:szCs w:val="17"/>
          <w:color w:val="auto"/>
        </w:rPr>
        <w:t>On November 4, 2022, we announced that Sean Nichols, our Chief Operating Officer, would be stepping down to pursue other interests. His last day of employment was November 7, 2022. We have entered into a separation and release agreement (the “</w:t>
      </w:r>
      <w:r>
        <w:rPr>
          <w:rFonts w:ascii="Arial" w:cs="Arial" w:eastAsia="Arial" w:hAnsi="Arial"/>
          <w:sz w:val="17"/>
          <w:szCs w:val="17"/>
          <w:b w:val="1"/>
          <w:bCs w:val="1"/>
          <w:color w:val="auto"/>
        </w:rPr>
        <w:t>Separation Agreement</w:t>
      </w:r>
      <w:r>
        <w:rPr>
          <w:rFonts w:ascii="Arial" w:cs="Arial" w:eastAsia="Arial" w:hAnsi="Arial"/>
          <w:sz w:val="17"/>
          <w:szCs w:val="17"/>
          <w:color w:val="auto"/>
        </w:rPr>
        <w:t>”) with Mr. Nichols that became effective and fully irrevocable on November 2, 2022. Pursuant to the Separation Agreement, Mr. Nichols received a cash payment of $100,000 in one installment in December 2022 and will receive a cash payment of $1,000,000 in 24 monthly installments commencing in December 2022. Mr. Nichols’ outstanding equity awards granted by us will fully vest and, in the case of options, will be exercisable for 12 months following his termination date. The Separation Agreement also provides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24, 2023, we entered into an amended and restated employment agreement with Mr. Marchetti to provide that Mr. Marchetti will receive a minimum annual bonus of $175,000 for the fiscal year ending December 31, 2023. All other terms of the amended and restated Agreement remain the same as the original agreement.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previously entered into an employment agreement, dated as of October 11, 2022 with Ms. Harvey. The agreement provided for a three-year initial employment term, with automatic three-year renewal terms thereafter, subject to 90 days’ notice of non-renewal by either party. The agreement also provided for Ms. Harvey to receive an annual base salary of $334,000. The agreement also included non-competition and non-solicitation covenants that apply for 12 months following Ms. Harvey’s termination of employment, and certain confidentiality and other covenants.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26, 2023, Ms. Harvey’s employment with us ended and her employment agreement was deemed terminated as of that date by us without cause for purposes of determining severance thereunder. As a result, Ms. Harvey is entitled to receive (i) cash severance equal to 2 times her annual base salary, payable in installments over two years following the termination date, (ii) reimbursement of monthly COBRA premiums for the executive and her dependents for up to 12 months, and (iii) vesting in full of any time-based equity awards granted by us to Ms. Harvey. If, during the period commencing three months before a change in control of the Company and ending 12 months after a change in control, the executive’s employment is terminated by us without cause (or as a result of us not renewing the term of the agreement), Ms. Harvey would be entitled to receive the severance benefits described in the preceding sentence. In addition, Ms. Harvey’s outstanding stock options granted by us would fully vest and be exercisable for the remainder of the term of the option. In the event any of Ms. Harvey’s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 Ms. Harvey’s right to receive the severance benefits described above was subject to her providing a release of claims to us and remains subject to her continued compliance with the restrictive covenants in favor of us in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part of our overall compensation program, we provide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 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Our current practice is to match 100% of an employee’s contributions to the plan up to 4% of the employee’s compensation.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Closing, we adopted a policy that provides for cash and equity compensation for members of our board of directors who are not employed by us or any of our subsidiaries (our “</w:t>
      </w:r>
      <w:r>
        <w:rPr>
          <w:rFonts w:ascii="Arial" w:cs="Arial" w:eastAsia="Arial" w:hAnsi="Arial"/>
          <w:sz w:val="18"/>
          <w:szCs w:val="18"/>
          <w:b w:val="1"/>
          <w:bCs w:val="1"/>
          <w:color w:val="auto"/>
        </w:rPr>
        <w:t>Non-Employee Directors</w:t>
      </w:r>
      <w:r>
        <w:rPr>
          <w:rFonts w:ascii="Arial" w:cs="Arial" w:eastAsia="Arial" w:hAnsi="Arial"/>
          <w:sz w:val="18"/>
          <w:szCs w:val="18"/>
          <w:color w:val="auto"/>
        </w:rPr>
        <w:t>”). The policy provides that each Non-Employee Director is entitled to receive the following cash compensation for board service, as applicable:</w:t>
      </w:r>
    </w:p>
    <w:p>
      <w:pPr>
        <w:spacing w:after="0" w:line="184"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$58,800 annual retainer for service as a board member;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$20,000 additional annual retainer for service as Lead Independent Director;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board of directors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RSUs with a value of $300,000 upon their initial appointment to the board and an award of options or RSUs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99" w:name="page100"/>
    <w:bookmarkEnd w:id="99"/>
    <w:p>
      <w:pPr>
        <w:jc w:val="both"/>
        <w:spacing w:after="0" w:line="342" w:lineRule="auto"/>
        <w:rPr>
          <w:sz w:val="20"/>
          <w:szCs w:val="20"/>
          <w:color w:val="auto"/>
        </w:rPr>
      </w:pPr>
      <w:r>
        <w:rPr>
          <w:rFonts w:ascii="Arial" w:cs="Arial" w:eastAsia="Arial" w:hAnsi="Arial"/>
          <w:sz w:val="16"/>
          <w:szCs w:val="16"/>
          <w:color w:val="auto"/>
        </w:rPr>
        <w:t>Under the policy, Non-Employee Directors are entitled to reimbursement from us for their reasonable travel (including airfare and ground transportation), lodging and meal expenses incident to meetings of the board or committees thereof or in connection with other board-related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board may change the terms of our director compensation policy from time to time.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 Fiscal 2022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certain information concerning compensation paid to our Non-Employee Directors for services on our board during the year ended December 31, 2022. Messrs. Phares and Nichols did not receive any additional compensation for their service on our board during the year ended December 31,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Fees Earned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or Paid in</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Stock</w:t>
            </w:r>
          </w:p>
        </w:tc>
        <w:tc>
          <w:tcPr>
            <w:tcW w:w="15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Option</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Cash ($)</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 xml:space="preserve">Awards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 (1)</w:t>
            </w:r>
          </w:p>
        </w:tc>
        <w:tc>
          <w:tcPr>
            <w:tcW w:w="15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 xml:space="preserve">Awards </w:t>
            </w:r>
            <w:r>
              <w:rPr>
                <w:rFonts w:ascii="Arial" w:cs="Arial" w:eastAsia="Arial" w:hAnsi="Arial"/>
                <w:sz w:val="18"/>
                <w:szCs w:val="18"/>
                <w:b w:val="1"/>
                <w:bCs w:val="1"/>
                <w:u w:val="single" w:color="auto"/>
                <w:color w:val="auto"/>
                <w:w w:val="92"/>
              </w:rPr>
              <w:t>($</w:t>
            </w:r>
            <w:r>
              <w:rPr>
                <w:rFonts w:ascii="Arial" w:cs="Arial" w:eastAsia="Arial" w:hAnsi="Arial"/>
                <w:sz w:val="18"/>
                <w:szCs w:val="18"/>
                <w:b w:val="1"/>
                <w:bCs w:val="1"/>
                <w:color w:val="auto"/>
                <w:w w:val="92"/>
              </w:rPr>
              <w:t>)(1)</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spacing w:after="0"/>
              <w:rPr>
                <w:sz w:val="20"/>
                <w:szCs w:val="20"/>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w:t>
            </w:r>
          </w:p>
        </w:tc>
      </w:tr>
      <w:tr>
        <w:trPr>
          <w:trHeight w:val="216"/>
        </w:trPr>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Jonathan Bellows</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Perry Boyle</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13,741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420,000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433,741</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Karina Montilla Edmonds, Ph.D.</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16,078</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420,000</w:t>
            </w:r>
          </w:p>
        </w:tc>
        <w:tc>
          <w:tcPr>
            <w:tcW w:w="15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436,078</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Luisa Ingargiola</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23,089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420,000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443,089</w:t>
            </w: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Nelson</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17,247</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420,000</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245,401(3)</w:t>
            </w:r>
          </w:p>
        </w:tc>
        <w:tc>
          <w:tcPr>
            <w:tcW w:w="16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682,648</w:t>
            </w: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Rick Parod</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13,741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420,000</w:t>
            </w:r>
          </w:p>
        </w:tc>
        <w:tc>
          <w:tcPr>
            <w:tcW w:w="15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433,741</w:t>
            </w:r>
          </w:p>
        </w:tc>
      </w:tr>
    </w:tbl>
    <w:p>
      <w:pPr>
        <w:spacing w:after="0" w:line="187" w:lineRule="exact"/>
        <w:rPr>
          <w:sz w:val="20"/>
          <w:szCs w:val="20"/>
          <w:color w:val="auto"/>
        </w:rPr>
      </w:pPr>
    </w:p>
    <w:p>
      <w:pPr>
        <w:jc w:val="both"/>
        <w:ind w:left="660" w:hanging="328"/>
        <w:spacing w:after="0" w:line="253"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reported in this column reflects the grant date fair value of the stock option and/or RSUs granted to the Non-Employee Directors during the year ended December 31, 2022 under the 2022 Plan as described above and is accounted for in accordance with FASB ASC Topic 718. Please see the section titled “</w:t>
      </w:r>
      <w:r>
        <w:rPr>
          <w:rFonts w:ascii="Arial" w:cs="Arial" w:eastAsia="Arial" w:hAnsi="Arial"/>
          <w:sz w:val="18"/>
          <w:szCs w:val="18"/>
          <w:i w:val="1"/>
          <w:iCs w:val="1"/>
          <w:color w:val="auto"/>
        </w:rPr>
        <w:t>Stock-Based Compensation</w:t>
      </w:r>
      <w:r>
        <w:rPr>
          <w:rFonts w:ascii="Arial" w:cs="Arial" w:eastAsia="Arial" w:hAnsi="Arial"/>
          <w:sz w:val="18"/>
          <w:szCs w:val="18"/>
          <w:color w:val="auto"/>
        </w:rPr>
        <w:t>” beginning on page F-11 of our Notes to Consolidated Financial Statements included elsewhere in this prospectus for a discussion of the relevant assumptions used in calculating this amount. As of December 31, 2022, each Non-Employee Director held 30,000 unvested RSUs.</w:t>
      </w:r>
    </w:p>
    <w:p>
      <w:pPr>
        <w:spacing w:after="0" w:line="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aggregate number of shares of common stock underlying stock options and unvested RSUs outstanding as of December 31, 2022 held by Ms. Ingargiola was 127,521.</w:t>
      </w:r>
    </w:p>
    <w:p>
      <w:pPr>
        <w:ind w:left="660" w:hanging="328"/>
        <w:spacing w:after="0" w:line="260"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stock option awards to purchase 70,925 shares of our common stock were granted to Mr. Nelson on May 9, 2022 and vest in 36 equal monthly installments beginning on May 15, 2022.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compensation arrangements for our named executive officers and directors, we describe below each transaction or series of similar transactions, since January 1, 2021, to which we were a party or will be a party, in which:</w:t>
      </w:r>
    </w:p>
    <w:p>
      <w:pPr>
        <w:spacing w:after="0" w:line="17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3"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Compensation arrangements for our named executive officers and directors are described in the section entitled “</w:t>
      </w:r>
      <w:r>
        <w:rPr>
          <w:rFonts w:ascii="Arial" w:cs="Arial" w:eastAsia="Arial" w:hAnsi="Arial"/>
          <w:sz w:val="18"/>
          <w:szCs w:val="18"/>
          <w:i w:val="1"/>
          <w:iCs w:val="1"/>
          <w:color w:val="auto"/>
        </w:rPr>
        <w:t>Executive Compensation</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 with John Marchetti</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an inducement to hire Mr. John Marchetti as our Chief Financial Officer in September 2021,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4, 2022, we entered into the Separation Agreement with Mr. Nichols that became effective and fully irrevocable on November 2, 2022. Pursuant to the Separation Agreement, Mr. Nichols received a cash payment of $100,000 in one installment in December 2022 and is entitled to receive a cash payment of $1.0 million in 24 monthly installments commencing in December 2022. Mr. Nichols’ outstanding equity awards granted by us will fully vest and, in the case of options, will be exercisable for 12 months following his termination date. The Separation Agreement also provides that we will pay a portion of Mr. Nichols’ premiums to continue participation in our health insurance plans for up to 18 months following his termination. The Separation Agreement includes a general release of claims by Mr. Nichols and certain restrictive covenants in favor of us, including non-competition and non-solicitation covenants for 12 months following his termination date.</w:t>
      </w:r>
    </w:p>
    <w:p>
      <w:pPr>
        <w:spacing w:after="0" w:line="17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April 26, 2023, we entered into a separation and release of claims agreement with our Chief Legal Officer (“</w:t>
      </w:r>
      <w:r>
        <w:rPr>
          <w:rFonts w:ascii="Arial" w:cs="Arial" w:eastAsia="Arial" w:hAnsi="Arial"/>
          <w:sz w:val="16"/>
          <w:szCs w:val="16"/>
          <w:b w:val="1"/>
          <w:bCs w:val="1"/>
          <w:color w:val="auto"/>
        </w:rPr>
        <w:t>CLO</w:t>
      </w:r>
      <w:r>
        <w:rPr>
          <w:rFonts w:ascii="Arial" w:cs="Arial" w:eastAsia="Arial" w:hAnsi="Arial"/>
          <w:sz w:val="16"/>
          <w:szCs w:val="16"/>
          <w:color w:val="auto"/>
        </w:rPr>
        <w:t>”). As consideration for the CLO’s execution of the agreement, we agreed to pay the CLO wages and benefits across 24 monthly payments commencing on June 1, 2023, and all outstanding equity-based compensation awards to become fully vested and exercisable. The CLO had three months from her termination date to exercise outstanding options. The three-month period ended on July 26, 2023 in which the options were not exercised and the options were forfeited as a result.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with Brian Nelson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a Loan Fee of $100,000 to Mr. Nelson on April 4, 2023. We paid the Principal Amount and the Loan Fee in full on April 1, 2023 and April 4, 2023,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entered into separate indemnification agreements with our directors and executive officers, in addition to the indemnification provided for in our Charter and our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 that these charter provisions and indemnification agreements are necessary to attract and retain qualified persons as directors and officers.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limitation of liability and indemnification provisions in our Charter and our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Business Combination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Registration Rights Agreement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closing of the Business Combination, CNTQ, the Sponsor and certain other CNTQ shareholders parties thereto (collectively, the “</w:t>
      </w:r>
      <w:r>
        <w:rPr>
          <w:rFonts w:ascii="Arial" w:cs="Arial" w:eastAsia="Arial" w:hAnsi="Arial"/>
          <w:sz w:val="18"/>
          <w:szCs w:val="18"/>
          <w:b w:val="1"/>
          <w:bCs w:val="1"/>
          <w:color w:val="auto"/>
        </w:rPr>
        <w:t>Insiders</w:t>
      </w:r>
      <w:r>
        <w:rPr>
          <w:rFonts w:ascii="Arial" w:cs="Arial" w:eastAsia="Arial" w:hAnsi="Arial"/>
          <w:sz w:val="18"/>
          <w:szCs w:val="18"/>
          <w:color w:val="auto"/>
        </w:rPr>
        <w:t>”), Legacy Dragonfly, and certain Legacy Dragonfly stockholders entered into an Amended and Restated Registration Rights Agreement (the “</w:t>
      </w:r>
      <w:r>
        <w:rPr>
          <w:rFonts w:ascii="Arial" w:cs="Arial" w:eastAsia="Arial" w:hAnsi="Arial"/>
          <w:sz w:val="18"/>
          <w:szCs w:val="18"/>
          <w:b w:val="1"/>
          <w:bCs w:val="1"/>
          <w:color w:val="auto"/>
        </w:rPr>
        <w:t>Amended Registration Rights Agreement</w:t>
      </w:r>
      <w:r>
        <w:rPr>
          <w:rFonts w:ascii="Arial" w:cs="Arial" w:eastAsia="Arial" w:hAnsi="Arial"/>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Subscription Agreement, the Sponsor agreed to purchase, and CNTQ agreed to sell to the Sponsor, an aggregate of 500,000 shares of CNTQ Common Stock for gross proceeds to CNTQ of $5 million in a private placement. On September 28, 2022, the Sponsor and CCM, entered into an assignment, assumption and joinder agreement, pursuant to which the Sponsor assigned all of the Sponsor’s rights, benefits and obligations under the Subscription Agreement to CCM.</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us because such shares are not redeemed. During the week of September 26, 2022, CCM acquired in the open market 485,000 shares of common stock, at purchase prices per share ranging from $10.33 to $10.38 (such shares, the “</w:t>
      </w:r>
      <w:r>
        <w:rPr>
          <w:rFonts w:ascii="Arial" w:cs="Arial" w:eastAsia="Arial" w:hAnsi="Arial"/>
          <w:sz w:val="16"/>
          <w:szCs w:val="16"/>
          <w:b w:val="1"/>
          <w:bCs w:val="1"/>
          <w:color w:val="auto"/>
        </w:rPr>
        <w:t>Purchased Shares</w:t>
      </w:r>
      <w:r>
        <w:rPr>
          <w:rFonts w:ascii="Arial" w:cs="Arial" w:eastAsia="Arial" w:hAnsi="Arial"/>
          <w:sz w:val="16"/>
          <w:szCs w:val="16"/>
          <w:color w:val="auto"/>
        </w:rPr>
        <w:t>”). In accordance with the aforementioned offset provision provided in the Subscription Agreement, the aggregate purchase price 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our receipt of $5,016,547 from the Trust Account (based on a per share redemption price of $10.34) and (ii) a reduction in CCM’s purchase commitment under the Subscription Agreement to zero in accordance with the Offset. At the Closing, we issued an additional 15,000 shares to CCM pursuant to the terms of the Subscription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Financing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the Debt Commitment Letter, in connection with the Closing, CNTQ, Legacy Dragonfly and the Initial Term Loan Lenders entered into the Term Loan Agreement setting forth the terms of the Term Loan in an aggregate principal amount of $75 million. The CNTQ Lender backstopped its commitment under the Debt Commitment Letter by entering into the Backstop Commitment Letter with the Backstop Lender, pursuant to which the Backstop Lender committed to purchase from the CNTQ Lender the Backstopped Loans immediately following the issuance of the Term Loan on the Closing Date. Pursuant to an assignment agreement, the Backstopped Loans were assigned by CCM 5 to the Backstop Lender on the Closing Date.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spacing w:after="0" w:line="311" w:lineRule="auto"/>
        <w:rPr>
          <w:sz w:val="20"/>
          <w:szCs w:val="20"/>
          <w:color w:val="auto"/>
        </w:rPr>
      </w:pPr>
      <w:r>
        <w:rPr>
          <w:rFonts w:ascii="Arial" w:cs="Arial" w:eastAsia="Arial" w:hAnsi="Arial"/>
          <w:sz w:val="16"/>
          <w:szCs w:val="16"/>
          <w:color w:val="auto"/>
        </w:rPr>
        <w:t>Pursuant to the Term Loan Agreement, the obligations of Legacy Dragonfly are guaranteed by us and will be guaranteed by any of Legacy Dragonfly’s subsidiaries that are party thereto from time to time as guarantors. In addition, we entered into the Pledge Agreement pursuant to which we pledged to the Administrative Agent our equity interests in Legacy Dragonfly as further collateral security for the obligations under the Term Loan Agreement.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March 29, 2023, we obtained a waiver from our Administrative Agent and Term Loan Lenders of our failures to satisfy the fixed charge coverage ratio and maximum senior leverage ratio with respect to the minimum cash requirements under the Term Loan during the quarter ended March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June 2023 Offering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2023, we entered into the June 2023 Public Offering, an aggregate of (i) 10,000,000 shares of our common stock, par value $0.0001, and (ii) the Investor Warrants, at the combined public offering price of $2.00 per share and accompanying Investor Warrant, less underwriting discounts and commissions, and (iii) the Underwriters’ Warrants.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In addition to the Underwriter, CCM also participated in the offering as an additional bookrunner.</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Agreements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entry into the Term Loan Agreement, and as a required term and condition thereof, we issued (i) the Penny Warrants and (ii) the $10 Warrants. The $10 Warrants were exercised on a cashless basis on October 10, 2022, in which we agreed to issue 457,142 shares of common stock in connection with such exercise. The Penny Warrants have an exercise period of 10 years from the date of issuance. The $10 Warrants have been exercised in full and are no longer outstanding.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our $150 million ChEF Equity Facility (or replacement thereof) sold at a per share price above $5.00.</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shares issuable upon exercise of the Penny Warrants, and the shares issued upon exercise of the $10 Warrants have customary registration rights, which are contained in the respective forms of the Penny Warrants and the $10 Warrants, requiring us to file and keep effective a resale registration statement registering the resale of the shares of common stock underlying the Penny Warrants and the $10 Warrants.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ChEF Equity Facility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Consistent with the equity facility letter agreement between Legacy Dragonfly and CCM 5, we and CCM entered into the Purchase Agreement and the ChEF RRA in connection with the Closing. In addition, we appointed LifeSci Capital, LLC as “qualified independent underwriter” with respect to the transactions contemplated by the Purchase Agreement.</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we have the right from time to time at our option to direct CCM to purchase an amount of shares of common stock, up to a maximum aggregate purchase price of $150 million, over the term of the equity facility. As of September 18, 2023, we have sold 98,500 shares under the ChEF Equity Facility for aggregate net proceeds to us of $670,593.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 Policy</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adopted a written Related Person Transactions Policy on October 7, 2022 (the “</w:t>
      </w:r>
      <w:r>
        <w:rPr>
          <w:rFonts w:ascii="Arial" w:cs="Arial" w:eastAsia="Arial" w:hAnsi="Arial"/>
          <w:sz w:val="18"/>
          <w:szCs w:val="18"/>
          <w:b w:val="1"/>
          <w:bCs w:val="1"/>
          <w:color w:val="auto"/>
        </w:rPr>
        <w:t>Policy</w:t>
      </w:r>
      <w:r>
        <w:rPr>
          <w:rFonts w:ascii="Arial" w:cs="Arial" w:eastAsia="Arial" w:hAnsi="Arial"/>
          <w:sz w:val="18"/>
          <w:szCs w:val="18"/>
          <w:color w:val="auto"/>
        </w:rPr>
        <w:t>”) that sets forth our policies and procedures regarding the identification, review, consideration and oversight of “related person transactions.” For purposes of the Policy only, a “related person transaction” is a transaction, arrangement or relationship (or any series of similar transactions, arrangements or relationships) in which (i) we (including any of our subsidiaries, if any) was, is or will be a participant, (ii) the aggregate amount involved exceeds or may be expected to exceed $120,000, and (iii) a related person has or will have a direct or indirect material interest.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Subject to certain limitations, transactions involving compensation for services provided to us as an employee or director will not be considered related person transactions under the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57"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of the transactions entered into since the adoption of the Policy have been approved by our audit committee.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You are encouraged to read the applicable provisions of the NRS, the Charter and Bylaws in their entirety for a complete description of the rights and preferences of our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175,000,000 shares of capital stock authorized under our Charter, which consists of 170,000,000 shares of common stock with a par value of $0.0001 per share and 5,000,000 shares of preferred stock with par value $0.0001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18, 2023 there were 58,880,812 shares of common stock outstanding and no shares of preferred stock outstanding.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Each whole redeemable Public Warrant entitles the registered holder to purchase one share of common stock at a price of $11.50 per share, subject to adjustment as described below. 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price for the Public Warrants is subject to adjustment for stock splits or combinations, stock dividends and distributions, reclassifications, subdivisions, and other similar transactions. Pursuant to the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If a registration statement registering under the Securities Act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(the “</w:t>
      </w:r>
      <w:r>
        <w:rPr>
          <w:rFonts w:ascii="Arial" w:cs="Arial" w:eastAsia="Arial" w:hAnsi="Arial"/>
          <w:sz w:val="18"/>
          <w:szCs w:val="18"/>
          <w:b w:val="1"/>
          <w:bCs w:val="1"/>
          <w:color w:val="auto"/>
        </w:rPr>
        <w:t>30-day redemption period</w:t>
      </w:r>
      <w:r>
        <w:rPr>
          <w:rFonts w:ascii="Arial" w:cs="Arial" w:eastAsia="Arial" w:hAnsi="Arial"/>
          <w:sz w:val="18"/>
          <w:szCs w:val="18"/>
          <w:color w:val="auto"/>
        </w:rPr>
        <w:t>”) to each warrant holder;</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jc w:val="both"/>
        <w:ind w:left="660" w:hanging="328"/>
        <w:spacing w:after="0" w:line="255"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and only if, there is a current registration statement in effect with respect to the offer and sale of the shares of common stock underlying such Public Warrants at the time of redemption and for the entire 30-trading day period referred to above and continuing each day thereafter until the date of redemption.</w:t>
      </w:r>
    </w:p>
    <w:p>
      <w:pPr>
        <w:spacing w:after="0" w:line="1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Public Warrants contain certain anti-dilution and adjustment rights upon certain events.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Public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Public Warrants may be exercised only for a whole number of shares of common stock. No fractional shares will be issued upon exercise of the Public Warrants. If, upon exercise of the warrants, a holder would be entitled to receive a fractional interest in a share, we will, upon exercise, round down to the nearest whole number of shares of common stock to be issued to the warrant holder.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Private Warrants (including the common stock issuable upon their exercise of the Private Warrants) are not redeemable by us so long as they are held by Sponsor or its permitted transferees.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Sponsor or its permitted transferees, the Private Warrants will be redeemable by us and exercisable by the holders on the same basis as the Public Warrants.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6" w:name="page107"/>
    <w:bookmarkEnd w:id="106"/>
    <w:p>
      <w:pPr>
        <w:jc w:val="both"/>
        <w:spacing w:after="0" w:line="296" w:lineRule="auto"/>
        <w:rPr>
          <w:sz w:val="20"/>
          <w:szCs w:val="20"/>
          <w:color w:val="auto"/>
        </w:rPr>
      </w:pPr>
      <w:r>
        <w:rPr>
          <w:rFonts w:ascii="Arial" w:cs="Arial" w:eastAsia="Arial" w:hAnsi="Arial"/>
          <w:sz w:val="16"/>
          <w:szCs w:val="16"/>
          <w:color w:val="auto"/>
        </w:rPr>
        <w:t>If holders of the Private Warrants elect to exercise them on a cashless basis, they would pay the exercise price by surrendering their Private Warrants for that number of shares of common stock equal to the quotient obtained by dividing (x) the product of the number of shares of common stock underlying the Private Warrants, multiplied by the difference between the exercise price of the Private Warrant warrants and the “fair market value” (defined below) by (y) the fair market value. The “</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the volume weighted average last reported sale price of the common stock for the 10 trading days ending on the third trading day prior to the date on which the notice of warrant exercise is sent to the warrant agent.</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Holders of our Private Warrants are entitled to certain registration rights. The Private Warrants purchased by Sponsor will not be exercisable on or after August 10, 2026, in accordance with FINRA Rule 5110(g), as long as Sponsor or any of its related persons beneficially own the Private Warrants.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Penny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Penny Warrants were issued on the Closing Date and have an exercise period of 10 years from the date of issuance. 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anti-dilution adjustment will be made with respect to issuances of common stock pursuant to our $150 million ChEF Facility (or replacement thereof) sold at a per share price above $5.00. The shares issued and issuable upon exercise of the Penny Warrants have customary registration rights requiring us to file and keep effective a resale registration statement registering the resale of the shares of common stock underlying the Penny Warrants.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Investor Warrants that were issued in the June 2023 Offering, expire five years from the date of the closing,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Underwriters’ Warrants</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Underwriters’ Warrants that were issued in the June 2023 Offering expire on June 20, 2028, have an exercise price of $2.50 per share, are immediately exercisable and contain a cashless exercise provision. The cashless exercise of the warrants is calculated pursuant to the formula set forth in the Underwriters’ Warrants. In addition, the Underwriters’ Warrants contain additional registration rights in the event of an ineffective registration statement prior to their full exercise.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shares of common stock and warrant agent for our Warrants is Equiniti Trust Company,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Charter authorizes a total of 5,000,000 shares of preferred stock, par value $0.0001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our Charter, our board of directors is authorized to issue shares of preferred stock in one or more series without stockholder approval. Our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Choice of Forum Provisions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Charter, the Bylaws and Nevada Law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Combinations with Interested Stockholders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Following the expiration of the two-year period, the corporation is prohibited from engaging in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8" w:name="page109"/>
    <w:bookmarkEnd w:id="108"/>
    <w:p>
      <w:pPr>
        <w:jc w:val="both"/>
        <w:spacing w:after="0" w:line="286" w:lineRule="auto"/>
        <w:rPr>
          <w:sz w:val="20"/>
          <w:szCs w:val="20"/>
          <w:color w:val="auto"/>
        </w:rPr>
      </w:pPr>
      <w:r>
        <w:rPr>
          <w:rFonts w:ascii="Arial" w:cs="Arial" w:eastAsia="Arial" w:hAnsi="Arial"/>
          <w:sz w:val="17"/>
          <w:szCs w:val="17"/>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Companies are entitled to opt out of the business combination provisions of the NRS. In our Charter, we have not opted out of the business combination provisions of NRS 78.411 to 78.444, inclusive.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Controlling Interests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Nevada law also protects the corporation and its stockholders from persons acquiring a “controlling interest” in a corporation. The provisions can be found in NRS 78.378 to 78.3793, inclusive.</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w:t>
      </w:r>
    </w:p>
    <w:p>
      <w:pPr>
        <w:spacing w:after="0" w:line="2" w:lineRule="exact"/>
        <w:rPr>
          <w:sz w:val="20"/>
          <w:szCs w:val="20"/>
          <w:color w:val="auto"/>
        </w:rPr>
      </w:pPr>
    </w:p>
    <w:p>
      <w:pPr>
        <w:jc w:val="both"/>
        <w:ind w:firstLine="8"/>
        <w:spacing w:after="0" w:line="286" w:lineRule="auto"/>
        <w:tabs>
          <w:tab w:leader="none" w:pos="3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Common stock and Series A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series, delay, defer, or prevent a change of control of our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Pursuant to Section 78.320 of the NRS,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Charter provides otherwise. The Charter precludes stockholder action by written consent.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Bylaws provide that our board may fix the number of directors at no less than one. Any vacancy on our board may be filled by the affirmative vote of a majority of the remaining directors though less than a quorum of our board. A director elected to fill a vacancy shall be elected for the unexpired term of his predecessor in office, and shall hold such office until his successor is duly elected and qualified. Any directorship to be filled by reason of an increase in the number of directors shall be filled by the affirmative vote of a majority of the directors then in office, even if less than a quorum. A director chosen to fill a position resulting from an increase in the number of directors shall hold office for a term that coincides with the remaining term of that class of director.</w:t>
      </w:r>
    </w:p>
    <w:p>
      <w:pPr>
        <w:spacing w:after="0" w:line="19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NRS requires the vote of the holders of at least two-thirds of the shares or class or series of shares of the issued and outstanding stock entitled to vote at an election of directors in order to remove a director or all of the directors. Furthermore, the NRS does not make a distinction between removals for cause and removals without cause. The articles of incorporation may provide for a higher voting threshold but not a lower one.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provide that any director or directors of the corporation, except those elected by the holders of any series or class of preferred stock provided for or fixed pursuant to the provisions of Article V of the Charter, may be removed from office at any time, but only for cause, by the vote or written consent of stockholders representing not less than 66 2/3% of the voting power of all of the then outstanding shares of stock entitled to vote in the election of directors, voting together as a single class.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contain advance notice provisions that a stockholder must follow if it intends to bring business proposals or director nominations, as applicable, before a meeting of stockholders. These provisions may preclude our stockholders from bringing matters before the annual meeting of stockholders or from making nominations at the annual meeting of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for Amendment of Certificate of Incorporation and Bylaws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Charter further provides that the affirmative vote of holders of at least 66 2∕3% of the voting power of all of the then outstanding shares of stock entitled to vote in the election of directors, voting as a single class, is required to amend or repeal certain provisions of our Charter, including provisions relating to the size of the board, removal of directors, special meetings and actions by written consent. The affirmative vote of holders of at least 66 2/3% of the voting power of all of the then outstanding shares of stock entitled to vote in the election of directors, voting as a single class, is required to adopt, amend, alter or repeal our Bylaws, although our Bylaws may be adopted, amended, altered or repealed by a majority vote of the board of directors, assuming no vacancies.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Exchange Listing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currently listed on the Nasdaq Global Market under the symbol “DFLI” and our Public Warrants are currently listed on the Nasdaq Capital Market under the symbol “DFLIW”.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following table sets forth certain information as of September 18, 2023, with respect to the beneficial ownership of common stock by the following: (i) each of our current directors; (ii) each of our named executive officers; (iii) all of our current executive officers and directors as a group; and (iv) each other person known by us to own beneficially more than five percent (5%) of the outstanding shares of common stock.</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amounts and percentage of shares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In computing the number of shares beneficially owned by a person and the percentage ownership of that person, common stock subject to securities held by that person that are currently exercisable or exercisable within 60 days of September 18, 2023 (“</w:t>
      </w:r>
      <w:r>
        <w:rPr>
          <w:rFonts w:ascii="Arial" w:cs="Arial" w:eastAsia="Arial" w:hAnsi="Arial"/>
          <w:sz w:val="16"/>
          <w:szCs w:val="16"/>
          <w:b w:val="1"/>
          <w:bCs w:val="1"/>
          <w:color w:val="auto"/>
        </w:rPr>
        <w:t>Presently</w:t>
      </w:r>
      <w:r>
        <w:rPr>
          <w:rFonts w:ascii="Arial" w:cs="Arial" w:eastAsia="Arial" w:hAnsi="Arial"/>
          <w:sz w:val="16"/>
          <w:szCs w:val="16"/>
          <w:color w:val="auto"/>
        </w:rPr>
        <w:t xml:space="preserve"> </w:t>
      </w:r>
      <w:r>
        <w:rPr>
          <w:rFonts w:ascii="Arial" w:cs="Arial" w:eastAsia="Arial" w:hAnsi="Arial"/>
          <w:sz w:val="16"/>
          <w:szCs w:val="16"/>
          <w:b w:val="1"/>
          <w:bCs w:val="1"/>
          <w:color w:val="auto"/>
        </w:rPr>
        <w:t>Exercisable Securities</w:t>
      </w:r>
      <w:r>
        <w:rPr>
          <w:rFonts w:ascii="Arial" w:cs="Arial" w:eastAsia="Arial" w:hAnsi="Arial"/>
          <w:sz w:val="16"/>
          <w:szCs w:val="16"/>
          <w:color w:val="auto"/>
        </w:rPr>
        <w:t>”), if any, are deemed outstanding, but are not deemed outstanding for computing the percentage ownership of any other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indicated by footnote, the persons named in the table below have sole voting and investment power with respect to all shares of common stock shown as beneficially owned by them, subject to community property laws where applicable.</w:t>
      </w:r>
    </w:p>
    <w:p>
      <w:pPr>
        <w:spacing w:after="0" w:line="16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reflects 58,880,812 shares common stock outstanding as of September 18, 2023 plus any shares issuable upon exercise of Presently Exercisable Securities held by such person or entity.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Dragonfly Energy Holdings Corp., 1190 Trademark Drive #108, Reno, Nevada 89521.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 and</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Nature of</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Percent</w:t>
            </w:r>
          </w:p>
        </w:tc>
      </w:tr>
      <w:tr>
        <w:trPr>
          <w:trHeight w:val="241"/>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2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Ownership</w:t>
            </w:r>
          </w:p>
        </w:tc>
        <w:tc>
          <w:tcPr>
            <w:tcW w:w="184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of Class</w:t>
            </w:r>
          </w:p>
        </w:tc>
      </w:tr>
      <w:tr>
        <w:trPr>
          <w:trHeight w:val="216"/>
        </w:trPr>
        <w:tc>
          <w:tcPr>
            <w:tcW w:w="7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Dynavolt Technology (HK) Ltd.</w:t>
            </w:r>
            <w:r>
              <w:rPr>
                <w:rFonts w:ascii="Arial" w:cs="Arial" w:eastAsia="Arial" w:hAnsi="Arial"/>
                <w:sz w:val="29"/>
                <w:szCs w:val="29"/>
                <w:color w:val="auto"/>
                <w:vertAlign w:val="superscript"/>
              </w:rPr>
              <w:t>(1)</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11,820,900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20.08%</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Li Gong</w:t>
            </w:r>
            <w:r>
              <w:rPr>
                <w:rFonts w:ascii="Arial" w:cs="Arial" w:eastAsia="Arial" w:hAnsi="Arial"/>
                <w:sz w:val="29"/>
                <w:szCs w:val="29"/>
                <w:color w:val="auto"/>
                <w:vertAlign w:val="superscript"/>
              </w:rPr>
              <w:t>(2)</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3,073,434</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r>
      <w:tr>
        <w:trPr>
          <w:trHeight w:val="216"/>
        </w:trPr>
        <w:tc>
          <w:tcPr>
            <w:tcW w:w="7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Dr. Denis Phares</w:t>
            </w:r>
            <w:r>
              <w:rPr>
                <w:rFonts w:ascii="Arial" w:cs="Arial" w:eastAsia="Arial" w:hAnsi="Arial"/>
                <w:sz w:val="29"/>
                <w:szCs w:val="29"/>
                <w:color w:val="auto"/>
                <w:vertAlign w:val="superscript"/>
              </w:rPr>
              <w:t>(3)(4)</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16,280,692</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27.65%</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Sean Nichols</w:t>
            </w:r>
            <w:r>
              <w:rPr>
                <w:rFonts w:ascii="Arial" w:cs="Arial" w:eastAsia="Arial" w:hAnsi="Arial"/>
                <w:sz w:val="29"/>
                <w:szCs w:val="29"/>
                <w:color w:val="auto"/>
                <w:vertAlign w:val="superscript"/>
              </w:rPr>
              <w:t>(3)(5)</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3,735,999</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r>
      <w:tr>
        <w:trPr>
          <w:trHeight w:val="257"/>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Nicole Harvey</w:t>
            </w:r>
            <w:r>
              <w:rPr>
                <w:rFonts w:ascii="Arial" w:cs="Arial" w:eastAsia="Arial" w:hAnsi="Arial"/>
                <w:sz w:val="29"/>
                <w:szCs w:val="29"/>
                <w:color w:val="auto"/>
                <w:vertAlign w:val="superscript"/>
              </w:rPr>
              <w:t>(6)</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193,008</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John Marchetti</w:t>
            </w:r>
            <w:r>
              <w:rPr>
                <w:rFonts w:ascii="Arial" w:cs="Arial" w:eastAsia="Arial" w:hAnsi="Arial"/>
                <w:sz w:val="29"/>
                <w:szCs w:val="29"/>
                <w:color w:val="auto"/>
                <w:vertAlign w:val="superscript"/>
              </w:rPr>
              <w:t>(7)</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214,201</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Tyler Bourns </w:t>
            </w:r>
            <w:r>
              <w:rPr>
                <w:rFonts w:ascii="Arial" w:cs="Arial" w:eastAsia="Arial" w:hAnsi="Arial"/>
                <w:sz w:val="29"/>
                <w:szCs w:val="29"/>
                <w:color w:val="auto"/>
                <w:vertAlign w:val="superscript"/>
              </w:rPr>
              <w:t>(8)</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65,410</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Luisa Ingargiola</w:t>
            </w:r>
            <w:r>
              <w:rPr>
                <w:rFonts w:ascii="Arial" w:cs="Arial" w:eastAsia="Arial" w:hAnsi="Arial"/>
                <w:sz w:val="29"/>
                <w:szCs w:val="29"/>
                <w:color w:val="auto"/>
                <w:vertAlign w:val="superscript"/>
              </w:rPr>
              <w:t>(9)</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101,788</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Brian Nelson</w:t>
            </w:r>
            <w:r>
              <w:rPr>
                <w:rFonts w:ascii="Arial" w:cs="Arial" w:eastAsia="Arial" w:hAnsi="Arial"/>
                <w:sz w:val="29"/>
                <w:szCs w:val="29"/>
                <w:color w:val="auto"/>
                <w:vertAlign w:val="superscript"/>
              </w:rPr>
              <w:t>(10)</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66,462</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Perry Boyle</w:t>
            </w:r>
            <w:r>
              <w:rPr>
                <w:rFonts w:ascii="Arial" w:cs="Arial" w:eastAsia="Arial" w:hAnsi="Arial"/>
                <w:sz w:val="29"/>
                <w:szCs w:val="29"/>
                <w:color w:val="auto"/>
                <w:vertAlign w:val="superscript"/>
              </w:rPr>
              <w:t>(11)</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52,000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Jonathan Bellows</w:t>
            </w:r>
            <w:r>
              <w:rPr>
                <w:rFonts w:ascii="Arial" w:cs="Arial" w:eastAsia="Arial" w:hAnsi="Arial"/>
                <w:sz w:val="29"/>
                <w:szCs w:val="29"/>
                <w:color w:val="auto"/>
                <w:vertAlign w:val="superscript"/>
              </w:rPr>
              <w:t>(11)</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30,000</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74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Rick Parod</w:t>
            </w:r>
            <w:r>
              <w:rPr>
                <w:rFonts w:ascii="Arial" w:cs="Arial" w:eastAsia="Arial" w:hAnsi="Arial"/>
                <w:sz w:val="29"/>
                <w:szCs w:val="29"/>
                <w:color w:val="auto"/>
                <w:vertAlign w:val="superscript"/>
              </w:rPr>
              <w:t>(11)</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30,000</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7400" w:type="dxa"/>
            <w:vAlign w:val="bottom"/>
            <w:gridSpan w:val="2"/>
          </w:tcPr>
          <w:p>
            <w:pPr>
              <w:spacing w:after="0" w:line="256" w:lineRule="exact"/>
              <w:rPr>
                <w:sz w:val="20"/>
                <w:szCs w:val="20"/>
                <w:color w:val="auto"/>
              </w:rPr>
            </w:pPr>
            <w:r>
              <w:rPr>
                <w:rFonts w:ascii="Arial" w:cs="Arial" w:eastAsia="Arial" w:hAnsi="Arial"/>
                <w:sz w:val="18"/>
                <w:szCs w:val="18"/>
                <w:color w:val="auto"/>
              </w:rPr>
              <w:t>Karina Montilla Edmonds</w:t>
            </w:r>
            <w:r>
              <w:rPr>
                <w:rFonts w:ascii="Arial" w:cs="Arial" w:eastAsia="Arial" w:hAnsi="Arial"/>
                <w:sz w:val="29"/>
                <w:szCs w:val="29"/>
                <w:color w:val="auto"/>
                <w:vertAlign w:val="superscript"/>
              </w:rPr>
              <w:t>(11)</w:t>
            </w:r>
          </w:p>
        </w:tc>
        <w:tc>
          <w:tcPr>
            <w:tcW w:w="2000" w:type="dxa"/>
            <w:vAlign w:val="bottom"/>
            <w:gridSpan w:val="2"/>
          </w:tcPr>
          <w:p>
            <w:pPr>
              <w:jc w:val="right"/>
              <w:ind w:right="320"/>
              <w:spacing w:after="0"/>
              <w:rPr>
                <w:sz w:val="20"/>
                <w:szCs w:val="20"/>
                <w:color w:val="auto"/>
              </w:rPr>
            </w:pPr>
            <w:r>
              <w:rPr>
                <w:rFonts w:ascii="Arial" w:cs="Arial" w:eastAsia="Arial" w:hAnsi="Arial"/>
                <w:sz w:val="18"/>
                <w:szCs w:val="18"/>
                <w:color w:val="auto"/>
              </w:rPr>
              <w:t>30,300</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All Executive Officers and Directors as a group (8 persons):</w:t>
            </w:r>
          </w:p>
        </w:tc>
        <w:tc>
          <w:tcPr>
            <w:tcW w:w="2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16,656,652</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w:t>
      </w:r>
    </w:p>
    <w:p>
      <w:pPr>
        <w:spacing w:after="0" w:line="221" w:lineRule="exact"/>
        <w:rPr>
          <w:sz w:val="20"/>
          <w:szCs w:val="20"/>
          <w:color w:val="auto"/>
        </w:rPr>
      </w:pPr>
    </w:p>
    <w:p>
      <w:pPr>
        <w:ind w:left="340" w:hanging="332"/>
        <w:spacing w:after="0" w:line="282"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the Schedule 13D filed by Dynavolt Technology (HK) Ltd. (“</w:t>
      </w:r>
      <w:r>
        <w:rPr>
          <w:rFonts w:ascii="Arial" w:cs="Arial" w:eastAsia="Arial" w:hAnsi="Arial"/>
          <w:sz w:val="18"/>
          <w:szCs w:val="18"/>
          <w:b w:val="1"/>
          <w:bCs w:val="1"/>
          <w:color w:val="auto"/>
        </w:rPr>
        <w:t>Dynavolt</w:t>
      </w:r>
      <w:r>
        <w:rPr>
          <w:rFonts w:ascii="Arial" w:cs="Arial" w:eastAsia="Arial" w:hAnsi="Arial"/>
          <w:sz w:val="18"/>
          <w:szCs w:val="18"/>
          <w:color w:val="auto"/>
        </w:rPr>
        <w:t>”) on October 12, 2022. The business address of Dynavolt is Flat/Room 02-03 26/F, Bea Tower Millennium City 5, 418 Kwun Tong Road, Kwun Tong, Hong Kong.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both"/>
        <w:ind w:left="340" w:hanging="332"/>
        <w:spacing w:after="0" w:line="25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the Schedule 13D filed by Li Gong on October 12, 2022. Includes (i) 147,138 shares of common stock held on behalf of the SAKURA GRAT, dated February 11, 2021, of which Mr. Gong is a trustee, (ii) 2,217,042 shares of common stock on behalf of the LML Family Trust, dated January 14, 2019, of which Mr. Gong is a trustee and (iii) 709,254 shares of common stock issuable upon the exercise of outstanding stock options exercisable within 60 days of September 18, 2023. The business address of Mr. Gong is 930 Tahoe Blvd. Suite 802, PMB 860, Incline Village, Nevada 89451.</w:t>
      </w:r>
    </w:p>
    <w:p>
      <w:pPr>
        <w:spacing w:after="0" w:line="187"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Excludes 40,000,000 shares of common stock not yet payable as the earnout contingencies have not yet been met and will not be met within 60 days of September 18, 2023.</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Includes (i) 1,217,906 shares held on behalf of the Phares 2021 GRAT dated July 9, 2021, of which Dr. Phares is the trustee, and (ii) 177,316 shares of common stock issuable upon the exercise of outstanding stock options exercisable within 60 days of September 18, 2023.</w:t>
      </w:r>
    </w:p>
    <w:p>
      <w:pPr>
        <w:spacing w:after="0" w:line="146"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the Schedule 13D filed by Sean Nichols, our former Chief Operating Officer, on October 12, 2022 and information available to us. Includes 54,393 shares of common stock held on behalf of the Nichols GRAT I dated June 14, 2021, and 3,383,142 shares of common stock held on behalf of the Nichols Living Trust 2015, each of which Mr. Nichols is the trustee. On November 7, 2022, Mr. Nichols resigned from his position as our Chief Operating Officer. Also includes 177,316 shares of common stock issuable upon the exercise of outstanding stock options exercisable within 60 days of September 18, 2023.</w:t>
      </w:r>
    </w:p>
    <w:p>
      <w:pPr>
        <w:spacing w:after="0" w:line="18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April 26, 2023, Ms. Harvey’s employment with us ended. Pursuant to her employment agreement with us, she had until July 26, 2023 to exercise all her options. Her outstanding options were not exercised and as a result were forfeited.</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Includes 128,068 shares of common stock issuable upon the exercise of outstanding stock options exercisable within 60 days of September 18, 2023. On August 20, 2023, Mr. Marchetti resigned as Chief Financial Officer and is continuing with us as Senior Vice President, Operations.</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26,851 shares of common stock issuable upon the exercise of outstanding stock options exercisable within 60 days of September 18, 2023.</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101,788 shares of common stock issuable upon the exercise of outstanding stock options exercisable within 60 days of September 18, 2023 and 30,000 RSUs that vest within 60 days of September 18, 2023.</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66,462 shares of common stock issuable upon the exercise of outstanding stock options exercisable within 60 days of September 18, 2023 and 30,000 RSUs that vest within 60 days of September 18, 2023.</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30,000 shares of common stock issuable pursuant to RSUs that vest within 60 days of September 18,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SELLING STOCKHOLDER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 provides, as of the date of this prospectus, information regarding the selling stockholder and the shares that it may offer and sell from time to time under this prospectus. The percentage of ownership in the table below is based on 58,880,812 shares of common stock outstanding as of September 18, 2023. The table is prepared based on information supplied to us by the selling stockholder, and reflects its holdings as of September 18, 2023. Beneficial ownership is determined in accordance with Section 13(d) of the Exchange Act and Rule 13d-3 thereunder.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Shares to be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Sold in this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Offering</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Assuming the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Company</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Percentage of</w:t>
            </w: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1"/>
              </w:rPr>
              <w:t>issues the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Number of</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Shares</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7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Beneficially</w:t>
            </w: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Owned</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Under the</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Owned</w:t>
            </w: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Owned Before</w:t>
            </w:r>
          </w:p>
        </w:tc>
        <w:tc>
          <w:tcPr>
            <w:tcW w:w="16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Before this</w:t>
            </w:r>
          </w:p>
        </w:tc>
        <w:tc>
          <w:tcPr>
            <w:tcW w:w="17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Purchase</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After this</w:t>
            </w:r>
          </w:p>
        </w:tc>
      </w:tr>
      <w:tr>
        <w:trPr>
          <w:trHeight w:val="241"/>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Stockholder</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this Offering</w:t>
            </w:r>
          </w:p>
        </w:tc>
        <w:tc>
          <w:tcPr>
            <w:tcW w:w="4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3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Agreement</w:t>
            </w:r>
          </w:p>
        </w:tc>
        <w:tc>
          <w:tcPr>
            <w:tcW w:w="44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00" w:type="dxa"/>
            <w:vAlign w:val="bottom"/>
            <w:tcBorders>
              <w:bottom w:val="single" w:sz="8" w:color="CCEEFF"/>
            </w:tcBorders>
          </w:tcPr>
          <w:p>
            <w:pPr>
              <w:spacing w:after="0"/>
              <w:rPr>
                <w:sz w:val="20"/>
                <w:szCs w:val="20"/>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Chardan Capital Markets LLC(1)</w:t>
            </w: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21,512,027(3)</w:t>
            </w:r>
          </w:p>
        </w:tc>
        <w:tc>
          <w:tcPr>
            <w:tcW w:w="4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*Represents less than 1% of the outstanding shares and/or assumes all shares registered hereunder have been resold by CCM.</w:t>
      </w:r>
    </w:p>
    <w:p>
      <w:pPr>
        <w:spacing w:after="0" w:line="225" w:lineRule="exact"/>
        <w:rPr>
          <w:sz w:val="20"/>
          <w:szCs w:val="20"/>
          <w:color w:val="auto"/>
        </w:rPr>
      </w:pPr>
    </w:p>
    <w:p>
      <w:pPr>
        <w:jc w:val="both"/>
        <w:ind w:left="660" w:hanging="328"/>
        <w:spacing w:after="0" w:line="25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business address of CCM is 17 State Street, Suite 2130, New York, NY 10004.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w:t>
      </w:r>
    </w:p>
    <w:p>
      <w:pPr>
        <w:spacing w:after="0" w:line="2"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1"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U.S. FEDERAL INCOME TAX CONSIDERATIONS FOR NON-U.S. 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securityholders pursuant to this offering and hold the common stock as a capital asset within the meaning of Section 1221 of the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71"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subject to the “applicable financial statement” accounting rules under Section 451(b) of the Code;</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persons that acquired our common stock pursuant to an exercise of employee share options, in connection with employee share incentive plans or otherwise as compensation;</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persons holding our common stock as part of a “straddle,” constructive sale, hedge, conversion or other integrated or similar transaction;</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partnerships (or entities or arrangements classified as partnerships or other pass-through entities for U.S. federal income tax purposes) and any beneficial owners of such partnerships;</w:t>
      </w: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not sought, and do not expect to seek, a ruling from the U.S.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spacing w:after="0" w:line="257" w:lineRule="auto"/>
        <w:rPr>
          <w:sz w:val="20"/>
          <w:szCs w:val="20"/>
          <w:color w:val="auto"/>
        </w:rPr>
      </w:pPr>
      <w:r>
        <w:rPr>
          <w:rFonts w:ascii="Arial" w:cs="Arial" w:eastAsia="Arial" w:hAnsi="Arial"/>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 “Non-U.S. Holder” means a beneficial owner of our common stock who or that is for U.S. federal income tax purposes:</w:t>
      </w:r>
    </w:p>
    <w:p>
      <w:pPr>
        <w:spacing w:after="0" w:line="237"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 non-resident alien individual (other than certain former citizens and residents of the United States subject to U.S. tax as expatriates);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Distributions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Our Common Stock” below. In addition, if we determine that we are likely to be classified as a “United States real property holding corporation” (see “</w:t>
      </w:r>
      <w:r>
        <w:rPr>
          <w:rFonts w:ascii="Arial" w:cs="Arial" w:eastAsia="Arial" w:hAnsi="Arial"/>
          <w:sz w:val="17"/>
          <w:szCs w:val="17"/>
          <w:i w:val="1"/>
          <w:iCs w:val="1"/>
          <w:color w:val="auto"/>
        </w:rPr>
        <w:t>Non-U.S. Holders — Gain on Sale, Taxable Exchange or Other Taxable Disposition of Our Common Stock</w:t>
      </w:r>
      <w:r>
        <w:rPr>
          <w:rFonts w:ascii="Arial" w:cs="Arial" w:eastAsia="Arial" w:hAnsi="Arial"/>
          <w:sz w:val="17"/>
          <w:szCs w:val="17"/>
          <w:color w:val="auto"/>
        </w:rPr>
        <w:t>” below), we generally will withhold 15% of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that exceeds our current and accumulated earnings and profits.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Taxable Exchange or Other Taxable Disposition of Our Common Stock</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70" w:lineRule="exact"/>
        <w:rPr>
          <w:sz w:val="20"/>
          <w:szCs w:val="20"/>
          <w:color w:val="auto"/>
        </w:rPr>
      </w:pPr>
    </w:p>
    <w:p>
      <w:pPr>
        <w:ind w:left="660" w:hanging="328"/>
        <w:spacing w:after="0" w:line="308"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5" w:name="page116"/>
    <w:bookmarkEnd w:id="115"/>
    <w:p>
      <w:pPr>
        <w:jc w:val="both"/>
        <w:ind w:left="660" w:hanging="328"/>
        <w:spacing w:after="0" w:line="255"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 (FATCA) Withholding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CHEF EQUITY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7, 2022, we entered into the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 As of September 18, 2023, we have sold 98,500 shares under the ChEF Equity Facility for aggregate net proceeds to us of $670,593.</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Subject to the conditions set forth in the Purchase Agreement, we have the right, but not the obligation, from time to time at our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Arial" w:cs="Arial" w:eastAsia="Arial" w:hAnsi="Arial"/>
          <w:sz w:val="17"/>
          <w:szCs w:val="17"/>
          <w:b w:val="1"/>
          <w:bCs w:val="1"/>
          <w:color w:val="auto"/>
        </w:rPr>
        <w:t>Commitment Fee</w:t>
      </w:r>
      <w:r>
        <w:rPr>
          <w:rFonts w:ascii="Arial" w:cs="Arial" w:eastAsia="Arial" w:hAnsi="Arial"/>
          <w:sz w:val="17"/>
          <w:szCs w:val="17"/>
          <w:color w:val="auto"/>
        </w:rPr>
        <w:t>”), payable by way of an additional 3.0% discount to such VWAP until the Commitment Fee has been paid in full.</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Agreement may be terminated by us at any time at our sole discretion, without any cost or penalty, but subject to the full payment of the Commitment Fee, payable by us to CCM pursuant to the conditions set forth in the Purchase Agreement, by giving five trading days written notice to CCM to terminate the Purchase Agreement.</w:t>
      </w:r>
    </w:p>
    <w:p>
      <w:pPr>
        <w:spacing w:after="0" w:line="1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Purchase Date of such purchase.</w:t>
      </w:r>
    </w:p>
    <w:p>
      <w:pPr>
        <w:spacing w:after="0" w:line="19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approximately 81% of the total number of shares of our common stock outstanding as of September 18, 2023.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7" w:name="page118"/>
    <w:bookmarkEnd w:id="117"/>
    <w:p>
      <w:pPr>
        <w:jc w:val="both"/>
        <w:spacing w:after="0" w:line="259" w:lineRule="auto"/>
        <w:rPr>
          <w:sz w:val="20"/>
          <w:szCs w:val="20"/>
          <w:color w:val="auto"/>
        </w:rPr>
      </w:pPr>
      <w:r>
        <w:rPr>
          <w:rFonts w:ascii="Arial" w:cs="Arial" w:eastAsia="Arial" w:hAnsi="Arial"/>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 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than the limitations described above, and subject to the conditions precedent in the Purchase Agreement, we will control the timing and amount of any sales of our common stock to CCM.</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sole discretion to terminate the Purchase Agreement, CCM may terminate effective upon ten (10) Trading Days’ prior written notice to us, upon the occurrence of certain events, including:</w:t>
      </w:r>
    </w:p>
    <w:p>
      <w:pPr>
        <w:spacing w:after="0" w:line="170" w:lineRule="exact"/>
        <w:rPr>
          <w:sz w:val="20"/>
          <w:szCs w:val="20"/>
          <w:color w:val="auto"/>
        </w:rPr>
      </w:pPr>
    </w:p>
    <w:p>
      <w:pPr>
        <w:ind w:left="660" w:hanging="328"/>
        <w:spacing w:after="0" w:line="258"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condition, occurrence, state of facts or event constituting a Material Adverse Effect (as defined in the Purchase Agreement) has occurred and is continuing;</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fundamental transactions shall have occurred; or</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in breach or default in any material respect of any of its covenants and agreements in the ChEF RRA, and, if such breach or default is capable of being cured, such breach or default is not cured within fifteen (15) Trading Days after notice of such breach or default is delivered to us.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Short Selling or Hedging by CCM</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CCM has agreed that neither it nor any entity managed or controlled by CCM (the “</w:t>
      </w:r>
      <w:r>
        <w:rPr>
          <w:rFonts w:ascii="Arial" w:cs="Arial" w:eastAsia="Arial" w:hAnsi="Arial"/>
          <w:sz w:val="18"/>
          <w:szCs w:val="18"/>
          <w:b w:val="1"/>
          <w:bCs w:val="1"/>
          <w:color w:val="auto"/>
        </w:rPr>
        <w:t>Restricted Persons</w:t>
      </w:r>
      <w:r>
        <w:rPr>
          <w:rFonts w:ascii="Arial" w:cs="Arial" w:eastAsia="Arial" w:hAnsi="Arial"/>
          <w:sz w:val="18"/>
          <w:szCs w:val="18"/>
          <w:color w:val="auto"/>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Prohibitions on Certain Specified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our right to terminate as described above and for such time the Purchase Agreement is in effect, we shall not effect or enter into an agreement to effect any issuance by us or any of our subsidiaries of common stock or common stock equivalents (or a combination of units thereof) involving certain specified transactions. Such restrictions do not include follow-on offerings or follow-on public offerings, in each case where we issue or sell any securities with a fixed price. Furthermore, we may enter into certain exempt issuances under the Purchase Agreement.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Effect of Performance of the Purchase Agreement on Our Stockholders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The sale by CCM of a significant amount of shares registered in this offering at any given time could cause the market price of our common stock to decline and to be highly volatile. Sales of our common stock to CCM, if any, will depend upon market conditions and other factors to be determined by us. We may ultimately decide to sell to CCM all, some or none of the additional shares of our common stock that may be available for us to sell pursuant to the Purchase Agreement. As of September 18, 2023, 98,500 shares have been issued under the ChEF Equity Facility for aggregate net proceeds to us of $670,593.</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amount of gross proceeds we would receive from CCM from our sale of shares to CCM under the Purchase Agreement at varying purchase prices: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ind w:left="270"/>
              <w:spacing w:after="0"/>
              <w:rPr>
                <w:sz w:val="20"/>
                <w:szCs w:val="20"/>
                <w:color w:val="auto"/>
              </w:rPr>
            </w:pPr>
            <w:r>
              <w:rPr>
                <w:rFonts w:ascii="Arial" w:cs="Arial" w:eastAsia="Arial" w:hAnsi="Arial"/>
                <w:sz w:val="18"/>
                <w:szCs w:val="18"/>
                <w:b w:val="1"/>
                <w:bCs w:val="1"/>
                <w:color w:val="auto"/>
                <w:w w:val="87"/>
              </w:rPr>
              <w:t>Percentage of</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Proceeds from</w:t>
            </w: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Number of</w:t>
            </w:r>
          </w:p>
        </w:tc>
        <w:tc>
          <w:tcPr>
            <w:tcW w:w="216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Outstanding Shares</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the Sale of</w:t>
            </w:r>
          </w:p>
        </w:tc>
      </w:tr>
      <w:tr>
        <w:trPr>
          <w:trHeight w:val="216"/>
        </w:trPr>
        <w:tc>
          <w:tcPr>
            <w:tcW w:w="1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Registered Shares</w:t>
            </w:r>
          </w:p>
        </w:tc>
        <w:tc>
          <w:tcPr>
            <w:tcW w:w="2160" w:type="dxa"/>
            <w:vAlign w:val="bottom"/>
          </w:tcPr>
          <w:p>
            <w:pPr>
              <w:jc w:val="center"/>
              <w:ind w:left="290"/>
              <w:spacing w:after="0"/>
              <w:rPr>
                <w:sz w:val="20"/>
                <w:szCs w:val="20"/>
                <w:color w:val="auto"/>
              </w:rPr>
            </w:pPr>
            <w:r>
              <w:rPr>
                <w:rFonts w:ascii="Arial" w:cs="Arial" w:eastAsia="Arial" w:hAnsi="Arial"/>
                <w:sz w:val="18"/>
                <w:szCs w:val="18"/>
                <w:b w:val="1"/>
                <w:bCs w:val="1"/>
                <w:color w:val="auto"/>
                <w:w w:val="95"/>
              </w:rPr>
              <w:t>After Giving</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Shares to CCM</w:t>
            </w:r>
          </w:p>
        </w:tc>
      </w:tr>
      <w:tr>
        <w:trPr>
          <w:trHeight w:val="216"/>
        </w:trPr>
        <w:tc>
          <w:tcPr>
            <w:tcW w:w="120" w:type="dxa"/>
            <w:vAlign w:val="bottom"/>
          </w:tcPr>
          <w:p>
            <w:pPr>
              <w:spacing w:after="0"/>
              <w:rPr>
                <w:sz w:val="18"/>
                <w:szCs w:val="18"/>
                <w:color w:val="auto"/>
              </w:rPr>
            </w:pPr>
          </w:p>
        </w:tc>
        <w:tc>
          <w:tcPr>
            <w:tcW w:w="2740" w:type="dxa"/>
            <w:vAlign w:val="bottom"/>
            <w:gridSpan w:val="2"/>
          </w:tcPr>
          <w:p>
            <w:pPr>
              <w:ind w:left="40"/>
              <w:spacing w:after="0"/>
              <w:rPr>
                <w:sz w:val="20"/>
                <w:szCs w:val="20"/>
                <w:color w:val="auto"/>
              </w:rPr>
            </w:pPr>
            <w:r>
              <w:rPr>
                <w:rFonts w:ascii="Arial" w:cs="Arial" w:eastAsia="Arial" w:hAnsi="Arial"/>
                <w:sz w:val="18"/>
                <w:szCs w:val="18"/>
                <w:b w:val="1"/>
                <w:bCs w:val="1"/>
                <w:color w:val="auto"/>
              </w:rPr>
              <w:t>Assumed Average Purchase</w:t>
            </w:r>
          </w:p>
        </w:tc>
        <w:tc>
          <w:tcPr>
            <w:tcW w:w="28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to be Issued if</w:t>
            </w:r>
          </w:p>
        </w:tc>
        <w:tc>
          <w:tcPr>
            <w:tcW w:w="2160" w:type="dxa"/>
            <w:vAlign w:val="bottom"/>
          </w:tcPr>
          <w:p>
            <w:pPr>
              <w:jc w:val="center"/>
              <w:ind w:left="290"/>
              <w:spacing w:after="0"/>
              <w:rPr>
                <w:sz w:val="20"/>
                <w:szCs w:val="20"/>
                <w:color w:val="auto"/>
              </w:rPr>
            </w:pPr>
            <w:r>
              <w:rPr>
                <w:rFonts w:ascii="Arial" w:cs="Arial" w:eastAsia="Arial" w:hAnsi="Arial"/>
                <w:sz w:val="18"/>
                <w:szCs w:val="18"/>
                <w:b w:val="1"/>
                <w:bCs w:val="1"/>
                <w:color w:val="auto"/>
                <w:w w:val="90"/>
              </w:rPr>
              <w:t>Effect to the</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Under the Purchase</w:t>
            </w:r>
          </w:p>
        </w:tc>
      </w:tr>
      <w:tr>
        <w:trPr>
          <w:trHeight w:val="241"/>
        </w:trPr>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Price Per Share</w:t>
            </w:r>
          </w:p>
        </w:tc>
        <w:tc>
          <w:tcPr>
            <w:tcW w:w="440" w:type="dxa"/>
            <w:vAlign w:val="bottom"/>
            <w:tcBorders>
              <w:bottom w:val="single" w:sz="8" w:color="CCEEFF"/>
            </w:tcBorders>
          </w:tcPr>
          <w:p>
            <w:pPr>
              <w:spacing w:after="0"/>
              <w:rPr>
                <w:sz w:val="20"/>
                <w:szCs w:val="20"/>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Full Purchase(1)</w:t>
            </w:r>
          </w:p>
        </w:tc>
        <w:tc>
          <w:tcPr>
            <w:tcW w:w="32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2"/>
              </w:rPr>
              <w:t>Issuance to CCM(2)</w:t>
            </w:r>
          </w:p>
        </w:tc>
        <w:tc>
          <w:tcPr>
            <w:tcW w:w="42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1"/>
              </w:rPr>
              <w:t>Agreement(1)</w:t>
            </w:r>
          </w:p>
        </w:tc>
        <w:tc>
          <w:tcPr>
            <w:tcW w:w="100" w:type="dxa"/>
            <w:vAlign w:val="bottom"/>
            <w:tcBorders>
              <w:bottom w:val="single" w:sz="8" w:color="CCEEFF"/>
            </w:tcBorders>
          </w:tcPr>
          <w:p>
            <w:pPr>
              <w:spacing w:after="0"/>
              <w:rPr>
                <w:sz w:val="20"/>
                <w:szCs w:val="20"/>
                <w:color w:val="auto"/>
              </w:rPr>
            </w:pPr>
          </w:p>
        </w:tc>
      </w:tr>
      <w:tr>
        <w:trPr>
          <w:trHeight w:val="216"/>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300" w:type="dxa"/>
            <w:vAlign w:val="bottom"/>
            <w:shd w:val="clear" w:color="auto" w:fill="CCEEFF"/>
          </w:tcPr>
          <w:p>
            <w:pPr>
              <w:ind w:left="1980"/>
              <w:spacing w:after="0"/>
              <w:rPr>
                <w:sz w:val="20"/>
                <w:szCs w:val="20"/>
                <w:color w:val="auto"/>
              </w:rPr>
            </w:pPr>
            <w:r>
              <w:rPr>
                <w:rFonts w:ascii="Arial" w:cs="Arial" w:eastAsia="Arial" w:hAnsi="Arial"/>
                <w:sz w:val="18"/>
                <w:szCs w:val="18"/>
                <w:color w:val="auto"/>
                <w:w w:val="85"/>
              </w:rPr>
              <w:t>1.50</w:t>
            </w:r>
          </w:p>
        </w:tc>
        <w:tc>
          <w:tcPr>
            <w:tcW w:w="44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133,023,941.18</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gridSpan w:val="2"/>
          </w:tcPr>
          <w:p>
            <w:pPr>
              <w:ind w:left="1980"/>
              <w:spacing w:after="0"/>
              <w:rPr>
                <w:sz w:val="20"/>
                <w:szCs w:val="20"/>
                <w:color w:val="auto"/>
              </w:rPr>
            </w:pPr>
            <w:r>
              <w:rPr>
                <w:rFonts w:ascii="Arial" w:cs="Arial" w:eastAsia="Arial" w:hAnsi="Arial"/>
                <w:sz w:val="18"/>
                <w:szCs w:val="18"/>
                <w:color w:val="auto"/>
              </w:rPr>
              <w:t>1.60</w:t>
            </w:r>
          </w:p>
        </w:tc>
        <w:tc>
          <w:tcPr>
            <w:tcW w:w="2880" w:type="dxa"/>
            <w:vAlign w:val="bottom"/>
            <w:gridSpan w:val="2"/>
          </w:tcPr>
          <w:p>
            <w:pPr>
              <w:jc w:val="right"/>
              <w:ind w:right="320"/>
              <w:spacing w:after="0"/>
              <w:rPr>
                <w:sz w:val="20"/>
                <w:szCs w:val="20"/>
                <w:color w:val="auto"/>
              </w:rPr>
            </w:pPr>
            <w:r>
              <w:rPr>
                <w:rFonts w:ascii="Arial" w:cs="Arial" w:eastAsia="Arial" w:hAnsi="Arial"/>
                <w:sz w:val="18"/>
                <w:szCs w:val="18"/>
                <w:color w:val="auto"/>
              </w:rPr>
              <w:t>93,750,000</w:t>
            </w:r>
          </w:p>
        </w:tc>
        <w:tc>
          <w:tcPr>
            <w:tcW w:w="2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61.4%</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141,847,470.59</w:t>
            </w:r>
          </w:p>
        </w:tc>
      </w:tr>
      <w:tr>
        <w:trPr>
          <w:trHeight w:val="216"/>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1.70</w:t>
            </w:r>
          </w:p>
        </w:tc>
        <w:tc>
          <w:tcPr>
            <w:tcW w:w="2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88,235,294</w:t>
            </w:r>
          </w:p>
        </w:tc>
        <w:tc>
          <w:tcPr>
            <w:tcW w:w="2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150,000,000.00</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gridSpan w:val="2"/>
          </w:tcPr>
          <w:p>
            <w:pPr>
              <w:ind w:left="1980"/>
              <w:spacing w:after="0"/>
              <w:rPr>
                <w:sz w:val="20"/>
                <w:szCs w:val="20"/>
                <w:color w:val="auto"/>
              </w:rPr>
            </w:pPr>
            <w:r>
              <w:rPr>
                <w:rFonts w:ascii="Arial" w:cs="Arial" w:eastAsia="Arial" w:hAnsi="Arial"/>
                <w:sz w:val="18"/>
                <w:szCs w:val="18"/>
                <w:color w:val="auto"/>
              </w:rPr>
              <w:t>1.77(3)</w:t>
            </w:r>
          </w:p>
        </w:tc>
        <w:tc>
          <w:tcPr>
            <w:tcW w:w="2880" w:type="dxa"/>
            <w:vAlign w:val="bottom"/>
            <w:gridSpan w:val="2"/>
          </w:tcPr>
          <w:p>
            <w:pPr>
              <w:jc w:val="right"/>
              <w:ind w:right="320"/>
              <w:spacing w:after="0"/>
              <w:rPr>
                <w:sz w:val="20"/>
                <w:szCs w:val="20"/>
                <w:color w:val="auto"/>
              </w:rPr>
            </w:pPr>
            <w:r>
              <w:rPr>
                <w:rFonts w:ascii="Arial" w:cs="Arial" w:eastAsia="Arial" w:hAnsi="Arial"/>
                <w:sz w:val="18"/>
                <w:szCs w:val="18"/>
                <w:color w:val="auto"/>
              </w:rPr>
              <w:t>84,745,762</w:t>
            </w:r>
          </w:p>
        </w:tc>
        <w:tc>
          <w:tcPr>
            <w:tcW w:w="21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150,000,000.00</w:t>
            </w:r>
          </w:p>
        </w:tc>
      </w:tr>
      <w:tr>
        <w:trPr>
          <w:trHeight w:val="216"/>
        </w:trPr>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1.80</w:t>
            </w:r>
          </w:p>
        </w:tc>
        <w:tc>
          <w:tcPr>
            <w:tcW w:w="2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83,333,333</w:t>
            </w:r>
          </w:p>
        </w:tc>
        <w:tc>
          <w:tcPr>
            <w:tcW w:w="2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150,000,000.00</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740" w:type="dxa"/>
            <w:vAlign w:val="bottom"/>
            <w:gridSpan w:val="2"/>
          </w:tcPr>
          <w:p>
            <w:pPr>
              <w:ind w:left="1980"/>
              <w:spacing w:after="0"/>
              <w:rPr>
                <w:sz w:val="20"/>
                <w:szCs w:val="20"/>
                <w:color w:val="auto"/>
              </w:rPr>
            </w:pPr>
            <w:r>
              <w:rPr>
                <w:rFonts w:ascii="Arial" w:cs="Arial" w:eastAsia="Arial" w:hAnsi="Arial"/>
                <w:sz w:val="18"/>
                <w:szCs w:val="18"/>
                <w:color w:val="auto"/>
              </w:rPr>
              <w:t>1.90</w:t>
            </w:r>
          </w:p>
        </w:tc>
        <w:tc>
          <w:tcPr>
            <w:tcW w:w="2880" w:type="dxa"/>
            <w:vAlign w:val="bottom"/>
            <w:gridSpan w:val="2"/>
          </w:tcPr>
          <w:p>
            <w:pPr>
              <w:jc w:val="right"/>
              <w:ind w:right="320"/>
              <w:spacing w:after="0"/>
              <w:rPr>
                <w:sz w:val="20"/>
                <w:szCs w:val="20"/>
                <w:color w:val="auto"/>
              </w:rPr>
            </w:pPr>
            <w:r>
              <w:rPr>
                <w:rFonts w:ascii="Arial" w:cs="Arial" w:eastAsia="Arial" w:hAnsi="Arial"/>
                <w:sz w:val="18"/>
                <w:szCs w:val="18"/>
                <w:color w:val="auto"/>
              </w:rPr>
              <w:t>78,947,368</w:t>
            </w:r>
          </w:p>
        </w:tc>
        <w:tc>
          <w:tcPr>
            <w:tcW w:w="216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57.3%</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00"/>
              <w:spacing w:after="0"/>
              <w:rPr>
                <w:sz w:val="20"/>
                <w:szCs w:val="20"/>
                <w:color w:val="auto"/>
              </w:rPr>
            </w:pPr>
            <w:r>
              <w:rPr>
                <w:rFonts w:ascii="Arial" w:cs="Arial" w:eastAsia="Arial" w:hAnsi="Arial"/>
                <w:sz w:val="18"/>
                <w:szCs w:val="18"/>
                <w:color w:val="auto"/>
              </w:rPr>
              <w:t>150,000,000.00</w:t>
            </w:r>
          </w:p>
        </w:tc>
      </w:tr>
    </w:tbl>
    <w:p>
      <w:pPr>
        <w:spacing w:after="0" w:line="187" w:lineRule="exact"/>
        <w:rPr>
          <w:sz w:val="20"/>
          <w:szCs w:val="20"/>
          <w:color w:val="auto"/>
        </w:rPr>
      </w:pPr>
    </w:p>
    <w:p>
      <w:pPr>
        <w:jc w:val="both"/>
        <w:ind w:left="340" w:hanging="332"/>
        <w:spacing w:after="0" w:line="254"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September 18, 2023, we have issued 98,500 shares under the ChEF Equity Facility for gross proceeds of $671,000. Although the Purchase Agreement provides that we may sell up to $150 million of our common stock to CCM, we are only registering 21,512,027 shares under this prospectus and may need to file additional registration statements to register additional shares if we determine to sell more than the 21,512,027 shares registered for resale pursuant to this Registration Statement.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194" w:lineRule="exact"/>
        <w:rPr>
          <w:rFonts w:ascii="Arial" w:cs="Arial" w:eastAsia="Arial" w:hAnsi="Arial"/>
          <w:sz w:val="18"/>
          <w:szCs w:val="18"/>
          <w:color w:val="auto"/>
        </w:rPr>
      </w:pPr>
    </w:p>
    <w:p>
      <w:pPr>
        <w:jc w:val="both"/>
        <w:ind w:left="340" w:hanging="332"/>
        <w:spacing w:after="0" w:line="275" w:lineRule="auto"/>
        <w:tabs>
          <w:tab w:leader="none" w:pos="34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numerator is based on the number of shares issuable at the corresponding assumed purchase price as set forth in the adjacent column. The denominator is based on 58,880,812 shares of our common stock outstanding immediately as of September 18, 2023,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176" w:lineRule="exact"/>
        <w:rPr>
          <w:rFonts w:ascii="Arial" w:cs="Arial" w:eastAsia="Arial" w:hAnsi="Arial"/>
          <w:sz w:val="17"/>
          <w:szCs w:val="17"/>
          <w:color w:val="auto"/>
        </w:rPr>
      </w:pPr>
    </w:p>
    <w:p>
      <w:pPr>
        <w:ind w:left="340" w:hanging="332"/>
        <w:spacing w:after="0"/>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closing sale price of our shares of common stock on September 18,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PLAN OF DISTRIBUTION (CONFLICTS OF INTEREST)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16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sale of common stock offered by this prospectus could be effected in one or more of the following methods:</w:t>
      </w:r>
    </w:p>
    <w:p>
      <w:pPr>
        <w:spacing w:after="0" w:line="225"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ordinary brokers’ transactions;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transactions involving cross or block trades;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through brokers, dealers, or underwriters who may act solely as agents;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the market” into an existing market for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other ways not involving market makers or established business markets, including direct sales to purchasers or sales effected through agents;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combination of the foregoing;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 order to comply with the securities laws of certain states, if applicable, the shares may be sold only through registered or licensed brokers or dealers.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CCM is a selling securityholder and is an “underwriter” within the meaning of Section 2(a)(11) of the Securities Act.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0" w:name="page121"/>
    <w:bookmarkEnd w:id="120"/>
    <w:p>
      <w:pPr>
        <w:jc w:val="both"/>
        <w:spacing w:after="0" w:line="255" w:lineRule="auto"/>
        <w:rPr>
          <w:sz w:val="20"/>
          <w:szCs w:val="20"/>
          <w:color w:val="auto"/>
        </w:rPr>
      </w:pPr>
      <w:r>
        <w:rPr>
          <w:rFonts w:ascii="Arial" w:cs="Arial" w:eastAsia="Arial" w:hAnsi="Arial"/>
          <w:sz w:val="18"/>
          <w:szCs w:val="18"/>
          <w:color w:val="auto"/>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 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advised CCM that the anti-manipulation rules of Regulation M under the Exchange Act may apply to sales of shares in the market and to the activities of CCM and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subject to entering into separate agreements containing customary terms and conditions, for a period of thirty months from the closing date of our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receive an upfront fee of $100,000 for performing the services required by a qualified independent underwriter under FINRA Rule 5121(a)(2)(A) prior to the filing of the initial registration statement relating to this offering, including conducting due diligence in connection with this offering and advising of any required changes to the registration statement (the “</w:t>
      </w:r>
      <w:r>
        <w:rPr>
          <w:rFonts w:ascii="Arial" w:cs="Arial" w:eastAsia="Arial" w:hAnsi="Arial"/>
          <w:sz w:val="17"/>
          <w:szCs w:val="17"/>
          <w:b w:val="1"/>
          <w:bCs w:val="1"/>
          <w:color w:val="auto"/>
        </w:rPr>
        <w:t>QIU Services</w:t>
      </w:r>
      <w:r>
        <w:rPr>
          <w:rFonts w:ascii="Arial" w:cs="Arial" w:eastAsia="Arial" w:hAnsi="Arial"/>
          <w:sz w:val="17"/>
          <w:szCs w:val="17"/>
          <w:color w:val="auto"/>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quoted on Nasdaq under the trading symbol “DFLI.”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securities offered hereby will be passed upon for us by Parsons Behle &amp; Latimer.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of Dragonfly Energy Holdings Corp. as of December 31, 2022 and December 31, 2021, and for the years then ended, included in this prospectus and in this Registration Statement, have been so included in reliance on the report of BDO USA, LLP (n/k/a BDO USA, P.C.), an independent registered public accounting firm given on the authority of said firm as experts in auditing and accounting. The report on the consolidated financial statements contains an explanatory paragraph regarding the Company’s ability to continue as a going concern.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October 7, 2022, the Audit Committee informed WithumSmith+Brown, PC (“</w:t>
      </w:r>
      <w:r>
        <w:rPr>
          <w:rFonts w:ascii="Arial" w:cs="Arial" w:eastAsia="Arial" w:hAnsi="Arial"/>
          <w:sz w:val="18"/>
          <w:szCs w:val="18"/>
          <w:b w:val="1"/>
          <w:bCs w:val="1"/>
          <w:color w:val="auto"/>
        </w:rPr>
        <w:t>Withum</w:t>
      </w:r>
      <w:r>
        <w:rPr>
          <w:rFonts w:ascii="Arial" w:cs="Arial" w:eastAsia="Arial" w:hAnsi="Arial"/>
          <w:sz w:val="18"/>
          <w:szCs w:val="18"/>
          <w:color w:val="auto"/>
        </w:rPr>
        <w:t>”), our independent registered public accounting firm prior to the Transactions, that Withum will be dismissed effective following the completion of our review for the nine month period ended September 30, 2022, which consists only of the pre-Transactions accounts of CNTQ.</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report of Withum on CNTQ’s financial statements as of September 30, 2022, and for the fiscal year ended December 31, 2021,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304(a)(1)(v) of Regulation S-K under the Exchange Act other than the previously disclosed material weakness 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have provided Withum with a copy of the foregoing disclosures.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the Closing Date, the Audit Committee approved the engagement of BDO USA, P.C. (f/k/a BDO USA, LLP) as our independent registered public accounting firm to audit our consolidated financial statements for the year ended December 31, 2022. BDO USA, LLP served as the independent registered public accounting firm of Legacy Dragonfly prior to the Transactions, including the audit of the consolidated financial statements of Legacy Dragonfly for the fiscal year ended December 31, 2021. During the fiscal year ended December 31, 2021 and the subsequent period through the date of Withum’s dismissal, Legacy Dragonfly did not consult with BDO USA, LLP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USA, LLP concluded was an important factor considered by BDO USA, LLP in reaching a decision as to any accounting, auditing or financial reporting issue, or (ii) any other matter that was the subject of a disagreement or a reportable event (each as defined above).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We also maintain a website at </w:t>
      </w:r>
      <w:r>
        <w:rPr>
          <w:rFonts w:ascii="Arial" w:cs="Arial" w:eastAsia="Arial" w:hAnsi="Arial"/>
          <w:sz w:val="18"/>
          <w:szCs w:val="18"/>
          <w:i w:val="1"/>
          <w:iCs w:val="1"/>
          <w:color w:val="auto"/>
        </w:rPr>
        <w:t>https://www.dragonflyenergy.com/</w:t>
      </w:r>
      <w:r>
        <w:rPr>
          <w:rFonts w:ascii="Arial" w:cs="Arial" w:eastAsia="Arial" w:hAnsi="Arial"/>
          <w:sz w:val="18"/>
          <w:szCs w:val="18"/>
          <w:color w:val="auto"/>
        </w:rPr>
        <w:t>. Through our website, we make available, free of charge, annual, quarterly and current reports, 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720" w:type="dxa"/>
            <w:vAlign w:val="bottom"/>
            <w:gridSpan w:val="12"/>
            <w:shd w:val="clear" w:color="auto" w:fill="CCEEFF"/>
          </w:tcPr>
          <w:p>
            <w:pPr>
              <w:spacing w:after="0"/>
              <w:rPr>
                <w:sz w:val="20"/>
                <w:szCs w:val="20"/>
                <w:color w:val="auto"/>
              </w:rPr>
            </w:pPr>
            <w:r>
              <w:rPr>
                <w:rFonts w:ascii="Arial" w:cs="Arial" w:eastAsia="Arial" w:hAnsi="Arial"/>
                <w:sz w:val="18"/>
                <w:szCs w:val="18"/>
                <w:color w:val="0000EE"/>
              </w:rPr>
              <w:t>Report of Independent Registered Public Accounting Firm</w:t>
            </w:r>
          </w:p>
        </w:tc>
        <w:tc>
          <w:tcPr>
            <w:tcW w:w="1520" w:type="dxa"/>
            <w:vAlign w:val="bottom"/>
            <w:shd w:val="clear" w:color="auto" w:fill="CCEEFF"/>
          </w:tcPr>
          <w:p>
            <w:pPr>
              <w:jc w:val="center"/>
              <w:ind w:left="790"/>
              <w:spacing w:after="0"/>
              <w:rPr>
                <w:sz w:val="20"/>
                <w:szCs w:val="20"/>
                <w:color w:val="auto"/>
              </w:rPr>
            </w:pPr>
            <w:r>
              <w:rPr>
                <w:rFonts w:ascii="Arial" w:cs="Arial" w:eastAsia="Arial" w:hAnsi="Arial"/>
                <w:sz w:val="18"/>
                <w:szCs w:val="18"/>
                <w:color w:val="auto"/>
                <w:w w:val="88"/>
              </w:rPr>
              <w:t>F-2</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12"/>
          </w:tcPr>
          <w:p>
            <w:pPr>
              <w:spacing w:after="0" w:line="176" w:lineRule="exact"/>
              <w:rPr>
                <w:sz w:val="20"/>
                <w:szCs w:val="20"/>
                <w:color w:val="auto"/>
              </w:rPr>
            </w:pPr>
            <w:r>
              <w:rPr>
                <w:rFonts w:ascii="Arial" w:cs="Arial" w:eastAsia="Arial" w:hAnsi="Arial"/>
                <w:sz w:val="18"/>
                <w:szCs w:val="18"/>
                <w:color w:val="0000EE"/>
              </w:rPr>
              <w:t>Consolidated Balance Sheets as of December 31, 2022 and 2021</w:t>
            </w:r>
          </w:p>
        </w:tc>
        <w:tc>
          <w:tcPr>
            <w:tcW w:w="1520" w:type="dxa"/>
            <w:vAlign w:val="bottom"/>
          </w:tcPr>
          <w:p>
            <w:pPr>
              <w:jc w:val="center"/>
              <w:ind w:left="790"/>
              <w:spacing w:after="0" w:line="176" w:lineRule="exact"/>
              <w:rPr>
                <w:sz w:val="20"/>
                <w:szCs w:val="20"/>
                <w:color w:val="auto"/>
              </w:rPr>
            </w:pPr>
            <w:r>
              <w:rPr>
                <w:rFonts w:ascii="Arial" w:cs="Arial" w:eastAsia="Arial" w:hAnsi="Arial"/>
                <w:sz w:val="18"/>
                <w:szCs w:val="18"/>
                <w:color w:val="auto"/>
                <w:w w:val="88"/>
              </w:rPr>
              <w:t>F-3</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97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Consolidated Statements of Operations for the years ended December 31, 2022 and 2021</w:t>
            </w:r>
          </w:p>
        </w:tc>
        <w:tc>
          <w:tcPr>
            <w:tcW w:w="1520" w:type="dxa"/>
            <w:vAlign w:val="bottom"/>
            <w:shd w:val="clear" w:color="auto" w:fill="CCEEFF"/>
          </w:tcPr>
          <w:p>
            <w:pPr>
              <w:jc w:val="center"/>
              <w:ind w:left="790"/>
              <w:spacing w:after="0" w:line="176" w:lineRule="exact"/>
              <w:rPr>
                <w:sz w:val="20"/>
                <w:szCs w:val="20"/>
                <w:color w:val="auto"/>
              </w:rPr>
            </w:pPr>
            <w:r>
              <w:rPr>
                <w:rFonts w:ascii="Arial" w:cs="Arial" w:eastAsia="Arial" w:hAnsi="Arial"/>
                <w:sz w:val="18"/>
                <w:szCs w:val="18"/>
                <w:color w:val="auto"/>
                <w:w w:val="88"/>
              </w:rPr>
              <w:t>F-4</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720" w:type="dxa"/>
            <w:vAlign w:val="bottom"/>
            <w:gridSpan w:val="12"/>
          </w:tcPr>
          <w:p>
            <w:pPr>
              <w:spacing w:after="0" w:line="176" w:lineRule="exact"/>
              <w:rPr>
                <w:sz w:val="20"/>
                <w:szCs w:val="20"/>
                <w:color w:val="auto"/>
              </w:rPr>
            </w:pPr>
            <w:r>
              <w:rPr>
                <w:rFonts w:ascii="Arial" w:cs="Arial" w:eastAsia="Arial" w:hAnsi="Arial"/>
                <w:sz w:val="18"/>
                <w:szCs w:val="18"/>
                <w:color w:val="0000EE"/>
              </w:rPr>
              <w:t>Consolidated Statements of Changes in Stockholders’ Equity for the years ended December 31, 2022 and 2021</w:t>
            </w:r>
          </w:p>
        </w:tc>
        <w:tc>
          <w:tcPr>
            <w:tcW w:w="1520" w:type="dxa"/>
            <w:vAlign w:val="bottom"/>
          </w:tcPr>
          <w:p>
            <w:pPr>
              <w:jc w:val="center"/>
              <w:ind w:left="790"/>
              <w:spacing w:after="0" w:line="176" w:lineRule="exact"/>
              <w:rPr>
                <w:sz w:val="20"/>
                <w:szCs w:val="20"/>
                <w:color w:val="auto"/>
              </w:rPr>
            </w:pPr>
            <w:r>
              <w:rPr>
                <w:rFonts w:ascii="Arial" w:cs="Arial" w:eastAsia="Arial" w:hAnsi="Arial"/>
                <w:sz w:val="18"/>
                <w:szCs w:val="18"/>
                <w:color w:val="auto"/>
                <w:w w:val="88"/>
              </w:rPr>
              <w:t>F-5</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Statements of Cash Flows for the years ended December 31, 2022 and 2021</w:t>
            </w:r>
          </w:p>
        </w:tc>
        <w:tc>
          <w:tcPr>
            <w:tcW w:w="1520" w:type="dxa"/>
            <w:vAlign w:val="bottom"/>
            <w:shd w:val="clear" w:color="auto" w:fill="CCEEFF"/>
          </w:tcPr>
          <w:p>
            <w:pPr>
              <w:jc w:val="center"/>
              <w:ind w:left="790"/>
              <w:spacing w:after="0" w:line="176" w:lineRule="exact"/>
              <w:rPr>
                <w:sz w:val="20"/>
                <w:szCs w:val="20"/>
                <w:color w:val="auto"/>
              </w:rPr>
            </w:pPr>
            <w:r>
              <w:rPr>
                <w:rFonts w:ascii="Arial" w:cs="Arial" w:eastAsia="Arial" w:hAnsi="Arial"/>
                <w:sz w:val="18"/>
                <w:szCs w:val="18"/>
                <w:color w:val="auto"/>
                <w:w w:val="88"/>
              </w:rPr>
              <w:t>F-6</w:t>
            </w:r>
          </w:p>
        </w:tc>
      </w:tr>
      <w:tr>
        <w:trPr>
          <w:trHeight w:val="176"/>
        </w:trPr>
        <w:tc>
          <w:tcPr>
            <w:tcW w:w="5460" w:type="dxa"/>
            <w:vAlign w:val="bottom"/>
            <w:tcBorders>
              <w:top w:val="single" w:sz="8" w:color="0000EE"/>
            </w:tcBorders>
            <w:gridSpan w:val="5"/>
          </w:tcPr>
          <w:p>
            <w:pPr>
              <w:spacing w:after="0" w:line="176" w:lineRule="exact"/>
              <w:rPr>
                <w:sz w:val="20"/>
                <w:szCs w:val="20"/>
                <w:color w:val="auto"/>
              </w:rPr>
            </w:pPr>
            <w:r>
              <w:rPr>
                <w:rFonts w:ascii="Arial" w:cs="Arial" w:eastAsia="Arial" w:hAnsi="Arial"/>
                <w:sz w:val="18"/>
                <w:szCs w:val="18"/>
                <w:color w:val="0000EE"/>
              </w:rPr>
              <w:t>Notes to Financial Statements</w:t>
            </w:r>
          </w:p>
        </w:tc>
        <w:tc>
          <w:tcPr>
            <w:tcW w:w="4260" w:type="dxa"/>
            <w:vAlign w:val="bottom"/>
            <w:tcBorders>
              <w:top w:val="single" w:sz="8" w:color="CCEEFF"/>
            </w:tcBorders>
            <w:gridSpan w:val="7"/>
          </w:tcPr>
          <w:p>
            <w:pPr>
              <w:spacing w:after="0"/>
              <w:rPr>
                <w:sz w:val="15"/>
                <w:szCs w:val="15"/>
                <w:color w:val="auto"/>
              </w:rPr>
            </w:pPr>
          </w:p>
        </w:tc>
        <w:tc>
          <w:tcPr>
            <w:tcW w:w="1520" w:type="dxa"/>
            <w:vAlign w:val="bottom"/>
            <w:tcBorders>
              <w:top w:val="single" w:sz="8" w:color="CCEEFF"/>
            </w:tcBorders>
          </w:tcPr>
          <w:p>
            <w:pPr>
              <w:jc w:val="center"/>
              <w:ind w:left="790"/>
              <w:spacing w:after="0" w:line="176" w:lineRule="exact"/>
              <w:rPr>
                <w:sz w:val="20"/>
                <w:szCs w:val="20"/>
                <w:color w:val="auto"/>
              </w:rPr>
            </w:pPr>
            <w:r>
              <w:rPr>
                <w:rFonts w:ascii="Arial" w:cs="Arial" w:eastAsia="Arial" w:hAnsi="Arial"/>
                <w:sz w:val="18"/>
                <w:szCs w:val="18"/>
                <w:color w:val="auto"/>
                <w:w w:val="88"/>
              </w:rPr>
              <w:t>F-7</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5"/>
        </w:trPr>
        <w:tc>
          <w:tcPr>
            <w:tcW w:w="97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 as of June 30, 2023 and December 31, 2022</w:t>
            </w:r>
          </w:p>
        </w:tc>
        <w:tc>
          <w:tcPr>
            <w:tcW w:w="152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1"/>
              </w:rPr>
              <w:t>F-33</w:t>
            </w:r>
          </w:p>
        </w:tc>
      </w:tr>
      <w:tr>
        <w:trPr>
          <w:trHeight w:val="21"/>
        </w:trPr>
        <w:tc>
          <w:tcPr>
            <w:tcW w:w="2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20" w:type="dxa"/>
            <w:vAlign w:val="bottom"/>
            <w:gridSpan w:val="12"/>
          </w:tcPr>
          <w:p>
            <w:pPr>
              <w:spacing w:after="0" w:line="176" w:lineRule="exact"/>
              <w:rPr>
                <w:sz w:val="20"/>
                <w:szCs w:val="20"/>
                <w:color w:val="auto"/>
              </w:rPr>
            </w:pPr>
            <w:r>
              <w:rPr>
                <w:rFonts w:ascii="Arial" w:cs="Arial" w:eastAsia="Arial" w:hAnsi="Arial"/>
                <w:sz w:val="18"/>
                <w:szCs w:val="18"/>
                <w:color w:val="0000EE"/>
              </w:rPr>
              <w:t>Condensed Consolidated Statements of Operations for the three and six months ended June 30, 2023 and 2022</w:t>
            </w:r>
          </w:p>
        </w:tc>
        <w:tc>
          <w:tcPr>
            <w:tcW w:w="152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1"/>
              </w:rPr>
              <w:t>F-34</w:t>
            </w:r>
          </w:p>
        </w:tc>
      </w:tr>
      <w:tr>
        <w:trPr>
          <w:trHeight w:val="21"/>
        </w:trPr>
        <w:tc>
          <w:tcPr>
            <w:tcW w:w="2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8700" w:type="dxa"/>
            <w:vAlign w:val="bottom"/>
            <w:tcBorders>
              <w:bottom w:val="single" w:sz="8" w:color="0000EE"/>
            </w:tcBorders>
            <w:gridSpan w:val="11"/>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Shareholders’ Equity for the three and six months ended June 30, 2023 and 2022</w:t>
            </w:r>
          </w:p>
        </w:tc>
        <w:tc>
          <w:tcPr>
            <w:tcW w:w="10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1"/>
              </w:rPr>
              <w:t>F-35</w:t>
            </w:r>
          </w:p>
        </w:tc>
      </w:tr>
      <w:tr>
        <w:trPr>
          <w:trHeight w:val="176"/>
        </w:trPr>
        <w:tc>
          <w:tcPr>
            <w:tcW w:w="9720" w:type="dxa"/>
            <w:vAlign w:val="bottom"/>
            <w:gridSpan w:val="12"/>
          </w:tcPr>
          <w:p>
            <w:pPr>
              <w:spacing w:after="0" w:line="176" w:lineRule="exact"/>
              <w:rPr>
                <w:sz w:val="20"/>
                <w:szCs w:val="20"/>
                <w:color w:val="auto"/>
              </w:rPr>
            </w:pPr>
            <w:r>
              <w:rPr>
                <w:rFonts w:ascii="Arial" w:cs="Arial" w:eastAsia="Arial" w:hAnsi="Arial"/>
                <w:sz w:val="18"/>
                <w:szCs w:val="18"/>
                <w:color w:val="0000EE"/>
              </w:rPr>
              <w:t>Condensed Consolidated Statements of Cash Flows for the six months ended June 30, 2023 and 2022</w:t>
            </w:r>
          </w:p>
        </w:tc>
        <w:tc>
          <w:tcPr>
            <w:tcW w:w="1520" w:type="dxa"/>
            <w:vAlign w:val="bottom"/>
          </w:tcPr>
          <w:p>
            <w:pPr>
              <w:jc w:val="center"/>
              <w:ind w:left="770"/>
              <w:spacing w:after="0" w:line="176" w:lineRule="exact"/>
              <w:rPr>
                <w:sz w:val="20"/>
                <w:szCs w:val="20"/>
                <w:color w:val="auto"/>
              </w:rPr>
            </w:pPr>
            <w:r>
              <w:rPr>
                <w:rFonts w:ascii="Arial" w:cs="Arial" w:eastAsia="Arial" w:hAnsi="Arial"/>
                <w:sz w:val="18"/>
                <w:szCs w:val="18"/>
                <w:color w:val="auto"/>
                <w:w w:val="91"/>
              </w:rPr>
              <w:t>F-36</w:t>
            </w:r>
          </w:p>
        </w:tc>
      </w:tr>
      <w:tr>
        <w:trPr>
          <w:trHeight w:val="20"/>
        </w:trPr>
        <w:tc>
          <w:tcPr>
            <w:tcW w:w="2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96"/>
        </w:trPr>
        <w:tc>
          <w:tcPr>
            <w:tcW w:w="9720" w:type="dxa"/>
            <w:vAlign w:val="bottom"/>
            <w:gridSpan w:val="12"/>
            <w:shd w:val="clear" w:color="auto" w:fill="CCEEFF"/>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1520" w:type="dxa"/>
            <w:vAlign w:val="bottom"/>
            <w:shd w:val="clear" w:color="auto" w:fill="CCEEFF"/>
          </w:tcPr>
          <w:p>
            <w:pPr>
              <w:jc w:val="center"/>
              <w:ind w:left="770"/>
              <w:spacing w:after="0" w:line="176" w:lineRule="exact"/>
              <w:rPr>
                <w:sz w:val="20"/>
                <w:szCs w:val="20"/>
                <w:color w:val="auto"/>
              </w:rPr>
            </w:pPr>
            <w:r>
              <w:rPr>
                <w:rFonts w:ascii="Arial" w:cs="Arial" w:eastAsia="Arial" w:hAnsi="Arial"/>
                <w:sz w:val="18"/>
                <w:szCs w:val="18"/>
                <w:color w:val="auto"/>
                <w:w w:val="91"/>
              </w:rPr>
              <w:t>F-38</w:t>
            </w:r>
          </w:p>
        </w:tc>
      </w:tr>
      <w:tr>
        <w:trPr>
          <w:trHeight w:val="439"/>
        </w:trPr>
        <w:tc>
          <w:tcPr>
            <w:tcW w:w="2160" w:type="dxa"/>
            <w:vAlign w:val="bottom"/>
            <w:tcBorders>
              <w:top w:val="single" w:sz="8" w:color="0000EE"/>
              <w:bottom w:val="single" w:sz="8" w:color="auto"/>
            </w:tcBorders>
          </w:tcPr>
          <w:p>
            <w:pPr>
              <w:spacing w:after="0"/>
              <w:rPr>
                <w:sz w:val="24"/>
                <w:szCs w:val="24"/>
                <w:color w:val="auto"/>
              </w:rPr>
            </w:pPr>
          </w:p>
        </w:tc>
        <w:tc>
          <w:tcPr>
            <w:tcW w:w="18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4260" w:type="dxa"/>
            <w:vAlign w:val="bottom"/>
            <w:tcBorders>
              <w:top w:val="single" w:sz="8" w:color="CCEEFF"/>
              <w:bottom w:val="single" w:sz="8" w:color="auto"/>
            </w:tcBorders>
            <w:gridSpan w:val="7"/>
          </w:tcPr>
          <w:p>
            <w:pPr>
              <w:ind w:left="40"/>
              <w:spacing w:after="0"/>
              <w:rPr>
                <w:sz w:val="20"/>
                <w:szCs w:val="20"/>
                <w:color w:val="auto"/>
              </w:rPr>
            </w:pPr>
            <w:r>
              <w:rPr>
                <w:rFonts w:ascii="Arial" w:cs="Arial" w:eastAsia="Arial" w:hAnsi="Arial"/>
                <w:sz w:val="18"/>
                <w:szCs w:val="18"/>
                <w:color w:val="auto"/>
              </w:rPr>
              <w:t>F-1</w:t>
            </w:r>
          </w:p>
        </w:tc>
        <w:tc>
          <w:tcPr>
            <w:tcW w:w="15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Dragonfly Energy Holdings Corp. (the “Company”) as of December 31, 2022 and 2021,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Cash</w:t>
            </w:r>
          </w:p>
        </w:tc>
        <w:tc>
          <w:tcPr>
            <w:tcW w:w="1080" w:type="dxa"/>
            <w:vAlign w:val="bottom"/>
          </w:tcPr>
          <w:p>
            <w:pPr>
              <w:jc w:val="right"/>
              <w:ind w:right="923"/>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17,781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25,586</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 of allowance for doubtful accounts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1,444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27,127</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1,624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Prepaid income tax</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Assets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73,489</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66,081</w:t>
            </w:r>
          </w:p>
        </w:tc>
        <w:tc>
          <w:tcPr>
            <w:tcW w:w="100" w:type="dxa"/>
            <w:vAlign w:val="bottom"/>
            <w:tcBorders>
              <w:top w:val="single" w:sz="8" w:color="CCEEFF"/>
              <w:bottom w:val="single" w:sz="8" w:color="CCEEFF"/>
            </w:tcBorders>
          </w:tcPr>
          <w:p>
            <w:pPr>
              <w:spacing w:after="0"/>
              <w:rPr>
                <w:sz w:val="18"/>
                <w:szCs w:val="18"/>
                <w:color w:val="auto"/>
              </w:rPr>
            </w:pP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10,214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3,615</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Office furniture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1,709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Vehicle</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12,393</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5,318</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r>
      <w:tr>
        <w:trPr>
          <w:trHeight w:val="203"/>
        </w:trPr>
        <w:tc>
          <w:tcPr>
            <w:tcW w:w="744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Property and Equipment, Net</w:t>
            </w:r>
          </w:p>
        </w:tc>
        <w:tc>
          <w:tcPr>
            <w:tcW w:w="10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10,760</w:t>
            </w:r>
          </w:p>
        </w:tc>
        <w:tc>
          <w:tcPr>
            <w:tcW w:w="32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4,461</w:t>
            </w:r>
          </w:p>
        </w:tc>
        <w:tc>
          <w:tcPr>
            <w:tcW w:w="100" w:type="dxa"/>
            <w:vAlign w:val="bottom"/>
            <w:tcBorders>
              <w:top w:val="single" w:sz="8" w:color="CCEEFF"/>
            </w:tcBorders>
          </w:tcPr>
          <w:p>
            <w:pPr>
              <w:spacing w:after="0"/>
              <w:rPr>
                <w:sz w:val="17"/>
                <w:szCs w:val="17"/>
                <w:color w:val="auto"/>
              </w:rPr>
            </w:pPr>
          </w:p>
        </w:tc>
      </w:tr>
      <w:tr>
        <w:trPr>
          <w:trHeight w:val="24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r>
      <w:tr>
        <w:trPr>
          <w:trHeight w:val="257"/>
        </w:trPr>
        <w:tc>
          <w:tcPr>
            <w:tcW w:w="7440" w:type="dxa"/>
            <w:vAlign w:val="bottom"/>
            <w:tcBorders>
              <w:top w:val="single" w:sz="8" w:color="CCEEFF"/>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Assets</w:t>
            </w:r>
          </w:p>
        </w:tc>
        <w:tc>
          <w:tcPr>
            <w:tcW w:w="1080" w:type="dxa"/>
            <w:vAlign w:val="bottom"/>
            <w:tcBorders>
              <w:top w:val="single" w:sz="8" w:color="auto"/>
              <w:bottom w:val="single" w:sz="8" w:color="auto"/>
            </w:tcBorders>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320" w:type="dxa"/>
            <w:vAlign w:val="bottom"/>
            <w:tcBorders>
              <w:top w:val="single" w:sz="8" w:color="CCEEFF"/>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top w:val="single" w:sz="8" w:color="CCEEFF"/>
              <w:bottom w:val="single" w:sz="8" w:color="CCEEFF"/>
            </w:tcBorders>
          </w:tcPr>
          <w:p>
            <w:pPr>
              <w:spacing w:after="0"/>
              <w:rPr>
                <w:sz w:val="22"/>
                <w:szCs w:val="22"/>
                <w:color w:val="auto"/>
              </w:rPr>
            </w:pPr>
          </w:p>
        </w:tc>
      </w:tr>
      <w:tr>
        <w:trPr>
          <w:trHeight w:val="22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13,475</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11,360</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6,295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Income tax payable</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631</w:t>
            </w: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current portion,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19,242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w:t>
            </w:r>
          </w:p>
        </w:tc>
      </w:tr>
      <w:tr>
        <w:trPr>
          <w:trHeight w:val="236"/>
        </w:trPr>
        <w:tc>
          <w:tcPr>
            <w:tcW w:w="7440" w:type="dxa"/>
            <w:vAlign w:val="bottom"/>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1,188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1,082</w:t>
            </w: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40,566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payable-noncurrent, net of debt issuance costs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37,053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r>
      <w:tr>
        <w:trPr>
          <w:trHeight w:val="24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 liabilities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32,831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Accrued expenses, long-term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4,694</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Long-Term Liabilities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36,864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42,200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77,430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Commitments and Contingencies (See Note 6)</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0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2"/>
        </w:trPr>
        <w:tc>
          <w:tcPr>
            <w:tcW w:w="744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170,000,000 shares, $0.0001 par value, authorized, 43,272,728 and 36,496,998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440" w:type="dxa"/>
            <w:vAlign w:val="bottom"/>
          </w:tcPr>
          <w:p>
            <w:pPr>
              <w:ind w:left="180"/>
              <w:spacing w:after="0"/>
              <w:rPr>
                <w:sz w:val="20"/>
                <w:szCs w:val="20"/>
                <w:color w:val="auto"/>
              </w:rPr>
            </w:pPr>
            <w:r>
              <w:rPr>
                <w:rFonts w:ascii="Arial" w:cs="Arial" w:eastAsia="Arial" w:hAnsi="Arial"/>
                <w:sz w:val="18"/>
                <w:szCs w:val="18"/>
                <w:color w:val="auto"/>
              </w:rPr>
              <w:t>shares issued and outstanding as of December 31, 2022 and 2021,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02"/>
        </w:trPr>
        <w:tc>
          <w:tcPr>
            <w:tcW w:w="74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Preferred stock, 5,000,000 shares,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as of December 31, 2022 and 2021,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38,461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 earnings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(27,133)</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w:t>
            </w: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Equity</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11,332</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16,061</w:t>
            </w:r>
          </w:p>
        </w:tc>
        <w:tc>
          <w:tcPr>
            <w:tcW w:w="100" w:type="dxa"/>
            <w:vAlign w:val="bottom"/>
            <w:tcBorders>
              <w:top w:val="single" w:sz="8" w:color="CCEEFF"/>
              <w:bottom w:val="single" w:sz="8" w:color="CCEEFF"/>
            </w:tcBorders>
          </w:tcPr>
          <w:p>
            <w:pPr>
              <w:spacing w:after="0"/>
              <w:rPr>
                <w:sz w:val="18"/>
                <w:szCs w:val="18"/>
                <w:color w:val="auto"/>
              </w:rPr>
            </w:pPr>
          </w:p>
        </w:tc>
      </w:tr>
      <w:tr>
        <w:trPr>
          <w:trHeight w:val="229"/>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Arial" w:cs="Arial" w:eastAsia="Arial" w:hAnsi="Arial"/>
                <w:sz w:val="18"/>
                <w:szCs w:val="18"/>
                <w:b w:val="1"/>
                <w:bCs w:val="1"/>
                <w:color w:val="auto"/>
              </w:rPr>
              <w:t>Cost of Goods Sold</w:t>
            </w:r>
          </w:p>
        </w:tc>
        <w:tc>
          <w:tcPr>
            <w:tcW w:w="38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Arial" w:cs="Arial" w:eastAsia="Arial" w:hAnsi="Arial"/>
                <w:sz w:val="18"/>
                <w:szCs w:val="18"/>
                <w:color w:val="auto"/>
              </w:rPr>
              <w:t>62,247</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48,375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24,004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2,764</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640" w:type="dxa"/>
            <w:vAlign w:val="bottom"/>
            <w:gridSpan w:val="2"/>
          </w:tcPr>
          <w:p>
            <w:pPr>
              <w:jc w:val="right"/>
              <w:ind w:right="241"/>
              <w:spacing w:after="0"/>
              <w:rPr>
                <w:sz w:val="20"/>
                <w:szCs w:val="20"/>
                <w:color w:val="auto"/>
              </w:rPr>
            </w:pPr>
            <w:r>
              <w:rPr>
                <w:rFonts w:ascii="Arial" w:cs="Arial" w:eastAsia="Arial" w:hAnsi="Arial"/>
                <w:sz w:val="18"/>
                <w:szCs w:val="18"/>
                <w:color w:val="auto"/>
              </w:rPr>
              <w:t>41,566</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10,621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13,671</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9,848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23,158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(Loss) Income From Operations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(6,945)</w:t>
            </w:r>
          </w:p>
        </w:tc>
        <w:tc>
          <w:tcPr>
            <w:tcW w:w="38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market value of warrant liability</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Debt extinguishment</w:t>
            </w:r>
          </w:p>
        </w:tc>
        <w:tc>
          <w:tcPr>
            <w:tcW w:w="380" w:type="dxa"/>
            <w:vAlign w:val="bottom"/>
          </w:tcPr>
          <w:p>
            <w:pPr>
              <w:spacing w:after="0"/>
              <w:rPr>
                <w:sz w:val="20"/>
                <w:szCs w:val="20"/>
                <w:color w:val="auto"/>
              </w:rPr>
            </w:pPr>
          </w:p>
        </w:tc>
        <w:tc>
          <w:tcPr>
            <w:tcW w:w="1640" w:type="dxa"/>
            <w:vAlign w:val="bottom"/>
            <w:gridSpan w:val="2"/>
          </w:tcPr>
          <w:p>
            <w:pPr>
              <w:jc w:val="right"/>
              <w:ind w:right="181"/>
              <w:spacing w:after="0"/>
              <w:rPr>
                <w:sz w:val="20"/>
                <w:szCs w:val="20"/>
                <w:color w:val="auto"/>
              </w:rPr>
            </w:pPr>
            <w:r>
              <w:rPr>
                <w:rFonts w:ascii="Arial" w:cs="Arial" w:eastAsia="Arial" w:hAnsi="Arial"/>
                <w:sz w:val="18"/>
                <w:szCs w:val="18"/>
                <w:color w:val="auto"/>
              </w:rPr>
              <w:t>(4,824)</w:t>
            </w:r>
          </w:p>
        </w:tc>
        <w:tc>
          <w:tcPr>
            <w:tcW w:w="3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(40,280</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Income</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(39,571</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(Loss) Earnings Per Share – Basic</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(Loss) Earnings Per Share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4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 Basic</w:t>
            </w:r>
          </w:p>
        </w:tc>
        <w:tc>
          <w:tcPr>
            <w:tcW w:w="3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38,565,307</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35,579,137</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 Diluted</w:t>
            </w: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38,565,307</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37,742,337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480" w:type="dxa"/>
            <w:vAlign w:val="bottom"/>
            <w:gridSpan w:val="3"/>
          </w:tcPr>
          <w:p>
            <w:pPr>
              <w:ind w:left="520"/>
              <w:spacing w:after="0"/>
              <w:rPr>
                <w:sz w:val="20"/>
                <w:szCs w:val="20"/>
                <w:color w:val="auto"/>
              </w:rPr>
            </w:pPr>
            <w:r>
              <w:rPr>
                <w:rFonts w:ascii="Arial" w:cs="Arial" w:eastAsia="Arial" w:hAnsi="Arial"/>
                <w:sz w:val="18"/>
                <w:szCs w:val="18"/>
                <w:b w:val="1"/>
                <w:bCs w:val="1"/>
                <w:color w:val="auto"/>
                <w:w w:val="88"/>
              </w:rPr>
              <w:t>Redeemable</w:t>
            </w: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4"/>
          </w:tcPr>
          <w:p>
            <w:pPr>
              <w:ind w:left="160"/>
              <w:spacing w:after="0"/>
              <w:rPr>
                <w:sz w:val="20"/>
                <w:szCs w:val="20"/>
                <w:color w:val="auto"/>
              </w:rPr>
            </w:pPr>
            <w:r>
              <w:rPr>
                <w:rFonts w:ascii="Arial" w:cs="Arial" w:eastAsia="Arial" w:hAnsi="Arial"/>
                <w:sz w:val="18"/>
                <w:szCs w:val="18"/>
                <w:b w:val="1"/>
                <w:bCs w:val="1"/>
                <w:color w:val="auto"/>
              </w:rPr>
              <w:t>Additional</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Retained</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860" w:type="dxa"/>
            <w:vAlign w:val="bottom"/>
          </w:tcPr>
          <w:p>
            <w:pPr>
              <w:spacing w:after="0"/>
              <w:rPr>
                <w:sz w:val="20"/>
                <w:szCs w:val="20"/>
                <w:color w:val="auto"/>
              </w:rPr>
            </w:pPr>
          </w:p>
        </w:tc>
        <w:tc>
          <w:tcPr>
            <w:tcW w:w="2080" w:type="dxa"/>
            <w:vAlign w:val="bottom"/>
            <w:tcBorders>
              <w:right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tcPr>
          <w:p>
            <w:pPr>
              <w:spacing w:after="0"/>
              <w:rPr>
                <w:sz w:val="20"/>
                <w:szCs w:val="20"/>
                <w:color w:val="auto"/>
              </w:rPr>
            </w:pPr>
          </w:p>
        </w:tc>
        <w:tc>
          <w:tcPr>
            <w:tcW w:w="1660" w:type="dxa"/>
            <w:vAlign w:val="bottom"/>
            <w:gridSpan w:val="4"/>
          </w:tcPr>
          <w:p>
            <w:pPr>
              <w:ind w:left="340"/>
              <w:spacing w:after="0"/>
              <w:rPr>
                <w:sz w:val="20"/>
                <w:szCs w:val="20"/>
                <w:color w:val="auto"/>
              </w:rPr>
            </w:pPr>
            <w:r>
              <w:rPr>
                <w:rFonts w:ascii="Arial" w:cs="Arial" w:eastAsia="Arial" w:hAnsi="Arial"/>
                <w:sz w:val="18"/>
                <w:szCs w:val="18"/>
                <w:b w:val="1"/>
                <w:bCs w:val="1"/>
                <w:color w:val="auto"/>
                <w:w w:val="98"/>
              </w:rPr>
              <w:t>Common Stock</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Paid-In</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30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Capital</w:t>
            </w:r>
          </w:p>
        </w:tc>
        <w:tc>
          <w:tcPr>
            <w:tcW w:w="1000" w:type="dxa"/>
            <w:vAlign w:val="bottom"/>
            <w:gridSpan w:val="3"/>
          </w:tcPr>
          <w:p>
            <w:pPr>
              <w:jc w:val="right"/>
              <w:ind w:right="261"/>
              <w:spacing w:after="0"/>
              <w:rPr>
                <w:sz w:val="20"/>
                <w:szCs w:val="20"/>
                <w:color w:val="auto"/>
              </w:rPr>
            </w:pPr>
            <w:r>
              <w:rPr>
                <w:rFonts w:ascii="Arial" w:cs="Arial" w:eastAsia="Arial" w:hAnsi="Arial"/>
                <w:sz w:val="18"/>
                <w:szCs w:val="18"/>
                <w:b w:val="1"/>
                <w:bCs w:val="1"/>
                <w:color w:val="auto"/>
                <w:w w:val="95"/>
              </w:rPr>
              <w:t>(Deficit)</w:t>
            </w:r>
          </w:p>
        </w:tc>
        <w:tc>
          <w:tcPr>
            <w:tcW w:w="10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Total</w:t>
            </w:r>
          </w:p>
        </w:tc>
      </w:tr>
      <w:tr>
        <w:trPr>
          <w:trHeight w:val="216"/>
        </w:trPr>
        <w:tc>
          <w:tcPr>
            <w:tcW w:w="38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20,040,470</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Retroactive application of recapitalization</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(10,000,000)</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(2,000)</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15,469,477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r>
      <w:tr>
        <w:trPr>
          <w:trHeight w:val="203"/>
        </w:trPr>
        <w:tc>
          <w:tcPr>
            <w:tcW w:w="3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Adjusted balance, beginning of period</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right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35,509,947</w:t>
            </w: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2,451</w:t>
            </w: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8,100</w:t>
            </w:r>
          </w:p>
        </w:tc>
        <w:tc>
          <w:tcPr>
            <w:tcW w:w="3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10,555</w:t>
            </w:r>
          </w:p>
        </w:tc>
        <w:tc>
          <w:tcPr>
            <w:tcW w:w="100" w:type="dxa"/>
            <w:vAlign w:val="bottom"/>
            <w:tcBorders>
              <w:top w:val="single" w:sz="8" w:color="CCEEFF"/>
            </w:tcBorders>
          </w:tcPr>
          <w:p>
            <w:pPr>
              <w:spacing w:after="0"/>
              <w:rPr>
                <w:sz w:val="17"/>
                <w:szCs w:val="17"/>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4,338</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r>
      <w:tr>
        <w:trPr>
          <w:trHeight w:val="237"/>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987,051</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16"/>
        </w:trPr>
        <w:tc>
          <w:tcPr>
            <w:tcW w:w="386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CCEEFF"/>
              <w:right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2021</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36,496,998</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12,438</w:t>
            </w: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38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Balance -January 1, 2022, after giving effect to</w:t>
            </w: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the recapitalization</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36,496,998</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12,438</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16,061</w:t>
            </w:r>
          </w:p>
        </w:tc>
      </w:tr>
      <w:tr>
        <w:trPr>
          <w:trHeight w:val="216"/>
        </w:trPr>
        <w:tc>
          <w:tcPr>
            <w:tcW w:w="3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(39,571)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(39,571)</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Stock purchase agreement</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1,498,301</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581,351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02"/>
        </w:trPr>
        <w:tc>
          <w:tcPr>
            <w:tcW w:w="3860" w:type="dxa"/>
            <w:vAlign w:val="bottom"/>
          </w:tcPr>
          <w:p>
            <w:pPr>
              <w:spacing w:after="0" w:line="201" w:lineRule="exact"/>
              <w:rPr>
                <w:sz w:val="20"/>
                <w:szCs w:val="20"/>
                <w:color w:val="auto"/>
              </w:rPr>
            </w:pPr>
            <w:r>
              <w:rPr>
                <w:rFonts w:ascii="Arial" w:cs="Arial" w:eastAsia="Arial" w:hAnsi="Arial"/>
                <w:sz w:val="18"/>
                <w:szCs w:val="18"/>
                <w:color w:val="auto"/>
              </w:rPr>
              <w:t>Reverse capitalization, net of transaction costs</w:t>
            </w: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(See Note 3)</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4,238,936</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Cashless exercise of liability classified warrants</w:t>
            </w: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457,142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16,669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16,669</w:t>
            </w:r>
          </w:p>
        </w:tc>
      </w:tr>
      <w:tr>
        <w:trPr>
          <w:trHeight w:val="237"/>
        </w:trPr>
        <w:tc>
          <w:tcPr>
            <w:tcW w:w="386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20"/>
                <w:szCs w:val="20"/>
                <w:color w:val="auto"/>
              </w:rPr>
            </w:pP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2,467</w:t>
            </w:r>
          </w:p>
        </w:tc>
      </w:tr>
      <w:tr>
        <w:trPr>
          <w:trHeight w:val="23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2022</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43,272,728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38,461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(27,133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20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r>
              <w:rPr>
                <w:rFonts w:ascii="Arial" w:cs="Arial" w:eastAsia="Arial" w:hAnsi="Arial"/>
                <w:sz w:val="18"/>
                <w:szCs w:val="18"/>
                <w:color w:val="auto"/>
              </w:rPr>
              <w:t>Net (Loss) Income</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(39,571)</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4,338</w:t>
            </w:r>
          </w:p>
        </w:tc>
        <w:tc>
          <w:tcPr>
            <w:tcW w:w="0" w:type="dxa"/>
            <w:vAlign w:val="bottom"/>
          </w:tcPr>
          <w:p>
            <w:pPr>
              <w:spacing w:after="0"/>
              <w:rPr>
                <w:sz w:val="1"/>
                <w:szCs w:val="1"/>
                <w:color w:val="auto"/>
              </w:rPr>
            </w:pPr>
          </w:p>
        </w:tc>
      </w:tr>
      <w:tr>
        <w:trPr>
          <w:trHeight w:val="216"/>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Provided by (Used in)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2,467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extinguishment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4,824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1,822</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(453)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(paid-in-kind)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1,192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Assumption of Warrant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1,990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(769)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(22,719)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(21,179)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(1,467)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5,459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1,520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1,196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(1,156)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4,428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8,903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rPr>
              <w:t>(196)</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36"/>
        </w:trPr>
        <w:tc>
          <w:tcPr>
            <w:tcW w:w="7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Adjustments</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(6,125</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(45,696</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(6,862)</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(6,827</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(2,909</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term loan</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Repayment from note payable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Arial" w:cs="Arial" w:eastAsia="Arial" w:hAnsi="Arial"/>
                <w:sz w:val="18"/>
                <w:szCs w:val="18"/>
                <w:color w:val="auto"/>
                <w:w w:val="98"/>
              </w:rPr>
              <w:t>(45,000)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debt issuance costs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(4,032)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(6,278)</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706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stock purchase agreement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15,000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revolving note agreement</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9"/>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note agreement</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41,674</w:t>
            </w:r>
          </w:p>
        </w:tc>
        <w:tc>
          <w:tcPr>
            <w:tcW w:w="32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38,906</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Restricted Cash</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(10,849)</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200" w:type="dxa"/>
            <w:vAlign w:val="bottom"/>
          </w:tcPr>
          <w:p>
            <w:pPr>
              <w:spacing w:after="0"/>
              <w:rPr>
                <w:sz w:val="20"/>
                <w:szCs w:val="20"/>
                <w:color w:val="auto"/>
              </w:rPr>
            </w:pPr>
            <w:r>
              <w:rPr>
                <w:rFonts w:ascii="Arial" w:cs="Arial" w:eastAsia="Arial" w:hAnsi="Arial"/>
                <w:sz w:val="18"/>
                <w:szCs w:val="18"/>
                <w:color w:val="auto"/>
              </w:rPr>
              <w:t>Beginning cash and restricted cash</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28,630</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6,206</w:t>
            </w:r>
          </w:p>
        </w:tc>
        <w:tc>
          <w:tcPr>
            <w:tcW w:w="0" w:type="dxa"/>
            <w:vAlign w:val="bottom"/>
          </w:tcPr>
          <w:p>
            <w:pPr>
              <w:spacing w:after="0"/>
              <w:rPr>
                <w:sz w:val="1"/>
                <w:szCs w:val="1"/>
                <w:color w:val="auto"/>
              </w:rPr>
            </w:pPr>
          </w:p>
        </w:tc>
      </w:tr>
      <w:tr>
        <w:trPr>
          <w:trHeight w:val="230"/>
        </w:trPr>
        <w:tc>
          <w:tcPr>
            <w:tcW w:w="7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restricted cash</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9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Supplemental Disclosures of Cash Flow Information:</w:t>
            </w: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773</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2,252</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Items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Receivable of options exercised</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419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Arial" w:cs="Arial" w:eastAsia="Arial" w:hAnsi="Arial"/>
                <w:sz w:val="18"/>
                <w:szCs w:val="18"/>
                <w:color w:val="auto"/>
              </w:rPr>
              <w:t>Recognition of right of use asset obtained in exchange for operating lease liability</w:t>
            </w:r>
          </w:p>
        </w:tc>
        <w:tc>
          <w:tcPr>
            <w:tcW w:w="1320" w:type="dxa"/>
            <w:vAlign w:val="bottom"/>
            <w:gridSpan w:val="2"/>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1"/>
              <w:spacing w:after="0"/>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Cashless exercise of liability classified warrants</w:t>
            </w:r>
          </w:p>
        </w:tc>
        <w:tc>
          <w:tcPr>
            <w:tcW w:w="1320" w:type="dxa"/>
            <w:vAlign w:val="bottom"/>
            <w:gridSpan w:val="2"/>
            <w:shd w:val="clear" w:color="auto" w:fill="CCEEFF"/>
          </w:tcPr>
          <w:p>
            <w:pPr>
              <w:jc w:val="right"/>
              <w:ind w:right="92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16,669</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Dragonfly Energy Holdings Corp. (“</w:t>
      </w:r>
      <w:r>
        <w:rPr>
          <w:rFonts w:ascii="Arial" w:cs="Arial" w:eastAsia="Arial" w:hAnsi="Arial"/>
          <w:sz w:val="18"/>
          <w:szCs w:val="18"/>
          <w:b w:val="1"/>
          <w:bCs w:val="1"/>
          <w:color w:val="auto"/>
        </w:rPr>
        <w:t>New Dragonfly</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October 7, 2022, a merger transaction between Chardan NexTech Acquisition 2 Corporation (“</w:t>
      </w:r>
      <w:r>
        <w:rPr>
          <w:rFonts w:ascii="Arial" w:cs="Arial" w:eastAsia="Arial" w:hAnsi="Arial"/>
          <w:sz w:val="16"/>
          <w:szCs w:val="16"/>
          <w:b w:val="1"/>
          <w:bCs w:val="1"/>
          <w:color w:val="auto"/>
        </w:rPr>
        <w:t>CNTQ</w:t>
      </w:r>
      <w:r>
        <w:rPr>
          <w:rFonts w:ascii="Arial" w:cs="Arial" w:eastAsia="Arial" w:hAnsi="Arial"/>
          <w:sz w:val="16"/>
          <w:szCs w:val="16"/>
          <w:color w:val="auto"/>
        </w:rPr>
        <w:t>”), Dragonfly Energy Corp. (“</w:t>
      </w:r>
      <w:r>
        <w:rPr>
          <w:rFonts w:ascii="Arial" w:cs="Arial" w:eastAsia="Arial" w:hAnsi="Arial"/>
          <w:sz w:val="16"/>
          <w:szCs w:val="16"/>
          <w:b w:val="1"/>
          <w:bCs w:val="1"/>
          <w:color w:val="auto"/>
        </w:rPr>
        <w:t>Legacy</w:t>
      </w:r>
      <w:r>
        <w:rPr>
          <w:rFonts w:ascii="Arial" w:cs="Arial" w:eastAsia="Arial" w:hAnsi="Arial"/>
          <w:sz w:val="16"/>
          <w:szCs w:val="16"/>
          <w:color w:val="auto"/>
        </w:rPr>
        <w:t xml:space="preserve"> </w:t>
      </w:r>
      <w:r>
        <w:rPr>
          <w:rFonts w:ascii="Arial" w:cs="Arial" w:eastAsia="Arial" w:hAnsi="Arial"/>
          <w:sz w:val="16"/>
          <w:szCs w:val="16"/>
          <w:b w:val="1"/>
          <w:bCs w:val="1"/>
          <w:color w:val="auto"/>
        </w:rPr>
        <w:t>Dragonfly</w:t>
      </w:r>
      <w:r>
        <w:rPr>
          <w:rFonts w:ascii="Arial" w:cs="Arial" w:eastAsia="Arial" w:hAnsi="Arial"/>
          <w:sz w:val="16"/>
          <w:szCs w:val="16"/>
          <w:color w:val="auto"/>
        </w:rPr>
        <w:t>”), and Bronco Merger Sub, Inc. (“</w:t>
      </w:r>
      <w:r>
        <w:rPr>
          <w:rFonts w:ascii="Arial" w:cs="Arial" w:eastAsia="Arial" w:hAnsi="Arial"/>
          <w:sz w:val="16"/>
          <w:szCs w:val="16"/>
          <w:b w:val="1"/>
          <w:bCs w:val="1"/>
          <w:color w:val="auto"/>
        </w:rPr>
        <w:t>Merger Sub</w:t>
      </w:r>
      <w:r>
        <w:rPr>
          <w:rFonts w:ascii="Arial" w:cs="Arial" w:eastAsia="Arial" w:hAnsi="Arial"/>
          <w:sz w:val="16"/>
          <w:szCs w:val="16"/>
          <w:color w:val="auto"/>
        </w:rPr>
        <w:t>”) was completed pursuant to which Merger Sub was merged with and into Legacy Dragonfly,</w:t>
      </w:r>
      <w:r>
        <w:rPr>
          <w:rFonts w:ascii="Arial" w:cs="Arial" w:eastAsia="Arial" w:hAnsi="Arial"/>
          <w:sz w:val="16"/>
          <w:szCs w:val="16"/>
          <w:b w:val="1"/>
          <w:bCs w:val="1"/>
          <w:color w:val="auto"/>
        </w:rPr>
        <w:t xml:space="preserve"> </w:t>
      </w:r>
      <w:r>
        <w:rPr>
          <w:rFonts w:ascii="Arial" w:cs="Arial" w:eastAsia="Arial" w:hAnsi="Arial"/>
          <w:sz w:val="16"/>
          <w:szCs w:val="16"/>
          <w:color w:val="auto"/>
        </w:rPr>
        <w:t>with Legacy Dragonfly surviving the merger. As a result of the merger, Legacy Dragonfly became a wholly owned subsidiary of New Dragonfly.</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w:t>
      </w:r>
      <w:r>
        <w:rPr>
          <w:rFonts w:ascii="Arial" w:cs="Arial" w:eastAsia="Arial" w:hAnsi="Arial"/>
          <w:sz w:val="17"/>
          <w:szCs w:val="17"/>
          <w:i w:val="1"/>
          <w:iCs w:val="1"/>
          <w:color w:val="auto"/>
        </w:rPr>
        <w:t>Note 3 – Reverse Capitalization</w:t>
      </w:r>
      <w:r>
        <w:rPr>
          <w:rFonts w:ascii="Arial" w:cs="Arial" w:eastAsia="Arial" w:hAnsi="Arial"/>
          <w:sz w:val="17"/>
          <w:szCs w:val="17"/>
          <w:color w:val="auto"/>
        </w:rPr>
        <w:t xml:space="preserve"> for further details of the merger.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pursuant to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and in accordance with generally accepted accounting principles generally accepted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and present the consolidated financial statements of the Company and its wholly owned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the Company incurred losses and had a negative cash flow from operations. As of December 31, 2022, the Company had $17,781 in cash and cash equivalents and working capital of $32,923. The Company’s ability to achieve profitability and positive cash flow depends on its ability to increase revenue, contain its expenses and maintain compliance with the financial covenants in its outstanding indebtedness agreements.</w:t>
      </w:r>
    </w:p>
    <w:p>
      <w:pPr>
        <w:spacing w:after="0" w:line="18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connection with the Company’s senior secured term loan facility in an aggregate principal amount of $75,000 (the “</w:t>
      </w:r>
      <w:r>
        <w:rPr>
          <w:rFonts w:ascii="Arial" w:cs="Arial" w:eastAsia="Arial" w:hAnsi="Arial"/>
          <w:sz w:val="16"/>
          <w:szCs w:val="16"/>
          <w:b w:val="1"/>
          <w:bCs w:val="1"/>
          <w:color w:val="auto"/>
        </w:rPr>
        <w:t>Term Loan</w:t>
      </w:r>
      <w:r>
        <w:rPr>
          <w:rFonts w:ascii="Arial" w:cs="Arial" w:eastAsia="Arial" w:hAnsi="Arial"/>
          <w:sz w:val="16"/>
          <w:szCs w:val="16"/>
          <w:color w:val="auto"/>
        </w:rPr>
        <w:t>”), the Company is obligated to comply with certain financial covenants, which include maintaining a maximum senior leverage ratio, minimum liquidity, a springing fixed charge coverage ratio, and maximum capital expenditures (See Note 7).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its operations and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May 2021, the Financial Accounting Standards Board (“</w:t>
      </w:r>
      <w:r>
        <w:rPr>
          <w:rFonts w:ascii="Arial" w:cs="Arial" w:eastAsia="Arial" w:hAnsi="Arial"/>
          <w:sz w:val="16"/>
          <w:szCs w:val="16"/>
          <w:b w:val="1"/>
          <w:bCs w:val="1"/>
          <w:color w:val="auto"/>
        </w:rPr>
        <w:t>FASB</w:t>
      </w:r>
      <w:r>
        <w:rPr>
          <w:rFonts w:ascii="Arial" w:cs="Arial" w:eastAsia="Arial" w:hAnsi="Arial"/>
          <w:sz w:val="16"/>
          <w:szCs w:val="16"/>
          <w:color w:val="auto"/>
        </w:rPr>
        <w:t>”) issued Accounting Standards Update (“</w:t>
      </w:r>
      <w:r>
        <w:rPr>
          <w:rFonts w:ascii="Arial" w:cs="Arial" w:eastAsia="Arial" w:hAnsi="Arial"/>
          <w:sz w:val="16"/>
          <w:szCs w:val="16"/>
          <w:b w:val="1"/>
          <w:bCs w:val="1"/>
          <w:color w:val="auto"/>
        </w:rPr>
        <w:t>ASU</w:t>
      </w:r>
      <w:r>
        <w:rPr>
          <w:rFonts w:ascii="Arial" w:cs="Arial" w:eastAsia="Arial" w:hAnsi="Arial"/>
          <w:sz w:val="16"/>
          <w:szCs w:val="16"/>
          <w:color w:val="auto"/>
        </w:rPr>
        <w:t>”) 2021-04, Earnings Per Share (Topic 260), Debt Modifications and Extinguishments (Subtopic 470 50), Compensation – Stock Based Compensation (Topic 718), and Derivatives and Hedging –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5"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in Entity’s Own Equity (Subtopic 815-40) </w:t>
      </w:r>
      <w:r>
        <w:rPr>
          <w:rFonts w:ascii="Arial" w:cs="Arial" w:eastAsia="Arial" w:hAnsi="Arial"/>
          <w:sz w:val="17"/>
          <w:szCs w:val="17"/>
          <w:color w:val="auto"/>
        </w:rPr>
        <w:t>(“</w:t>
      </w:r>
      <w:r>
        <w:rPr>
          <w:rFonts w:ascii="Arial" w:cs="Arial" w:eastAsia="Arial" w:hAnsi="Arial"/>
          <w:sz w:val="17"/>
          <w:szCs w:val="17"/>
          <w:b w:val="1"/>
          <w:bCs w:val="1"/>
          <w:color w:val="auto"/>
        </w:rPr>
        <w:t>ASU 2020-06</w:t>
      </w:r>
      <w:r>
        <w:rPr>
          <w:rFonts w:ascii="Arial" w:cs="Arial" w:eastAsia="Arial" w:hAnsi="Arial"/>
          <w:sz w:val="17"/>
          <w:szCs w:val="17"/>
          <w:color w:val="auto"/>
        </w:rPr>
        <w:t>”) to simplify accounting for certain financial instruments. ASU 2020-06 eliminates the</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Restricted Cash, and Cash Equivalents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considers all short-term debt securities purchased with a maturity of three months or less to be cash equivalents. There were no cash equivalents as of December 31, 2022 or 2021. The Company also maintained a restricted cash balance to satisfy its note payable requirements as of December 31, 2021 (Refer to Note 7). There were no restricted cash balances as of December 31,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30-60 days of the invoice date and the contracts do not have significant financing components. Trade accounts receivables are recorded gross and are net of any applicable allowance. The Company has an allowance for doubtful accounts as of December 31, 2022 and 2021 of $90 and $50,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5),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2022 and 2021, no such reserves were necessary.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 Depreciation expense for the years ended December 31, 2022 and 2021 was $891 and $617, respectively. The various classes of property and equipment and estimated useful lives are as follows:</w:t>
      </w:r>
    </w:p>
    <w:p>
      <w:pPr>
        <w:sectPr>
          <w:pgSz w:w="11900" w:h="16838" w:orient="portrait"/>
          <w:cols w:equalWidth="0" w:num="1">
            <w:col w:w="11240"/>
          </w:cols>
          <w:pgMar w:left="320" w:top="661"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Office furniture and equipment</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Vehicles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5 years</w:t>
      </w:r>
    </w:p>
    <w:p>
      <w:pPr>
        <w:spacing w:after="0" w:line="211"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Machinery and equipment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 to 7 years</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740"/>
        <w:spacing w:after="0"/>
        <w:rPr>
          <w:sz w:val="20"/>
          <w:szCs w:val="20"/>
          <w:color w:val="auto"/>
        </w:rPr>
      </w:pPr>
      <w:r>
        <w:rPr>
          <w:rFonts w:ascii="Arial" w:cs="Arial" w:eastAsia="Arial" w:hAnsi="Arial"/>
          <w:sz w:val="16"/>
          <w:szCs w:val="16"/>
          <w:color w:val="auto"/>
        </w:rPr>
        <w:t>Remaining Term of Lease</w:t>
      </w:r>
    </w:p>
    <w:p>
      <w:pPr>
        <w:spacing w:after="0" w:line="200" w:lineRule="exact"/>
        <w:rPr>
          <w:sz w:val="20"/>
          <w:szCs w:val="20"/>
          <w:color w:val="auto"/>
        </w:rPr>
      </w:pPr>
    </w:p>
    <w:p>
      <w:pPr>
        <w:sectPr>
          <w:pgSz w:w="11900" w:h="16838" w:orient="portrait"/>
          <w:cols w:equalWidth="0" w:num="2">
            <w:col w:w="4900" w:space="720"/>
            <w:col w:w="5620"/>
          </w:cols>
          <w:pgMar w:left="320" w:top="661" w:right="3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 of Long-Lived Assets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w:t>
      </w:r>
      <w:r>
        <w:rPr>
          <w:rFonts w:ascii="Arial" w:cs="Arial" w:eastAsia="Arial" w:hAnsi="Arial"/>
          <w:sz w:val="18"/>
          <w:szCs w:val="18"/>
          <w:b w:val="1"/>
          <w:bCs w:val="1"/>
          <w:color w:val="auto"/>
        </w:rPr>
        <w:t>ASC 480</w:t>
      </w:r>
      <w:r>
        <w:rPr>
          <w:rFonts w:ascii="Arial" w:cs="Arial" w:eastAsia="Arial" w:hAnsi="Arial"/>
          <w:sz w:val="18"/>
          <w:szCs w:val="18"/>
          <w:color w:val="auto"/>
        </w:rPr>
        <w:t>”), and ASC 815, Derivatives and Hedging (“</w:t>
      </w:r>
      <w:r>
        <w:rPr>
          <w:rFonts w:ascii="Arial" w:cs="Arial" w:eastAsia="Arial" w:hAnsi="Arial"/>
          <w:sz w:val="18"/>
          <w:szCs w:val="18"/>
          <w:b w:val="1"/>
          <w:bCs w:val="1"/>
          <w:color w:val="auto"/>
        </w:rPr>
        <w:t>ASC 815</w:t>
      </w:r>
      <w:r>
        <w:rPr>
          <w:rFonts w:ascii="Arial" w:cs="Arial" w:eastAsia="Arial" w:hAnsi="Arial"/>
          <w:sz w:val="18"/>
          <w:szCs w:val="18"/>
          <w:color w:val="auto"/>
        </w:rPr>
        <w:t>”),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Commitments and Contingencies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Consolidated Statements of Operations.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December 31, 2022 and 2021, the contract liability related to the Company’s customer deposits approximated $238 and $434, respectively. The entire contract liability balance as of December 31, 2021 was recognized as revenue during the year ended December 31, 2022. The entire contract liability balance as of January 1, 2021 was recognized as revenue during the year ended December 31,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3"/>
          </w:tcPr>
          <w:p>
            <w:pPr>
              <w:spacing w:after="0"/>
              <w:rPr>
                <w:sz w:val="20"/>
                <w:szCs w:val="20"/>
                <w:color w:val="auto"/>
              </w:rPr>
            </w:pPr>
            <w:r>
              <w:rPr>
                <w:rFonts w:ascii="Arial" w:cs="Arial" w:eastAsia="Arial" w:hAnsi="Arial"/>
                <w:sz w:val="18"/>
                <w:szCs w:val="18"/>
                <w:i w:val="1"/>
                <w:iCs w:val="1"/>
                <w:color w:val="auto"/>
              </w:rPr>
              <w:t>Disaggregation of Revenue: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color w:val="auto"/>
              </w:rPr>
              <w:t>The following table present our disaggregated revenues by distribution channel:</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Sales</w:t>
            </w:r>
          </w:p>
        </w:tc>
        <w:tc>
          <w:tcPr>
            <w:tcW w:w="38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59,042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Distributor</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9,102</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10,733</w:t>
            </w:r>
          </w:p>
        </w:tc>
        <w:tc>
          <w:tcPr>
            <w:tcW w:w="80" w:type="dxa"/>
            <w:vAlign w:val="bottom"/>
          </w:tcPr>
          <w:p>
            <w:pPr>
              <w:spacing w:after="0"/>
              <w:rPr>
                <w:sz w:val="18"/>
                <w:szCs w:val="18"/>
                <w:color w:val="auto"/>
              </w:rPr>
            </w:pPr>
          </w:p>
        </w:tc>
      </w:tr>
      <w:tr>
        <w:trPr>
          <w:trHeight w:val="250"/>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Original equipment manufacture</w:t>
            </w: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33,805</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8,225</w:t>
            </w:r>
          </w:p>
        </w:tc>
        <w:tc>
          <w:tcPr>
            <w:tcW w:w="80" w:type="dxa"/>
            <w:vAlign w:val="bottom"/>
            <w:shd w:val="clear" w:color="auto" w:fill="CCEEFF"/>
          </w:tcPr>
          <w:p>
            <w:pPr>
              <w:spacing w:after="0"/>
              <w:rPr>
                <w:sz w:val="21"/>
                <w:szCs w:val="21"/>
                <w:color w:val="auto"/>
              </w:rPr>
            </w:pPr>
          </w:p>
        </w:tc>
      </w:tr>
      <w:tr>
        <w:trPr>
          <w:trHeight w:val="216"/>
        </w:trPr>
        <w:tc>
          <w:tcPr>
            <w:tcW w:w="7440" w:type="dxa"/>
            <w:vAlign w:val="bottom"/>
            <w:tcBorders>
              <w:top w:val="single" w:sz="8" w:color="CCEEFF"/>
            </w:tcBorders>
            <w:gridSpan w:val="3"/>
          </w:tcPr>
          <w:p>
            <w:pPr>
              <w:ind w:left="18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86,251</w:t>
            </w: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78,000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$5,440 and $5,105 for the years ended December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and records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2022 and 2021 to be $328 and $0,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three customers comprised approximately 18%, 10% and 10%, respectively, of accounts receivable as of December 31, 2022. Receivables from two customers comprised approximately 42% and 16%, respectively, of accounts receivable as of December 31, 2021. There are no other significant accounts receivable concentrations.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from one customer accounted for approximately 22% of the Company’s sales for year ended December 31, 2022. There were no significant revenue concentrations for the year ended December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Payables to one vendor comprised approximately 61% of accounts payables as of December 31, 2022. There were no significant payable concentrations as of December 31, 2021.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year ended December 31, 2022, one vendor accounted for approximately 28% of the Company’s total purchases, respectively. For the year ended December 31, 2021, three vendors accounted for approximately 27%, 10% and 10% of the Company’s total purchases,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Financing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$2,334 and $1,690 for the years ended December 31,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14).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income tax assets and liabilities (Note 9)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$128 and $0 as of December 31, 2022 and 2021, respectively, of uncertain tax positions.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(Loss) Earnings per Common Share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w:t>
      </w:r>
      <w:r>
        <w:rPr>
          <w:rFonts w:ascii="Arial" w:cs="Arial" w:eastAsia="Arial" w:hAnsi="Arial"/>
          <w:sz w:val="16"/>
          <w:szCs w:val="16"/>
          <w:i w:val="1"/>
          <w:iCs w:val="1"/>
          <w:color w:val="auto"/>
        </w:rPr>
        <w:t xml:space="preserve">Note 3 - Reverse Capitalization </w:t>
      </w:r>
      <w:r>
        <w:rPr>
          <w:rFonts w:ascii="Arial" w:cs="Arial" w:eastAsia="Arial" w:hAnsi="Arial"/>
          <w:sz w:val="16"/>
          <w:szCs w:val="16"/>
          <w:color w:val="auto"/>
        </w:rPr>
        <w:t>for details and discussion of the retrospective adjustment of net loss per share.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Financial Accounting Standards Board (“FASB”) Accounting Standard Update (“ASU”)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REVERSE CAPITALIZATION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w:t>
      </w:r>
      <w:r>
        <w:rPr>
          <w:rFonts w:ascii="Arial" w:cs="Arial" w:eastAsia="Arial" w:hAnsi="Arial"/>
          <w:sz w:val="18"/>
          <w:szCs w:val="18"/>
          <w:b w:val="1"/>
          <w:bCs w:val="1"/>
          <w:color w:val="auto"/>
        </w:rPr>
        <w:t>PIPE Financing</w:t>
      </w:r>
      <w:r>
        <w:rPr>
          <w:rFonts w:ascii="Arial" w:cs="Arial" w:eastAsia="Arial" w:hAnsi="Arial"/>
          <w:sz w:val="18"/>
          <w:szCs w:val="18"/>
          <w:color w:val="auto"/>
        </w:rPr>
        <w: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361"/>
              <w:spacing w:after="0"/>
              <w:rPr>
                <w:sz w:val="20"/>
                <w:szCs w:val="20"/>
                <w:color w:val="auto"/>
              </w:rPr>
            </w:pPr>
            <w:r>
              <w:rPr>
                <w:rFonts w:ascii="Arial" w:cs="Arial" w:eastAsia="Arial" w:hAnsi="Arial"/>
                <w:sz w:val="18"/>
                <w:szCs w:val="18"/>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CNTQ trust and PIPE Investors</w:t>
            </w:r>
          </w:p>
        </w:tc>
        <w:tc>
          <w:tcPr>
            <w:tcW w:w="3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CNTQ</w:t>
            </w:r>
          </w:p>
        </w:tc>
        <w:tc>
          <w:tcPr>
            <w:tcW w:w="3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Net liabilities assumed in merger transaction</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(1,017)</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 assumed in merger</w:t>
            </w:r>
          </w:p>
        </w:tc>
        <w:tc>
          <w:tcPr>
            <w:tcW w:w="3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CNTQ note payable settlement at close</w:t>
            </w: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14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CNTQ transaction costs paid at close</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(18,072)</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deficit assumed in recapitalization</w:t>
            </w:r>
          </w:p>
        </w:tc>
        <w:tc>
          <w:tcPr>
            <w:tcW w:w="37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1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jc w:val="right"/>
              <w:ind w:right="3010"/>
              <w:spacing w:after="0"/>
              <w:rPr>
                <w:sz w:val="20"/>
                <w:szCs w:val="20"/>
                <w:color w:val="auto"/>
              </w:rPr>
            </w:pPr>
            <w:r>
              <w:rPr>
                <w:rFonts w:ascii="Arial" w:cs="Arial" w:eastAsia="Arial" w:hAnsi="Arial"/>
                <w:sz w:val="18"/>
                <w:szCs w:val="18"/>
                <w:color w:val="auto"/>
              </w:rPr>
              <w:t>F-13</w:t>
            </w: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973"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756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Number of Shares</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merger</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Pr>
          <w:p>
            <w:pPr>
              <w:spacing w:after="0"/>
              <w:rPr>
                <w:sz w:val="20"/>
                <w:szCs w:val="20"/>
                <w:color w:val="auto"/>
              </w:rPr>
            </w:pPr>
            <w:r>
              <w:rPr>
                <w:rFonts w:ascii="Arial" w:cs="Arial" w:eastAsia="Arial" w:hAnsi="Arial"/>
                <w:sz w:val="18"/>
                <w:szCs w:val="18"/>
                <w:color w:val="auto"/>
              </w:rPr>
              <w:t>Less: Redemption of CNTQ shares</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(2,016,912)</w:t>
            </w:r>
          </w:p>
        </w:tc>
      </w:tr>
      <w:tr>
        <w:trPr>
          <w:trHeight w:val="216"/>
        </w:trPr>
        <w:tc>
          <w:tcPr>
            <w:tcW w:w="7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CNTQ Public Shares</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7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CNTQ Sponsor Shares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Merger and PIPE financing shares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7560" w:type="dxa"/>
            <w:vAlign w:val="bottom"/>
            <w:tcBorders>
              <w:bottom w:val="single" w:sz="8" w:color="CCEEFF"/>
            </w:tcBorders>
          </w:tcPr>
          <w:p>
            <w:pPr>
              <w:spacing w:after="0" w:line="270" w:lineRule="exact"/>
              <w:rPr>
                <w:sz w:val="20"/>
                <w:szCs w:val="20"/>
                <w:color w:val="auto"/>
              </w:rPr>
            </w:pPr>
            <w:r>
              <w:rPr>
                <w:rFonts w:ascii="Arial" w:cs="Arial" w:eastAsia="Arial" w:hAnsi="Arial"/>
                <w:sz w:val="18"/>
                <w:szCs w:val="18"/>
                <w:color w:val="auto"/>
              </w:rPr>
              <w:t xml:space="preserve">Legacy Dragonfly shares </w:t>
            </w:r>
            <w:r>
              <w:rPr>
                <w:rFonts w:ascii="Arial" w:cs="Arial" w:eastAsia="Arial" w:hAnsi="Arial"/>
                <w:sz w:val="29"/>
                <w:szCs w:val="29"/>
                <w:color w:val="auto"/>
                <w:vertAlign w:val="superscript"/>
              </w:rPr>
              <w:t>(1)(2)</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29"/>
        </w:trPr>
        <w:tc>
          <w:tcPr>
            <w:tcW w:w="7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shares of common stock immediately after the merger</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80" w:hanging="209"/>
        <w:spacing w:after="0" w:line="277" w:lineRule="auto"/>
        <w:rPr>
          <w:sz w:val="20"/>
          <w:szCs w:val="20"/>
          <w:color w:val="auto"/>
        </w:rPr>
      </w:pPr>
      <w:r>
        <w:rPr>
          <w:rFonts w:ascii="Arial" w:cs="Arial" w:eastAsia="Arial" w:hAnsi="Arial"/>
          <w:sz w:val="18"/>
          <w:szCs w:val="18"/>
          <w:i w:val="1"/>
          <w:iCs w:val="1"/>
          <w:color w:val="auto"/>
        </w:rPr>
        <w:t>(1)-The number of Legacy Dragonfly shares was determined from the shares of Legacy Dragonfly outstanding immediately prior to the closing of the merger converted at the Exchange Ratio. All fractional shares were rounded down.</w:t>
      </w:r>
    </w:p>
    <w:p>
      <w:pPr>
        <w:spacing w:after="0" w:line="278" w:lineRule="exact"/>
        <w:rPr>
          <w:sz w:val="20"/>
          <w:szCs w:val="20"/>
          <w:color w:val="auto"/>
        </w:rPr>
      </w:pPr>
    </w:p>
    <w:p>
      <w:pPr>
        <w:ind w:left="280" w:right="20" w:hanging="209"/>
        <w:spacing w:after="0" w:line="277" w:lineRule="auto"/>
        <w:rPr>
          <w:sz w:val="20"/>
          <w:szCs w:val="20"/>
          <w:color w:val="auto"/>
        </w:rPr>
      </w:pPr>
      <w:r>
        <w:rPr>
          <w:rFonts w:ascii="Arial" w:cs="Arial" w:eastAsia="Arial" w:hAnsi="Arial"/>
          <w:sz w:val="18"/>
          <w:szCs w:val="18"/>
          <w:i w:val="1"/>
          <w:iCs w:val="1"/>
          <w:color w:val="auto"/>
        </w:rPr>
        <w:t>(2)</w:t>
      </w:r>
      <w:r>
        <w:rPr>
          <w:rFonts w:ascii="Arial" w:cs="Arial" w:eastAsia="Arial" w:hAnsi="Arial"/>
          <w:sz w:val="18"/>
          <w:szCs w:val="18"/>
          <w:color w:val="auto"/>
        </w:rPr>
        <w:t>-</w:t>
      </w:r>
      <w:r>
        <w:rPr>
          <w:rFonts w:ascii="Arial" w:cs="Arial" w:eastAsia="Arial" w:hAnsi="Arial"/>
          <w:sz w:val="18"/>
          <w:szCs w:val="18"/>
          <w:i w:val="1"/>
          <w:iCs w:val="1"/>
          <w:color w:val="auto"/>
        </w:rPr>
        <w:t>The preferred shares of Legacy Dragonfly were exchanged on a 1 to 1 ratio to common stock and the shares were then exchanged for shares of Dragonfly Energy Holdings Corp. at the Exchange Ratio.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part of the reverse capitalization transaction, the Company issued public warrants, private placement warrants and Term Loan warrants. Refer to Note 12 for a further description of the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w:t>
      </w:r>
      <w:r>
        <w:rPr>
          <w:rFonts w:ascii="Arial" w:cs="Arial" w:eastAsia="Arial" w:hAnsi="Arial"/>
          <w:sz w:val="16"/>
          <w:szCs w:val="16"/>
          <w:b w:val="1"/>
          <w:bCs w:val="1"/>
          <w:color w:val="auto"/>
        </w:rPr>
        <w:t>Earnout Shares</w:t>
      </w:r>
      <w:r>
        <w:rPr>
          <w:rFonts w:ascii="Arial" w:cs="Arial" w:eastAsia="Arial" w:hAnsi="Arial"/>
          <w:sz w:val="16"/>
          <w:szCs w:val="16"/>
          <w:color w:val="auto"/>
        </w:rPr>
        <w:t>”).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accounts for the Earnout Shares as either equity-classified or liability-classified instruments based on an assessment of the Earnout Shares specific terms and applicable authoritative guidance in ASC 480, Distinguishing Liabilities from Equity (“</w:t>
      </w:r>
      <w:r>
        <w:rPr>
          <w:rFonts w:ascii="Arial" w:cs="Arial" w:eastAsia="Arial" w:hAnsi="Arial"/>
          <w:sz w:val="17"/>
          <w:szCs w:val="17"/>
          <w:b w:val="1"/>
          <w:bCs w:val="1"/>
          <w:color w:val="auto"/>
        </w:rPr>
        <w:t>ASC 480</w:t>
      </w:r>
      <w:r>
        <w:rPr>
          <w:rFonts w:ascii="Arial" w:cs="Arial" w:eastAsia="Arial" w:hAnsi="Arial"/>
          <w:sz w:val="17"/>
          <w:szCs w:val="17"/>
          <w:color w:val="auto"/>
        </w:rPr>
        <w:t>”)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ASC 820, Fair Value Measurements and Disclosures (“</w:t>
      </w:r>
      <w:r>
        <w:rPr>
          <w:rFonts w:ascii="Arial" w:cs="Arial" w:eastAsia="Arial" w:hAnsi="Arial"/>
          <w:sz w:val="18"/>
          <w:szCs w:val="18"/>
          <w:b w:val="1"/>
          <w:bCs w:val="1"/>
          <w:color w:val="auto"/>
        </w:rPr>
        <w:t>ASC 820</w:t>
      </w:r>
      <w:r>
        <w:rPr>
          <w:rFonts w:ascii="Arial" w:cs="Arial" w:eastAsia="Arial" w:hAnsi="Arial"/>
          <w:sz w:val="18"/>
          <w:szCs w:val="18"/>
          <w:color w:val="auto"/>
        </w:rPr>
        <w:t>”),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4"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32" w:lineRule="exact"/>
        <w:rPr>
          <w:rFonts w:ascii="Arial" w:cs="Arial" w:eastAsia="Arial" w:hAnsi="Arial"/>
          <w:sz w:val="16"/>
          <w:szCs w:val="16"/>
          <w:color w:val="auto"/>
        </w:rPr>
      </w:pPr>
    </w:p>
    <w:p>
      <w:pPr>
        <w:ind w:left="340" w:hanging="332"/>
        <w:spacing w:after="0" w:line="260"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 and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color w:val="auto"/>
                <w:w w:val="91"/>
              </w:rPr>
              <w:t>As of December 31, 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2"/>
        </w:trPr>
        <w:tc>
          <w:tcPr>
            <w:tcW w:w="7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40"/>
              <w:spacing w:after="0" w:line="201"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7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Fair Value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color w:val="auto"/>
              </w:rPr>
              <w:t>(Level 1)</w:t>
            </w:r>
          </w:p>
        </w:tc>
        <w:tc>
          <w:tcPr>
            <w:tcW w:w="14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60" w:type="dxa"/>
            <w:vAlign w:val="bottom"/>
            <w:gridSpan w:val="3"/>
          </w:tcPr>
          <w:p>
            <w:pPr>
              <w:ind w:left="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top w:val="single" w:sz="8" w:color="CCEEFF"/>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7"/>
              </w:rPr>
              <w:t>Liabilities</w:t>
            </w:r>
          </w:p>
        </w:tc>
        <w:tc>
          <w:tcPr>
            <w:tcW w:w="29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37"/>
        </w:trPr>
        <w:tc>
          <w:tcPr>
            <w:tcW w:w="3720" w:type="dxa"/>
            <w:vAlign w:val="bottom"/>
            <w:gridSpan w:val="2"/>
          </w:tcPr>
          <w:p>
            <w:pPr>
              <w:spacing w:after="0"/>
              <w:rPr>
                <w:sz w:val="20"/>
                <w:szCs w:val="20"/>
                <w:color w:val="auto"/>
              </w:rPr>
            </w:pPr>
            <w:r>
              <w:rPr>
                <w:rFonts w:ascii="Arial" w:cs="Arial" w:eastAsia="Arial" w:hAnsi="Arial"/>
                <w:sz w:val="18"/>
                <w:szCs w:val="18"/>
                <w:color w:val="auto"/>
              </w:rPr>
              <w:t>Warrant liability-Term Loan</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30,841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80" w:type="dxa"/>
            <w:vAlign w:val="bottom"/>
          </w:tcPr>
          <w:p>
            <w:pPr>
              <w:spacing w:after="0"/>
              <w:rPr>
                <w:sz w:val="20"/>
                <w:szCs w:val="20"/>
                <w:color w:val="auto"/>
              </w:rPr>
            </w:pPr>
          </w:p>
        </w:tc>
      </w:tr>
      <w:tr>
        <w:trPr>
          <w:trHeight w:val="236"/>
        </w:trPr>
        <w:tc>
          <w:tcPr>
            <w:tcW w:w="37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37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920"/>
              <w:spacing w:after="0"/>
              <w:rPr>
                <w:sz w:val="20"/>
                <w:szCs w:val="20"/>
                <w:color w:val="auto"/>
              </w:rPr>
            </w:pPr>
            <w:r>
              <w:rPr>
                <w:rFonts w:ascii="Arial" w:cs="Arial" w:eastAsia="Arial" w:hAnsi="Arial"/>
                <w:sz w:val="8"/>
                <w:szCs w:val="8"/>
                <w:color w:val="auto"/>
                <w:w w:val="73"/>
              </w:rPr>
              <w:t>-</w:t>
            </w: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assets or liabilities that were measured at fair value as of December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December 31, 2022 and 2021 because of the relatively short maturity of these instruments.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carrying value of the term loan and fixed rate senior notes as of December 31, 2022 and 2021, respectively, are considered level 2 and approximates their fair value as the interest rate does not differ significantly from the current market rates available to the Company for similar debt.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5 — INVENTORY</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Inventory consists of the following:</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4"/>
                <w:szCs w:val="24"/>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74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Finished goods</w:t>
            </w:r>
          </w:p>
        </w:tc>
        <w:tc>
          <w:tcPr>
            <w:tcW w:w="200" w:type="dxa"/>
            <w:vAlign w:val="bottom"/>
          </w:tcPr>
          <w:p>
            <w:pPr>
              <w:spacing w:after="0"/>
              <w:rPr>
                <w:sz w:val="20"/>
                <w:szCs w:val="20"/>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8"/>
                <w:szCs w:val="18"/>
                <w:color w:val="auto"/>
              </w:rPr>
              <w:t>7,260</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4,242</w:t>
            </w: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leases related to the main office, warehouse space, research and development lab, and engineering office, all located in Reno, Nevada. The leases require annual escalating monthly payments ranging from $60 to $74. In December of 2021, the Company entered into another lease for additional warehouse space located in Reno, Nevada that requires annual escalating monthly payments ranging from $47 to $55.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December 31, 2022, the lease has not commenced as the Company does not have control over the asset.</w:t>
      </w:r>
    </w:p>
    <w:p>
      <w:pPr>
        <w:sectPr>
          <w:pgSz w:w="11900" w:h="16838" w:orient="portrait"/>
          <w:cols w:equalWidth="0" w:num="1">
            <w:col w:w="11240"/>
          </w:cols>
          <w:pgMar w:left="320" w:top="66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left="-6"/>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left="-6"/>
        <w:spacing w:after="0"/>
        <w:rPr>
          <w:sz w:val="20"/>
          <w:szCs w:val="20"/>
          <w:color w:val="auto"/>
        </w:rPr>
      </w:pPr>
      <w:r>
        <w:rPr>
          <w:rFonts w:ascii="Arial" w:cs="Arial" w:eastAsia="Arial" w:hAnsi="Arial"/>
          <w:sz w:val="18"/>
          <w:szCs w:val="18"/>
          <w:b w:val="1"/>
          <w:bCs w:val="1"/>
          <w:color w:val="auto"/>
        </w:rPr>
        <w:t>2022</w:t>
      </w:r>
    </w:p>
    <w:p>
      <w:pPr>
        <w:spacing w:after="0" w:line="22" w:lineRule="exact"/>
        <w:rPr>
          <w:sz w:val="20"/>
          <w:szCs w:val="20"/>
          <w:color w:val="auto"/>
        </w:rPr>
      </w:pPr>
    </w:p>
    <w:p>
      <w:pPr>
        <w:ind w:left="1287" w:hanging="1287"/>
        <w:spacing w:after="0"/>
        <w:tabs>
          <w:tab w:leader="none" w:pos="1287" w:val="left"/>
        </w:tabs>
        <w:numPr>
          <w:ilvl w:val="0"/>
          <w:numId w:val="67"/>
        </w:numPr>
        <w:rPr>
          <w:rFonts w:ascii="Arial" w:cs="Arial" w:eastAsia="Arial" w:hAnsi="Arial"/>
          <w:sz w:val="16"/>
          <w:szCs w:val="16"/>
          <w:color w:val="auto"/>
        </w:rPr>
      </w:pPr>
      <w:r>
        <w:rPr>
          <w:rFonts w:ascii="Arial" w:cs="Arial" w:eastAsia="Arial" w:hAnsi="Arial"/>
          <w:sz w:val="16"/>
          <w:szCs w:val="16"/>
          <w:color w:val="auto"/>
        </w:rPr>
        <w:t>4,513</w:t>
      </w:r>
    </w:p>
    <w:p>
      <w:pPr>
        <w:spacing w:after="0" w:line="59"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1,188</w:t>
      </w:r>
    </w:p>
    <w:p>
      <w:pPr>
        <w:spacing w:after="0" w:line="46" w:lineRule="exact"/>
        <w:rPr>
          <w:rFonts w:ascii="Arial" w:cs="Arial" w:eastAsia="Arial" w:hAnsi="Arial"/>
          <w:sz w:val="16"/>
          <w:szCs w:val="16"/>
          <w:color w:val="auto"/>
        </w:rPr>
      </w:pPr>
    </w:p>
    <w:p>
      <w:pPr>
        <w:ind w:left="1287"/>
        <w:spacing w:after="0"/>
        <w:rPr>
          <w:rFonts w:ascii="Arial" w:cs="Arial" w:eastAsia="Arial" w:hAnsi="Arial"/>
          <w:sz w:val="16"/>
          <w:szCs w:val="16"/>
          <w:color w:val="auto"/>
        </w:rPr>
      </w:pPr>
      <w:r>
        <w:rPr>
          <w:rFonts w:ascii="Arial" w:cs="Arial" w:eastAsia="Arial" w:hAnsi="Arial"/>
          <w:sz w:val="16"/>
          <w:szCs w:val="16"/>
          <w:color w:val="auto"/>
        </w:rPr>
        <w:t>3,541</w:t>
      </w:r>
    </w:p>
    <w:p>
      <w:pPr>
        <w:spacing w:after="0" w:line="72" w:lineRule="exact"/>
        <w:rPr>
          <w:sz w:val="20"/>
          <w:szCs w:val="20"/>
          <w:color w:val="auto"/>
        </w:rPr>
      </w:pPr>
    </w:p>
    <w:p>
      <w:pPr>
        <w:ind w:left="1287" w:hanging="1287"/>
        <w:spacing w:after="0"/>
        <w:tabs>
          <w:tab w:leader="none" w:pos="1287" w:val="left"/>
        </w:tabs>
        <w:numPr>
          <w:ilvl w:val="0"/>
          <w:numId w:val="68"/>
        </w:numPr>
        <w:rPr>
          <w:rFonts w:ascii="Arial" w:cs="Arial" w:eastAsia="Arial" w:hAnsi="Arial"/>
          <w:sz w:val="16"/>
          <w:szCs w:val="16"/>
          <w:color w:val="auto"/>
        </w:rPr>
      </w:pPr>
      <w:r>
        <w:rPr>
          <w:rFonts w:ascii="Arial" w:cs="Arial" w:eastAsia="Arial" w:hAnsi="Arial"/>
          <w:sz w:val="16"/>
          <w:szCs w:val="16"/>
          <w:color w:val="auto"/>
        </w:rPr>
        <w:t>4,729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801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 years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2021</w:t>
      </w:r>
    </w:p>
    <w:p>
      <w:pPr>
        <w:spacing w:after="0" w:line="22" w:lineRule="exact"/>
        <w:rPr>
          <w:sz w:val="20"/>
          <w:szCs w:val="20"/>
          <w:color w:val="auto"/>
        </w:rPr>
      </w:pPr>
    </w:p>
    <w:p>
      <w:pPr>
        <w:ind w:left="1262" w:hanging="1262"/>
        <w:spacing w:after="0"/>
        <w:tabs>
          <w:tab w:leader="none" w:pos="1262" w:val="left"/>
        </w:tabs>
        <w:numPr>
          <w:ilvl w:val="0"/>
          <w:numId w:val="69"/>
        </w:numPr>
        <w:rPr>
          <w:rFonts w:ascii="Arial" w:cs="Arial" w:eastAsia="Arial" w:hAnsi="Arial"/>
          <w:sz w:val="16"/>
          <w:szCs w:val="16"/>
          <w:color w:val="auto"/>
        </w:rPr>
      </w:pPr>
      <w:r>
        <w:rPr>
          <w:rFonts w:ascii="Arial" w:cs="Arial" w:eastAsia="Arial" w:hAnsi="Arial"/>
          <w:sz w:val="16"/>
          <w:szCs w:val="16"/>
          <w:color w:val="auto"/>
        </w:rPr>
        <w:t>5,709</w:t>
      </w:r>
    </w:p>
    <w:p>
      <w:pPr>
        <w:spacing w:after="0" w:line="59" w:lineRule="exact"/>
        <w:rPr>
          <w:rFonts w:ascii="Arial" w:cs="Arial" w:eastAsia="Arial" w:hAnsi="Arial"/>
          <w:sz w:val="16"/>
          <w:szCs w:val="16"/>
          <w:color w:val="auto"/>
        </w:rPr>
      </w:pPr>
    </w:p>
    <w:p>
      <w:pPr>
        <w:ind w:left="1262"/>
        <w:spacing w:after="0"/>
        <w:rPr>
          <w:rFonts w:ascii="Arial" w:cs="Arial" w:eastAsia="Arial" w:hAnsi="Arial"/>
          <w:sz w:val="16"/>
          <w:szCs w:val="16"/>
          <w:color w:val="auto"/>
        </w:rPr>
      </w:pPr>
      <w:r>
        <w:rPr>
          <w:rFonts w:ascii="Arial" w:cs="Arial" w:eastAsia="Arial" w:hAnsi="Arial"/>
          <w:sz w:val="16"/>
          <w:szCs w:val="16"/>
          <w:color w:val="auto"/>
        </w:rPr>
        <w:t>1,082</w:t>
      </w:r>
    </w:p>
    <w:p>
      <w:pPr>
        <w:spacing w:after="0" w:line="46" w:lineRule="exact"/>
        <w:rPr>
          <w:rFonts w:ascii="Arial" w:cs="Arial" w:eastAsia="Arial" w:hAnsi="Arial"/>
          <w:sz w:val="16"/>
          <w:szCs w:val="16"/>
          <w:color w:val="auto"/>
        </w:rPr>
      </w:pPr>
    </w:p>
    <w:p>
      <w:pPr>
        <w:ind w:left="1262"/>
        <w:spacing w:after="0"/>
        <w:rPr>
          <w:rFonts w:ascii="Arial" w:cs="Arial" w:eastAsia="Arial" w:hAnsi="Arial"/>
          <w:sz w:val="16"/>
          <w:szCs w:val="16"/>
          <w:color w:val="auto"/>
        </w:rPr>
      </w:pPr>
      <w:r>
        <w:rPr>
          <w:rFonts w:ascii="Arial" w:cs="Arial" w:eastAsia="Arial" w:hAnsi="Arial"/>
          <w:sz w:val="16"/>
          <w:szCs w:val="16"/>
          <w:color w:val="auto"/>
        </w:rPr>
        <w:t>4,694</w:t>
      </w:r>
    </w:p>
    <w:p>
      <w:pPr>
        <w:spacing w:after="0" w:line="72" w:lineRule="exact"/>
        <w:rPr>
          <w:sz w:val="20"/>
          <w:szCs w:val="20"/>
          <w:color w:val="auto"/>
        </w:rPr>
      </w:pPr>
    </w:p>
    <w:p>
      <w:pPr>
        <w:ind w:left="1262" w:hanging="1262"/>
        <w:spacing w:after="0"/>
        <w:tabs>
          <w:tab w:leader="none" w:pos="1262" w:val="left"/>
        </w:tabs>
        <w:numPr>
          <w:ilvl w:val="0"/>
          <w:numId w:val="70"/>
        </w:numPr>
        <w:rPr>
          <w:rFonts w:ascii="Arial" w:cs="Arial" w:eastAsia="Arial" w:hAnsi="Arial"/>
          <w:sz w:val="16"/>
          <w:szCs w:val="16"/>
          <w:color w:val="auto"/>
        </w:rPr>
      </w:pPr>
      <w:r>
        <w:rPr>
          <w:rFonts w:ascii="Arial" w:cs="Arial" w:eastAsia="Arial" w:hAnsi="Arial"/>
          <w:sz w:val="16"/>
          <w:szCs w:val="16"/>
          <w:color w:val="auto"/>
        </w:rPr>
        <w:t>5,776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10629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5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4.6 years</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w:t>
      </w:r>
    </w:p>
    <w:p>
      <w:pPr>
        <w:spacing w:after="0" w:line="200" w:lineRule="exact"/>
        <w:rPr>
          <w:sz w:val="20"/>
          <w:szCs w:val="20"/>
          <w:color w:val="auto"/>
        </w:rPr>
      </w:pPr>
    </w:p>
    <w:p>
      <w:pPr>
        <w:sectPr>
          <w:pgSz w:w="11900" w:h="16838" w:orient="portrait"/>
          <w:cols w:equalWidth="0" w:num="3">
            <w:col w:w="6713" w:space="720"/>
            <w:col w:w="1707" w:space="318"/>
            <w:col w:w="1782"/>
          </w:cols>
          <w:pgMar w:left="320" w:top="661" w:right="3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2022, the future minimum lease payments under these operating leases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36"/>
        </w:trPr>
        <w:tc>
          <w:tcPr>
            <w:tcW w:w="902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30"/>
        </w:trPr>
        <w:tc>
          <w:tcPr>
            <w:tcW w:w="9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w:t>
            </w:r>
          </w:p>
        </w:tc>
        <w:tc>
          <w:tcPr>
            <w:tcW w:w="22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0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operating lease liabilities</w:t>
            </w:r>
          </w:p>
        </w:tc>
        <w:tc>
          <w:tcPr>
            <w:tcW w:w="84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4,729</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r>
      <w:tr>
        <w:trPr>
          <w:trHeight w:val="241"/>
        </w:trPr>
        <w:tc>
          <w:tcPr>
            <w:tcW w:w="2560" w:type="dxa"/>
            <w:vAlign w:val="bottom"/>
          </w:tcPr>
          <w:p>
            <w:pPr>
              <w:spacing w:after="0"/>
              <w:rPr>
                <w:sz w:val="20"/>
                <w:szCs w:val="20"/>
                <w:color w:val="auto"/>
              </w:rPr>
            </w:pPr>
            <w:r>
              <w:rPr>
                <w:rFonts w:ascii="Arial" w:cs="Arial" w:eastAsia="Arial" w:hAnsi="Arial"/>
                <w:sz w:val="18"/>
                <w:szCs w:val="18"/>
                <w:b w:val="1"/>
                <w:bCs w:val="1"/>
                <w:color w:val="auto"/>
              </w:rPr>
              <w:t>Lease cost</w:t>
            </w:r>
          </w:p>
        </w:tc>
        <w:tc>
          <w:tcPr>
            <w:tcW w:w="3300" w:type="dxa"/>
            <w:vAlign w:val="bottom"/>
            <w:gridSpan w:val="3"/>
          </w:tcPr>
          <w:p>
            <w:pPr>
              <w:ind w:left="180"/>
              <w:spacing w:after="0"/>
              <w:rPr>
                <w:sz w:val="20"/>
                <w:szCs w:val="20"/>
                <w:color w:val="auto"/>
              </w:rPr>
            </w:pPr>
            <w:r>
              <w:rPr>
                <w:rFonts w:ascii="Arial" w:cs="Arial" w:eastAsia="Arial" w:hAnsi="Arial"/>
                <w:sz w:val="18"/>
                <w:szCs w:val="18"/>
                <w:b w:val="1"/>
                <w:bCs w:val="1"/>
                <w:color w:val="auto"/>
              </w:rPr>
              <w:t>Classification</w:t>
            </w:r>
          </w:p>
        </w:tc>
        <w:tc>
          <w:tcPr>
            <w:tcW w:w="20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36"/>
        </w:trPr>
        <w:tc>
          <w:tcPr>
            <w:tcW w:w="2560" w:type="dxa"/>
            <w:vAlign w:val="bottom"/>
          </w:tcPr>
          <w:p>
            <w:pPr>
              <w:spacing w:after="0"/>
              <w:rPr>
                <w:sz w:val="20"/>
                <w:szCs w:val="20"/>
                <w:color w:val="auto"/>
              </w:rPr>
            </w:pPr>
            <w:r>
              <w:rPr>
                <w:rFonts w:ascii="Arial" w:cs="Arial" w:eastAsia="Arial" w:hAnsi="Arial"/>
                <w:sz w:val="18"/>
                <w:szCs w:val="18"/>
                <w:color w:val="auto"/>
              </w:rPr>
              <w:t>Operating lease cost</w:t>
            </w: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30"/>
        </w:trPr>
        <w:tc>
          <w:tcPr>
            <w:tcW w:w="2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9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lease costs included in the schedule above are fixed.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10 for further discussion regarding contingent consideration arising from the April 2022 Asset Purchase agreement with Thomason Jones Company, LLC.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3 for further discussion regarding the earnout related to the reverse capitalization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 Trust Indenture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24, 2021, the Company entered into agreements to issue $45,000 in fixed rate senior notes (the “</w:t>
      </w:r>
      <w:r>
        <w:rPr>
          <w:rFonts w:ascii="Arial" w:cs="Arial" w:eastAsia="Arial" w:hAnsi="Arial"/>
          <w:sz w:val="18"/>
          <w:szCs w:val="18"/>
          <w:b w:val="1"/>
          <w:bCs w:val="1"/>
          <w:color w:val="auto"/>
        </w:rPr>
        <w:t>Series 2021-6 Notes</w:t>
      </w:r>
      <w:r>
        <w:rPr>
          <w:rFonts w:ascii="Arial" w:cs="Arial" w:eastAsia="Arial" w:hAnsi="Arial"/>
          <w:sz w:val="18"/>
          <w:szCs w:val="18"/>
          <w:color w:val="auto"/>
        </w:rPr>
        <w:t>”) pursuant to a Trust Indenture held by UMB Bank, as trustee and disbursing agent, and NewLight Capital, LLC as servicer (the “</w:t>
      </w:r>
      <w:r>
        <w:rPr>
          <w:rFonts w:ascii="Arial" w:cs="Arial" w:eastAsia="Arial" w:hAnsi="Arial"/>
          <w:sz w:val="18"/>
          <w:szCs w:val="18"/>
          <w:b w:val="1"/>
          <w:bCs w:val="1"/>
          <w:color w:val="auto"/>
        </w:rPr>
        <w:t>Servicer</w:t>
      </w:r>
      <w:r>
        <w:rPr>
          <w:rFonts w:ascii="Arial" w:cs="Arial" w:eastAsia="Arial" w:hAnsi="Arial"/>
          <w:sz w:val="18"/>
          <w:szCs w:val="18"/>
          <w:color w:val="auto"/>
        </w:rPr>
        <w:t>”). The trust and debt documents also required the entry into a Lender Collateral Residual Value Insurance Policy (the “</w:t>
      </w:r>
      <w:r>
        <w:rPr>
          <w:rFonts w:ascii="Arial" w:cs="Arial" w:eastAsia="Arial" w:hAnsi="Arial"/>
          <w:sz w:val="18"/>
          <w:szCs w:val="18"/>
          <w:b w:val="1"/>
          <w:bCs w:val="1"/>
          <w:color w:val="auto"/>
        </w:rPr>
        <w:t>Insurance Policy</w:t>
      </w:r>
      <w:r>
        <w:rPr>
          <w:rFonts w:ascii="Arial" w:cs="Arial" w:eastAsia="Arial" w:hAnsi="Arial"/>
          <w:sz w:val="18"/>
          <w:szCs w:val="18"/>
          <w:color w:val="auto"/>
        </w:rPr>
        <w:t>”), with UMB Bank as named insured for $45,000, and engagement of a placement agent, Tribe Capital Markets, LLC.</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Upon closing date of the financing the Company received a wire for $35,474, which is comprised of the gross proceeds of $45,000 less $3,188 in deposits to certain reserve accounts (see subsection labeled </w:t>
      </w:r>
      <w:r>
        <w:rPr>
          <w:rFonts w:ascii="Arial" w:cs="Arial" w:eastAsia="Arial" w:hAnsi="Arial"/>
          <w:sz w:val="18"/>
          <w:szCs w:val="18"/>
          <w:i w:val="1"/>
          <w:iCs w:val="1"/>
          <w:color w:val="auto"/>
        </w:rPr>
        <w:t>Reserve Accounts</w:t>
      </w:r>
      <w:r>
        <w:rPr>
          <w:rFonts w:ascii="Arial" w:cs="Arial" w:eastAsia="Arial" w:hAnsi="Arial"/>
          <w:sz w:val="18"/>
          <w:szCs w:val="18"/>
          <w:color w:val="auto"/>
        </w:rPr>
        <w:t xml:space="preserve"> below), and $6,338 in expenses withdrawn from the gross proceeds, which included $4,725 in prepaid policy premiums and related costs underlying the Insurance Policy (see subsection labelled </w:t>
      </w:r>
      <w:r>
        <w:rPr>
          <w:rFonts w:ascii="Arial" w:cs="Arial" w:eastAsia="Arial" w:hAnsi="Arial"/>
          <w:sz w:val="18"/>
          <w:szCs w:val="18"/>
          <w:i w:val="1"/>
          <w:iCs w:val="1"/>
          <w:color w:val="auto"/>
        </w:rPr>
        <w:t>Collateral</w:t>
      </w:r>
      <w:r>
        <w:rPr>
          <w:rFonts w:ascii="Arial" w:cs="Arial" w:eastAsia="Arial" w:hAnsi="Arial"/>
          <w:sz w:val="18"/>
          <w:szCs w:val="18"/>
          <w:color w:val="auto"/>
        </w:rPr>
        <w:t xml:space="preserve"> below), a prepaid loan monitoring fee of $60 and $1,553 in debt issuance costs.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w:t>
      </w:r>
      <w:r>
        <w:rPr>
          <w:rFonts w:ascii="Arial" w:cs="Arial" w:eastAsia="Arial" w:hAnsi="Arial"/>
          <w:sz w:val="18"/>
          <w:szCs w:val="18"/>
          <w:b w:val="1"/>
          <w:bCs w:val="1"/>
          <w:color w:val="auto"/>
        </w:rPr>
        <w:t>Maturity Date</w:t>
      </w:r>
      <w:r>
        <w:rPr>
          <w:rFonts w:ascii="Arial" w:cs="Arial" w:eastAsia="Arial" w:hAnsi="Arial"/>
          <w:sz w:val="18"/>
          <w:szCs w:val="18"/>
          <w:color w:val="auto"/>
        </w:rPr>
        <w:t>”).</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w:t>
      </w:r>
      <w:r>
        <w:rPr>
          <w:rFonts w:ascii="Arial" w:cs="Arial" w:eastAsia="Arial" w:hAnsi="Arial"/>
          <w:sz w:val="18"/>
          <w:szCs w:val="18"/>
          <w:i w:val="1"/>
          <w:iCs w:val="1"/>
          <w:color w:val="auto"/>
        </w:rPr>
        <w:t xml:space="preserve">Collateral </w:t>
      </w:r>
      <w:r>
        <w:rPr>
          <w:rFonts w:ascii="Arial" w:cs="Arial" w:eastAsia="Arial" w:hAnsi="Arial"/>
          <w:sz w:val="18"/>
          <w:szCs w:val="18"/>
          <w:color w:val="auto"/>
        </w:rPr>
        <w:t>below) as such funds must be reimbursed by the Company to the insurer.</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w:t>
      </w:r>
      <w:r>
        <w:rPr>
          <w:rFonts w:ascii="Arial" w:cs="Arial" w:eastAsia="Arial" w:hAnsi="Arial"/>
          <w:sz w:val="16"/>
          <w:szCs w:val="16"/>
          <w:i w:val="1"/>
          <w:iCs w:val="1"/>
          <w:color w:val="auto"/>
        </w:rPr>
        <w:t>Term Loan Agreement</w:t>
      </w:r>
      <w:r>
        <w:rPr>
          <w:rFonts w:ascii="Arial" w:cs="Arial" w:eastAsia="Arial" w:hAnsi="Arial"/>
          <w:sz w:val="16"/>
          <w:szCs w:val="16"/>
          <w:color w:val="auto"/>
        </w:rPr>
        <w:t xml:space="preserve"> below) and the outstanding principal balance for the Series 2021-6 Notes underlying the Trust Indenture was paid in full. A loss on extinguishment of $4,824 was recognized upon settlement. The net balance of $40,712 on the date of the merger consisted of $45,000 in principal less $4,288 in unamortized debt discount related to the debt issuance costs and Insurance Policy.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DRAGONFLY ENERGY HOLDINGS CORP.</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rPr>
              <w:t>NOTES TO CONSOLIDATED FINANCIAL STATEMENTS</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5"/>
              </w:rPr>
              <w:t>DECEMBER 31, 2022 AND 2021</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00" w:type="dxa"/>
            <w:vAlign w:val="bottom"/>
          </w:tcPr>
          <w:p>
            <w:pPr>
              <w:jc w:val="center"/>
              <w:ind w:left="1190"/>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6"/>
              </w:rPr>
              <w:t>Reserve Accounts</w:t>
            </w:r>
          </w:p>
        </w:tc>
        <w:tc>
          <w:tcPr>
            <w:tcW w:w="7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8680" w:type="dxa"/>
            <w:vAlign w:val="bottom"/>
            <w:gridSpan w:val="2"/>
          </w:tcPr>
          <w:p>
            <w:pPr>
              <w:spacing w:after="0"/>
              <w:rPr>
                <w:sz w:val="20"/>
                <w:szCs w:val="20"/>
                <w:color w:val="auto"/>
              </w:rPr>
            </w:pPr>
            <w:r>
              <w:rPr>
                <w:rFonts w:ascii="Arial" w:cs="Arial" w:eastAsia="Arial" w:hAnsi="Arial"/>
                <w:sz w:val="18"/>
                <w:szCs w:val="18"/>
                <w:color w:val="auto"/>
              </w:rPr>
              <w:t>Deposits into the reserve accounts consisted of the following items:</w:t>
            </w: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Reserve Fund</w:t>
            </w:r>
          </w:p>
        </w:tc>
        <w:tc>
          <w:tcPr>
            <w:tcW w:w="13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r>
      <w:tr>
        <w:trPr>
          <w:trHeight w:val="237"/>
        </w:trPr>
        <w:tc>
          <w:tcPr>
            <w:tcW w:w="8680" w:type="dxa"/>
            <w:vAlign w:val="bottom"/>
            <w:gridSpan w:val="2"/>
          </w:tcPr>
          <w:p>
            <w:pPr>
              <w:spacing w:after="0"/>
              <w:rPr>
                <w:sz w:val="20"/>
                <w:szCs w:val="20"/>
                <w:color w:val="auto"/>
              </w:rPr>
            </w:pPr>
            <w:r>
              <w:rPr>
                <w:rFonts w:ascii="Arial" w:cs="Arial" w:eastAsia="Arial" w:hAnsi="Arial"/>
                <w:sz w:val="18"/>
                <w:szCs w:val="18"/>
                <w:color w:val="auto"/>
              </w:rPr>
              <w:t>Capitalized Interest Fund</w:t>
            </w: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29"/>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(see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was a deposit account maintained by the trustee and restricted for release upon the occurrence of future events, this deposit was treated as restricted cash.</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Capitalized Interest Fund was created to hold the interest that accrued from the closing date until the first payment due on December 15, 2021. The initial deposit, therefore, was treated as prepaid interest. These funds were utilized to pay the interest incurred through that first payment date, therefore the balance as of December 31, 2021 was $3,088.</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Both above funds, to the extent that they are deposited into interest bearing accounts, earn interest that UMB Bank will transfer into an Interest Earnings Fund, which funds will be held in escrow until the earlier of maturity or when the debt obligations are paid in full (assuming no events of default). There were no funds deposited into interest bearing accounts at December 31, 2022 or December 31, 2021.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merger, the Company settled the Trust Indenture and the balance in the Payment Reserve Fund was offset against the proceeds.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Collateral</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substantially all of the assets of the Company, including certain intellectual property assets.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terms of the Trust Indenture, the Insurance Policy is required as additional collateral guaranteeing the payments under the debt by the Company. The Company determined this was not a direct incremental cost of the financing but rather a cost for maintaining the collateral, recognized under the guidance at ASC 860-30, Transfers and Servicing, Secured Borrowing and Collateral. The premium costs were recognized as a prepaid expense and were being amortized straight line over the term of the policy (three years, unless reduced due to default provisions). The secured party (i.e., UMB Bank, as trustee) would not have the right to sell or repledge either the intellectual property or the insurance collateral unless and until the Company defaulted and a claim was made. Upon settlement of the debt underlying the Trust Indenture, the collateral requirements for the Insurance Policy were eliminated.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Loan Monitoring Fees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was to incur ongoing monitoring service by NewLight Capital, LLC for 24 months at $180 total expense. These services entail monitory of financial records and information related to collateral enforcement on an ongoing basis. The $60 prepayment funded on the date of closing was recognized as a prepaid expense and was being amortized on a straight line basis over the first 10 months of the agreement as the amount was paid in full in connection with the merger. The Company incurred $77 and $10 of monitoring fee expenses during the years ended December 31, 2022 and 2021,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prepayment on that date of $33 was expensed and included in debt extinguishment.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Financial Covenants – Trust Indenture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obligated to comply with certain covenants which included a minimum adjusted EBITDA, capital expenditure requirement and minimum fixed charge coverage ratio. The Company was in compliance with all financial covenants as of December 31, 2021 and through October 7, 2022, the date of the settlement of the obligations underlying the Trust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Term Loan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7, 2022, in connection with the merger, CNTQ, Legacy Dragonfly and CCM Investments 5 LLC (“</w:t>
      </w:r>
      <w:r>
        <w:rPr>
          <w:rFonts w:ascii="Arial" w:cs="Arial" w:eastAsia="Arial" w:hAnsi="Arial"/>
          <w:sz w:val="16"/>
          <w:szCs w:val="16"/>
          <w:b w:val="1"/>
          <w:bCs w:val="1"/>
          <w:color w:val="auto"/>
        </w:rPr>
        <w:t>CCM 5</w:t>
      </w:r>
      <w:r>
        <w:rPr>
          <w:rFonts w:ascii="Arial" w:cs="Arial" w:eastAsia="Arial" w:hAnsi="Arial"/>
          <w:sz w:val="16"/>
          <w:szCs w:val="16"/>
          <w:color w:val="auto"/>
        </w:rPr>
        <w:t>”, and in connection with the Term Loan, the “Chardan Lender”), and EICF Agent LLC (“</w:t>
      </w:r>
      <w:r>
        <w:rPr>
          <w:rFonts w:ascii="Arial" w:cs="Arial" w:eastAsia="Arial" w:hAnsi="Arial"/>
          <w:sz w:val="16"/>
          <w:szCs w:val="16"/>
          <w:b w:val="1"/>
          <w:bCs w:val="1"/>
          <w:color w:val="auto"/>
        </w:rPr>
        <w:t>EIP</w:t>
      </w:r>
      <w:r>
        <w:rPr>
          <w:rFonts w:ascii="Arial" w:cs="Arial" w:eastAsia="Arial" w:hAnsi="Arial"/>
          <w:sz w:val="16"/>
          <w:szCs w:val="16"/>
          <w:color w:val="auto"/>
        </w:rPr>
        <w:t>” and, collectively with the Chardan Lender, the “</w:t>
      </w:r>
      <w:r>
        <w:rPr>
          <w:rFonts w:ascii="Arial" w:cs="Arial" w:eastAsia="Arial" w:hAnsi="Arial"/>
          <w:sz w:val="16"/>
          <w:szCs w:val="16"/>
          <w:b w:val="1"/>
          <w:bCs w:val="1"/>
          <w:color w:val="auto"/>
        </w:rPr>
        <w:t>Initial Term Loan Lenders</w:t>
      </w:r>
      <w:r>
        <w:rPr>
          <w:rFonts w:ascii="Arial" w:cs="Arial" w:eastAsia="Arial" w:hAnsi="Arial"/>
          <w:sz w:val="16"/>
          <w:szCs w:val="16"/>
          <w:color w:val="auto"/>
        </w:rPr>
        <w:t>”) entered into the Term Loan, Guarantee and Security Agreement (the “</w:t>
      </w:r>
      <w:r>
        <w:rPr>
          <w:rFonts w:ascii="Arial" w:cs="Arial" w:eastAsia="Arial" w:hAnsi="Arial"/>
          <w:sz w:val="16"/>
          <w:szCs w:val="16"/>
          <w:b w:val="1"/>
          <w:bCs w:val="1"/>
          <w:color w:val="auto"/>
        </w:rPr>
        <w:t>Term Loan Agreement</w:t>
      </w:r>
      <w:r>
        <w:rPr>
          <w:rFonts w:ascii="Arial" w:cs="Arial" w:eastAsia="Arial" w:hAnsi="Arial"/>
          <w:sz w:val="16"/>
          <w:szCs w:val="16"/>
          <w:color w:val="auto"/>
        </w:rPr>
        <w:t>”) setting forth the terms of a senior secured term loan facility in an aggregate principal amount of $75,000, or the Term Loan. The Chardan Lender backstopped its commitment under the Debt Commitment Letter by entering into a backstop commitment letter, dated as of May 20, 2022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with a certain third-party financing source (the “</w:t>
      </w:r>
      <w:r>
        <w:rPr>
          <w:rFonts w:ascii="Arial" w:cs="Arial" w:eastAsia="Arial" w:hAnsi="Arial"/>
          <w:sz w:val="16"/>
          <w:szCs w:val="16"/>
          <w:b w:val="1"/>
          <w:bCs w:val="1"/>
          <w:color w:val="auto"/>
        </w:rPr>
        <w:t>Backstop</w:t>
      </w:r>
      <w:r>
        <w:rPr>
          <w:rFonts w:ascii="Arial" w:cs="Arial" w:eastAsia="Arial" w:hAnsi="Arial"/>
          <w:sz w:val="16"/>
          <w:szCs w:val="16"/>
          <w:color w:val="auto"/>
        </w:rPr>
        <w:t xml:space="preserve"> </w:t>
      </w:r>
      <w:r>
        <w:rPr>
          <w:rFonts w:ascii="Arial" w:cs="Arial" w:eastAsia="Arial" w:hAnsi="Arial"/>
          <w:sz w:val="16"/>
          <w:szCs w:val="16"/>
          <w:b w:val="1"/>
          <w:bCs w:val="1"/>
          <w:color w:val="auto"/>
        </w:rPr>
        <w:t>Lender</w:t>
      </w:r>
      <w:r>
        <w:rPr>
          <w:rFonts w:ascii="Arial" w:cs="Arial" w:eastAsia="Arial" w:hAnsi="Arial"/>
          <w:sz w:val="16"/>
          <w:szCs w:val="16"/>
          <w:color w:val="auto"/>
        </w:rPr>
        <w:t>” and collectively with EIP, the “</w:t>
      </w:r>
      <w:r>
        <w:rPr>
          <w:rFonts w:ascii="Arial" w:cs="Arial" w:eastAsia="Arial" w:hAnsi="Arial"/>
          <w:sz w:val="16"/>
          <w:szCs w:val="16"/>
          <w:b w:val="1"/>
          <w:bCs w:val="1"/>
          <w:color w:val="auto"/>
        </w:rPr>
        <w:t>Term Loan Lenders</w:t>
      </w:r>
      <w:r>
        <w:rPr>
          <w:rFonts w:ascii="Arial" w:cs="Arial" w:eastAsia="Arial" w:hAnsi="Arial"/>
          <w:sz w:val="16"/>
          <w:szCs w:val="16"/>
          <w:color w:val="auto"/>
        </w:rPr>
        <w:t>”), pursuant to which the Backstop Lender committed to purchase from the Chardan Lender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aggregate amount of the Term Loan held by the Chardan Lender (the “</w:t>
      </w:r>
      <w:r>
        <w:rPr>
          <w:rFonts w:ascii="Arial" w:cs="Arial" w:eastAsia="Arial" w:hAnsi="Arial"/>
          <w:sz w:val="16"/>
          <w:szCs w:val="16"/>
          <w:b w:val="1"/>
          <w:bCs w:val="1"/>
          <w:color w:val="auto"/>
        </w:rPr>
        <w:t>Backstopped Loans</w:t>
      </w:r>
      <w:r>
        <w:rPr>
          <w:rFonts w:ascii="Arial" w:cs="Arial" w:eastAsia="Arial" w:hAnsi="Arial"/>
          <w:sz w:val="16"/>
          <w:szCs w:val="16"/>
          <w:color w:val="auto"/>
        </w:rPr>
        <w:t>”) immediately following the issuance of the Term Loan on the Closing Date. Pursuant to an assignment agreement, the Backstopped Loans were assigned by CCM 5 to the Backstop Lender on the Closing Date.</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(or $937.5 on the first day of each calendar quarter) beginning 24 months after the Closing Date and matures on the fourth anniversary of the Closing Date (“</w:t>
      </w:r>
      <w:r>
        <w:rPr>
          <w:rFonts w:ascii="Arial" w:cs="Arial" w:eastAsia="Arial" w:hAnsi="Arial"/>
          <w:sz w:val="16"/>
          <w:szCs w:val="16"/>
          <w:b w:val="1"/>
          <w:bCs w:val="1"/>
          <w:color w:val="auto"/>
        </w:rPr>
        <w:t>Maturity</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The Term Loan accrues interest (i) until April 1, 2023, at a per annum rate equal to the adjusted Secured Overnight Financing Rate (“</w:t>
      </w:r>
      <w:r>
        <w:rPr>
          <w:rFonts w:ascii="Arial" w:cs="Arial" w:eastAsia="Arial" w:hAnsi="Arial"/>
          <w:sz w:val="16"/>
          <w:szCs w:val="16"/>
          <w:b w:val="1"/>
          <w:bCs w:val="1"/>
          <w:color w:val="auto"/>
        </w:rPr>
        <w:t>SOFR</w:t>
      </w:r>
      <w:r>
        <w:rPr>
          <w:rFonts w:ascii="Arial" w:cs="Arial" w:eastAsia="Arial" w:hAnsi="Arial"/>
          <w:sz w:val="16"/>
          <w:szCs w:val="16"/>
          <w:color w:val="auto"/>
        </w:rPr>
        <w:t>”) plus</w:t>
      </w:r>
      <w:r>
        <w:rPr>
          <w:rFonts w:ascii="Arial" w:cs="Arial" w:eastAsia="Arial" w:hAnsi="Arial"/>
          <w:sz w:val="16"/>
          <w:szCs w:val="16"/>
          <w:b w:val="1"/>
          <w:bCs w:val="1"/>
          <w:color w:val="auto"/>
        </w:rPr>
        <w:t xml:space="preserve"> </w:t>
      </w:r>
      <w:r>
        <w:rPr>
          <w:rFonts w:ascii="Arial" w:cs="Arial" w:eastAsia="Arial" w:hAnsi="Arial"/>
          <w:sz w:val="16"/>
          <w:szCs w:val="16"/>
          <w:color w:val="auto"/>
        </w:rPr>
        <w:t>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year ended December 31, 2022, a total of $3,195 of interest expense was incurred under the debt. Amortization of the debt issuance costs amounted to $38 during the year ended December 31, 2022. The carrying balance of $19,242 on December 31, 2022 consisted of $75,000 in principal, plus $1,192 PIK interest, less $56,950 in unamortized debt discount related to the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 –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leverage ratio is the ratio of (a) consolidated indebtedness, as defined, on such date minus 100% of the unrestricted cash and cash equivalents held (subject to adjustment) to (b) Consolidated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600" w:type="dxa"/>
            <w:vAlign w:val="bottom"/>
            <w:gridSpan w:val="2"/>
          </w:tcPr>
          <w:p>
            <w:pPr>
              <w:ind w:left="1460"/>
              <w:spacing w:after="0"/>
              <w:rPr>
                <w:sz w:val="20"/>
                <w:szCs w:val="20"/>
                <w:color w:val="auto"/>
              </w:rPr>
            </w:pPr>
            <w:r>
              <w:rPr>
                <w:rFonts w:ascii="Arial" w:cs="Arial" w:eastAsia="Arial" w:hAnsi="Arial"/>
                <w:sz w:val="18"/>
                <w:szCs w:val="18"/>
                <w:b w:val="1"/>
                <w:bCs w:val="1"/>
                <w:color w:val="auto"/>
              </w:rPr>
              <w:t>Test Period Ending</w:t>
            </w:r>
          </w:p>
        </w:tc>
        <w:tc>
          <w:tcPr>
            <w:tcW w:w="4380" w:type="dxa"/>
            <w:vAlign w:val="bottom"/>
          </w:tcPr>
          <w:p>
            <w:pPr>
              <w:jc w:val="center"/>
              <w:spacing w:after="0"/>
              <w:rPr>
                <w:sz w:val="20"/>
                <w:szCs w:val="20"/>
                <w:color w:val="auto"/>
              </w:rPr>
            </w:pPr>
            <w:r>
              <w:rPr>
                <w:rFonts w:ascii="Arial" w:cs="Arial" w:eastAsia="Arial" w:hAnsi="Arial"/>
                <w:sz w:val="18"/>
                <w:szCs w:val="18"/>
                <w:b w:val="1"/>
                <w:bCs w:val="1"/>
                <w:color w:val="auto"/>
                <w:w w:val="89"/>
              </w:rPr>
              <w:t>Leverage Ratio</w:t>
            </w: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20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6.75 to 1.00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2023 – September 30, 2023</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6.00 to 1.00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 to 1.00</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2024 – September 30, 2024</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4.00 to 1.00</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4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3.25 to 1.00</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June 30, 2025 and thereafter</w:t>
            </w:r>
          </w:p>
        </w:tc>
        <w:tc>
          <w:tcPr>
            <w:tcW w:w="4380" w:type="dxa"/>
            <w:vAlign w:val="bottom"/>
          </w:tcPr>
          <w:p>
            <w:pPr>
              <w:jc w:val="center"/>
              <w:spacing w:after="0"/>
              <w:rPr>
                <w:sz w:val="20"/>
                <w:szCs w:val="20"/>
                <w:color w:val="auto"/>
              </w:rPr>
            </w:pPr>
            <w:r>
              <w:rPr>
                <w:rFonts w:ascii="Arial" w:cs="Arial" w:eastAsia="Arial" w:hAnsi="Arial"/>
                <w:sz w:val="18"/>
                <w:szCs w:val="18"/>
                <w:color w:val="auto"/>
                <w:w w:val="90"/>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$15,000 as of the last day of any fiscal quarter (commencing with the quarter ending December 31, 2022), then the Company shall not permit the fixed charge coverage ratio for the trailing four quarterly periods ending on the last day of any such quarter to be less than 1.15 :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9"/>
              </w:rPr>
              <w:t>DRAGONFLY ENERGY HOLDINGS CORP.</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rPr>
              <w:t>NOTES TO CONSOLIDATED FINANCIAL STATEMENTS</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160" w:type="dxa"/>
            <w:vAlign w:val="bottom"/>
          </w:tcPr>
          <w:p>
            <w:pPr>
              <w:spacing w:after="0"/>
              <w:rPr>
                <w:sz w:val="18"/>
                <w:szCs w:val="18"/>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5"/>
              </w:rPr>
              <w:t>DECEMBER 31, 2022 AND 2021</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6840" w:type="dxa"/>
            <w:vAlign w:val="bottom"/>
          </w:tcPr>
          <w:p>
            <w:pPr>
              <w:jc w:val="center"/>
              <w:spacing w:after="0"/>
              <w:rPr>
                <w:sz w:val="20"/>
                <w:szCs w:val="20"/>
                <w:color w:val="auto"/>
              </w:rPr>
            </w:pPr>
            <w:r>
              <w:rPr>
                <w:rFonts w:ascii="Arial" w:cs="Arial" w:eastAsia="Arial" w:hAnsi="Arial"/>
                <w:sz w:val="18"/>
                <w:szCs w:val="18"/>
                <w:b w:val="1"/>
                <w:bCs w:val="1"/>
                <w:color w:val="auto"/>
                <w:w w:val="98"/>
              </w:rPr>
              <w:t>(IN THOUSANDS, EXCEPT SHARE AND PER SHARE DATA)</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Long-Term Debt Maturities</w:t>
            </w:r>
          </w:p>
        </w:tc>
        <w:tc>
          <w:tcPr>
            <w:tcW w:w="6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color w:val="auto"/>
              </w:rPr>
              <w:t>At December 31, 2022, the future debt maturities are as follows: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220" w:type="dxa"/>
            <w:vAlign w:val="bottom"/>
          </w:tcPr>
          <w:p>
            <w:pPr>
              <w:spacing w:after="0"/>
              <w:rPr>
                <w:sz w:val="24"/>
                <w:szCs w:val="24"/>
                <w:color w:val="auto"/>
              </w:rPr>
            </w:pPr>
          </w:p>
        </w:tc>
        <w:tc>
          <w:tcPr>
            <w:tcW w:w="2020" w:type="dxa"/>
            <w:vAlign w:val="bottom"/>
            <w:gridSpan w:val="3"/>
          </w:tcPr>
          <w:p>
            <w:pPr>
              <w:jc w:val="right"/>
              <w:ind w:right="81"/>
              <w:spacing w:after="0"/>
              <w:rPr>
                <w:sz w:val="20"/>
                <w:szCs w:val="20"/>
                <w:color w:val="auto"/>
              </w:rPr>
            </w:pPr>
            <w:r>
              <w:rPr>
                <w:rFonts w:ascii="Arial" w:cs="Arial" w:eastAsia="Arial" w:hAnsi="Arial"/>
                <w:sz w:val="18"/>
                <w:szCs w:val="18"/>
                <w:b w:val="1"/>
                <w:bCs w:val="1"/>
                <w:color w:val="auto"/>
                <w:w w:val="96"/>
              </w:rPr>
              <w:t>Future Debt Maturities</w:t>
            </w:r>
          </w:p>
        </w:tc>
      </w:tr>
      <w:tr>
        <w:trPr>
          <w:trHeight w:val="216"/>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6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2024</w:t>
            </w:r>
          </w:p>
        </w:tc>
        <w:tc>
          <w:tcPr>
            <w:tcW w:w="6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938</w:t>
            </w:r>
          </w:p>
        </w:tc>
      </w:tr>
      <w:tr>
        <w:trPr>
          <w:trHeight w:val="216"/>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3,750</w:t>
            </w:r>
          </w:p>
        </w:tc>
      </w:tr>
      <w:tr>
        <w:trPr>
          <w:trHeight w:val="236"/>
        </w:trPr>
        <w:tc>
          <w:tcPr>
            <w:tcW w:w="2160" w:type="dxa"/>
            <w:vAlign w:val="bottom"/>
          </w:tcPr>
          <w:p>
            <w:pPr>
              <w:spacing w:after="0"/>
              <w:rPr>
                <w:sz w:val="20"/>
                <w:szCs w:val="20"/>
                <w:color w:val="auto"/>
              </w:rPr>
            </w:pPr>
            <w:r>
              <w:rPr>
                <w:rFonts w:ascii="Arial" w:cs="Arial" w:eastAsia="Arial" w:hAnsi="Arial"/>
                <w:sz w:val="18"/>
                <w:szCs w:val="18"/>
                <w:color w:val="auto"/>
              </w:rPr>
              <w:t>2026</w:t>
            </w: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91,809</w:t>
            </w:r>
          </w:p>
        </w:tc>
      </w:tr>
      <w:tr>
        <w:trPr>
          <w:trHeight w:val="216"/>
        </w:trPr>
        <w:tc>
          <w:tcPr>
            <w:tcW w:w="9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9000" w:type="dxa"/>
            <w:vAlign w:val="bottom"/>
            <w:gridSpan w:val="2"/>
          </w:tcPr>
          <w:p>
            <w:pPr>
              <w:spacing w:after="0"/>
              <w:rPr>
                <w:sz w:val="20"/>
                <w:szCs w:val="20"/>
                <w:color w:val="auto"/>
              </w:rPr>
            </w:pPr>
            <w:r>
              <w:rPr>
                <w:rFonts w:ascii="Arial" w:cs="Arial" w:eastAsia="Arial" w:hAnsi="Arial"/>
                <w:sz w:val="18"/>
                <w:szCs w:val="18"/>
                <w:color w:val="auto"/>
              </w:rPr>
              <w:t>Less: Estimated interest paid-in-kind</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(20,305)</w:t>
            </w:r>
          </w:p>
        </w:tc>
      </w:tr>
      <w:tr>
        <w:trPr>
          <w:trHeight w:val="236"/>
        </w:trPr>
        <w:tc>
          <w:tcPr>
            <w:tcW w:w="9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Unamortized debt issuance costs, non-current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(56,950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6"/>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carrying amount</w:t>
            </w: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900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Less: current portion of debt</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(19,242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9"/>
        </w:trPr>
        <w:tc>
          <w:tcPr>
            <w:tcW w:w="9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21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The Company concluded it is probable it will not comply with future financial covenants. As a result, the Company classified the entire Term Loan balance in current liabilities on the balance sheet as of December 31, 2022.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REVOLVING NOTE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6, 2021, the Company entered into a revolving note agreement with a lender to borrow up to $8,000. The borrowing amount is limited and based on the lesser of maximum principal amount of $8,000 and the sum equal to 80% of eligible accounts receivable and 50% of eligible inventory. Interest on each advance shall accrue at the prime rate announced by US Bank from time to time, as and when such rate changes. The revolving credit amount is collateralized by all assets of the Company. The Company drew an initial amount of $5,000 under the facility, which it subsequently re-paid and the revolving note was terminated as a closing condition of the 2021-6 Notes.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NOTE 9 - INCOME TAXES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0" w:type="dxa"/>
            <w:vAlign w:val="bottom"/>
            <w:gridSpan w:val="2"/>
          </w:tcPr>
          <w:p>
            <w:pPr>
              <w:spacing w:after="0"/>
              <w:rPr>
                <w:sz w:val="20"/>
                <w:szCs w:val="20"/>
                <w:color w:val="auto"/>
              </w:rPr>
            </w:pPr>
            <w:r>
              <w:rPr>
                <w:rFonts w:ascii="Arial" w:cs="Arial" w:eastAsia="Arial" w:hAnsi="Arial"/>
                <w:sz w:val="18"/>
                <w:szCs w:val="18"/>
                <w:color w:val="auto"/>
              </w:rPr>
              <w:t>The income tax expense consists of the following items:</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Deferred</w:t>
            </w:r>
          </w:p>
        </w:tc>
        <w:tc>
          <w:tcPr>
            <w:tcW w:w="860" w:type="dxa"/>
            <w:vAlign w:val="bottom"/>
          </w:tcPr>
          <w:p>
            <w:pPr>
              <w:spacing w:after="0"/>
              <w:rPr>
                <w:sz w:val="20"/>
                <w:szCs w:val="20"/>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(452)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tax expense</w:t>
            </w:r>
          </w:p>
        </w:tc>
        <w:tc>
          <w:tcPr>
            <w:tcW w:w="86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gridSpan w:val="2"/>
            <w:vMerge w:val="restart"/>
          </w:tcPr>
          <w:p>
            <w:pPr>
              <w:spacing w:after="0"/>
              <w:rPr>
                <w:sz w:val="20"/>
                <w:szCs w:val="20"/>
                <w:color w:val="auto"/>
              </w:rPr>
            </w:pPr>
            <w:r>
              <w:rPr>
                <w:rFonts w:ascii="Arial" w:cs="Arial" w:eastAsia="Arial" w:hAnsi="Arial"/>
                <w:sz w:val="18"/>
                <w:szCs w:val="18"/>
                <w:color w:val="auto"/>
              </w:rPr>
              <w:t>Components of deferred tax assets (liabilities) are as follows:</w:t>
            </w: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660" w:type="dxa"/>
            <w:vAlign w:val="bottom"/>
          </w:tcPr>
          <w:p>
            <w:pPr>
              <w:spacing w:after="0"/>
              <w:rPr>
                <w:sz w:val="24"/>
                <w:szCs w:val="24"/>
                <w:color w:val="auto"/>
              </w:rPr>
            </w:pPr>
          </w:p>
        </w:tc>
        <w:tc>
          <w:tcPr>
            <w:tcW w:w="594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Lease liability</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1,071</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Accrued expenses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506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bad debt</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Fixed assets and intangibles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8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960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Operating Loss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3,727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Inventory (Sec. 263A)</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60" w:type="dxa"/>
            <w:vAlign w:val="bottom"/>
          </w:tcPr>
          <w:p>
            <w:pPr>
              <w:spacing w:after="0"/>
              <w:rPr>
                <w:sz w:val="22"/>
                <w:szCs w:val="22"/>
                <w:color w:val="auto"/>
              </w:rPr>
            </w:pPr>
          </w:p>
        </w:tc>
        <w:tc>
          <w:tcPr>
            <w:tcW w:w="594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Deferred tax asset</w:t>
            </w:r>
          </w:p>
        </w:tc>
        <w:tc>
          <w:tcPr>
            <w:tcW w:w="86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8,360</w:t>
            </w:r>
          </w:p>
        </w:tc>
        <w:tc>
          <w:tcPr>
            <w:tcW w:w="26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20" w:type="dxa"/>
            <w:vAlign w:val="bottom"/>
            <w:tcBorders>
              <w:top w:val="single" w:sz="8" w:color="CCEEFF"/>
              <w:bottom w:val="single" w:sz="8" w:color="CCEEFF"/>
            </w:tcBorders>
          </w:tcPr>
          <w:p>
            <w:pPr>
              <w:spacing w:after="0"/>
              <w:rPr>
                <w:sz w:val="22"/>
                <w:szCs w:val="22"/>
                <w:color w:val="auto"/>
              </w:rPr>
            </w:pPr>
          </w:p>
        </w:tc>
        <w:tc>
          <w:tcPr>
            <w:tcW w:w="6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59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0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1,036</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Fixed assets and intangibles</w:t>
            </w:r>
          </w:p>
        </w:tc>
        <w:tc>
          <w:tcPr>
            <w:tcW w:w="86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1,036</w:t>
            </w: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deferred tax asset (liability)</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5940" w:type="dxa"/>
            <w:vAlign w:val="bottom"/>
            <w:vMerge w:val="continue"/>
          </w:tcPr>
          <w:p>
            <w:pPr>
              <w:spacing w:after="0"/>
              <w:rPr>
                <w:sz w:val="17"/>
                <w:szCs w:val="17"/>
                <w:color w:val="auto"/>
              </w:rPr>
            </w:pP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7,324</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(453)</w:t>
            </w:r>
          </w:p>
        </w:tc>
        <w:tc>
          <w:tcPr>
            <w:tcW w:w="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w w:val="91"/>
              </w:rPr>
              <w:t>(7,324)</w:t>
            </w: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tax asset</w:t>
            </w:r>
          </w:p>
        </w:tc>
        <w:tc>
          <w:tcPr>
            <w:tcW w:w="860" w:type="dxa"/>
            <w:vAlign w:val="bottom"/>
            <w:tcBorders>
              <w:top w:val="single" w:sz="8" w:color="auto"/>
            </w:tcBorders>
          </w:tcPr>
          <w:p>
            <w:pPr>
              <w:jc w:val="right"/>
              <w:ind w:right="70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Reconciliation between the effective tax rate on income from continuing operations and the statutory rate for the years ended December 31, 2022 and 2021, are as follows: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7"/>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2022</w:t>
            </w: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2021</w:t>
            </w: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36"/>
        </w:trPr>
        <w:tc>
          <w:tcPr>
            <w:tcW w:w="3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41"/>
              <w:spacing w:after="0"/>
              <w:rPr>
                <w:sz w:val="20"/>
                <w:szCs w:val="20"/>
                <w:color w:val="auto"/>
              </w:rPr>
            </w:pPr>
            <w:r>
              <w:rPr>
                <w:rFonts w:ascii="Arial" w:cs="Arial" w:eastAsia="Arial" w:hAnsi="Arial"/>
                <w:sz w:val="18"/>
                <w:szCs w:val="18"/>
                <w:color w:val="auto"/>
              </w:rPr>
              <w:t>Tax</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6"/>
              </w:rPr>
              <w:t>Percentage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8"/>
                <w:szCs w:val="18"/>
                <w:color w:val="auto"/>
              </w:rPr>
              <w:t>Tax</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6"/>
              </w:rPr>
              <w:t>Percentage</w:t>
            </w:r>
          </w:p>
        </w:tc>
        <w:tc>
          <w:tcPr>
            <w:tcW w:w="60" w:type="dxa"/>
            <w:vAlign w:val="bottom"/>
          </w:tcPr>
          <w:p>
            <w:pPr>
              <w:spacing w:after="0"/>
              <w:rPr>
                <w:sz w:val="20"/>
                <w:szCs w:val="20"/>
                <w:color w:val="auto"/>
              </w:rPr>
            </w:pPr>
          </w:p>
        </w:tc>
      </w:tr>
      <w:tr>
        <w:trPr>
          <w:trHeight w:val="23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income (loss) before taxes</w:t>
            </w:r>
          </w:p>
        </w:tc>
        <w:tc>
          <w:tcPr>
            <w:tcW w:w="4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(8,459)</w:t>
            </w:r>
          </w:p>
        </w:tc>
        <w:tc>
          <w:tcPr>
            <w:tcW w:w="340" w:type="dxa"/>
            <w:vAlign w:val="bottom"/>
            <w:tcBorders>
              <w:top w:val="single" w:sz="8" w:color="CCEEFF"/>
              <w:right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320" w:type="dxa"/>
            <w:vAlign w:val="bottom"/>
            <w:tcBorders>
              <w:top w:val="single" w:sz="8" w:color="CCEEFF"/>
              <w:right w:val="single" w:sz="8" w:color="CCEEFF"/>
            </w:tcBorders>
            <w:shd w:val="clear" w:color="auto" w:fill="CCEEFF"/>
          </w:tcPr>
          <w:p>
            <w:pPr>
              <w:spacing w:after="0"/>
              <w:rPr>
                <w:sz w:val="19"/>
                <w:szCs w:val="19"/>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Permanent differences (transaction costs)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2,185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 (warrants)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(1,144)</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Permanent differences (other -other than tax)</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458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188</w:t>
            </w:r>
          </w:p>
        </w:tc>
        <w:tc>
          <w:tcPr>
            <w:tcW w:w="940" w:type="dxa"/>
            <w:vAlign w:val="bottom"/>
          </w:tcPr>
          <w:p>
            <w:pPr>
              <w:jc w:val="right"/>
              <w:spacing w:after="0"/>
              <w:rPr>
                <w:sz w:val="20"/>
                <w:szCs w:val="20"/>
                <w:color w:val="auto"/>
              </w:rPr>
            </w:pPr>
            <w:r>
              <w:rPr>
                <w:rFonts w:ascii="Arial" w:cs="Arial" w:eastAsia="Arial" w:hAnsi="Arial"/>
                <w:sz w:val="18"/>
                <w:szCs w:val="18"/>
                <w:color w:val="auto"/>
              </w:rPr>
              <w:t>3.16%</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State taxes, net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(722)</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Deferred true-up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18"/>
                <w:szCs w:val="18"/>
                <w:color w:val="auto"/>
              </w:rPr>
              <w:t>(288)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940" w:type="dxa"/>
            <w:vAlign w:val="bottom"/>
          </w:tcPr>
          <w:p>
            <w:pPr>
              <w:jc w:val="right"/>
              <w:spacing w:after="0"/>
              <w:rPr>
                <w:sz w:val="20"/>
                <w:szCs w:val="20"/>
                <w:color w:val="auto"/>
              </w:rPr>
            </w:pPr>
            <w:r>
              <w:rPr>
                <w:rFonts w:ascii="Arial" w:cs="Arial" w:eastAsia="Arial" w:hAnsi="Arial"/>
                <w:sz w:val="18"/>
                <w:szCs w:val="18"/>
                <w:color w:val="auto"/>
              </w:rPr>
              <w:t>0.94%</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128</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940" w:type="dxa"/>
            <w:vAlign w:val="bottom"/>
          </w:tcPr>
          <w:p>
            <w:pPr>
              <w:jc w:val="right"/>
              <w:spacing w:after="0"/>
              <w:rPr>
                <w:sz w:val="20"/>
                <w:szCs w:val="20"/>
                <w:color w:val="auto"/>
              </w:rPr>
            </w:pPr>
            <w:r>
              <w:rPr>
                <w:rFonts w:ascii="Arial" w:cs="Arial" w:eastAsia="Arial" w:hAnsi="Arial"/>
                <w:sz w:val="18"/>
                <w:szCs w:val="18"/>
                <w:color w:val="auto"/>
              </w:rPr>
              <w:t>(0.32)%</w:t>
            </w:r>
          </w:p>
        </w:tc>
        <w:tc>
          <w:tcPr>
            <w:tcW w:w="6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9</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shd w:val="clear" w:color="auto" w:fill="CCEEFF"/>
          </w:tcPr>
          <w:p>
            <w:pPr>
              <w:spacing w:after="0"/>
              <w:rPr>
                <w:sz w:val="18"/>
                <w:szCs w:val="18"/>
                <w:color w:val="auto"/>
              </w:rPr>
            </w:pPr>
          </w:p>
        </w:tc>
      </w:tr>
      <w:tr>
        <w:trPr>
          <w:trHeight w:val="236"/>
        </w:trPr>
        <w:tc>
          <w:tcPr>
            <w:tcW w:w="36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61"/>
              <w:spacing w:after="0"/>
              <w:rPr>
                <w:sz w:val="20"/>
                <w:szCs w:val="20"/>
                <w:color w:val="auto"/>
              </w:rPr>
            </w:pPr>
            <w:r>
              <w:rPr>
                <w:rFonts w:ascii="Arial" w:cs="Arial" w:eastAsia="Arial" w:hAnsi="Arial"/>
                <w:sz w:val="18"/>
                <w:szCs w:val="18"/>
                <w:color w:val="auto"/>
              </w:rPr>
              <w:t>7,324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0"/>
        </w:trPr>
        <w:tc>
          <w:tcPr>
            <w:tcW w:w="3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top w:val="single" w:sz="8" w:color="CCEEFF"/>
              <w:bottom w:val="single" w:sz="8" w:color="CCEEFF"/>
              <w:right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c>
          <w:tcPr>
            <w:tcW w:w="3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6"/>
        </w:trPr>
        <w:tc>
          <w:tcPr>
            <w:tcW w:w="3680" w:type="dxa"/>
            <w:vAlign w:val="bottom"/>
          </w:tcPr>
          <w:p>
            <w:pPr>
              <w:ind w:left="360"/>
              <w:spacing w:after="0"/>
              <w:rPr>
                <w:sz w:val="20"/>
                <w:szCs w:val="20"/>
                <w:color w:val="auto"/>
              </w:rPr>
            </w:pPr>
            <w:r>
              <w:rPr>
                <w:rFonts w:ascii="Arial" w:cs="Arial" w:eastAsia="Arial" w:hAnsi="Arial"/>
                <w:sz w:val="18"/>
                <w:szCs w:val="18"/>
                <w:color w:val="auto"/>
              </w:rPr>
              <w:t>Effective tax rate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27.08%</w:t>
            </w:r>
          </w:p>
        </w:tc>
        <w:tc>
          <w:tcPr>
            <w:tcW w:w="60" w:type="dxa"/>
            <w:vAlign w:val="bottom"/>
          </w:tcPr>
          <w:p>
            <w:pPr>
              <w:spacing w:after="0"/>
              <w:rPr>
                <w:sz w:val="18"/>
                <w:szCs w:val="18"/>
                <w:color w:val="auto"/>
              </w:rPr>
            </w:pPr>
          </w:p>
        </w:tc>
      </w:tr>
      <w:tr>
        <w:trPr>
          <w:trHeight w:val="27"/>
        </w:trPr>
        <w:tc>
          <w:tcPr>
            <w:tcW w:w="3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returns of the Company are open for three years form the date of filing. At the report date, the statute of limitations for federal and state tax returns are open for the Company for 2019, 2020 and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Subject to the limitations described below, as of December 31, 2022, the Company had federal net operating loss carryforwards of approximately $16,140, available to reduce future taxable income which do not expire, but are limited to 80% utilization against taxable income. As of December 31, 2022, the Company had state net operating loss carryforwards of approximately $6,747, available to reduce future taxable income, which start to expire in 2037. The</w:t>
      </w:r>
    </w:p>
    <w:p>
      <w:pPr>
        <w:sectPr>
          <w:pgSz w:w="11900" w:h="16838" w:orient="portrait"/>
          <w:cols w:equalWidth="0" w:num="1">
            <w:col w:w="11240"/>
          </w:cols>
          <w:pgMar w:left="320" w:top="661" w:right="339" w:bottom="0" w:gutter="0" w:footer="0" w:header="0"/>
        </w:sectPr>
      </w:pPr>
    </w:p>
    <w:bookmarkStart w:id="145" w:name="page146"/>
    <w:bookmarkEnd w:id="145"/>
    <w:p>
      <w:pPr>
        <w:spacing w:after="0" w:line="277" w:lineRule="auto"/>
        <w:rPr>
          <w:sz w:val="20"/>
          <w:szCs w:val="20"/>
          <w:color w:val="auto"/>
        </w:rPr>
      </w:pPr>
      <w:r>
        <w:rPr>
          <w:rFonts w:ascii="Arial" w:cs="Arial" w:eastAsia="Arial" w:hAnsi="Arial"/>
          <w:sz w:val="18"/>
          <w:szCs w:val="18"/>
          <w:color w:val="auto"/>
        </w:rPr>
        <w:t>Company also had research and development credits of $200 as of December 31, 2022 to offset future federal income taxes, which are set to expire in 2042.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2022. The valuation allowance as of December 31, 2022 was $7,324, primarily due to the company entering into a 3 year cumulative loss position and no expectation of income for the year ended December 31, 2023.</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gridSpan w:val="2"/>
          </w:tcPr>
          <w:p>
            <w:pPr>
              <w:spacing w:after="0"/>
              <w:rPr>
                <w:sz w:val="20"/>
                <w:szCs w:val="20"/>
                <w:color w:val="auto"/>
              </w:rPr>
            </w:pPr>
            <w:r>
              <w:rPr>
                <w:rFonts w:ascii="Arial" w:cs="Arial" w:eastAsia="Arial" w:hAnsi="Arial"/>
                <w:sz w:val="18"/>
                <w:szCs w:val="18"/>
                <w:color w:val="auto"/>
              </w:rPr>
              <w:t>The roll-forward of the Company’s gross uncertain tax positions is as follows: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Gross Uncertain Tax</w:t>
            </w:r>
          </w:p>
        </w:tc>
      </w:tr>
      <w:tr>
        <w:trPr>
          <w:trHeight w:val="237"/>
        </w:trPr>
        <w:tc>
          <w:tcPr>
            <w:tcW w:w="11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jc w:val="right"/>
              <w:ind w:right="640"/>
              <w:spacing w:after="0"/>
              <w:rPr>
                <w:sz w:val="20"/>
                <w:szCs w:val="20"/>
                <w:color w:val="auto"/>
              </w:rPr>
            </w:pPr>
            <w:r>
              <w:rPr>
                <w:rFonts w:ascii="Arial" w:cs="Arial" w:eastAsia="Arial" w:hAnsi="Arial"/>
                <w:sz w:val="18"/>
                <w:szCs w:val="18"/>
                <w:color w:val="auto"/>
              </w:rPr>
              <w:t>Position</w:t>
            </w:r>
          </w:p>
        </w:tc>
      </w:tr>
      <w:tr>
        <w:trPr>
          <w:trHeight w:val="216"/>
        </w:trPr>
        <w:tc>
          <w:tcPr>
            <w:tcW w:w="1140" w:type="dxa"/>
            <w:vAlign w:val="bottom"/>
          </w:tcPr>
          <w:p>
            <w:pPr>
              <w:spacing w:after="0"/>
              <w:rPr>
                <w:sz w:val="18"/>
                <w:szCs w:val="18"/>
                <w:color w:val="auto"/>
              </w:rPr>
            </w:pPr>
          </w:p>
        </w:tc>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Reductions for prior year tax positions</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3"/>
        </w:trPr>
        <w:tc>
          <w:tcPr>
            <w:tcW w:w="1140" w:type="dxa"/>
            <w:vAlign w:val="bottom"/>
          </w:tcPr>
          <w:p>
            <w:pPr>
              <w:spacing w:after="0"/>
              <w:rPr>
                <w:sz w:val="17"/>
                <w:szCs w:val="17"/>
                <w:color w:val="auto"/>
              </w:rPr>
            </w:pPr>
          </w:p>
        </w:tc>
        <w:tc>
          <w:tcPr>
            <w:tcW w:w="72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December 31, 2021</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Additions for current year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11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Balance- December 31, 2022</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total uncertain tax positions increased during the year ended December 31, 2022 as a result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ASSET PURCHASE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Bourns Productions, Inc.</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On January 1, 2022, the Company entered into an asset purchase agreement (the “</w:t>
      </w:r>
      <w:r>
        <w:rPr>
          <w:rFonts w:ascii="Arial" w:cs="Arial" w:eastAsia="Arial" w:hAnsi="Arial"/>
          <w:sz w:val="18"/>
          <w:szCs w:val="18"/>
          <w:b w:val="1"/>
          <w:bCs w:val="1"/>
          <w:color w:val="auto"/>
        </w:rPr>
        <w:t>APA</w:t>
      </w:r>
      <w:r>
        <w:rPr>
          <w:rFonts w:ascii="Arial" w:cs="Arial" w:eastAsia="Arial" w:hAnsi="Arial"/>
          <w:sz w:val="18"/>
          <w:szCs w:val="18"/>
          <w:color w:val="auto"/>
        </w:rPr>
        <w:t>”) with Bourns Productions, Inc., a Nevada corporation (“</w:t>
      </w:r>
      <w:r>
        <w:rPr>
          <w:rFonts w:ascii="Arial" w:cs="Arial" w:eastAsia="Arial" w:hAnsi="Arial"/>
          <w:sz w:val="18"/>
          <w:szCs w:val="18"/>
          <w:b w:val="1"/>
          <w:bCs w:val="1"/>
          <w:color w:val="auto"/>
        </w:rPr>
        <w:t>Bourns</w:t>
      </w:r>
      <w:r>
        <w:rPr>
          <w:rFonts w:ascii="Arial" w:cs="Arial" w:eastAsia="Arial" w:hAnsi="Arial"/>
          <w:sz w:val="18"/>
          <w:szCs w:val="18"/>
          <w:color w:val="auto"/>
        </w:rPr>
        <w:t xml:space="preserve"> </w:t>
      </w:r>
      <w:r>
        <w:rPr>
          <w:rFonts w:ascii="Arial" w:cs="Arial" w:eastAsia="Arial" w:hAnsi="Arial"/>
          <w:sz w:val="18"/>
          <w:szCs w:val="18"/>
          <w:b w:val="1"/>
          <w:bCs w:val="1"/>
          <w:color w:val="auto"/>
        </w:rPr>
        <w:t>Productions</w:t>
      </w:r>
      <w:r>
        <w:rPr>
          <w:rFonts w:ascii="Arial" w:cs="Arial" w:eastAsia="Arial" w:hAnsi="Arial"/>
          <w:sz w:val="18"/>
          <w:szCs w:val="18"/>
          <w:color w:val="auto"/>
        </w:rPr>
        <w:t>”), pursuant to which the Company acquired machinery, equipment and a lease for a podcast studio from Bourns Production Productions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APA for a purchase price of $197 which approximated fair market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Thomason Jones Company, LLC</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2022, the Company entered into an Asset Purchase Agreement with William Thomason, Richard Jones, and Thomason Jones Company, LLC (“</w:t>
      </w:r>
      <w:r>
        <w:rPr>
          <w:rFonts w:ascii="Arial" w:cs="Arial" w:eastAsia="Arial" w:hAnsi="Arial"/>
          <w:sz w:val="17"/>
          <w:szCs w:val="17"/>
          <w:b w:val="1"/>
          <w:bCs w:val="1"/>
          <w:color w:val="auto"/>
        </w:rPr>
        <w:t>Thomason Jones</w:t>
      </w:r>
      <w:r>
        <w:rPr>
          <w:rFonts w:ascii="Arial" w:cs="Arial" w:eastAsia="Arial" w:hAnsi="Arial"/>
          <w:sz w:val="17"/>
          <w:szCs w:val="17"/>
          <w:color w:val="auto"/>
        </w:rPr>
        <w:t>”), whereby the Company acquired inventory and intellectual property assets for $444 cash plus contingent payments of $1,000 each to William Thomason and Richard Jones (the “</w:t>
      </w:r>
      <w:r>
        <w:rPr>
          <w:rFonts w:ascii="Arial" w:cs="Arial" w:eastAsia="Arial" w:hAnsi="Arial"/>
          <w:sz w:val="17"/>
          <w:szCs w:val="17"/>
          <w:b w:val="1"/>
          <w:bCs w:val="1"/>
          <w:color w:val="auto"/>
        </w:rPr>
        <w:t>Earn Out</w:t>
      </w:r>
      <w:r>
        <w:rPr>
          <w:rFonts w:ascii="Arial" w:cs="Arial" w:eastAsia="Arial" w:hAnsi="Arial"/>
          <w:sz w:val="17"/>
          <w:szCs w:val="17"/>
          <w:color w:val="auto"/>
        </w:rPr>
        <w:t>”). The Company determined the contingent consideration to be recognized as contingent compensation to Mr. Thomason and Mr. Jones. The entire purchase price of $444 was allocated to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Compensation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Jones each the amount of $1,000 as soon as reasonably practicable. This payment may be made in cash or common stock, in the sole discretion of the Company. As a result, the Company determined that a liability should be recorded ratably over the 24 month period. The Company recognized expenses in the fourth quarter related to the contingent payment as no accrual was recorded from the date of the agreement through September 30, 2022.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 month period from the date of acquisition. As a result, the Company recorded a cumulative accrual in the amount of $782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w:t>
      </w:r>
      <w:r>
        <w:rPr>
          <w:rFonts w:ascii="Arial" w:cs="Arial" w:eastAsia="Arial" w:hAnsi="Arial"/>
          <w:sz w:val="18"/>
          <w:szCs w:val="18"/>
          <w:b w:val="1"/>
          <w:bCs w:val="1"/>
          <w:color w:val="auto"/>
        </w:rPr>
        <w:t>COO</w:t>
      </w:r>
      <w:r>
        <w:rPr>
          <w:rFonts w:ascii="Arial" w:cs="Arial" w:eastAsia="Arial" w:hAnsi="Arial"/>
          <w:sz w:val="18"/>
          <w:szCs w:val="18"/>
          <w:color w:val="auto"/>
        </w:rPr>
        <w:t>”).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551"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merger discussed in Note 3, the Company assumed the outstanding public and private placement warrants of CNTQ.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7 for further description of the warrants issued in connection with the Term Loan.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 There was no activity of public warrants from the closing date through December 31, 2022.</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On the Closing Date and as of December 31, 2022, there were 4,627,858 Private Warrants issued and outstanding.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color w:val="auto"/>
              </w:rPr>
              <w:t>Inception</w:t>
            </w:r>
          </w:p>
        </w:tc>
        <w:tc>
          <w:tcPr>
            <w:tcW w:w="1120" w:type="dxa"/>
            <w:vAlign w:val="bottom"/>
          </w:tcPr>
          <w:p>
            <w:pPr>
              <w:jc w:val="center"/>
              <w:spacing w:after="0"/>
              <w:rPr>
                <w:sz w:val="20"/>
                <w:szCs w:val="20"/>
                <w:color w:val="auto"/>
              </w:rPr>
            </w:pPr>
            <w:r>
              <w:rPr>
                <w:rFonts w:ascii="Arial" w:cs="Arial" w:eastAsia="Arial" w:hAnsi="Arial"/>
                <w:sz w:val="18"/>
                <w:szCs w:val="18"/>
                <w:color w:val="auto"/>
              </w:rPr>
              <w:t>Initial</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260"/>
              <w:spacing w:after="0"/>
              <w:rPr>
                <w:sz w:val="20"/>
                <w:szCs w:val="20"/>
                <w:color w:val="auto"/>
              </w:rPr>
            </w:pPr>
            <w:r>
              <w:rPr>
                <w:rFonts w:ascii="Arial" w:cs="Arial" w:eastAsia="Arial" w:hAnsi="Arial"/>
                <w:sz w:val="18"/>
                <w:szCs w:val="18"/>
                <w:color w:val="auto"/>
              </w:rPr>
              <w:t>Date</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Recognition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Exercise</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Expiration</w:t>
            </w:r>
          </w:p>
        </w:tc>
      </w:tr>
      <w:tr>
        <w:trPr>
          <w:trHeight w:val="237"/>
        </w:trPr>
        <w:tc>
          <w:tcPr>
            <w:tcW w:w="4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Warrant Class</w:t>
            </w:r>
          </w:p>
        </w:tc>
        <w:tc>
          <w:tcPr>
            <w:tcW w:w="1620" w:type="dxa"/>
            <w:vAlign w:val="bottom"/>
            <w:gridSpan w:val="2"/>
          </w:tcPr>
          <w:p>
            <w:pPr>
              <w:ind w:left="40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color w:val="auto"/>
              </w:rPr>
              <w:t>Fair Value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Date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240"/>
              <w:spacing w:after="0"/>
              <w:rPr>
                <w:sz w:val="20"/>
                <w:szCs w:val="20"/>
                <w:color w:val="auto"/>
              </w:rPr>
            </w:pPr>
            <w:r>
              <w:rPr>
                <w:rFonts w:ascii="Arial" w:cs="Arial" w:eastAsia="Arial" w:hAnsi="Arial"/>
                <w:sz w:val="18"/>
                <w:szCs w:val="18"/>
                <w:color w:val="auto"/>
              </w:rPr>
              <w:t>Price</w:t>
            </w:r>
          </w:p>
        </w:tc>
        <w:tc>
          <w:tcPr>
            <w:tcW w:w="900" w:type="dxa"/>
            <w:vAlign w:val="bottom"/>
          </w:tcPr>
          <w:p>
            <w:pPr>
              <w:jc w:val="right"/>
              <w:ind w:right="190"/>
              <w:spacing w:after="0"/>
              <w:rPr>
                <w:sz w:val="20"/>
                <w:szCs w:val="20"/>
                <w:color w:val="auto"/>
              </w:rPr>
            </w:pPr>
            <w:r>
              <w:rPr>
                <w:rFonts w:ascii="Arial" w:cs="Arial" w:eastAsia="Arial" w:hAnsi="Arial"/>
                <w:sz w:val="18"/>
                <w:szCs w:val="18"/>
                <w:color w:val="auto"/>
              </w:rPr>
              <w:t>Date</w:t>
            </w:r>
          </w:p>
        </w:tc>
      </w:tr>
      <w:tr>
        <w:trPr>
          <w:trHeight w:val="216"/>
        </w:trPr>
        <w:tc>
          <w:tcPr>
            <w:tcW w:w="4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Private Placement Warrants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8/11/2026</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entry into the Term Loan Agreement, and as a required term and condition thereof, the Company issued (i) the penny warrants to the Term Loan Lenders exercisable to purchase an aggregate of 2,593,056 shares (the “</w:t>
      </w:r>
      <w:r>
        <w:rPr>
          <w:rFonts w:ascii="Arial" w:cs="Arial" w:eastAsia="Arial" w:hAnsi="Arial"/>
          <w:sz w:val="17"/>
          <w:szCs w:val="17"/>
          <w:b w:val="1"/>
          <w:bCs w:val="1"/>
          <w:color w:val="auto"/>
        </w:rPr>
        <w:t>Penny Warrants</w:t>
      </w:r>
      <w:r>
        <w:rPr>
          <w:rFonts w:ascii="Arial" w:cs="Arial" w:eastAsia="Arial" w:hAnsi="Arial"/>
          <w:sz w:val="17"/>
          <w:szCs w:val="17"/>
          <w:color w:val="auto"/>
        </w:rPr>
        <w:t>”) and (ii) the $10 warrants to issue warrants to the Term Loan Lenders exercisable to purchase an aggregate of 1,600,000 shares of common stock at $10 per share (the “$10 Warrants” and, together with the Penny Warrants, the “ Term Loan Warrants”). The $10 Warrants were exercised on a cashless basis on October 10, 2022, with the Company agreeing to issue 457,142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As of</w:t>
            </w:r>
          </w:p>
        </w:tc>
        <w:tc>
          <w:tcPr>
            <w:tcW w:w="2720" w:type="dxa"/>
            <w:vAlign w:val="bottom"/>
          </w:tcPr>
          <w:p>
            <w:pPr>
              <w:spacing w:after="0"/>
              <w:rPr>
                <w:sz w:val="18"/>
                <w:szCs w:val="18"/>
                <w:color w:val="auto"/>
              </w:rPr>
            </w:pPr>
          </w:p>
        </w:tc>
      </w:tr>
      <w:tr>
        <w:trPr>
          <w:trHeight w:val="237"/>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720" w:type="dxa"/>
            <w:vAlign w:val="bottom"/>
            <w:gridSpan w:val="3"/>
          </w:tcPr>
          <w:p>
            <w:pPr>
              <w:ind w:left="20"/>
              <w:spacing w:after="0"/>
              <w:rPr>
                <w:sz w:val="20"/>
                <w:szCs w:val="20"/>
                <w:color w:val="auto"/>
              </w:rPr>
            </w:pPr>
            <w:r>
              <w:rPr>
                <w:rFonts w:ascii="Arial" w:cs="Arial" w:eastAsia="Arial" w:hAnsi="Arial"/>
                <w:sz w:val="18"/>
                <w:szCs w:val="18"/>
                <w:color w:val="auto"/>
              </w:rPr>
              <w:t>Initial Measurement</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December 31, 2022</w:t>
            </w:r>
          </w:p>
        </w:tc>
        <w:tc>
          <w:tcPr>
            <w:tcW w:w="2720" w:type="dxa"/>
            <w:vAlign w:val="bottom"/>
          </w:tcPr>
          <w:p>
            <w:pPr>
              <w:spacing w:after="0"/>
              <w:rPr>
                <w:sz w:val="20"/>
                <w:szCs w:val="20"/>
                <w:color w:val="auto"/>
              </w:rPr>
            </w:pPr>
          </w:p>
        </w:tc>
      </w:tr>
      <w:tr>
        <w:trPr>
          <w:trHeight w:val="216"/>
        </w:trPr>
        <w:tc>
          <w:tcPr>
            <w:tcW w:w="66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tcBorders>
              <w:top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Term</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9.77</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Risk-free rate</w:t>
            </w:r>
          </w:p>
        </w:tc>
        <w:tc>
          <w:tcPr>
            <w:tcW w:w="16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3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c>
          <w:tcPr>
            <w:tcW w:w="27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w:t>
            </w:r>
          </w:p>
        </w:tc>
        <w:tc>
          <w:tcPr>
            <w:tcW w:w="2720" w:type="dxa"/>
            <w:vAlign w:val="bottom"/>
          </w:tcPr>
          <w:p>
            <w:pPr>
              <w:spacing w:after="0"/>
              <w:rPr>
                <w:sz w:val="18"/>
                <w:szCs w:val="18"/>
                <w:color w:val="auto"/>
              </w:rPr>
            </w:pPr>
          </w:p>
        </w:tc>
      </w:tr>
      <w:tr>
        <w:trPr>
          <w:trHeight w:val="439"/>
        </w:trPr>
        <w:tc>
          <w:tcPr>
            <w:tcW w:w="66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F-26</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$10 Warrants: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Initial</w:t>
            </w:r>
          </w:p>
        </w:tc>
      </w:tr>
      <w:tr>
        <w:trPr>
          <w:trHeight w:val="237"/>
        </w:trPr>
        <w:tc>
          <w:tcPr>
            <w:tcW w:w="39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Measurement</w:t>
            </w:r>
          </w:p>
        </w:tc>
      </w:tr>
      <w:tr>
        <w:trPr>
          <w:trHeight w:val="21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2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Exercise price</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Term</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85.00%</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Risk-free rate</w:t>
            </w: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presents a roll-forward of the Company’s warrants from January 1, 2022 to December 31,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ectPr>
          <w:pgSz w:w="11900" w:h="16838" w:orient="portrait"/>
          <w:cols w:equalWidth="0" w:num="1">
            <w:col w:w="11240"/>
          </w:cols>
          <w:pgMar w:left="320" w:top="661" w:right="339" w:bottom="11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5700395"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039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Assumed in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426085</wp:posOffset>
            </wp:positionV>
            <wp:extent cx="5700395"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January 1, 2022</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570039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Exercised subsequent to the merger</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Warrants Outstanding, December 31, 2022</w:t>
      </w:r>
    </w:p>
    <w:p>
      <w:pPr>
        <w:spacing w:after="0" w:line="293"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14605</wp:posOffset>
            </wp:positionV>
            <wp:extent cx="9601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31750</wp:posOffset>
            </wp:positionV>
            <wp:extent cx="9601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14605</wp:posOffset>
            </wp:positionV>
            <wp:extent cx="9601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60120" cy="8255"/>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31750</wp:posOffset>
            </wp:positionV>
            <wp:extent cx="9601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1880"/>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1680"/>
        <w:spacing w:after="0"/>
        <w:rPr>
          <w:sz w:val="20"/>
          <w:szCs w:val="20"/>
          <w:color w:val="auto"/>
        </w:rPr>
      </w:pPr>
      <w:r>
        <w:rPr>
          <w:rFonts w:ascii="Arial" w:cs="Arial" w:eastAsia="Arial" w:hAnsi="Arial"/>
          <w:sz w:val="18"/>
          <w:szCs w:val="18"/>
          <w:color w:val="auto"/>
        </w:rPr>
        <w:t>4,193,056</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(1,600,000)</w:t>
      </w:r>
    </w:p>
    <w:p>
      <w:pPr>
        <w:spacing w:after="0" w:line="4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2,593,056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22225</wp:posOffset>
            </wp:positionV>
            <wp:extent cx="9601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60120" cy="8890"/>
                    </a:xfrm>
                    <a:prstGeom prst="rect">
                      <a:avLst/>
                    </a:prstGeom>
                    <a:noFill/>
                  </pic:spPr>
                </pic:pic>
              </a:graphicData>
            </a:graphic>
          </wp:anchor>
        </w:drawing>
        <w:drawing>
          <wp:anchor simplePos="0" relativeHeight="251657728" behindDoc="1" locked="0" layoutInCell="0" allowOverlap="1">
            <wp:simplePos x="0" y="0"/>
            <wp:positionH relativeFrom="column">
              <wp:posOffset>-126365</wp:posOffset>
            </wp:positionH>
            <wp:positionV relativeFrom="paragraph">
              <wp:posOffset>39370</wp:posOffset>
            </wp:positionV>
            <wp:extent cx="9601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661" w:lineRule="exact"/>
        <w:rPr>
          <w:sz w:val="20"/>
          <w:szCs w:val="20"/>
          <w:color w:val="auto"/>
        </w:rPr>
      </w:pPr>
    </w:p>
    <w:p>
      <w:pPr>
        <w:sectPr>
          <w:pgSz w:w="11900" w:h="16838" w:orient="portrait"/>
          <w:cols w:equalWidth="0" w:num="2">
            <w:col w:w="7520" w:space="720"/>
            <w:col w:w="3000"/>
          </w:cols>
          <w:pgMar w:left="320" w:top="661" w:right="339" w:bottom="1159" w:gutter="0" w:footer="0" w:header="0"/>
          <w:type w:val="continuous"/>
        </w:sectPr>
      </w:pPr>
    </w:p>
    <w:p>
      <w:pPr>
        <w:spacing w:after="0" w:line="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661" w:right="339" w:bottom="1159"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-139065</wp:posOffset>
            </wp:positionV>
            <wp:extent cx="4989195"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989195"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Balances,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498919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Warrant Liability</w:t>
      </w:r>
    </w:p>
    <w:p>
      <w:pPr>
        <w:spacing w:after="0" w:line="36"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52,956</w:t>
      </w:r>
    </w:p>
    <w:p>
      <w:pPr>
        <w:spacing w:after="0" w:line="21"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(16,669)</w:t>
      </w:r>
    </w:p>
    <w:p>
      <w:pPr>
        <w:spacing w:after="0" w:line="9" w:lineRule="exact"/>
        <w:rPr>
          <w:sz w:val="20"/>
          <w:szCs w:val="20"/>
          <w:color w:val="auto"/>
        </w:rPr>
      </w:pPr>
    </w:p>
    <w:p>
      <w:pPr>
        <w:jc w:val="right"/>
        <w:ind w:right="2740"/>
        <w:spacing w:after="0"/>
        <w:rPr>
          <w:sz w:val="20"/>
          <w:szCs w:val="20"/>
          <w:color w:val="auto"/>
        </w:rPr>
      </w:pPr>
      <w:r>
        <w:rPr>
          <w:rFonts w:ascii="Arial" w:cs="Arial" w:eastAsia="Arial" w:hAnsi="Arial"/>
          <w:sz w:val="18"/>
          <w:szCs w:val="18"/>
          <w:color w:val="auto"/>
        </w:rPr>
        <w:t>(5,446)</w:t>
      </w:r>
    </w:p>
    <w:p>
      <w:pPr>
        <w:spacing w:after="0" w:line="49" w:lineRule="exact"/>
        <w:rPr>
          <w:sz w:val="20"/>
          <w:szCs w:val="20"/>
          <w:color w:val="auto"/>
        </w:rPr>
      </w:pPr>
    </w:p>
    <w:p>
      <w:pPr>
        <w:ind w:left="1020" w:hanging="1013"/>
        <w:spacing w:after="0"/>
        <w:tabs>
          <w:tab w:leader="none" w:pos="10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30,841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9518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300"/>
          </w:cols>
          <w:pgMar w:left="320" w:top="661" w:right="339" w:bottom="1159" w:gutter="0" w:footer="0" w:header="0"/>
          <w:type w:val="continuous"/>
        </w:sectPr>
      </w:pPr>
    </w:p>
    <w:p>
      <w:pPr>
        <w:spacing w:after="0" w:line="77" w:lineRule="exact"/>
        <w:rPr>
          <w:sz w:val="20"/>
          <w:szCs w:val="20"/>
          <w:color w:val="auto"/>
        </w:rPr>
      </w:pPr>
    </w:p>
    <w:p>
      <w:pPr>
        <w:ind w:left="100"/>
        <w:spacing w:after="0"/>
        <w:rPr>
          <w:sz w:val="20"/>
          <w:szCs w:val="20"/>
          <w:color w:val="auto"/>
        </w:rPr>
      </w:pPr>
      <w:r>
        <w:rPr>
          <w:rFonts w:ascii="Arial" w:cs="Arial" w:eastAsia="Arial" w:hAnsi="Arial"/>
          <w:sz w:val="16"/>
          <w:szCs w:val="16"/>
          <w:i w:val="1"/>
          <w:iCs w:val="1"/>
          <w:color w:val="auto"/>
        </w:rPr>
        <w:t>**There were no warrants issued, exercised and outstanding prior to January 1, 2022.</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59" w:gutter="0" w:footer="0" w:header="0"/>
          <w:type w:val="continuous"/>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COMMON STOCK</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is authorized to issue up to 170,000,000 shares of common stock with $0.0001 par value. Common stockholders are entitled to dividends if and when declared by the Board of Directors subject to the rights of the preferred stockholders. As of December 31, 2022 and 2021, there were 43,272,728 and 36,496,998 shares issued and outstanding retroactively adjusted and no dividends on common stock had been declared by the Company.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2021, the Company had reserved shares of common stock for issuance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8"/>
                <w:szCs w:val="18"/>
                <w:color w:val="auto"/>
              </w:rPr>
              <w:t>December 31,</w:t>
            </w:r>
          </w:p>
        </w:tc>
        <w:tc>
          <w:tcPr>
            <w:tcW w:w="142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8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360" w:type="dxa"/>
            <w:vAlign w:val="bottom"/>
          </w:tcPr>
          <w:p>
            <w:pPr>
              <w:jc w:val="right"/>
              <w:spacing w:after="0"/>
              <w:rPr>
                <w:sz w:val="20"/>
                <w:szCs w:val="20"/>
                <w:color w:val="auto"/>
              </w:rPr>
            </w:pPr>
            <w:r>
              <w:rPr>
                <w:rFonts w:ascii="Arial" w:cs="Arial" w:eastAsia="Arial" w:hAnsi="Arial"/>
                <w:sz w:val="18"/>
                <w:szCs w:val="18"/>
                <w:color w:val="auto"/>
              </w:rPr>
              <w:t>43,272,728</w:t>
            </w: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36,496,998</w:t>
            </w:r>
          </w:p>
        </w:tc>
        <w:tc>
          <w:tcPr>
            <w:tcW w:w="80" w:type="dxa"/>
            <w:vAlign w:val="bottom"/>
          </w:tcPr>
          <w:p>
            <w:pPr>
              <w:spacing w:after="0"/>
              <w:rPr>
                <w:sz w:val="18"/>
                <w:szCs w:val="18"/>
                <w:color w:val="auto"/>
              </w:rPr>
            </w:pPr>
          </w:p>
        </w:tc>
      </w:tr>
      <w:tr>
        <w:trPr>
          <w:trHeight w:val="243"/>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Earnout shares</w:t>
            </w:r>
          </w:p>
        </w:tc>
        <w:tc>
          <w:tcPr>
            <w:tcW w:w="1360" w:type="dxa"/>
            <w:vAlign w:val="bottom"/>
          </w:tcPr>
          <w:p>
            <w:pPr>
              <w:jc w:val="right"/>
              <w:spacing w:after="0"/>
              <w:rPr>
                <w:sz w:val="20"/>
                <w:szCs w:val="20"/>
                <w:color w:val="auto"/>
              </w:rPr>
            </w:pPr>
            <w:r>
              <w:rPr>
                <w:rFonts w:ascii="Arial" w:cs="Arial" w:eastAsia="Arial" w:hAnsi="Arial"/>
                <w:sz w:val="18"/>
                <w:szCs w:val="18"/>
                <w:color w:val="auto"/>
              </w:rPr>
              <w:t>40,000,000</w:t>
            </w: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303"/>
        </w:trPr>
        <w:tc>
          <w:tcPr>
            <w:tcW w:w="5940" w:type="dxa"/>
            <w:vAlign w:val="bottom"/>
            <w:tcBorders>
              <w:bottom w:val="single" w:sz="8" w:color="CCEEFF"/>
            </w:tcBorders>
            <w:shd w:val="clear" w:color="auto" w:fill="CCEEFF"/>
          </w:tcPr>
          <w:p>
            <w:pPr>
              <w:spacing w:after="0" w:line="283" w:lineRule="exact"/>
              <w:rPr>
                <w:sz w:val="20"/>
                <w:szCs w:val="20"/>
                <w:color w:val="auto"/>
              </w:rPr>
            </w:pPr>
            <w:r>
              <w:rPr>
                <w:rFonts w:ascii="Arial" w:cs="Arial" w:eastAsia="Arial" w:hAnsi="Arial"/>
                <w:sz w:val="18"/>
                <w:szCs w:val="18"/>
                <w:color w:val="auto"/>
              </w:rPr>
              <w:t xml:space="preserve">Shares available for future issuance </w:t>
            </w:r>
            <w:r>
              <w:rPr>
                <w:rFonts w:ascii="Arial" w:cs="Arial" w:eastAsia="Arial" w:hAnsi="Arial"/>
                <w:sz w:val="29"/>
                <w:szCs w:val="29"/>
                <w:color w:val="auto"/>
                <w:vertAlign w:val="superscript"/>
              </w:rPr>
              <w:t>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4,924,914</w:t>
            </w:r>
          </w:p>
        </w:tc>
        <w:tc>
          <w:tcPr>
            <w:tcW w:w="2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17"/>
        </w:trPr>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108,549,014</w:t>
            </w:r>
          </w:p>
        </w:tc>
        <w:tc>
          <w:tcPr>
            <w:tcW w:w="260" w:type="dxa"/>
            <w:vAlign w:val="bottom"/>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40,200,160</w:t>
            </w:r>
          </w:p>
        </w:tc>
        <w:tc>
          <w:tcPr>
            <w:tcW w:w="80" w:type="dxa"/>
            <w:vAlign w:val="bottom"/>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120" w:firstLine="68"/>
        <w:spacing w:after="0" w:line="498" w:lineRule="auto"/>
        <w:tabs>
          <w:tab w:leader="none" w:pos="351" w:val="left"/>
        </w:tabs>
        <w:numPr>
          <w:ilvl w:val="0"/>
          <w:numId w:val="72"/>
        </w:numPr>
        <w:rPr>
          <w:rFonts w:ascii="Arial" w:cs="Arial" w:eastAsia="Arial" w:hAnsi="Arial"/>
          <w:sz w:val="18"/>
          <w:szCs w:val="18"/>
          <w:i w:val="1"/>
          <w:iCs w:val="1"/>
          <w:color w:val="auto"/>
        </w:rPr>
      </w:pPr>
      <w:r>
        <w:rPr>
          <w:rFonts w:ascii="Arial" w:cs="Arial" w:eastAsia="Arial" w:hAnsi="Arial"/>
          <w:sz w:val="18"/>
          <w:szCs w:val="18"/>
          <w:i w:val="1"/>
          <w:iCs w:val="1"/>
          <w:color w:val="auto"/>
        </w:rPr>
        <w:t>Refer to Stock Incentive Plan amendment at Note 14 ChEF Equity Facility</w:t>
      </w:r>
    </w:p>
    <w:p>
      <w:pPr>
        <w:spacing w:after="0" w:line="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The Company and CCM LLC entered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 a Registration Rights Agreement (the “</w:t>
      </w:r>
      <w:r>
        <w:rPr>
          <w:rFonts w:ascii="Arial" w:cs="Arial" w:eastAsia="Arial" w:hAnsi="Arial"/>
          <w:sz w:val="17"/>
          <w:szCs w:val="17"/>
          <w:b w:val="1"/>
          <w:bCs w:val="1"/>
          <w:color w:val="auto"/>
        </w:rPr>
        <w:t>ChEF RRA</w:t>
      </w:r>
      <w:r>
        <w:rPr>
          <w:rFonts w:ascii="Arial" w:cs="Arial" w:eastAsia="Arial" w:hAnsi="Arial"/>
          <w:sz w:val="17"/>
          <w:szCs w:val="17"/>
          <w:color w:val="auto"/>
        </w:rPr>
        <w:t>”)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w:t>
      </w:r>
      <w:r>
        <w:rPr>
          <w:rFonts w:ascii="Arial" w:cs="Arial" w:eastAsia="Arial" w:hAnsi="Arial"/>
          <w:sz w:val="17"/>
          <w:szCs w:val="17"/>
          <w:b w:val="1"/>
          <w:bCs w:val="1"/>
          <w:color w:val="auto"/>
        </w:rPr>
        <w:t>ChEF Equity Facility</w:t>
      </w:r>
      <w:r>
        <w:rPr>
          <w:rFonts w:ascii="Arial" w:cs="Arial" w:eastAsia="Arial" w:hAnsi="Arial"/>
          <w:sz w:val="17"/>
          <w:szCs w:val="17"/>
          <w:color w:val="auto"/>
        </w:rPr>
        <w: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August 12, 2019, the Board of Directors approved the 2019 Stock Incentive Plan (the “</w:t>
      </w:r>
      <w:r>
        <w:rPr>
          <w:rFonts w:ascii="Arial" w:cs="Arial" w:eastAsia="Arial" w:hAnsi="Arial"/>
          <w:sz w:val="18"/>
          <w:szCs w:val="18"/>
          <w:b w:val="1"/>
          <w:bCs w:val="1"/>
          <w:color w:val="auto"/>
        </w:rPr>
        <w:t>2019 Plan</w:t>
      </w:r>
      <w:r>
        <w:rPr>
          <w:rFonts w:ascii="Arial" w:cs="Arial" w:eastAsia="Arial" w:hAnsi="Arial"/>
          <w:sz w:val="18"/>
          <w:szCs w:val="18"/>
          <w:color w:val="auto"/>
        </w:rPr>
        <w:t>”) with a term of ten years. The Plan was administered by the Board of Directors, which was authorized to grant, at its discretion, awards to employees, directors, and consultants. The maximum number of common shares that were reserved for grants of awards under the Plan was 3,000,000 shares. The Plan provided for the grant of stock options (both incentive stock options and nonqualified stock options), and the grants and sale of restricted stock units (“</w:t>
      </w:r>
      <w:r>
        <w:rPr>
          <w:rFonts w:ascii="Arial" w:cs="Arial" w:eastAsia="Arial" w:hAnsi="Arial"/>
          <w:sz w:val="18"/>
          <w:szCs w:val="18"/>
          <w:b w:val="1"/>
          <w:bCs w:val="1"/>
          <w:color w:val="auto"/>
        </w:rPr>
        <w:t>RSUs</w:t>
      </w:r>
      <w:r>
        <w:rPr>
          <w:rFonts w:ascii="Arial" w:cs="Arial" w:eastAsia="Arial" w:hAnsi="Arial"/>
          <w:sz w:val="18"/>
          <w:szCs w:val="18"/>
          <w:color w:val="auto"/>
        </w:rPr>
        <w:t>”). Shares issued under this Plan may be drawn from authorized and unissued shares, or shares reacquired by the Company.</w:t>
      </w:r>
    </w:p>
    <w:p>
      <w:pPr>
        <w:spacing w:after="0" w:line="18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July of 2021, the Board of Directors approved the 2021 Stock Incentive Plan (the “</w:t>
      </w:r>
      <w:r>
        <w:rPr>
          <w:rFonts w:ascii="Arial" w:cs="Arial" w:eastAsia="Arial" w:hAnsi="Arial"/>
          <w:sz w:val="16"/>
          <w:szCs w:val="16"/>
          <w:b w:val="1"/>
          <w:bCs w:val="1"/>
          <w:color w:val="auto"/>
        </w:rPr>
        <w:t>2021 Plan</w:t>
      </w:r>
      <w:r>
        <w:rPr>
          <w:rFonts w:ascii="Arial" w:cs="Arial" w:eastAsia="Arial" w:hAnsi="Arial"/>
          <w:sz w:val="16"/>
          <w:szCs w:val="16"/>
          <w:color w:val="auto"/>
        </w:rPr>
        <w:t>” and, together with the 2019 Plan, the “</w:t>
      </w:r>
      <w:r>
        <w:rPr>
          <w:rFonts w:ascii="Arial" w:cs="Arial" w:eastAsia="Arial" w:hAnsi="Arial"/>
          <w:sz w:val="16"/>
          <w:szCs w:val="16"/>
          <w:b w:val="1"/>
          <w:bCs w:val="1"/>
          <w:color w:val="auto"/>
        </w:rPr>
        <w:t>Prior Plans</w:t>
      </w:r>
      <w:r>
        <w:rPr>
          <w:rFonts w:ascii="Arial" w:cs="Arial" w:eastAsia="Arial" w:hAnsi="Arial"/>
          <w:sz w:val="16"/>
          <w:szCs w:val="16"/>
          <w:color w:val="auto"/>
        </w:rPr>
        <w:t>”)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5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connection with the merger, shareholders and board members approved the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The Company maintains an Employee Stock Purchase Plan (“</w:t>
      </w:r>
      <w:r>
        <w:rPr>
          <w:rFonts w:ascii="Arial" w:cs="Arial" w:eastAsia="Arial" w:hAnsi="Arial"/>
          <w:sz w:val="19"/>
          <w:szCs w:val="19"/>
          <w:b w:val="1"/>
          <w:bCs w:val="1"/>
          <w:color w:val="auto"/>
        </w:rPr>
        <w:t>ESPP</w:t>
      </w:r>
      <w:r>
        <w:rPr>
          <w:rFonts w:ascii="Arial" w:cs="Arial" w:eastAsia="Arial" w:hAnsi="Arial"/>
          <w:sz w:val="19"/>
          <w:szCs w:val="19"/>
          <w:color w:val="auto"/>
        </w:rPr>
        <w:t>”)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60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Weighted-</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Weighted-</w:t>
            </w: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Remaining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62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80"/>
              <w:spacing w:after="0" w:line="179"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line="179" w:lineRule="exact"/>
              <w:rPr>
                <w:sz w:val="20"/>
                <w:szCs w:val="20"/>
                <w:color w:val="auto"/>
              </w:rPr>
            </w:pPr>
            <w:r>
              <w:rPr>
                <w:rFonts w:ascii="Arial" w:cs="Arial" w:eastAsia="Arial" w:hAnsi="Arial"/>
                <w:sz w:val="18"/>
                <w:szCs w:val="18"/>
                <w:color w:val="auto"/>
                <w:w w:val="90"/>
              </w:rPr>
              <w:t>Average Grant</w:t>
            </w:r>
          </w:p>
        </w:tc>
        <w:tc>
          <w:tcPr>
            <w:tcW w:w="1380" w:type="dxa"/>
            <w:vAlign w:val="bottom"/>
            <w:gridSpan w:val="2"/>
          </w:tcPr>
          <w:p>
            <w:pPr>
              <w:jc w:val="center"/>
              <w:ind w:right="160"/>
              <w:spacing w:after="0" w:line="179" w:lineRule="exact"/>
              <w:rPr>
                <w:sz w:val="20"/>
                <w:szCs w:val="20"/>
                <w:color w:val="auto"/>
              </w:rPr>
            </w:pPr>
            <w:r>
              <w:rPr>
                <w:rFonts w:ascii="Arial" w:cs="Arial" w:eastAsia="Arial" w:hAnsi="Arial"/>
                <w:sz w:val="18"/>
                <w:szCs w:val="18"/>
                <w:color w:val="auto"/>
                <w:w w:val="93"/>
              </w:rPr>
              <w:t>Contractual Life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79" w:lineRule="exact"/>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3"/>
                <w:szCs w:val="23"/>
                <w:color w:val="auto"/>
              </w:rPr>
            </w:pPr>
          </w:p>
        </w:tc>
        <w:tc>
          <w:tcPr>
            <w:tcW w:w="1600" w:type="dxa"/>
            <w:vAlign w:val="bottom"/>
            <w:gridSpan w:val="2"/>
          </w:tcPr>
          <w:p>
            <w:pPr>
              <w:jc w:val="right"/>
              <w:ind w:right="600"/>
              <w:spacing w:after="0" w:line="267" w:lineRule="exact"/>
              <w:rPr>
                <w:sz w:val="20"/>
                <w:szCs w:val="20"/>
                <w:color w:val="auto"/>
              </w:rPr>
            </w:pPr>
            <w:r>
              <w:rPr>
                <w:rFonts w:ascii="Arial" w:cs="Arial" w:eastAsia="Arial" w:hAnsi="Arial"/>
                <w:sz w:val="18"/>
                <w:szCs w:val="18"/>
                <w:color w:val="auto"/>
              </w:rPr>
              <w:t>Options</w:t>
            </w:r>
            <w:r>
              <w:rPr>
                <w:rFonts w:ascii="Arial" w:cs="Arial" w:eastAsia="Arial" w:hAnsi="Arial"/>
                <w:sz w:val="29"/>
                <w:szCs w:val="29"/>
                <w:color w:val="auto"/>
                <w:vertAlign w:val="superscript"/>
              </w:rPr>
              <w:t>(1)</w:t>
            </w:r>
          </w:p>
        </w:tc>
        <w:tc>
          <w:tcPr>
            <w:tcW w:w="100" w:type="dxa"/>
            <w:vAlign w:val="bottom"/>
          </w:tcPr>
          <w:p>
            <w:pPr>
              <w:spacing w:after="0"/>
              <w:rPr>
                <w:sz w:val="23"/>
                <w:szCs w:val="23"/>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60" w:type="dxa"/>
            <w:vAlign w:val="bottom"/>
          </w:tcPr>
          <w:p>
            <w:pPr>
              <w:spacing w:after="0"/>
              <w:rPr>
                <w:sz w:val="23"/>
                <w:szCs w:val="23"/>
                <w:color w:val="auto"/>
              </w:rPr>
            </w:pPr>
          </w:p>
        </w:tc>
        <w:tc>
          <w:tcPr>
            <w:tcW w:w="156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Date Fair Value</w:t>
            </w: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(in years)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Intrinsic value</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3,029,791</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0.72</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2,069,309</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2.03</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(421,094)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1.82</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(987,051)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0.53</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3,690,955</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1.38</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Balances, January 1, 2022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3,690,955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1.38</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572,428</w:t>
            </w:r>
          </w:p>
        </w:tc>
        <w:tc>
          <w:tcPr>
            <w:tcW w:w="1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(39,074)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1.73</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620" w:type="dxa"/>
            <w:vAlign w:val="bottom"/>
          </w:tcPr>
          <w:p>
            <w:pPr>
              <w:spacing w:after="0"/>
              <w:rPr>
                <w:sz w:val="20"/>
                <w:szCs w:val="20"/>
                <w:color w:val="auto"/>
              </w:rPr>
            </w:pPr>
            <w:r>
              <w:rPr>
                <w:rFonts w:ascii="Arial" w:cs="Arial" w:eastAsia="Arial" w:hAnsi="Arial"/>
                <w:sz w:val="18"/>
                <w:szCs w:val="18"/>
                <w:color w:val="auto"/>
              </w:rPr>
              <w:t>Options exercised</w:t>
            </w: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(581,351)</w:t>
            </w:r>
          </w:p>
        </w:tc>
        <w:tc>
          <w:tcPr>
            <w:tcW w:w="10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2"/>
          </w:tcPr>
          <w:p>
            <w:pPr>
              <w:ind w:left="840"/>
              <w:spacing w:after="0"/>
              <w:rPr>
                <w:sz w:val="20"/>
                <w:szCs w:val="20"/>
                <w:color w:val="auto"/>
              </w:rPr>
            </w:pPr>
            <w:r>
              <w:rPr>
                <w:rFonts w:ascii="Arial" w:cs="Arial" w:eastAsia="Arial" w:hAnsi="Arial"/>
                <w:sz w:val="18"/>
                <w:szCs w:val="18"/>
                <w:color w:val="auto"/>
              </w:rPr>
              <w:t>0.89</w:t>
            </w: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2022</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3,642,958</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79"/>
              </w:rPr>
              <w:t>1.21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At December 31, 2022</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Vested and Exercisable</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1,646,304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17,114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3,642,958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hanging="292"/>
        <w:spacing w:after="0" w:line="308" w:lineRule="auto"/>
        <w:tabs>
          <w:tab w:leader="none" w:pos="360" w:val="left"/>
        </w:tabs>
        <w:numPr>
          <w:ilvl w:val="0"/>
          <w:numId w:val="73"/>
        </w:numPr>
        <w:rPr>
          <w:rFonts w:ascii="Arial" w:cs="Arial" w:eastAsia="Arial" w:hAnsi="Arial"/>
          <w:sz w:val="17"/>
          <w:szCs w:val="17"/>
          <w:i w:val="1"/>
          <w:iCs w:val="1"/>
          <w:color w:val="auto"/>
        </w:rPr>
      </w:pPr>
      <w:r>
        <w:rPr>
          <w:rFonts w:ascii="Arial" w:cs="Arial" w:eastAsia="Arial" w:hAnsi="Arial"/>
          <w:sz w:val="17"/>
          <w:szCs w:val="17"/>
          <w:i w:val="1"/>
          <w:iCs w:val="1"/>
          <w:color w:val="auto"/>
        </w:rPr>
        <w:t>Number of options and weighted average exercise price has been adjusted to reflect the exchange of Legacy Dragonfly’s stock options for New Dragonfly stock options at an exchange ratio of approximately 1.182 as a result of the merger. See Note 3 for further information.</w:t>
      </w:r>
    </w:p>
    <w:p>
      <w:pPr>
        <w:spacing w:after="0" w:line="14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Share-based compensation expense for options and RSUs totaling $2,467 and $734 was recognized in the Company’s consolidated statements of operations for the years ended December 31, 2022 and 2021, respectively. Of the $2,467 of share-based compensation incurred during the year ended December 31, 2022, $155 is allocated to cost of goods sold, $149 to research and development, $654 to selling and marketing, and $1,509 to general and administrative expenses. Of the $734 of share-based compensation incurred during the year ended December 31, 2021, $252 is allocated to cost of goods sold, $95 to research and development, $156 to selling and marketing, and $231 to general and administrative expenses.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there were 4,924,914 shares of unissued authorized and available for future awards under the plans.</w:t>
      </w:r>
    </w:p>
    <w:p>
      <w:pPr>
        <w:sectPr>
          <w:pgSz w:w="11900" w:h="16838" w:orient="portrait"/>
          <w:cols w:equalWidth="0" w:num="1">
            <w:col w:w="11240"/>
          </w:cols>
          <w:pgMar w:left="320" w:top="661" w:right="339" w:bottom="0" w:gutter="0" w:footer="0" w:header="0"/>
        </w:sectPr>
      </w:pPr>
    </w:p>
    <w:bookmarkStart w:id="152" w:name="page153"/>
    <w:bookmarkEnd w:id="152"/>
    <w:p>
      <w:pPr>
        <w:jc w:val="center"/>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29210</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4660" w:type="dxa"/>
            <w:vAlign w:val="bottom"/>
          </w:tcPr>
          <w:p>
            <w:pPr>
              <w:spacing w:after="0"/>
              <w:rPr>
                <w:sz w:val="20"/>
                <w:szCs w:val="20"/>
                <w:color w:val="auto"/>
              </w:rPr>
            </w:pP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2021</w:t>
            </w:r>
          </w:p>
        </w:tc>
        <w:tc>
          <w:tcPr>
            <w:tcW w:w="80" w:type="dxa"/>
            <w:vAlign w:val="bottom"/>
          </w:tcPr>
          <w:p>
            <w:pPr>
              <w:spacing w:after="0"/>
              <w:rPr>
                <w:sz w:val="20"/>
                <w:szCs w:val="20"/>
                <w:color w:val="auto"/>
              </w:rPr>
            </w:pP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w:t>
            </w:r>
          </w:p>
        </w:tc>
        <w:tc>
          <w:tcPr>
            <w:tcW w:w="1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2.71%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Expected life (years)</w:t>
            </w:r>
          </w:p>
        </w:tc>
        <w:tc>
          <w:tcPr>
            <w:tcW w:w="1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0.00%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grants of restricted stock units prior to October 7, 2022. The following table presents the restricted stock units activity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color w:val="auto"/>
              </w:rPr>
              <w:t>Weighted-Average</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Number of Shares</w:t>
            </w:r>
          </w:p>
        </w:tc>
        <w:tc>
          <w:tcPr>
            <w:tcW w:w="120" w:type="dxa"/>
            <w:vAlign w:val="bottom"/>
          </w:tcPr>
          <w:p>
            <w:pPr>
              <w:spacing w:after="0"/>
              <w:rPr>
                <w:sz w:val="20"/>
                <w:szCs w:val="20"/>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color w:val="auto"/>
              </w:rPr>
              <w:t>Fair Market Value</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Granted and unvested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180,000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2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Forfeited/Cancelled</w:t>
            </w:r>
          </w:p>
        </w:tc>
        <w:tc>
          <w:tcPr>
            <w:tcW w:w="2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December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Vested as of December 31, 2022</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NOTE 15 - REDEEMABLE PREFERRED STOCK RIGHTS</w:t>
            </w: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merger, Legacy Redeemable Convertible Preferred Stock previously classified as temporary equity was retroactively adjusted, converted into common stock at an exchange ratio of approximately 1.182, and reclassified to permanent equity as a result of the reverse recapitalization. As of December 31, 2022, there was no Legacy Redeemable Convertible Preferred Stock authorized, issued or outstanding.</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describes the rights and preferences of the Legacy Dragonfly Redeemable Convertible Preferred Stock prior to the conversion in the merger: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holders of record of the shares of Series A Preferred Stock, exclusively and as a separate class, shall be entitled to elect one director of the Company (the “</w:t>
      </w:r>
      <w:r>
        <w:rPr>
          <w:rFonts w:ascii="Arial" w:cs="Arial" w:eastAsia="Arial" w:hAnsi="Arial"/>
          <w:sz w:val="16"/>
          <w:szCs w:val="16"/>
          <w:b w:val="1"/>
          <w:bCs w:val="1"/>
          <w:color w:val="auto"/>
        </w:rPr>
        <w:t>Series A Director</w:t>
      </w:r>
      <w:r>
        <w:rPr>
          <w:rFonts w:ascii="Arial" w:cs="Arial" w:eastAsia="Arial" w:hAnsi="Arial"/>
          <w:sz w:val="16"/>
          <w:szCs w:val="16"/>
          <w:color w:val="auto"/>
        </w:rPr>
        <w:t>”). The Series A Director shall be given two votes on any action requiring the vote or approval of the Board of Directors.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record of the shares of common stock, exclusively and as a separate class, shall be entitled to elect two directors of the Company, the “</w:t>
      </w:r>
      <w:r>
        <w:rPr>
          <w:rFonts w:ascii="Arial" w:cs="Arial" w:eastAsia="Arial" w:hAnsi="Arial"/>
          <w:sz w:val="18"/>
          <w:szCs w:val="18"/>
          <w:b w:val="1"/>
          <w:bCs w:val="1"/>
          <w:color w:val="auto"/>
        </w:rPr>
        <w:t>Common Stock Director A</w:t>
      </w:r>
      <w:r>
        <w:rPr>
          <w:rFonts w:ascii="Arial" w:cs="Arial" w:eastAsia="Arial" w:hAnsi="Arial"/>
          <w:sz w:val="18"/>
          <w:szCs w:val="18"/>
          <w:color w:val="auto"/>
        </w:rPr>
        <w:t>” and the “</w:t>
      </w:r>
      <w:r>
        <w:rPr>
          <w:rFonts w:ascii="Arial" w:cs="Arial" w:eastAsia="Arial" w:hAnsi="Arial"/>
          <w:sz w:val="18"/>
          <w:szCs w:val="18"/>
          <w:b w:val="1"/>
          <w:bCs w:val="1"/>
          <w:color w:val="auto"/>
        </w:rPr>
        <w:t>Common Stock Director B</w:t>
      </w:r>
      <w:r>
        <w:rPr>
          <w:rFonts w:ascii="Arial" w:cs="Arial" w:eastAsia="Arial" w:hAnsi="Arial"/>
          <w:sz w:val="18"/>
          <w:szCs w:val="18"/>
          <w:color w:val="auto"/>
        </w:rPr>
        <w:t>”).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43"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Dissolution or Winding Up; Certain Mergers, Consolidations and Assets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deemed liquidation event, as defined, the holders of shares of Series A Preferred Stock then outstanding (the “</w:t>
      </w:r>
      <w:r>
        <w:rPr>
          <w:rFonts w:ascii="Arial" w:cs="Arial" w:eastAsia="Arial" w:hAnsi="Arial"/>
          <w:sz w:val="17"/>
          <w:szCs w:val="17"/>
          <w:b w:val="1"/>
          <w:bCs w:val="1"/>
          <w:color w:val="auto"/>
        </w:rPr>
        <w:t>Series A shareholders</w:t>
      </w:r>
      <w:r>
        <w:rPr>
          <w:rFonts w:ascii="Arial" w:cs="Arial" w:eastAsia="Arial" w:hAnsi="Arial"/>
          <w:sz w:val="17"/>
          <w:szCs w:val="17"/>
          <w:color w:val="auto"/>
        </w:rPr>
        <w:t>”) shall be entitled to be paid out of the assets of the Company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Company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Company available for distribution to its stockholders shall be distributed among the holders of shares of common stock, pro rata based on the number of shares held by each such 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Company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Company under Nevada Law with ninety days after a deemed liquidation event is not within the control of the Company. As such the Preferred Stock is precluded from permanent equity classification and has been presented as mezzanine equity.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either (a) the closing of the sale of shares of common stock at a price of at least $1.00 per share, in a firm-commitment underwritten public offering pursuant to an effective registration statement under the Securities Act of 1933, as amended, resulting in at least $25,000 of gross proceeds to the Company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(Loss)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information needed to compute basic and diluted (loss) earnings per share for the years ended December 31, 2022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December 31,</w:t>
            </w:r>
          </w:p>
        </w:tc>
        <w:tc>
          <w:tcPr>
            <w:tcW w:w="1940" w:type="dxa"/>
            <w:vAlign w:val="bottom"/>
          </w:tcPr>
          <w:p>
            <w:pPr>
              <w:spacing w:after="0"/>
              <w:rPr>
                <w:sz w:val="18"/>
                <w:szCs w:val="18"/>
                <w:color w:val="auto"/>
              </w:rPr>
            </w:pPr>
          </w:p>
        </w:tc>
      </w:tr>
      <w:tr>
        <w:trPr>
          <w:trHeight w:val="237"/>
        </w:trPr>
        <w:tc>
          <w:tcPr>
            <w:tcW w:w="340" w:type="dxa"/>
            <w:vAlign w:val="bottom"/>
          </w:tcPr>
          <w:p>
            <w:pPr>
              <w:spacing w:after="0"/>
              <w:rPr>
                <w:sz w:val="20"/>
                <w:szCs w:val="20"/>
                <w:color w:val="auto"/>
              </w:rPr>
            </w:pPr>
          </w:p>
        </w:tc>
        <w:tc>
          <w:tcPr>
            <w:tcW w:w="448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80" w:type="dxa"/>
            <w:vAlign w:val="bottom"/>
            <w:tcBorders>
              <w:bottom w:val="single" w:sz="8" w:color="CCEEFF"/>
            </w:tcBorders>
          </w:tcPr>
          <w:p>
            <w:pPr>
              <w:spacing w:after="0"/>
              <w:rPr>
                <w:sz w:val="20"/>
                <w:szCs w:val="20"/>
                <w:color w:val="auto"/>
              </w:rPr>
            </w:pP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common share: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(39,571)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4,338</w:t>
            </w:r>
          </w:p>
        </w:tc>
        <w:tc>
          <w:tcPr>
            <w:tcW w:w="194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number of common shares-basic</w:t>
            </w:r>
          </w:p>
        </w:tc>
        <w:tc>
          <w:tcPr>
            <w:tcW w:w="1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38,565,307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35,579,137</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Pr>
          <w:p>
            <w:pPr>
              <w:spacing w:after="0"/>
              <w:rPr>
                <w:sz w:val="18"/>
                <w:szCs w:val="18"/>
                <w:color w:val="auto"/>
              </w:rPr>
            </w:pPr>
          </w:p>
        </w:tc>
      </w:tr>
      <w:tr>
        <w:trPr>
          <w:trHeight w:val="283"/>
        </w:trPr>
        <w:tc>
          <w:tcPr>
            <w:tcW w:w="34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(Loss) Earnings per share, basic</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1940" w:type="dxa"/>
            <w:vAlign w:val="bottom"/>
          </w:tcPr>
          <w:p>
            <w:pPr>
              <w:spacing w:after="0"/>
              <w:rPr>
                <w:sz w:val="24"/>
                <w:szCs w:val="24"/>
                <w:color w:val="auto"/>
              </w:rPr>
            </w:pPr>
          </w:p>
        </w:tc>
      </w:tr>
      <w:tr>
        <w:trPr>
          <w:trHeight w:val="197"/>
        </w:trPr>
        <w:tc>
          <w:tcPr>
            <w:tcW w:w="340" w:type="dxa"/>
            <w:vAlign w:val="bottom"/>
          </w:tcPr>
          <w:p>
            <w:pPr>
              <w:spacing w:after="0"/>
              <w:rPr>
                <w:sz w:val="17"/>
                <w:szCs w:val="17"/>
                <w:color w:val="auto"/>
              </w:rPr>
            </w:pPr>
          </w:p>
        </w:tc>
        <w:tc>
          <w:tcPr>
            <w:tcW w:w="448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b w:val="1"/>
                <w:bCs w:val="1"/>
                <w:color w:val="auto"/>
              </w:rPr>
              <w:t>Diluted (Loss) earnings per common share: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available to common shareholders</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4,338</w:t>
            </w:r>
          </w:p>
        </w:tc>
        <w:tc>
          <w:tcPr>
            <w:tcW w:w="1940" w:type="dxa"/>
            <w:vAlign w:val="bottom"/>
          </w:tcPr>
          <w:p>
            <w:pPr>
              <w:spacing w:after="0"/>
              <w:rPr>
                <w:sz w:val="18"/>
                <w:szCs w:val="18"/>
                <w:color w:val="auto"/>
              </w:rPr>
            </w:pPr>
          </w:p>
        </w:tc>
      </w:tr>
      <w:tr>
        <w:trPr>
          <w:trHeight w:val="236"/>
        </w:trPr>
        <w:tc>
          <w:tcPr>
            <w:tcW w:w="3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number of common shares-basic</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38,565,307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35,579,137</w:t>
            </w:r>
          </w:p>
        </w:tc>
        <w:tc>
          <w:tcPr>
            <w:tcW w:w="1940" w:type="dxa"/>
            <w:vAlign w:val="bottom"/>
          </w:tcPr>
          <w:p>
            <w:pPr>
              <w:spacing w:after="0"/>
              <w:rPr>
                <w:sz w:val="20"/>
                <w:szCs w:val="20"/>
                <w:color w:val="auto"/>
              </w:rPr>
            </w:pPr>
          </w:p>
        </w:tc>
      </w:tr>
      <w:tr>
        <w:trPr>
          <w:trHeight w:val="236"/>
        </w:trPr>
        <w:tc>
          <w:tcPr>
            <w:tcW w:w="340" w:type="dxa"/>
            <w:vAlign w:val="bottom"/>
          </w:tcPr>
          <w:p>
            <w:pPr>
              <w:spacing w:after="0"/>
              <w:rPr>
                <w:sz w:val="20"/>
                <w:szCs w:val="20"/>
                <w:color w:val="auto"/>
              </w:rPr>
            </w:pPr>
          </w:p>
        </w:tc>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Dilutive effect related to stock options</w:t>
            </w: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2,163,200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940" w:type="dxa"/>
            <w:vAlign w:val="bottom"/>
          </w:tcPr>
          <w:p>
            <w:pPr>
              <w:spacing w:after="0"/>
              <w:rPr>
                <w:sz w:val="20"/>
                <w:szCs w:val="20"/>
                <w:color w:val="auto"/>
              </w:rPr>
            </w:pPr>
          </w:p>
        </w:tc>
      </w:tr>
      <w:tr>
        <w:trPr>
          <w:trHeight w:val="203"/>
        </w:trPr>
        <w:tc>
          <w:tcPr>
            <w:tcW w:w="340" w:type="dxa"/>
            <w:vAlign w:val="bottom"/>
          </w:tcPr>
          <w:p>
            <w:pPr>
              <w:spacing w:after="0"/>
              <w:rPr>
                <w:sz w:val="17"/>
                <w:szCs w:val="17"/>
                <w:color w:val="auto"/>
              </w:rPr>
            </w:pPr>
          </w:p>
        </w:tc>
        <w:tc>
          <w:tcPr>
            <w:tcW w:w="4480" w:type="dxa"/>
            <w:vAlign w:val="bottom"/>
          </w:tcPr>
          <w:p>
            <w:pPr>
              <w:spacing w:after="0" w:line="203" w:lineRule="exact"/>
              <w:rPr>
                <w:sz w:val="20"/>
                <w:szCs w:val="20"/>
                <w:color w:val="auto"/>
              </w:rPr>
            </w:pPr>
            <w:r>
              <w:rPr>
                <w:rFonts w:ascii="Arial" w:cs="Arial" w:eastAsia="Arial" w:hAnsi="Arial"/>
                <w:sz w:val="18"/>
                <w:szCs w:val="18"/>
                <w:color w:val="auto"/>
              </w:rPr>
              <w:t>Weighted average diluted shares outstanding</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38,565,307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37,742,337</w:t>
            </w:r>
          </w:p>
        </w:tc>
        <w:tc>
          <w:tcPr>
            <w:tcW w:w="8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43"/>
        </w:trPr>
        <w:tc>
          <w:tcPr>
            <w:tcW w:w="340" w:type="dxa"/>
            <w:vAlign w:val="bottom"/>
          </w:tcPr>
          <w:p>
            <w:pPr>
              <w:spacing w:after="0"/>
              <w:rPr>
                <w:sz w:val="21"/>
                <w:szCs w:val="21"/>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(Loss) Earnings per share, diluted</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w:t>
            </w:r>
          </w:p>
        </w:tc>
        <w:tc>
          <w:tcPr>
            <w:tcW w:w="194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420"/>
        </w:trPr>
        <w:tc>
          <w:tcPr>
            <w:tcW w:w="3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F-31</w:t>
            </w: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041"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income per share net (loss) income per share because their effect was anti-dilutive:</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60"/>
              <w:spacing w:after="0"/>
              <w:rPr>
                <w:sz w:val="20"/>
                <w:szCs w:val="20"/>
                <w:color w:val="auto"/>
              </w:rPr>
            </w:pPr>
            <w:r>
              <w:rPr>
                <w:rFonts w:ascii="Arial" w:cs="Arial" w:eastAsia="Arial" w:hAnsi="Arial"/>
                <w:sz w:val="18"/>
                <w:szCs w:val="18"/>
                <w:color w:val="auto"/>
              </w:rPr>
              <w:t>December 31,</w:t>
            </w:r>
          </w:p>
        </w:tc>
        <w:tc>
          <w:tcPr>
            <w:tcW w:w="1400" w:type="dxa"/>
            <w:vAlign w:val="bottom"/>
            <w:gridSpan w:val="3"/>
          </w:tcPr>
          <w:p>
            <w:pPr>
              <w:ind w:left="160"/>
              <w:spacing w:after="0"/>
              <w:rPr>
                <w:sz w:val="20"/>
                <w:szCs w:val="20"/>
                <w:color w:val="auto"/>
              </w:rPr>
            </w:pPr>
            <w:r>
              <w:rPr>
                <w:rFonts w:ascii="Arial" w:cs="Arial" w:eastAsia="Arial" w:hAnsi="Arial"/>
                <w:sz w:val="18"/>
                <w:szCs w:val="18"/>
                <w:color w:val="auto"/>
              </w:rPr>
              <w:t>December 31,</w:t>
            </w:r>
          </w:p>
        </w:tc>
      </w:tr>
      <w:tr>
        <w:trPr>
          <w:trHeight w:val="237"/>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16,708,414</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180,000</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3,642,958</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5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20,531,372</w:t>
            </w:r>
          </w:p>
        </w:tc>
        <w:tc>
          <w:tcPr>
            <w:tcW w:w="260" w:type="dxa"/>
            <w:vAlign w:val="bottom"/>
            <w:tcBorders>
              <w:top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with a board member in the amount of $1,000, or the Principal Amount. Upon execution of the Note and funding of the original principal sum, a payment of $100, or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2023, the Company changed its state of incorporation from the State of Delaware to the State of Nevada (the “</w:t>
      </w:r>
      <w:r>
        <w:rPr>
          <w:rFonts w:ascii="Arial" w:cs="Arial" w:eastAsia="Arial" w:hAnsi="Arial"/>
          <w:sz w:val="18"/>
          <w:szCs w:val="18"/>
          <w:b w:val="1"/>
          <w:bCs w:val="1"/>
          <w:color w:val="auto"/>
        </w:rPr>
        <w:t>Reincorporation</w:t>
      </w:r>
      <w:r>
        <w:rPr>
          <w:rFonts w:ascii="Arial" w:cs="Arial" w:eastAsia="Arial" w:hAnsi="Arial"/>
          <w:sz w:val="18"/>
          <w:szCs w:val="18"/>
          <w:color w:val="auto"/>
        </w:rPr>
        <w:t>”) pursuant to a plan of conversion dated March 30, 2023 (the “</w:t>
      </w:r>
      <w:r>
        <w:rPr>
          <w:rFonts w:ascii="Arial" w:cs="Arial" w:eastAsia="Arial" w:hAnsi="Arial"/>
          <w:sz w:val="18"/>
          <w:szCs w:val="18"/>
          <w:b w:val="1"/>
          <w:bCs w:val="1"/>
          <w:color w:val="auto"/>
        </w:rPr>
        <w:t>Plan of Conversion</w:t>
      </w:r>
      <w:r>
        <w:rPr>
          <w:rFonts w:ascii="Arial" w:cs="Arial" w:eastAsia="Arial" w:hAnsi="Arial"/>
          <w:sz w:val="18"/>
          <w:szCs w:val="18"/>
          <w:color w:val="auto"/>
        </w:rPr>
        <w:t>”). Pursuant to the Plan of Conversion, the issued and outstanding shares of common stock of the Company were automatically converted into common stock of the reincorporated company at the effective time of the Reincorporation.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Purchase Agreement described in Note 13 the Company issued 98,500 shares pursuant to the Purchase Agreement with CCM LLC for aggregate net proceeds to the Company of $671 through April 17,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As of</w:t>
            </w:r>
          </w:p>
        </w:tc>
        <w:tc>
          <w:tcPr>
            <w:tcW w:w="1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Arial" w:cs="Arial" w:eastAsia="Arial" w:hAnsi="Arial"/>
                <w:sz w:val="18"/>
                <w:szCs w:val="18"/>
                <w:color w:val="auto"/>
              </w:rPr>
              <w:t>June 30, 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2022</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Cash</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32,952</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17,781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net of allowance for credit losses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44,198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49,846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Prepaid inventory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income tax</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84,231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Arial" w:cs="Arial" w:eastAsia="Arial" w:hAnsi="Arial"/>
                <w:sz w:val="18"/>
                <w:szCs w:val="18"/>
                <w:b w:val="1"/>
                <w:bCs w:val="1"/>
                <w:color w:val="auto"/>
              </w:rPr>
              <w:t>Property and Equipment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15,932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Office furniture and equipment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1,727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Vehicle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ind w:left="18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(2,180)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Operating lease right of use asset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3,912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4,513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103,930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19,990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13,475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other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Uncertain tax position liability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Notes payable, current portion, net of deferred financing fees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22,372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liability, current portion</w:t>
            </w: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1,239</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53,639</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40,566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Arial" w:cs="Arial" w:eastAsia="Arial" w:hAnsi="Arial"/>
                <w:sz w:val="18"/>
                <w:szCs w:val="18"/>
                <w:color w:val="auto"/>
              </w:rPr>
              <w:t>Warrant liabilities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14,637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32,831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expenses-long term</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60" w:type="dxa"/>
            <w:vAlign w:val="bottom"/>
          </w:tcPr>
          <w:p>
            <w:pPr>
              <w:ind w:left="180"/>
              <w:spacing w:after="0"/>
              <w:rPr>
                <w:sz w:val="20"/>
                <w:szCs w:val="20"/>
                <w:color w:val="auto"/>
              </w:rPr>
            </w:pPr>
            <w:r>
              <w:rPr>
                <w:rFonts w:ascii="Arial" w:cs="Arial" w:eastAsia="Arial" w:hAnsi="Arial"/>
                <w:sz w:val="18"/>
                <w:szCs w:val="18"/>
                <w:color w:val="auto"/>
              </w:rPr>
              <w:t>Operating lease liability, net of current portion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2,890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71,717</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77,430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(See Note 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170,000,000 shares at $0.0001 par value, authorized, 58,504,541 and</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43,272,728 shares issued and outstanding as of June 30, 2023 and December 31, 2022,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w w:val="91"/>
              </w:rPr>
              <w:t>Preferred stock, 5,000,000 shares at $0.0001 par value, authorized, no shares issued and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180"/>
              <w:spacing w:after="0"/>
              <w:rPr>
                <w:sz w:val="20"/>
                <w:szCs w:val="20"/>
                <w:color w:val="auto"/>
              </w:rPr>
            </w:pPr>
            <w:r>
              <w:rPr>
                <w:rFonts w:ascii="Arial" w:cs="Arial" w:eastAsia="Arial" w:hAnsi="Arial"/>
                <w:sz w:val="18"/>
                <w:szCs w:val="18"/>
                <w:color w:val="auto"/>
              </w:rPr>
              <w:t>outstanding as of June 30, 2023 and December 31, 2022, respectively</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66,148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60" w:type="dxa"/>
            <w:vAlign w:val="bottom"/>
          </w:tcPr>
          <w:p>
            <w:pPr>
              <w:spacing w:after="0"/>
              <w:rPr>
                <w:sz w:val="20"/>
                <w:szCs w:val="20"/>
                <w:color w:val="auto"/>
              </w:rPr>
            </w:pPr>
            <w:r>
              <w:rPr>
                <w:rFonts w:ascii="Arial" w:cs="Arial" w:eastAsia="Arial" w:hAnsi="Arial"/>
                <w:sz w:val="18"/>
                <w:szCs w:val="18"/>
                <w:color w:val="auto"/>
              </w:rPr>
              <w:t>Retained deficit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(33,941)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40"/>
              <w:spacing w:after="0"/>
              <w:rPr>
                <w:sz w:val="20"/>
                <w:szCs w:val="20"/>
                <w:color w:val="auto"/>
              </w:rPr>
            </w:pPr>
            <w:r>
              <w:rPr>
                <w:rFonts w:ascii="Arial" w:cs="Arial" w:eastAsia="Arial" w:hAnsi="Arial"/>
                <w:sz w:val="18"/>
                <w:szCs w:val="18"/>
                <w:color w:val="auto"/>
              </w:rPr>
              <w:t>(27,133)</w:t>
            </w:r>
          </w:p>
        </w:tc>
        <w:tc>
          <w:tcPr>
            <w:tcW w:w="0" w:type="dxa"/>
            <w:vAlign w:val="bottom"/>
          </w:tcPr>
          <w:p>
            <w:pPr>
              <w:spacing w:after="0"/>
              <w:rPr>
                <w:sz w:val="1"/>
                <w:szCs w:val="1"/>
                <w:color w:val="auto"/>
              </w:rPr>
            </w:pPr>
          </w:p>
        </w:tc>
      </w:tr>
      <w:tr>
        <w:trPr>
          <w:trHeight w:val="236"/>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32,213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11,332</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103,930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88,762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INTERIM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80" w:type="dxa"/>
            <w:vAlign w:val="bottom"/>
            <w:gridSpan w:val="5"/>
          </w:tcPr>
          <w:p>
            <w:pPr>
              <w:jc w:val="right"/>
              <w:ind w:right="941"/>
              <w:spacing w:after="0"/>
              <w:rPr>
                <w:sz w:val="20"/>
                <w:szCs w:val="20"/>
                <w:color w:val="auto"/>
              </w:rPr>
            </w:pPr>
            <w:r>
              <w:rPr>
                <w:rFonts w:ascii="Arial" w:cs="Arial" w:eastAsia="Arial" w:hAnsi="Arial"/>
                <w:sz w:val="18"/>
                <w:szCs w:val="18"/>
                <w:color w:val="auto"/>
              </w:rPr>
              <w:t>For The Three Months Ended</w:t>
            </w:r>
          </w:p>
        </w:tc>
        <w:tc>
          <w:tcPr>
            <w:tcW w:w="340" w:type="dxa"/>
            <w:vAlign w:val="bottom"/>
          </w:tcPr>
          <w:p>
            <w:pPr>
              <w:spacing w:after="0"/>
              <w:rPr>
                <w:sz w:val="18"/>
                <w:szCs w:val="18"/>
                <w:color w:val="auto"/>
              </w:rPr>
            </w:pPr>
          </w:p>
        </w:tc>
        <w:tc>
          <w:tcPr>
            <w:tcW w:w="3220" w:type="dxa"/>
            <w:vAlign w:val="bottom"/>
            <w:gridSpan w:val="6"/>
          </w:tcPr>
          <w:p>
            <w:pPr>
              <w:jc w:val="right"/>
              <w:ind w:right="860"/>
              <w:spacing w:after="0"/>
              <w:rPr>
                <w:sz w:val="20"/>
                <w:szCs w:val="20"/>
                <w:color w:val="auto"/>
              </w:rPr>
            </w:pPr>
            <w:r>
              <w:rPr>
                <w:rFonts w:ascii="Arial" w:cs="Arial" w:eastAsia="Arial" w:hAnsi="Arial"/>
                <w:sz w:val="18"/>
                <w:szCs w:val="18"/>
                <w:color w:val="auto"/>
              </w:rPr>
              <w:t>For The Six Months Ended</w:t>
            </w: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June 30,</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19,274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21,622</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38,065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39,925</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Goods Sold</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15,176</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14,594</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29,224</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4,098</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7,028</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8,841</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859</w:t>
            </w:r>
          </w:p>
        </w:tc>
        <w:tc>
          <w:tcPr>
            <w:tcW w:w="34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1,947</w:t>
            </w:r>
          </w:p>
        </w:tc>
        <w:tc>
          <w:tcPr>
            <w:tcW w:w="3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7,614</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3,816</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17,109</w:t>
            </w:r>
          </w:p>
        </w:tc>
        <w:tc>
          <w:tcPr>
            <w:tcW w:w="3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3,808</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2,881</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7,992</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5,973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12,489</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7,556</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27,048</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360" w:type="dxa"/>
            <w:vAlign w:val="bottom"/>
          </w:tcPr>
          <w:p>
            <w:pPr>
              <w:spacing w:after="0"/>
              <w:rPr>
                <w:sz w:val="18"/>
                <w:szCs w:val="18"/>
                <w:color w:val="auto"/>
              </w:rPr>
            </w:pPr>
          </w:p>
        </w:tc>
        <w:tc>
          <w:tcPr>
            <w:tcW w:w="1580" w:type="dxa"/>
            <w:vAlign w:val="bottom"/>
            <w:gridSpan w:val="2"/>
          </w:tcPr>
          <w:p>
            <w:pPr>
              <w:jc w:val="right"/>
              <w:ind w:right="201"/>
              <w:spacing w:after="0"/>
              <w:rPr>
                <w:sz w:val="20"/>
                <w:szCs w:val="20"/>
                <w:color w:val="auto"/>
              </w:rPr>
            </w:pPr>
            <w:r>
              <w:rPr>
                <w:rFonts w:ascii="Arial" w:cs="Arial" w:eastAsia="Arial" w:hAnsi="Arial"/>
                <w:sz w:val="18"/>
                <w:szCs w:val="18"/>
                <w:color w:val="auto"/>
              </w:rPr>
              <w:t>(8,391)</w:t>
            </w:r>
          </w:p>
        </w:tc>
        <w:tc>
          <w:tcPr>
            <w:tcW w:w="36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(528)</w:t>
            </w:r>
          </w:p>
        </w:tc>
        <w:tc>
          <w:tcPr>
            <w:tcW w:w="340" w:type="dxa"/>
            <w:vAlign w:val="bottom"/>
          </w:tcPr>
          <w:p>
            <w:pPr>
              <w:spacing w:after="0"/>
              <w:rPr>
                <w:sz w:val="18"/>
                <w:szCs w:val="18"/>
                <w:color w:val="auto"/>
              </w:rPr>
            </w:pPr>
          </w:p>
        </w:tc>
        <w:tc>
          <w:tcPr>
            <w:tcW w:w="1540" w:type="dxa"/>
            <w:vAlign w:val="bottom"/>
            <w:gridSpan w:val="2"/>
          </w:tcPr>
          <w:p>
            <w:pPr>
              <w:jc w:val="right"/>
              <w:ind w:right="181"/>
              <w:spacing w:after="0"/>
              <w:rPr>
                <w:sz w:val="20"/>
                <w:szCs w:val="20"/>
                <w:color w:val="auto"/>
              </w:rPr>
            </w:pPr>
            <w:r>
              <w:rPr>
                <w:rFonts w:ascii="Arial" w:cs="Arial" w:eastAsia="Arial" w:hAnsi="Arial"/>
                <w:sz w:val="18"/>
                <w:szCs w:val="18"/>
                <w:color w:val="auto"/>
              </w:rPr>
              <w:t>(18,207)</w:t>
            </w:r>
          </w:p>
        </w:tc>
        <w:tc>
          <w:tcPr>
            <w:tcW w:w="38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(4,113)</w:t>
            </w: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(1,228)</w:t>
            </w:r>
          </w:p>
        </w:tc>
        <w:tc>
          <w:tcPr>
            <w:tcW w:w="3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(7,928)</w:t>
            </w:r>
          </w:p>
        </w:tc>
        <w:tc>
          <w:tcPr>
            <w:tcW w:w="3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37"/>
        </w:trPr>
        <w:tc>
          <w:tcPr>
            <w:tcW w:w="3840" w:type="dxa"/>
            <w:vAlign w:val="bottom"/>
          </w:tcPr>
          <w:p>
            <w:pPr>
              <w:ind w:left="180"/>
              <w:spacing w:after="0"/>
              <w:rPr>
                <w:sz w:val="20"/>
                <w:szCs w:val="20"/>
                <w:color w:val="auto"/>
              </w:rPr>
            </w:pPr>
            <w:r>
              <w:rPr>
                <w:rFonts w:ascii="Arial" w:cs="Arial" w:eastAsia="Arial" w:hAnsi="Arial"/>
                <w:sz w:val="18"/>
                <w:szCs w:val="18"/>
                <w:color w:val="auto"/>
                <w:w w:val="99"/>
              </w:rPr>
              <w:t>Change in fair market value of warrant liability</w:t>
            </w:r>
          </w:p>
        </w:tc>
        <w:tc>
          <w:tcPr>
            <w:tcW w:w="360" w:type="dxa"/>
            <w:vAlign w:val="bottom"/>
          </w:tcPr>
          <w:p>
            <w:pPr>
              <w:spacing w:after="0"/>
              <w:rPr>
                <w:sz w:val="20"/>
                <w:szCs w:val="20"/>
                <w:color w:val="auto"/>
              </w:rPr>
            </w:pPr>
          </w:p>
        </w:tc>
        <w:tc>
          <w:tcPr>
            <w:tcW w:w="1580" w:type="dxa"/>
            <w:vAlign w:val="bottom"/>
            <w:gridSpan w:val="2"/>
          </w:tcPr>
          <w:p>
            <w:pPr>
              <w:jc w:val="right"/>
              <w:ind w:right="261"/>
              <w:spacing w:after="0"/>
              <w:rPr>
                <w:sz w:val="20"/>
                <w:szCs w:val="20"/>
                <w:color w:val="auto"/>
              </w:rPr>
            </w:pPr>
            <w:r>
              <w:rPr>
                <w:rFonts w:ascii="Arial" w:cs="Arial" w:eastAsia="Arial" w:hAnsi="Arial"/>
                <w:sz w:val="18"/>
                <w:szCs w:val="18"/>
                <w:color w:val="auto"/>
              </w:rPr>
              <w:t>804</w:t>
            </w:r>
          </w:p>
        </w:tc>
        <w:tc>
          <w:tcPr>
            <w:tcW w:w="36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540" w:type="dxa"/>
            <w:vAlign w:val="bottom"/>
            <w:gridSpan w:val="2"/>
          </w:tcPr>
          <w:p>
            <w:pPr>
              <w:jc w:val="right"/>
              <w:ind w:right="241"/>
              <w:spacing w:after="0"/>
              <w:rPr>
                <w:sz w:val="20"/>
                <w:szCs w:val="20"/>
                <w:color w:val="auto"/>
              </w:rPr>
            </w:pPr>
            <w:r>
              <w:rPr>
                <w:rFonts w:ascii="Arial" w:cs="Arial" w:eastAsia="Arial" w:hAnsi="Arial"/>
                <w:sz w:val="18"/>
                <w:szCs w:val="18"/>
                <w:color w:val="auto"/>
              </w:rPr>
              <w:t>19,327</w:t>
            </w:r>
          </w:p>
        </w:tc>
        <w:tc>
          <w:tcPr>
            <w:tcW w:w="38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Other (Expense</w:t>
            </w:r>
            <w:r>
              <w:rPr>
                <w:rFonts w:ascii="Arial" w:cs="Arial" w:eastAsia="Arial" w:hAnsi="Arial"/>
                <w:sz w:val="18"/>
                <w:szCs w:val="18"/>
                <w:color w:val="auto"/>
              </w:rPr>
              <w:t>)</w:t>
            </w:r>
            <w:r>
              <w:rPr>
                <w:rFonts w:ascii="Arial" w:cs="Arial" w:eastAsia="Arial" w:hAnsi="Arial"/>
                <w:sz w:val="18"/>
                <w:szCs w:val="18"/>
                <w:b w:val="1"/>
                <w:bCs w:val="1"/>
                <w:color w:val="auto"/>
              </w:rPr>
              <w:t xml:space="preserve"> Income</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(11,700)</w:t>
            </w:r>
          </w:p>
        </w:tc>
        <w:tc>
          <w:tcPr>
            <w:tcW w:w="3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(1,756)</w:t>
            </w: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(6,808)</w:t>
            </w:r>
          </w:p>
        </w:tc>
        <w:tc>
          <w:tcPr>
            <w:tcW w:w="3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 Expense</w:t>
            </w:r>
          </w:p>
        </w:tc>
        <w:tc>
          <w:tcPr>
            <w:tcW w:w="3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(287)</w:t>
            </w:r>
          </w:p>
        </w:tc>
        <w:tc>
          <w:tcPr>
            <w:tcW w:w="3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38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(11,700)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(1,469)</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(6,808)</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(0.25)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(0.15)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Loss Per Share- 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8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34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32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Shares- Basic</w:t>
            </w: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47,418,269</w:t>
            </w:r>
          </w:p>
        </w:tc>
        <w:tc>
          <w:tcPr>
            <w:tcW w:w="3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36,616,430</w:t>
            </w:r>
          </w:p>
        </w:tc>
        <w:tc>
          <w:tcPr>
            <w:tcW w:w="3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46,263,591</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Diluted</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47,418,269</w:t>
            </w:r>
          </w:p>
        </w:tc>
        <w:tc>
          <w:tcPr>
            <w:tcW w:w="340" w:type="dxa"/>
            <w:vAlign w:val="bottom"/>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36,616,430</w:t>
            </w:r>
          </w:p>
        </w:tc>
        <w:tc>
          <w:tcPr>
            <w:tcW w:w="320" w:type="dxa"/>
            <w:vAlign w:val="bottom"/>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46,263,591</w:t>
            </w:r>
          </w:p>
        </w:tc>
        <w:tc>
          <w:tcPr>
            <w:tcW w:w="320" w:type="dxa"/>
            <w:vAlign w:val="bottom"/>
            <w:vMerge w:val="continue"/>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36,579,990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2540" w:type="dxa"/>
            <w:vAlign w:val="bottom"/>
            <w:gridSpan w:val="5"/>
          </w:tcPr>
          <w:p>
            <w:pPr>
              <w:jc w:val="right"/>
              <w:ind w:right="1000"/>
              <w:spacing w:after="0"/>
              <w:rPr>
                <w:sz w:val="20"/>
                <w:szCs w:val="20"/>
                <w:color w:val="auto"/>
              </w:rPr>
            </w:pPr>
            <w:r>
              <w:rPr>
                <w:rFonts w:ascii="Arial" w:cs="Arial" w:eastAsia="Arial" w:hAnsi="Arial"/>
                <w:sz w:val="18"/>
                <w:szCs w:val="18"/>
                <w:color w:val="auto"/>
              </w:rPr>
              <w:t>Redeemable</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Additional</w:t>
            </w:r>
          </w:p>
        </w:tc>
        <w:tc>
          <w:tcPr>
            <w:tcW w:w="12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Retained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820" w:type="dxa"/>
            <w:vAlign w:val="bottom"/>
          </w:tcPr>
          <w:p>
            <w:pPr>
              <w:spacing w:after="0"/>
              <w:rPr>
                <w:sz w:val="21"/>
                <w:szCs w:val="21"/>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8"/>
                <w:szCs w:val="18"/>
                <w:color w:val="auto"/>
              </w:rPr>
              <w:t>Preferred Stock</w:t>
            </w:r>
          </w:p>
        </w:tc>
        <w:tc>
          <w:tcPr>
            <w:tcW w:w="2000" w:type="dxa"/>
            <w:vAlign w:val="bottom"/>
            <w:gridSpan w:val="3"/>
          </w:tcPr>
          <w:p>
            <w:pPr>
              <w:jc w:val="right"/>
              <w:ind w:right="303"/>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Paid-In</w:t>
            </w: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32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Amount</w:t>
            </w:r>
          </w:p>
        </w:tc>
        <w:tc>
          <w:tcPr>
            <w:tcW w:w="340" w:type="dxa"/>
            <w:vAlign w:val="bottom"/>
          </w:tcPr>
          <w:p>
            <w:pPr>
              <w:spacing w:after="0"/>
              <w:rPr>
                <w:sz w:val="20"/>
                <w:szCs w:val="20"/>
                <w:color w:val="auto"/>
              </w:rPr>
            </w:pPr>
          </w:p>
        </w:tc>
        <w:tc>
          <w:tcPr>
            <w:tcW w:w="12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Shares</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Amount</w:t>
            </w:r>
          </w:p>
        </w:tc>
        <w:tc>
          <w:tcPr>
            <w:tcW w:w="12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Capital</w:t>
            </w:r>
          </w:p>
        </w:tc>
        <w:tc>
          <w:tcPr>
            <w:tcW w:w="12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(Deficit)</w:t>
            </w:r>
          </w:p>
        </w:tc>
        <w:tc>
          <w:tcPr>
            <w:tcW w:w="180" w:type="dxa"/>
            <w:vAlign w:val="bottom"/>
          </w:tcPr>
          <w:p>
            <w:pPr>
              <w:spacing w:after="0"/>
              <w:rPr>
                <w:sz w:val="20"/>
                <w:szCs w:val="20"/>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20,875,475</w:t>
            </w: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Retroactive application of</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(10,000,000)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(2,000)</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15,621,523</w:t>
            </w:r>
          </w:p>
        </w:tc>
        <w:tc>
          <w:tcPr>
            <w:tcW w:w="7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82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Adjusted balance, beginning of</w:t>
            </w: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period</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36,496,998</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3,619</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12,438</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16,061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(2,298)</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100,374</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2022</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36,597,372</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4,020</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10,140</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14,164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(1,469)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152,366</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8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3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 June 30, 2022</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36,749,738</w:t>
            </w:r>
          </w:p>
        </w:tc>
        <w:tc>
          <w:tcPr>
            <w:tcW w:w="760" w:type="dxa"/>
            <w:vAlign w:val="bottom"/>
          </w:tcPr>
          <w:p>
            <w:pPr>
              <w:spacing w:after="0"/>
              <w:rPr>
                <w:sz w:val="24"/>
                <w:szCs w:val="24"/>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24"/>
                <w:szCs w:val="2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24"/>
                <w:szCs w:val="24"/>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8,671</w:t>
            </w:r>
          </w:p>
        </w:tc>
        <w:tc>
          <w:tcPr>
            <w:tcW w:w="18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13,215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82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-January 1, 2023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43,272,728</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38,461</w:t>
            </w:r>
          </w:p>
        </w:tc>
        <w:tc>
          <w:tcPr>
            <w:tcW w:w="120" w:type="dxa"/>
            <w:vAlign w:val="bottom"/>
          </w:tcPr>
          <w:p>
            <w:pPr>
              <w:spacing w:after="0"/>
              <w:rPr>
                <w:sz w:val="18"/>
                <w:szCs w:val="18"/>
                <w:color w:val="auto"/>
              </w:rPr>
            </w:pP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(27,133)</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11,332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4,892</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73,500</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36,009</w:t>
            </w:r>
          </w:p>
        </w:tc>
        <w:tc>
          <w:tcPr>
            <w:tcW w:w="7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public warrants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64,971</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2,348,294</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10,166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4,487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820" w:type="dxa"/>
            <w:vAlign w:val="bottom"/>
          </w:tcPr>
          <w:p>
            <w:pPr>
              <w:spacing w:after="0"/>
              <w:rPr>
                <w:sz w:val="20"/>
                <w:szCs w:val="20"/>
                <w:color w:val="auto"/>
              </w:rPr>
            </w:pPr>
            <w:r>
              <w:rPr>
                <w:rFonts w:ascii="Arial" w:cs="Arial" w:eastAsia="Arial" w:hAnsi="Arial"/>
                <w:sz w:val="18"/>
                <w:szCs w:val="18"/>
                <w:b w:val="1"/>
                <w:bCs w:val="1"/>
                <w:color w:val="auto"/>
              </w:rPr>
              <w:t>Balance – March 31, 2023</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45,795,502</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54,551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1"/>
              <w:spacing w:after="0"/>
              <w:rPr>
                <w:sz w:val="20"/>
                <w:szCs w:val="20"/>
                <w:color w:val="auto"/>
              </w:rPr>
            </w:pPr>
            <w:r>
              <w:rPr>
                <w:rFonts w:ascii="Arial" w:cs="Arial" w:eastAsia="Arial" w:hAnsi="Arial"/>
                <w:sz w:val="18"/>
                <w:szCs w:val="18"/>
                <w:color w:val="auto"/>
              </w:rPr>
              <w:t>(22,241)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32,315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(11,700)</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(11,700)</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offering, net of costs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11,405,000</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7,877</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in public</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offering (ATM), net of costs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69,012</w:t>
            </w:r>
          </w:p>
        </w:tc>
        <w:tc>
          <w:tcPr>
            <w:tcW w:w="760" w:type="dxa"/>
            <w:vAlign w:val="bottom"/>
          </w:tcPr>
          <w:p>
            <w:pPr>
              <w:spacing w:after="0"/>
              <w:rPr>
                <w:sz w:val="18"/>
                <w:szCs w:val="18"/>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Cashless exercise of liability</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classified warrants</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748,029</w:t>
            </w:r>
          </w:p>
        </w:tc>
        <w:tc>
          <w:tcPr>
            <w:tcW w:w="7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line="201" w:lineRule="exact"/>
              <w:rPr>
                <w:sz w:val="20"/>
                <w:szCs w:val="20"/>
                <w:color w:val="auto"/>
              </w:rPr>
            </w:pPr>
            <w:r>
              <w:rPr>
                <w:rFonts w:ascii="Arial" w:cs="Arial" w:eastAsia="Arial" w:hAnsi="Arial"/>
                <w:sz w:val="18"/>
                <w:szCs w:val="18"/>
                <w:color w:val="auto"/>
              </w:rPr>
              <w:t>Shares issued for vested restricted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stock units</w:t>
            </w: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461,998</w:t>
            </w:r>
          </w:p>
        </w:tc>
        <w:tc>
          <w:tcPr>
            <w:tcW w:w="760" w:type="dxa"/>
            <w:vAlign w:val="bottom"/>
          </w:tcPr>
          <w:p>
            <w:pPr>
              <w:spacing w:after="0"/>
              <w:rPr>
                <w:sz w:val="20"/>
                <w:szCs w:val="20"/>
                <w:color w:val="auto"/>
              </w:rPr>
            </w:pPr>
          </w:p>
        </w:tc>
        <w:tc>
          <w:tcPr>
            <w:tcW w:w="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expense</w:t>
            </w: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21"/>
                <w:szCs w:val="21"/>
                <w:color w:val="auto"/>
              </w:rPr>
            </w:pPr>
          </w:p>
        </w:tc>
        <w:tc>
          <w:tcPr>
            <w:tcW w:w="4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954</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Balance - June 30, 2023</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58,504,541</w:t>
            </w: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03"/>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3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66,148</w:t>
            </w: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32,213</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9" w:name="page160"/>
    <w:bookmarkEnd w:id="159"/>
    <w:p>
      <w:pPr>
        <w:jc w:val="center"/>
        <w:ind w:left="340" w:right="2340"/>
        <w:spacing w:after="0" w:line="263" w:lineRule="auto"/>
        <w:rPr>
          <w:sz w:val="20"/>
          <w:szCs w:val="20"/>
          <w:color w:val="auto"/>
        </w:rPr>
      </w:pPr>
      <w:r>
        <w:rPr>
          <w:rFonts w:ascii="Arial" w:cs="Arial" w:eastAsia="Arial" w:hAnsi="Arial"/>
          <w:sz w:val="18"/>
          <w:szCs w:val="18"/>
          <w:b w:val="1"/>
          <w:bCs w:val="1"/>
          <w:color w:val="auto"/>
        </w:rPr>
        <w:t>DRAGONFLY ENERGY HOLDINGS CORP. UNAUDITED CONDENSED CONSOLIDATED STATEMENTS OF CASH FLOWS FOR THE SIX MONTHS ENDED JUNE 30, 2023 AND 2022 (IN THOUSANDS)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380" w:type="dxa"/>
            <w:vAlign w:val="bottom"/>
          </w:tcPr>
          <w:p>
            <w:pPr>
              <w:spacing w:after="0"/>
              <w:rPr>
                <w:sz w:val="20"/>
                <w:szCs w:val="20"/>
                <w:color w:val="auto"/>
              </w:rPr>
            </w:pPr>
          </w:p>
        </w:tc>
        <w:tc>
          <w:tcPr>
            <w:tcW w:w="2860" w:type="dxa"/>
            <w:vAlign w:val="bottom"/>
            <w:gridSpan w:val="2"/>
          </w:tcPr>
          <w:p>
            <w:pPr>
              <w:jc w:val="right"/>
              <w:ind w:right="120"/>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0"/>
                <w:szCs w:val="20"/>
                <w:color w:val="auto"/>
              </w:rPr>
            </w:pP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Net Loss</w:t>
            </w:r>
          </w:p>
        </w:tc>
        <w:tc>
          <w:tcPr>
            <w:tcW w:w="2860" w:type="dxa"/>
            <w:vAlign w:val="bottom"/>
            <w:gridSpan w:val="2"/>
          </w:tcPr>
          <w:p>
            <w:pPr>
              <w:jc w:val="right"/>
              <w:ind w:right="116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(6,808)   $</w:t>
            </w: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(3,767)</w:t>
            </w:r>
          </w:p>
        </w:tc>
      </w:tr>
      <w:tr>
        <w:trPr>
          <w:trHeight w:val="216"/>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w:t>
            </w:r>
          </w:p>
        </w:tc>
        <w:tc>
          <w:tcPr>
            <w:tcW w:w="16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ind w:left="180"/>
              <w:spacing w:after="0"/>
              <w:rPr>
                <w:sz w:val="20"/>
                <w:szCs w:val="20"/>
                <w:color w:val="auto"/>
              </w:rPr>
            </w:pPr>
            <w:r>
              <w:rPr>
                <w:rFonts w:ascii="Arial" w:cs="Arial" w:eastAsia="Arial" w:hAnsi="Arial"/>
                <w:sz w:val="18"/>
                <w:szCs w:val="18"/>
                <w:color w:val="auto"/>
              </w:rPr>
              <w:t>Used in Operating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 based compensation</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5,441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719</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Amortization of debt discount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620</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market value of warrant liability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(19,327)</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Deferred tax liability</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(819)</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interest expense (Paid-in Kind)</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2,510</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389</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116</w:t>
            </w:r>
          </w:p>
        </w:tc>
        <w:tc>
          <w:tcPr>
            <w:tcW w:w="4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(821)</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(3,876)</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5,648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(15,141)</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425</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(1,236)</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inventory</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(940)</w:t>
            </w: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(1,962)</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601</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551</w:t>
            </w: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(973)</w:t>
            </w: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6,272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820</w:t>
            </w:r>
          </w:p>
        </w:tc>
      </w:tr>
      <w:tr>
        <w:trPr>
          <w:trHeight w:val="237"/>
        </w:trPr>
        <w:tc>
          <w:tcPr>
            <w:tcW w:w="5380" w:type="dxa"/>
            <w:vAlign w:val="bottom"/>
          </w:tcPr>
          <w:p>
            <w:pPr>
              <w:ind w:left="360"/>
              <w:spacing w:after="0"/>
              <w:rPr>
                <w:sz w:val="20"/>
                <w:szCs w:val="20"/>
                <w:color w:val="auto"/>
              </w:rPr>
            </w:pPr>
            <w:r>
              <w:rPr>
                <w:rFonts w:ascii="Arial" w:cs="Arial" w:eastAsia="Arial" w:hAnsi="Arial"/>
                <w:sz w:val="18"/>
                <w:szCs w:val="18"/>
                <w:color w:val="auto"/>
              </w:rPr>
              <w:t>Customer deposits</w:t>
            </w:r>
          </w:p>
        </w:tc>
        <w:tc>
          <w:tcPr>
            <w:tcW w:w="1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(86)</w:t>
            </w:r>
          </w:p>
        </w:tc>
        <w:tc>
          <w:tcPr>
            <w:tcW w:w="440" w:type="dxa"/>
            <w:vAlign w:val="bottom"/>
          </w:tcPr>
          <w:p>
            <w:pPr>
              <w:spacing w:after="0"/>
              <w:rPr>
                <w:sz w:val="20"/>
                <w:szCs w:val="20"/>
                <w:color w:val="auto"/>
              </w:rPr>
            </w:pPr>
          </w:p>
        </w:tc>
        <w:tc>
          <w:tcPr>
            <w:tcW w:w="1580" w:type="dxa"/>
            <w:vAlign w:val="bottom"/>
            <w:gridSpan w:val="2"/>
          </w:tcPr>
          <w:p>
            <w:pPr>
              <w:jc w:val="right"/>
              <w:ind w:right="1"/>
              <w:spacing w:after="0"/>
              <w:rPr>
                <w:sz w:val="20"/>
                <w:szCs w:val="20"/>
                <w:color w:val="auto"/>
              </w:rPr>
            </w:pPr>
            <w:r>
              <w:rPr>
                <w:rFonts w:ascii="Arial" w:cs="Arial" w:eastAsia="Arial" w:hAnsi="Arial"/>
                <w:sz w:val="18"/>
                <w:szCs w:val="18"/>
                <w:color w:val="auto"/>
              </w:rPr>
              <w:t>(183)</w:t>
            </w:r>
          </w:p>
        </w:tc>
      </w:tr>
      <w:tr>
        <w:trPr>
          <w:trHeight w:val="236"/>
        </w:trPr>
        <w:tc>
          <w:tcPr>
            <w:tcW w:w="538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Adjustments</w:t>
            </w:r>
          </w:p>
        </w:tc>
        <w:tc>
          <w:tcPr>
            <w:tcW w:w="16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(16,145</w:t>
            </w:r>
          </w:p>
        </w:tc>
        <w:tc>
          <w:tcPr>
            <w:tcW w:w="8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Arial" w:cs="Arial" w:eastAsia="Arial" w:hAnsi="Arial"/>
                <w:sz w:val="8"/>
                <w:szCs w:val="8"/>
                <w:color w:val="auto"/>
                <w:w w:val="73"/>
              </w:rPr>
              <w:t>)</w:t>
            </w:r>
          </w:p>
        </w:tc>
      </w:tr>
      <w:tr>
        <w:trPr>
          <w:trHeight w:val="210"/>
        </w:trPr>
        <w:tc>
          <w:tcPr>
            <w:tcW w:w="5380" w:type="dxa"/>
            <w:vAlign w:val="bottom"/>
            <w:tcBorders>
              <w:bottom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Operating Activities</w:t>
            </w:r>
          </w:p>
        </w:tc>
        <w:tc>
          <w:tcPr>
            <w:tcW w:w="16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(5,639</w:t>
            </w:r>
          </w:p>
        </w:tc>
        <w:tc>
          <w:tcPr>
            <w:tcW w:w="320" w:type="dxa"/>
            <w:vAlign w:val="bottom"/>
            <w:tcBorders>
              <w:bottom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(19,912</w:t>
            </w:r>
          </w:p>
        </w:tc>
        <w:tc>
          <w:tcPr>
            <w:tcW w:w="80" w:type="dxa"/>
            <w:vAlign w:val="bottom"/>
            <w:tcBorders>
              <w:bottom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16"/>
        </w:trPr>
        <w:tc>
          <w:tcPr>
            <w:tcW w:w="53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16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(2,571)</w:t>
            </w: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(4,819)</w:t>
            </w:r>
          </w:p>
        </w:tc>
      </w:tr>
      <w:tr>
        <w:trPr>
          <w:trHeight w:val="203"/>
        </w:trPr>
        <w:tc>
          <w:tcPr>
            <w:tcW w:w="5380" w:type="dxa"/>
            <w:vAlign w:val="bottom"/>
            <w:tcBorders>
              <w:top w:val="single" w:sz="8" w:color="CCEEFF"/>
            </w:tcBorders>
          </w:tcPr>
          <w:p>
            <w:pPr>
              <w:ind w:left="720"/>
              <w:spacing w:after="0" w:line="203" w:lineRule="exact"/>
              <w:rPr>
                <w:sz w:val="20"/>
                <w:szCs w:val="20"/>
                <w:color w:val="auto"/>
              </w:rPr>
            </w:pPr>
            <w:r>
              <w:rPr>
                <w:rFonts w:ascii="Arial" w:cs="Arial" w:eastAsia="Arial" w:hAnsi="Arial"/>
                <w:sz w:val="18"/>
                <w:szCs w:val="18"/>
                <w:color w:val="auto"/>
              </w:rPr>
              <w:t>Net Cash Used in Investing Activities</w:t>
            </w: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(2,571</w:t>
            </w:r>
          </w:p>
        </w:tc>
        <w:tc>
          <w:tcPr>
            <w:tcW w:w="320" w:type="dxa"/>
            <w:vAlign w:val="bottom"/>
            <w:tcBorders>
              <w:top w:val="single" w:sz="8" w:color="CCEEFF"/>
            </w:tcBorders>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(4,819</w:t>
            </w:r>
          </w:p>
        </w:tc>
        <w:tc>
          <w:tcPr>
            <w:tcW w:w="80" w:type="dxa"/>
            <w:vAlign w:val="bottom"/>
            <w:tcBorders>
              <w:top w:val="single" w:sz="8" w:color="CCEEFF"/>
            </w:tcBorders>
          </w:tcPr>
          <w:p>
            <w:pPr>
              <w:jc w:val="right"/>
              <w:ind w:right="1"/>
              <w:spacing w:after="0"/>
              <w:rPr>
                <w:sz w:val="20"/>
                <w:szCs w:val="20"/>
                <w:color w:val="auto"/>
              </w:rPr>
            </w:pPr>
            <w:r>
              <w:rPr>
                <w:rFonts w:ascii="Arial" w:cs="Arial" w:eastAsia="Arial" w:hAnsi="Arial"/>
                <w:sz w:val="8"/>
                <w:szCs w:val="8"/>
                <w:color w:val="auto"/>
                <w:w w:val="73"/>
              </w:rPr>
              <w:t>)</w:t>
            </w:r>
          </w:p>
        </w:tc>
      </w:tr>
      <w:tr>
        <w:trPr>
          <w:trHeight w:val="27"/>
        </w:trPr>
        <w:tc>
          <w:tcPr>
            <w:tcW w:w="5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5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t>DRAGONFLY ENERGY HOLDINGS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(continued from previous page)</w:t>
            </w:r>
          </w:p>
        </w:tc>
        <w:tc>
          <w:tcPr>
            <w:tcW w:w="15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public offering, net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22,002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offering costs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public offering (ATM), net</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note payable, related party</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tcPr>
          <w:p>
            <w:pPr>
              <w:ind w:left="180"/>
              <w:spacing w:after="0"/>
              <w:rPr>
                <w:sz w:val="20"/>
                <w:szCs w:val="20"/>
                <w:color w:val="auto"/>
              </w:rPr>
            </w:pPr>
            <w:r>
              <w:rPr>
                <w:rFonts w:ascii="Arial" w:cs="Arial" w:eastAsia="Arial" w:hAnsi="Arial"/>
                <w:sz w:val="18"/>
                <w:szCs w:val="18"/>
                <w:color w:val="auto"/>
              </w:rPr>
              <w:t>Repayment of note payable, related party</w:t>
            </w: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public warrants</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80" w:type="dxa"/>
            <w:vAlign w:val="bottom"/>
          </w:tcPr>
          <w:p>
            <w:pPr>
              <w:ind w:left="180"/>
              <w:spacing w:after="0"/>
              <w:rPr>
                <w:sz w:val="20"/>
                <w:szCs w:val="20"/>
                <w:color w:val="auto"/>
              </w:rPr>
            </w:pPr>
            <w:r>
              <w:rPr>
                <w:rFonts w:ascii="Arial" w:cs="Arial" w:eastAsia="Arial" w:hAnsi="Arial"/>
                <w:sz w:val="18"/>
                <w:szCs w:val="18"/>
                <w:color w:val="auto"/>
              </w:rPr>
              <w:t>Proceeds from exercise of options</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54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15,171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(24,531)</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Beginning cash</w:t>
            </w:r>
          </w:p>
        </w:tc>
        <w:tc>
          <w:tcPr>
            <w:tcW w:w="1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17,781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28,630</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w:t>
            </w:r>
          </w:p>
        </w:tc>
        <w:tc>
          <w:tcPr>
            <w:tcW w:w="15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1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8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194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237</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480" w:type="dxa"/>
            <w:vAlign w:val="bottom"/>
            <w:tcBorders>
              <w:top w:val="single" w:sz="8" w:color="CCEEFF"/>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 paid for interest</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4,361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Supplemental Non-Cash Items</w:t>
            </w: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 of options exercised</w:t>
            </w:r>
          </w:p>
        </w:tc>
        <w:tc>
          <w:tcPr>
            <w:tcW w:w="194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Purchases of property and equipment, not yet paid</w:t>
            </w:r>
          </w:p>
        </w:tc>
        <w:tc>
          <w:tcPr>
            <w:tcW w:w="150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480" w:type="dxa"/>
            <w:vAlign w:val="bottom"/>
            <w:tcBorders>
              <w:bottom w:val="single" w:sz="8" w:color="CCEEFF"/>
            </w:tcBorders>
            <w:shd w:val="clear" w:color="auto" w:fill="CCEEFF"/>
          </w:tcPr>
          <w:p>
            <w:pPr>
              <w:ind w:left="360"/>
              <w:spacing w:after="0" w:line="190" w:lineRule="exact"/>
              <w:rPr>
                <w:sz w:val="20"/>
                <w:szCs w:val="20"/>
                <w:color w:val="auto"/>
              </w:rPr>
            </w:pPr>
            <w:r>
              <w:rPr>
                <w:rFonts w:ascii="Arial" w:cs="Arial" w:eastAsia="Arial" w:hAnsi="Arial"/>
                <w:sz w:val="18"/>
                <w:szCs w:val="18"/>
                <w:color w:val="auto"/>
              </w:rPr>
              <w:t>Cashless exercise of liability classified warrants</w:t>
            </w:r>
          </w:p>
        </w:tc>
        <w:tc>
          <w:tcPr>
            <w:tcW w:w="15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12,628</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and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Although New Dragonfly was the legal acquirer of Legacy Dragonfly in the merger, Legacy Dragonfly was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the historical financial statements of Legacy Dragonfly became the historical financial statements of the Company upon the consummation of the merger. As a result, the financial statements included in this Quarterly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consolidated financial statements and related notes have been prepared in accordance with accounting principles generally accepted in the United States of America (“U.S. GAAP”) and present the consolidated financial statements of the Company and its wholly owned subsidiary. All significant intercompany transactions and balances are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and related notes have been prepared in accordance with U.S. GAAP for interim financial information, and with the rules and regulations of the United States Securities and Exchange Commission (the “SEC”) set forth in Article 8 of Regulation S X. Accordingly, they do not include all of the information and footnotes required by U.S. GAAP for complete financial statements. The unaudited interim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condensed and consolidated financial statements should be read along with the Annual Report filed of the Company for the annual period ended December 31, 2022. The consolidated balance sheet as of December 31, 2022 was derived from the audited consolidated financial statements as of and for the year then ended.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Going Concern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a going concern basis, which contemplates the realization of assets and the satisfaction of liabilities in the normal course of business. The condensed consolidated financial statements do not include any adjustments that might result from the outcome of this uncertainty.</w:t>
      </w:r>
    </w:p>
    <w:p>
      <w:pPr>
        <w:spacing w:after="0" w:line="184"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six months ended June 30, 2023 and 2022, the Company incurred loss from operations and had negative cash flow from operations. As of June 30, 2023, the Company had $32,952 in cash and working capital of $30,592. The Company’s ability to achieve profitability and positive cash flow depends on its ability to increase revenue, contain its expenses and maintain compliance with the financial covenants in its outstanding indebtedness agreements.</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(See Note 6).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While the Company was in compliance with its covenants for the quarter ended June 30, 2023, it is probable that the Company will fail to meet these covenants within the next twelve months.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may need to raise additional debt and/or equity financings to fund our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does not have a material impact to the financial statements or financial statement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recently adopted accounting standards that had a material impact on the Company’s financial statements. There were no recently issued accounting standards not yet adopted which would have a material effect on the Company’s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trade receivables are recorded when billed and represent claims against third parties that will be settled in cash. Generally, payment is due from customers within 30 – 90 days of the invoice date and the contracts do not have significant financing components. Trade accounts receivables are recorded gross and are net of any applicable allowance. The Company has an allowance for doubtful accounts as of June 30, 2023 and December 31, 2022 of $131 and $90,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(Note 4),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 reserves. Inventory that is in excess of current and projected use is reduced by an allowance to a level that approximates its estimate of future demand. Products that are determined to be obsolete are written down to net realizable value. As of June 30, 2023 and December 31, 2022, no such reserves were 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six months ended June 30, 2023 and 2022 was $593 and $389, respectively. Depreciation expense for the three months ended June 30, 2023 and 2022 was $296 and $197, respectively. The various classes of property and equipment and estimated useful lives are as follows:</w:t>
      </w:r>
    </w:p>
    <w:tbl>
      <w:tblPr>
        <w:tblLayout w:type="fixed"/>
        <w:tblInd w:w="660" w:type="dxa"/>
        <w:tblCellMar>
          <w:top w:w="0" w:type="dxa"/>
          <w:left w:w="0" w:type="dxa"/>
          <w:bottom w:w="0" w:type="dxa"/>
          <w:right w:w="0" w:type="dxa"/>
        </w:tblCellMar>
      </w:tblPr>
      <w:tr>
        <w:trPr>
          <w:trHeight w:val="205"/>
        </w:trPr>
        <w:tc>
          <w:tcPr>
            <w:tcW w:w="3800" w:type="dxa"/>
            <w:vAlign w:val="bottom"/>
          </w:tcPr>
          <w:p>
            <w:pPr>
              <w:spacing w:after="0" w:line="205" w:lineRule="exact"/>
              <w:rPr>
                <w:sz w:val="20"/>
                <w:szCs w:val="20"/>
                <w:color w:val="auto"/>
              </w:rPr>
            </w:pPr>
            <w:r>
              <w:rPr>
                <w:rFonts w:ascii="Arial" w:cs="Arial" w:eastAsia="Arial" w:hAnsi="Arial"/>
                <w:sz w:val="18"/>
                <w:szCs w:val="18"/>
                <w:color w:val="auto"/>
              </w:rPr>
              <w:t>Office furniture and equipment</w:t>
            </w:r>
          </w:p>
        </w:tc>
        <w:tc>
          <w:tcPr>
            <w:tcW w:w="3420" w:type="dxa"/>
            <w:vAlign w:val="bottom"/>
          </w:tcPr>
          <w:p>
            <w:pPr>
              <w:jc w:val="center"/>
              <w:ind w:left="1470"/>
              <w:spacing w:after="0" w:line="205" w:lineRule="exact"/>
              <w:rPr>
                <w:sz w:val="20"/>
                <w:szCs w:val="20"/>
                <w:color w:val="auto"/>
              </w:rPr>
            </w:pPr>
            <w:r>
              <w:rPr>
                <w:rFonts w:ascii="Arial" w:cs="Arial" w:eastAsia="Arial" w:hAnsi="Arial"/>
                <w:sz w:val="18"/>
                <w:szCs w:val="18"/>
                <w:color w:val="auto"/>
                <w:w w:val="87"/>
              </w:rPr>
              <w:t>3 to 7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Vehicles</w:t>
            </w:r>
          </w:p>
        </w:tc>
        <w:tc>
          <w:tcPr>
            <w:tcW w:w="3420" w:type="dxa"/>
            <w:vAlign w:val="bottom"/>
          </w:tcPr>
          <w:p>
            <w:pPr>
              <w:jc w:val="center"/>
              <w:ind w:left="1450"/>
              <w:spacing w:after="0"/>
              <w:rPr>
                <w:sz w:val="20"/>
                <w:szCs w:val="20"/>
                <w:color w:val="auto"/>
              </w:rPr>
            </w:pPr>
            <w:r>
              <w:rPr>
                <w:rFonts w:ascii="Arial" w:cs="Arial" w:eastAsia="Arial" w:hAnsi="Arial"/>
                <w:sz w:val="18"/>
                <w:szCs w:val="18"/>
                <w:color w:val="auto"/>
                <w:w w:val="88"/>
              </w:rPr>
              <w:t>5 years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7"/>
              </w:rPr>
              <w:t>3 to 7 years</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420" w:type="dxa"/>
            <w:vAlign w:val="bottom"/>
          </w:tcPr>
          <w:p>
            <w:pPr>
              <w:jc w:val="center"/>
              <w:ind w:left="1470"/>
              <w:spacing w:after="0"/>
              <w:rPr>
                <w:sz w:val="20"/>
                <w:szCs w:val="20"/>
                <w:color w:val="auto"/>
              </w:rPr>
            </w:pPr>
            <w:r>
              <w:rPr>
                <w:rFonts w:ascii="Arial" w:cs="Arial" w:eastAsia="Arial" w:hAnsi="Arial"/>
                <w:sz w:val="18"/>
                <w:szCs w:val="18"/>
                <w:color w:val="auto"/>
                <w:w w:val="89"/>
              </w:rPr>
              <w:t>Remaining Term of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Use of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Accounting Standards Codification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require equity classification are measured at fair value upon issuance and are not subsequently remeasured unless they are required to be reclassified.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7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June 30, 2023 and December 31, 2022, the contract liability related to the Company’s customer deposits approximated $152 and $238, respectively. The Company recognized $221 of the contract liability pertaining to the year ended December 31, 2022 during the six months ended June 30, 2023. The entire contract liability balance of $434 as of January 1, 2022 was recognized as revenue during the six months ended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w w:val="89"/>
              </w:rPr>
              <w:t>Disaggregation of Revenue</w:t>
            </w:r>
          </w:p>
        </w:tc>
        <w:tc>
          <w:tcPr>
            <w:tcW w:w="2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52"/>
        </w:trPr>
        <w:tc>
          <w:tcPr>
            <w:tcW w:w="6080" w:type="dxa"/>
            <w:vAlign w:val="bottom"/>
            <w:gridSpan w:val="6"/>
          </w:tcPr>
          <w:p>
            <w:pPr>
              <w:spacing w:after="0"/>
              <w:rPr>
                <w:sz w:val="20"/>
                <w:szCs w:val="20"/>
                <w:color w:val="auto"/>
              </w:rPr>
            </w:pPr>
            <w:r>
              <w:rPr>
                <w:rFonts w:ascii="Arial" w:cs="Arial" w:eastAsia="Arial" w:hAnsi="Arial"/>
                <w:sz w:val="18"/>
                <w:szCs w:val="18"/>
                <w:color w:val="auto"/>
                <w:w w:val="95"/>
              </w:rPr>
              <w:t>The following table present our disaggregated revenues by distribution channel:</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40" w:type="dxa"/>
            <w:vAlign w:val="bottom"/>
            <w:gridSpan w:val="5"/>
          </w:tcPr>
          <w:p>
            <w:pPr>
              <w:ind w:left="60"/>
              <w:spacing w:after="0"/>
              <w:rPr>
                <w:sz w:val="20"/>
                <w:szCs w:val="20"/>
                <w:color w:val="auto"/>
              </w:rPr>
            </w:pPr>
            <w:r>
              <w:rPr>
                <w:rFonts w:ascii="Arial" w:cs="Arial" w:eastAsia="Arial" w:hAnsi="Arial"/>
                <w:sz w:val="18"/>
                <w:szCs w:val="18"/>
                <w:color w:val="auto"/>
              </w:rPr>
              <w:t>For The Three Months Ended June 30,</w:t>
            </w:r>
          </w:p>
        </w:tc>
        <w:tc>
          <w:tcPr>
            <w:tcW w:w="160" w:type="dxa"/>
            <w:vAlign w:val="bottom"/>
          </w:tcPr>
          <w:p>
            <w:pPr>
              <w:spacing w:after="0"/>
              <w:rPr>
                <w:sz w:val="20"/>
                <w:szCs w:val="20"/>
                <w:color w:val="auto"/>
              </w:rPr>
            </w:pPr>
          </w:p>
        </w:tc>
        <w:tc>
          <w:tcPr>
            <w:tcW w:w="3020" w:type="dxa"/>
            <w:vAlign w:val="bottom"/>
            <w:gridSpan w:val="6"/>
          </w:tcPr>
          <w:p>
            <w:pPr>
              <w:ind w:left="80"/>
              <w:spacing w:after="0"/>
              <w:rPr>
                <w:sz w:val="20"/>
                <w:szCs w:val="20"/>
                <w:color w:val="auto"/>
              </w:rPr>
            </w:pPr>
            <w:r>
              <w:rPr>
                <w:rFonts w:ascii="Arial" w:cs="Arial" w:eastAsia="Arial" w:hAnsi="Arial"/>
                <w:sz w:val="18"/>
                <w:szCs w:val="18"/>
                <w:color w:val="auto"/>
              </w:rPr>
              <w:t>For The Six Months Ended June 30,</w:t>
            </w:r>
          </w:p>
        </w:tc>
      </w:tr>
      <w:tr>
        <w:trPr>
          <w:trHeight w:val="237"/>
        </w:trPr>
        <w:tc>
          <w:tcPr>
            <w:tcW w:w="900" w:type="dxa"/>
            <w:vAlign w:val="bottom"/>
          </w:tcPr>
          <w:p>
            <w:pPr>
              <w:spacing w:after="0"/>
              <w:rPr>
                <w:sz w:val="20"/>
                <w:szCs w:val="20"/>
                <w:color w:val="auto"/>
              </w:rPr>
            </w:pPr>
          </w:p>
        </w:tc>
        <w:tc>
          <w:tcPr>
            <w:tcW w:w="34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Sales</w:t>
            </w:r>
          </w:p>
        </w:tc>
        <w:tc>
          <w:tcPr>
            <w:tcW w:w="14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0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28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Retail</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5,829</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Distributor</w:t>
            </w:r>
          </w:p>
        </w:tc>
        <w:tc>
          <w:tcPr>
            <w:tcW w:w="140" w:type="dxa"/>
            <w:vAlign w:val="bottom"/>
          </w:tcPr>
          <w:p>
            <w:pPr>
              <w:spacing w:after="0"/>
              <w:rPr>
                <w:sz w:val="18"/>
                <w:szCs w:val="18"/>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4,143</w:t>
            </w:r>
          </w:p>
        </w:tc>
        <w:tc>
          <w:tcPr>
            <w:tcW w:w="3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2,534</w:t>
            </w:r>
          </w:p>
        </w:tc>
        <w:tc>
          <w:tcPr>
            <w:tcW w:w="16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7,111</w:t>
            </w:r>
          </w:p>
        </w:tc>
        <w:tc>
          <w:tcPr>
            <w:tcW w:w="3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4,621</w:t>
            </w:r>
          </w:p>
        </w:tc>
        <w:tc>
          <w:tcPr>
            <w:tcW w:w="80" w:type="dxa"/>
            <w:vAlign w:val="bottom"/>
          </w:tcPr>
          <w:p>
            <w:pPr>
              <w:spacing w:after="0"/>
              <w:rPr>
                <w:sz w:val="18"/>
                <w:szCs w:val="18"/>
                <w:color w:val="auto"/>
              </w:rPr>
            </w:pPr>
          </w:p>
        </w:tc>
      </w:tr>
      <w:tr>
        <w:trPr>
          <w:trHeight w:val="250"/>
        </w:trPr>
        <w:tc>
          <w:tcPr>
            <w:tcW w:w="900" w:type="dxa"/>
            <w:vAlign w:val="bottom"/>
          </w:tcPr>
          <w:p>
            <w:pPr>
              <w:spacing w:after="0"/>
              <w:rPr>
                <w:sz w:val="21"/>
                <w:szCs w:val="21"/>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Original equipment manufacture</w:t>
            </w:r>
          </w:p>
        </w:tc>
        <w:tc>
          <w:tcPr>
            <w:tcW w:w="1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w:t>
            </w:r>
          </w:p>
        </w:tc>
        <w:tc>
          <w:tcPr>
            <w:tcW w:w="34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7,238</w:t>
            </w:r>
          </w:p>
        </w:tc>
        <w:tc>
          <w:tcPr>
            <w:tcW w:w="16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18,056</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10,419</w:t>
            </w:r>
          </w:p>
        </w:tc>
        <w:tc>
          <w:tcPr>
            <w:tcW w:w="80" w:type="dxa"/>
            <w:vAlign w:val="bottom"/>
            <w:shd w:val="clear" w:color="auto" w:fill="CCEEFF"/>
          </w:tcPr>
          <w:p>
            <w:pPr>
              <w:spacing w:after="0"/>
              <w:rPr>
                <w:sz w:val="21"/>
                <w:szCs w:val="21"/>
                <w:color w:val="auto"/>
              </w:rPr>
            </w:pPr>
          </w:p>
        </w:tc>
      </w:tr>
      <w:tr>
        <w:trPr>
          <w:trHeight w:val="217"/>
        </w:trPr>
        <w:tc>
          <w:tcPr>
            <w:tcW w:w="900" w:type="dxa"/>
            <w:vAlign w:val="bottom"/>
          </w:tcPr>
          <w:p>
            <w:pPr>
              <w:spacing w:after="0"/>
              <w:rPr>
                <w:sz w:val="18"/>
                <w:szCs w:val="18"/>
                <w:color w:val="auto"/>
              </w:rPr>
            </w:pPr>
          </w:p>
        </w:tc>
        <w:tc>
          <w:tcPr>
            <w:tcW w:w="3440" w:type="dxa"/>
            <w:vAlign w:val="bottom"/>
            <w:tcBorders>
              <w:top w:val="single" w:sz="8" w:color="CCEEFF"/>
            </w:tcBorders>
            <w:gridSpan w:val="2"/>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19,274</w:t>
            </w: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21,622</w:t>
            </w:r>
          </w:p>
        </w:tc>
        <w:tc>
          <w:tcPr>
            <w:tcW w:w="3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38,065</w:t>
            </w:r>
          </w:p>
        </w:tc>
        <w:tc>
          <w:tcPr>
            <w:tcW w:w="28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39,925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2857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Shipping and Handling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$1,958 and $2,534 for the six months ended June 30, 2023 and 2022, respectively. Shipping and handling costs associated with outbound freight totaled $951 and $1,306 for the three months ended June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 Warranty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June 30, 2023 and December 31, 2022 to be $329 and $328,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Concentrations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Receivables from two customers comprised approximately 22% and 20%, respectively, of accounts receivable as of June 30, 2023. Receivables from three customers comprised approximately 18%, 10% and 10%, respectively, of accounts receivable as of December 31, 2022. There are no other significant accounts receivable concentration.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from one customer comprised approximately 26% of revenue for the six months ended June 30, 2023. One customer accounted for approximately 11% of the Company’s total revenue for the six months ended June 30, 2022. Sales from one customer comprised approximately 27% of revenue for the three months ended June 30, 2023. One customer accounted for approximately 15% of the Company’s total revenue for the three months ended June 30, 2022.</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Payables to two vendors comprised approximately 56% and 10%, respectively, of accounts payables as of June 30, 2023. Payables to one vendor comprised approximately 61% of accounts payables as of December 31,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 months ended June 30, 2023, one vendor accounted for approximately 22% of the Company’s total purchases. For the six months ended June 30, 2022, one vendor accounted for approximately 26% of the Company’s total purchases. For the three months ended June 30, 2023, one vendor accounted for approximately 10% of the Company’s total purchases. For the three months ended June 30, 2022, two vendors accounted for approximately 17% and 15%, respectively, of the Company’s total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advertising costs as they are incurred and are included in selling and marketing expenses. Advertising expenses amounted to $1,270 and $1,262 for the six months ended June 30, 2023 and 2022, respectively. Advertising expenses amounted to $683 and $481 for the three months ended June 30,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stock-based compensation arrangements with employees and non-employee consultants using a fair value method which requires the recognition of compensation expense for costs related to all stock-based payments, including stock option</w:t>
      </w:r>
      <w:r>
        <w:rPr>
          <w:rFonts w:ascii="Arial" w:cs="Arial" w:eastAsia="Arial" w:hAnsi="Arial"/>
          <w:sz w:val="16"/>
          <w:szCs w:val="16"/>
          <w:b w:val="1"/>
          <w:bCs w:val="1"/>
          <w:color w:val="auto"/>
        </w:rPr>
        <w:t>s</w:t>
      </w:r>
      <w:r>
        <w:rPr>
          <w:rFonts w:ascii="Arial" w:cs="Arial" w:eastAsia="Arial" w:hAnsi="Arial"/>
          <w:sz w:val="16"/>
          <w:szCs w:val="16"/>
          <w:color w:val="auto"/>
        </w:rPr>
        <w:t xml:space="preserve"> (Note 11). The fair value method requires the Company to estimate the fair value of stock-based payment awards to employees and non-employees on the date of grant using an option pricing model. Stock based compensation costs are based on the fair value of the underlying option calculated using the Black Scholes option pricing model and recognized as expense on a straight-line basis over the requisite service period, which is the vesting period. Restricted stock unit awards are valued based on the closing trading value of the Company’s common stock, par value $0.0001, per share (the “Common Stock”) on the date of grant and then amortized on a straight-line basis over the requisite service period of the award. The Company measures equity-based compensation awards granted to non-employees at fair value as the awards vest and recognizes the resulting value as compensation expense at each financial reporting period.</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income tax assets and liabilities are determined based on the estimated future tax effects of net operating loss, credit carryforwards and temporary differences between the tax basis of assets and liabilities and their respective financial reporting amounts measured at the current enacted tax rates. The Company recognizes a tax benefit for an uncertain tax position only if it is more likely than not that the tax position will be sustained on examination by taxing authorities, based on the technical merits of the position. The Company has a liability of $128 as of June 30, 2023, and December 31, 2022 of uncertain tax positions. The Company’s accounting policy is to include penalties and interest related to income taxes if any, in selling, general and administrative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61"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22"/>
          <w:szCs w:val="22"/>
          <w:color w:val="auto"/>
        </w:rPr>
      </w:pPr>
      <w:r>
        <w:rPr>
          <w:rFonts w:ascii="Arial" w:cs="Arial" w:eastAsia="Arial" w:hAnsi="Arial"/>
          <w:sz w:val="18"/>
          <w:szCs w:val="18"/>
          <w:color w:val="auto"/>
        </w:rPr>
        <w:t>Level 1 inputs are quoted prices (unadjusted) in active markets for identical assets or liabilities.</w:t>
      </w:r>
    </w:p>
    <w:p>
      <w:pPr>
        <w:spacing w:after="0" w:line="28" w:lineRule="exact"/>
        <w:rPr>
          <w:rFonts w:ascii="Arial" w:cs="Arial" w:eastAsia="Arial" w:hAnsi="Arial"/>
          <w:sz w:val="22"/>
          <w:szCs w:val="22"/>
          <w:color w:val="auto"/>
        </w:rPr>
      </w:pPr>
    </w:p>
    <w:p>
      <w:pPr>
        <w:ind w:left="340" w:hanging="332"/>
        <w:spacing w:after="0" w:line="235" w:lineRule="auto"/>
        <w:tabs>
          <w:tab w:leader="none" w:pos="340" w:val="left"/>
        </w:tabs>
        <w:numPr>
          <w:ilvl w:val="0"/>
          <w:numId w:val="74"/>
        </w:numPr>
        <w:rPr>
          <w:rFonts w:ascii="Arial" w:cs="Arial" w:eastAsia="Arial" w:hAnsi="Arial"/>
          <w:sz w:val="19"/>
          <w:szCs w:val="19"/>
          <w:color w:val="auto"/>
        </w:rPr>
      </w:pPr>
      <w:r>
        <w:rPr>
          <w:rFonts w:ascii="Arial" w:cs="Arial" w:eastAsia="Arial" w:hAnsi="Arial"/>
          <w:sz w:val="16"/>
          <w:szCs w:val="16"/>
          <w:color w:val="auto"/>
        </w:rPr>
        <w:t>Level 2 inputs are inputs other than quoted prices included within Level 1 that are observable for a similar asset or liability, either directly or indirectly.</w:t>
      </w:r>
    </w:p>
    <w:p>
      <w:pPr>
        <w:spacing w:after="0" w:line="29" w:lineRule="exact"/>
        <w:rPr>
          <w:rFonts w:ascii="Arial" w:cs="Arial" w:eastAsia="Arial" w:hAnsi="Arial"/>
          <w:sz w:val="19"/>
          <w:szCs w:val="19"/>
          <w:color w:val="auto"/>
        </w:rPr>
      </w:pPr>
    </w:p>
    <w:p>
      <w:pPr>
        <w:ind w:left="340" w:hanging="332"/>
        <w:spacing w:after="0" w:line="224" w:lineRule="auto"/>
        <w:tabs>
          <w:tab w:leader="none" w:pos="340" w:val="left"/>
        </w:tabs>
        <w:numPr>
          <w:ilvl w:val="0"/>
          <w:numId w:val="74"/>
        </w:numPr>
        <w:rPr>
          <w:rFonts w:ascii="Arial" w:cs="Arial" w:eastAsia="Arial" w:hAnsi="Arial"/>
          <w:sz w:val="22"/>
          <w:szCs w:val="22"/>
          <w:color w:val="auto"/>
        </w:rPr>
      </w:pPr>
      <w:r>
        <w:rPr>
          <w:rFonts w:ascii="Arial" w:cs="Arial" w:eastAsia="Arial" w:hAnsi="Arial"/>
          <w:sz w:val="18"/>
          <w:szCs w:val="18"/>
          <w:color w:val="auto"/>
        </w:rPr>
        <w:t>Level 3 inputs are unobservable inputs that reflect the Company’s own assumptions about the inputs that market participants would use in pricing the asset or liability.</w:t>
      </w: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assets and liabilities that were measured at fair value in the Condensed Consolidated Balance Sheets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Carrying 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400" w:type="dxa"/>
            <w:vAlign w:val="bottom"/>
          </w:tcPr>
          <w:p>
            <w:pPr>
              <w:jc w:val="right"/>
              <w:ind w:right="258"/>
              <w:spacing w:after="0"/>
              <w:rPr>
                <w:sz w:val="20"/>
                <w:szCs w:val="20"/>
                <w:color w:val="auto"/>
              </w:rPr>
            </w:pPr>
            <w:r>
              <w:rPr>
                <w:rFonts w:ascii="Arial" w:cs="Arial" w:eastAsia="Arial" w:hAnsi="Arial"/>
                <w:sz w:val="18"/>
                <w:szCs w:val="18"/>
                <w:color w:val="auto"/>
              </w:rPr>
              <w:t>(Level 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As of June 30, 2023</w:t>
            </w:r>
          </w:p>
        </w:tc>
        <w:tc>
          <w:tcPr>
            <w:tcW w:w="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1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600" w:type="dxa"/>
            <w:vAlign w:val="bottom"/>
            <w:gridSpan w:val="2"/>
          </w:tcPr>
          <w:p>
            <w:pPr>
              <w:jc w:val="right"/>
              <w:ind w:right="1238"/>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875</w:t>
            </w: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 liability- June public</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w:t>
            </w:r>
          </w:p>
        </w:tc>
        <w:tc>
          <w:tcPr>
            <w:tcW w:w="8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13,612</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13,612</w:t>
            </w: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13,612</w:t>
            </w:r>
          </w:p>
        </w:tc>
      </w:tr>
      <w:tr>
        <w:trPr>
          <w:trHeight w:val="202"/>
        </w:trPr>
        <w:tc>
          <w:tcPr>
            <w:tcW w:w="2500" w:type="dxa"/>
            <w:vAlign w:val="bottom"/>
            <w:gridSpan w:val="2"/>
          </w:tcPr>
          <w:p>
            <w:pPr>
              <w:spacing w:after="0" w:line="201" w:lineRule="exact"/>
              <w:rPr>
                <w:sz w:val="20"/>
                <w:szCs w:val="20"/>
                <w:color w:val="auto"/>
              </w:rPr>
            </w:pPr>
            <w:r>
              <w:rPr>
                <w:rFonts w:ascii="Arial" w:cs="Arial" w:eastAsia="Arial" w:hAnsi="Arial"/>
                <w:sz w:val="18"/>
                <w:szCs w:val="18"/>
                <w:color w:val="auto"/>
              </w:rPr>
              <w:t>Warrant liability- Private</w:t>
            </w: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2500" w:type="dxa"/>
            <w:vAlign w:val="bottom"/>
            <w:gridSpan w:val="2"/>
          </w:tcPr>
          <w:p>
            <w:pPr>
              <w:spacing w:after="0"/>
              <w:rPr>
                <w:sz w:val="20"/>
                <w:szCs w:val="20"/>
                <w:color w:val="auto"/>
              </w:rPr>
            </w:pPr>
            <w:r>
              <w:rPr>
                <w:rFonts w:ascii="Arial" w:cs="Arial" w:eastAsia="Arial" w:hAnsi="Arial"/>
                <w:sz w:val="18"/>
                <w:szCs w:val="18"/>
                <w:color w:val="auto"/>
              </w:rPr>
              <w:t>placement warrants</w:t>
            </w:r>
          </w:p>
        </w:tc>
        <w:tc>
          <w:tcPr>
            <w:tcW w:w="8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3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December 31, 2022: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Carrying Amount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Fair Value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(Level 1)</w:t>
            </w:r>
          </w:p>
        </w:tc>
        <w:tc>
          <w:tcPr>
            <w:tcW w:w="240" w:type="dxa"/>
            <w:vAlign w:val="bottom"/>
          </w:tcPr>
          <w:p>
            <w:pPr>
              <w:spacing w:after="0"/>
              <w:rPr>
                <w:sz w:val="20"/>
                <w:szCs w:val="20"/>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(Level 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3"/>
          </w:tcPr>
          <w:p>
            <w:pPr>
              <w:ind w:left="160"/>
              <w:spacing w:after="0"/>
              <w:rPr>
                <w:sz w:val="20"/>
                <w:szCs w:val="20"/>
                <w:color w:val="auto"/>
              </w:rPr>
            </w:pPr>
            <w:r>
              <w:rPr>
                <w:rFonts w:ascii="Arial" w:cs="Arial" w:eastAsia="Arial" w:hAnsi="Arial"/>
                <w:sz w:val="18"/>
                <w:szCs w:val="18"/>
                <w:color w:val="auto"/>
              </w:rPr>
              <w:t>(Level 3)</w:t>
            </w:r>
          </w:p>
        </w:tc>
      </w:tr>
      <w:tr>
        <w:trPr>
          <w:trHeight w:val="223"/>
        </w:trPr>
        <w:tc>
          <w:tcPr>
            <w:tcW w:w="74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8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8"/>
                <w:szCs w:val="18"/>
                <w:color w:val="auto"/>
                <w:w w:val="98"/>
              </w:rPr>
              <w:t>As of December 31, 2022</w:t>
            </w:r>
          </w:p>
        </w:tc>
        <w:tc>
          <w:tcPr>
            <w:tcW w:w="2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196"/>
        </w:trPr>
        <w:tc>
          <w:tcPr>
            <w:tcW w:w="7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7"/>
              </w:rPr>
              <w:t>Liabilities</w:t>
            </w:r>
          </w:p>
        </w:tc>
        <w:tc>
          <w:tcPr>
            <w:tcW w:w="1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Warrant liability- Term Loan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30,841</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30,841</w:t>
            </w:r>
          </w:p>
        </w:tc>
        <w:tc>
          <w:tcPr>
            <w:tcW w:w="5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30,841</w:t>
            </w:r>
          </w:p>
        </w:tc>
        <w:tc>
          <w:tcPr>
            <w:tcW w:w="80" w:type="dxa"/>
            <w:vAlign w:val="bottom"/>
          </w:tcPr>
          <w:p>
            <w:pPr>
              <w:spacing w:after="0"/>
              <w:rPr>
                <w:sz w:val="18"/>
                <w:szCs w:val="18"/>
                <w:color w:val="auto"/>
              </w:rPr>
            </w:pPr>
          </w:p>
        </w:tc>
      </w:tr>
      <w:tr>
        <w:trPr>
          <w:trHeight w:val="202"/>
        </w:trPr>
        <w:tc>
          <w:tcPr>
            <w:tcW w:w="2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 liability- Private</w:t>
            </w: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64"/>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placement warrants</w:t>
            </w:r>
          </w:p>
        </w:tc>
        <w:tc>
          <w:tcPr>
            <w:tcW w:w="8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1,990</w:t>
            </w: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w:t>
            </w:r>
          </w:p>
        </w:tc>
        <w:tc>
          <w:tcPr>
            <w:tcW w:w="3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1,990</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r>
      <w:tr>
        <w:trPr>
          <w:trHeight w:val="217"/>
        </w:trPr>
        <w:tc>
          <w:tcPr>
            <w:tcW w:w="25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32,831</w:t>
            </w: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30,841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accounts receivable and accounts payable are considered level 1 and approximate fair value as of June 30, 2023 and December 31, 2022 because of the relatively short maturity of these instruments.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the term loan as of June 30, 2023 and December 31, 2022 approximates fair value as the interest rate does not differ significantly from the current market rates available to the Company for similar debt and is considered level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5880" w:type="dxa"/>
            <w:vAlign w:val="bottom"/>
            <w:gridSpan w:val="2"/>
          </w:tcPr>
          <w:p>
            <w:pPr>
              <w:ind w:left="20"/>
              <w:spacing w:after="0"/>
              <w:rPr>
                <w:sz w:val="20"/>
                <w:szCs w:val="20"/>
                <w:color w:val="auto"/>
              </w:rPr>
            </w:pPr>
            <w:r>
              <w:rPr>
                <w:rFonts w:ascii="Arial" w:cs="Arial" w:eastAsia="Arial" w:hAnsi="Arial"/>
                <w:sz w:val="18"/>
                <w:szCs w:val="18"/>
                <w:b w:val="1"/>
                <w:bCs w:val="1"/>
                <w:color w:val="auto"/>
              </w:rPr>
              <w:t>- INVENTORY</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3"/>
          </w:tcPr>
          <w:p>
            <w:pPr>
              <w:spacing w:after="0"/>
              <w:rPr>
                <w:sz w:val="20"/>
                <w:szCs w:val="20"/>
                <w:color w:val="auto"/>
              </w:rPr>
            </w:pPr>
            <w:r>
              <w:rPr>
                <w:rFonts w:ascii="Arial" w:cs="Arial" w:eastAsia="Arial" w:hAnsi="Arial"/>
                <w:sz w:val="18"/>
                <w:szCs w:val="18"/>
                <w:color w:val="auto"/>
              </w:rPr>
              <w:t>Inventory consists of the following:</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Finished goods</w:t>
            </w:r>
          </w:p>
        </w:tc>
        <w:tc>
          <w:tcPr>
            <w:tcW w:w="2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5,485</w:t>
            </w:r>
          </w:p>
        </w:tc>
        <w:tc>
          <w:tcPr>
            <w:tcW w:w="12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7,260</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5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COMMITMENTS AND CONTINGENCIES</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58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leases related to the main office, warehouse space, research and development lab, and engineering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June 30, 2023, the lease has not commenced as the Company does not have control over the asset.</w:t>
      </w:r>
    </w:p>
    <w:p>
      <w:pPr>
        <w:sectPr>
          <w:pgSz w:w="11900" w:h="16838" w:orient="portrait"/>
          <w:cols w:equalWidth="0" w:num="1">
            <w:col w:w="11240"/>
          </w:cols>
          <w:pgMar w:left="320" w:top="688"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-121920</wp:posOffset>
            </wp:positionV>
            <wp:extent cx="4989195"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4989195"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Long-term operating lease liabilities</w:t>
      </w:r>
    </w:p>
    <w:p>
      <w:pPr>
        <w:spacing w:after="0" w:line="2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40640</wp:posOffset>
            </wp:positionV>
            <wp:extent cx="4989195"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remaining lease term</w:t>
      </w:r>
    </w:p>
    <w:p>
      <w:pPr>
        <w:spacing w:after="0" w:line="2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2,890</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4,129</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3.1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700" w:space="720"/>
            <w:col w:w="4820"/>
          </w:cols>
          <w:pgMar w:left="320" w:top="688" w:right="339" w:bottom="1440" w:gutter="0" w:footer="0" w:header="0"/>
          <w:type w:val="continuous"/>
        </w:sect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Assumptions used in determining our incremental borrowing rate include our implied credit rating and an estimate of secured borrowing rates based on comparable market data.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69" w:name="page170"/>
    <w:bookmarkEnd w:id="16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COMMITMENTS AND CONTINGENCIES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future minimum lease payments under these operating leases are as follows:</w:t>
      </w:r>
    </w:p>
    <w:p>
      <w:pPr>
        <w:spacing w:after="0" w:line="235"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Years Ending</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CCEEFF"/>
            </w:tcBorders>
          </w:tcPr>
          <w:p>
            <w:pPr>
              <w:spacing w:after="0"/>
              <w:rPr>
                <w:sz w:val="20"/>
                <w:szCs w:val="20"/>
                <w:color w:val="auto"/>
              </w:rPr>
            </w:pPr>
          </w:p>
        </w:tc>
      </w:tr>
      <w:tr>
        <w:trPr>
          <w:trHeight w:val="257"/>
        </w:trPr>
        <w:tc>
          <w:tcPr>
            <w:tcW w:w="52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December 31, 2023 </w:t>
            </w:r>
            <w:r>
              <w:rPr>
                <w:rFonts w:ascii="Arial" w:cs="Arial" w:eastAsia="Arial" w:hAnsi="Arial"/>
                <w:sz w:val="29"/>
                <w:szCs w:val="29"/>
                <w:color w:val="auto"/>
                <w:vertAlign w:val="superscript"/>
              </w:rPr>
              <w:t>(1)</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December 31, 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1,435</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December 31, 2026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893</w:t>
            </w:r>
          </w:p>
        </w:tc>
      </w:tr>
      <w:tr>
        <w:trPr>
          <w:trHeight w:val="236"/>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0"/>
        </w:trPr>
        <w:tc>
          <w:tcPr>
            <w:tcW w:w="526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w:t>
            </w:r>
          </w:p>
        </w:tc>
        <w:tc>
          <w:tcPr>
            <w:tcW w:w="40" w:type="dxa"/>
            <w:vAlign w:val="bottom"/>
            <w:tcBorders>
              <w:bottom w:val="single" w:sz="8" w:color="CCEEFF"/>
            </w:tcBorders>
          </w:tcPr>
          <w:p>
            <w:pPr>
              <w:spacing w:after="0"/>
              <w:rPr>
                <w:sz w:val="18"/>
                <w:szCs w:val="18"/>
                <w:color w:val="auto"/>
              </w:rPr>
            </w:pPr>
          </w:p>
        </w:tc>
      </w:tr>
      <w:tr>
        <w:trPr>
          <w:trHeight w:val="229"/>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7680" w:type="dxa"/>
            <w:vAlign w:val="bottom"/>
            <w:gridSpan w:val="10"/>
          </w:tcPr>
          <w:p>
            <w:pPr>
              <w:ind w:left="100"/>
              <w:spacing w:after="0"/>
              <w:rPr>
                <w:sz w:val="20"/>
                <w:szCs w:val="20"/>
                <w:color w:val="auto"/>
              </w:rPr>
            </w:pPr>
            <w:r>
              <w:rPr>
                <w:rFonts w:ascii="Arial" w:cs="Arial" w:eastAsia="Arial" w:hAnsi="Arial"/>
                <w:sz w:val="29"/>
                <w:szCs w:val="29"/>
                <w:color w:val="auto"/>
                <w:w w:val="96"/>
                <w:vertAlign w:val="superscript"/>
              </w:rPr>
              <w:t>(1)</w:t>
            </w:r>
            <w:r>
              <w:rPr>
                <w:rFonts w:ascii="Arial" w:cs="Arial" w:eastAsia="Arial" w:hAnsi="Arial"/>
                <w:sz w:val="18"/>
                <w:szCs w:val="18"/>
                <w:color w:val="auto"/>
                <w:w w:val="96"/>
              </w:rPr>
              <w:t>Represents scheduled payments for the remaining six-month period ending December 31, 2023</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8"/>
        </w:trPr>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60" w:type="dxa"/>
            <w:vAlign w:val="bottom"/>
            <w:gridSpan w:val="5"/>
          </w:tcPr>
          <w:p>
            <w:pPr>
              <w:ind w:left="300"/>
              <w:spacing w:after="0"/>
              <w:rPr>
                <w:sz w:val="20"/>
                <w:szCs w:val="20"/>
                <w:color w:val="auto"/>
              </w:rPr>
            </w:pPr>
            <w:r>
              <w:rPr>
                <w:rFonts w:ascii="Arial" w:cs="Arial" w:eastAsia="Arial" w:hAnsi="Arial"/>
                <w:sz w:val="18"/>
                <w:szCs w:val="18"/>
                <w:color w:val="auto"/>
              </w:rPr>
              <w:t>For The Three Months Ended</w:t>
            </w:r>
          </w:p>
        </w:tc>
        <w:tc>
          <w:tcPr>
            <w:tcW w:w="360" w:type="dxa"/>
            <w:vAlign w:val="bottom"/>
          </w:tcPr>
          <w:p>
            <w:pPr>
              <w:spacing w:after="0"/>
              <w:rPr>
                <w:sz w:val="24"/>
                <w:szCs w:val="24"/>
                <w:color w:val="auto"/>
              </w:rPr>
            </w:pPr>
          </w:p>
        </w:tc>
        <w:tc>
          <w:tcPr>
            <w:tcW w:w="3200" w:type="dxa"/>
            <w:vAlign w:val="bottom"/>
            <w:gridSpan w:val="5"/>
          </w:tcPr>
          <w:p>
            <w:pPr>
              <w:ind w:left="360"/>
              <w:spacing w:after="0"/>
              <w:rPr>
                <w:sz w:val="20"/>
                <w:szCs w:val="20"/>
                <w:color w:val="auto"/>
              </w:rPr>
            </w:pPr>
            <w:r>
              <w:rPr>
                <w:rFonts w:ascii="Arial" w:cs="Arial" w:eastAsia="Arial" w:hAnsi="Arial"/>
                <w:sz w:val="18"/>
                <w:szCs w:val="18"/>
                <w:color w:val="auto"/>
              </w:rPr>
              <w:t>For The Six Months Ended</w:t>
            </w:r>
          </w:p>
        </w:tc>
      </w:tr>
      <w:tr>
        <w:trPr>
          <w:trHeight w:val="237"/>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color w:val="auto"/>
              </w:rPr>
              <w:t>June 30,</w:t>
            </w:r>
          </w:p>
        </w:tc>
        <w:tc>
          <w:tcPr>
            <w:tcW w:w="11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June 30,</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1920" w:type="dxa"/>
            <w:vAlign w:val="bottom"/>
          </w:tcPr>
          <w:p>
            <w:pPr>
              <w:spacing w:after="0"/>
              <w:rPr>
                <w:sz w:val="20"/>
                <w:szCs w:val="20"/>
                <w:color w:val="auto"/>
              </w:rPr>
            </w:pPr>
            <w:r>
              <w:rPr>
                <w:rFonts w:ascii="Arial" w:cs="Arial" w:eastAsia="Arial" w:hAnsi="Arial"/>
                <w:sz w:val="18"/>
                <w:szCs w:val="18"/>
                <w:color w:val="auto"/>
              </w:rPr>
              <w:t>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Classification</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0"/>
                <w:szCs w:val="20"/>
                <w:color w:val="auto"/>
              </w:rPr>
            </w:pPr>
          </w:p>
        </w:tc>
      </w:tr>
      <w:tr>
        <w:trPr>
          <w:trHeight w:val="216"/>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Cost of goods sold</w:t>
            </w: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2"/>
        </w:trPr>
        <w:tc>
          <w:tcPr>
            <w:tcW w:w="1920" w:type="dxa"/>
            <w:vAlign w:val="bottom"/>
          </w:tcPr>
          <w:p>
            <w:pPr>
              <w:spacing w:after="0"/>
              <w:rPr>
                <w:sz w:val="17"/>
                <w:szCs w:val="17"/>
                <w:color w:val="auto"/>
              </w:rPr>
            </w:pPr>
          </w:p>
        </w:tc>
        <w:tc>
          <w:tcPr>
            <w:tcW w:w="170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Research and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36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02"/>
        </w:trPr>
        <w:tc>
          <w:tcPr>
            <w:tcW w:w="19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ind w:left="240"/>
              <w:spacing w:after="0" w:line="201" w:lineRule="exact"/>
              <w:rPr>
                <w:sz w:val="20"/>
                <w:szCs w:val="20"/>
                <w:color w:val="auto"/>
              </w:rPr>
            </w:pPr>
            <w:r>
              <w:rPr>
                <w:rFonts w:ascii="Arial" w:cs="Arial" w:eastAsia="Arial" w:hAnsi="Arial"/>
                <w:sz w:val="18"/>
                <w:szCs w:val="18"/>
                <w:color w:val="auto"/>
              </w:rPr>
              <w:t>General and</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administration</w:t>
            </w: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4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02"/>
        </w:trPr>
        <w:tc>
          <w:tcPr>
            <w:tcW w:w="1920" w:type="dxa"/>
            <w:vAlign w:val="bottom"/>
          </w:tcPr>
          <w:p>
            <w:pPr>
              <w:spacing w:after="0"/>
              <w:rPr>
                <w:sz w:val="17"/>
                <w:szCs w:val="17"/>
                <w:color w:val="auto"/>
              </w:rPr>
            </w:pPr>
          </w:p>
        </w:tc>
        <w:tc>
          <w:tcPr>
            <w:tcW w:w="1700" w:type="dxa"/>
            <w:vAlign w:val="bottom"/>
            <w:gridSpan w:val="2"/>
          </w:tcPr>
          <w:p>
            <w:pPr>
              <w:ind w:left="240"/>
              <w:spacing w:after="0" w:line="201" w:lineRule="exact"/>
              <w:rPr>
                <w:sz w:val="20"/>
                <w:szCs w:val="20"/>
                <w:color w:val="auto"/>
              </w:rPr>
            </w:pPr>
            <w:r>
              <w:rPr>
                <w:rFonts w:ascii="Arial" w:cs="Arial" w:eastAsia="Arial" w:hAnsi="Arial"/>
                <w:sz w:val="18"/>
                <w:szCs w:val="18"/>
                <w:color w:val="auto"/>
              </w:rPr>
              <w:t>Selling and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1920" w:type="dxa"/>
            <w:vAlign w:val="bottom"/>
          </w:tcPr>
          <w:p>
            <w:pPr>
              <w:spacing w:after="0"/>
              <w:rPr>
                <w:sz w:val="20"/>
                <w:szCs w:val="20"/>
                <w:color w:val="auto"/>
              </w:rPr>
            </w:pPr>
            <w:r>
              <w:rPr>
                <w:rFonts w:ascii="Arial" w:cs="Arial" w:eastAsia="Arial" w:hAnsi="Arial"/>
                <w:sz w:val="18"/>
                <w:szCs w:val="18"/>
                <w:color w:val="auto"/>
              </w:rPr>
              <w:t>Operating lease cost</w:t>
            </w:r>
          </w:p>
        </w:tc>
        <w:tc>
          <w:tcPr>
            <w:tcW w:w="1700" w:type="dxa"/>
            <w:vAlign w:val="bottom"/>
            <w:gridSpan w:val="2"/>
          </w:tcPr>
          <w:p>
            <w:pPr>
              <w:ind w:left="24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24"/>
                <w:szCs w:val="2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197"/>
        </w:trPr>
        <w:tc>
          <w:tcPr>
            <w:tcW w:w="19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Total lease cost</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395</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7 for further discussion regarding contingent consideration arising from the April 2022 asset purchase agreement with Thomason Jones Company, LLC.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ote</w:t>
      </w:r>
      <w:r>
        <w:rPr>
          <w:rFonts w:ascii="Arial" w:cs="Arial" w:eastAsia="Arial" w:hAnsi="Arial"/>
          <w:sz w:val="18"/>
          <w:szCs w:val="18"/>
          <w:b w:val="1"/>
          <w:bCs w:val="1"/>
          <w:color w:val="auto"/>
        </w:rPr>
        <w:t xml:space="preserve"> 6 -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Trust Indenture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merger on October 7, 2022 (the “Closing Date”), the Company entered into a Term Loan, Guarantee and Security Agreement (see “Term Loan Agreement” below) and the outstanding principal balance for the Series 2021-6 Notes underlying the Trust Indenture was paid in full. A loss on extinguishment of $4,824 was recognized upon settlement. During the six months ended June 30, 2022, a total of $1,254 of interest expense was incurred under the debt. Amortization of the debt issuance costs amounted to $1,197 during the six months ended June 30, 2022. During the three months ended June 30, 2022, a total of $635 of interest expense was incurred under the debt. Amortization of the debt issuance costs amounted to $584 during the three months ended June 30,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Agreement setting forth the terms of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7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optional prepayments by the Company upon written notice, the Term Loan Agreement provides for mandatory prepayments upon receipt of proceeds from certain transactions or casualty events. Beginning on the date the financial statements for the year ended December 31, 2023 are required to be delivered to the Term Loan Lenders, the Company will be required to prepay the Term Loan based on excess cash flow, as defined in the agreement.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Term Loan Lenders have been granted a first priority lien, and security interest in, the mortgaged properties underlying the Company’s mortgages.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June 30, 2023, a total of $3,651 and $7,147, respectively, of interest expense was incurred under the debt.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the debt issuance costs amounted to $401 and $620, respectively, during the three and six months ended June 30, 2023.</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balance of $22,372 on June 30, 2023 consisted of $75,000 in principal, plus $3,702 Paid-in-Kind (PIK) interest, less $56,330 in unamortized debt discount related to the debt issuance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Maximum Senior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Senior Leverage Ratio is the ratio of (a) consolidated indebtedness, as defined, on such date minus 100% of the unrestricted cash and cash equivalents held (subject to adjustment) to (b) Consolidated earnings before interest, tax and amortization (“EBITDA”) for the trailing twelve (12) fiscal month period most recently ended. If liquidity, as defined, for any fiscal quarter is less than $17,500, the Senior Leverage Ratio shall not be permitted, as of the last day of any fiscal quarter ending during any period set forth below, to exceed the ratio set forth opposite such period in the table below:</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Test Period Ending</w:t>
            </w:r>
          </w:p>
        </w:tc>
        <w:tc>
          <w:tcPr>
            <w:tcW w:w="1580" w:type="dxa"/>
            <w:vAlign w:val="bottom"/>
          </w:tcPr>
          <w:p>
            <w:pPr>
              <w:ind w:left="200"/>
              <w:spacing w:after="0"/>
              <w:rPr>
                <w:sz w:val="20"/>
                <w:szCs w:val="20"/>
                <w:color w:val="auto"/>
              </w:rPr>
            </w:pPr>
            <w:r>
              <w:rPr>
                <w:rFonts w:ascii="Arial" w:cs="Arial" w:eastAsia="Arial" w:hAnsi="Arial"/>
                <w:sz w:val="18"/>
                <w:szCs w:val="18"/>
                <w:b w:val="1"/>
                <w:bCs w:val="1"/>
                <w:color w:val="auto"/>
              </w:rPr>
              <w:t>Leverage Ratio</w:t>
            </w:r>
          </w:p>
        </w:tc>
      </w:tr>
      <w:tr>
        <w:trPr>
          <w:trHeight w:val="216"/>
        </w:trPr>
        <w:tc>
          <w:tcPr>
            <w:tcW w:w="6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2022 - March 31, 2023</w:t>
            </w:r>
          </w:p>
        </w:tc>
        <w:tc>
          <w:tcPr>
            <w:tcW w:w="1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6.75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2023 - September 30, 2023</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6.00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2023 - March 31, 2024</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5.00 to 1.00</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2024 - September 30, 2024</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4.00 to 1.00</w:t>
            </w: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2024 - March 31, 2025</w:t>
            </w:r>
          </w:p>
        </w:tc>
        <w:tc>
          <w:tcPr>
            <w:tcW w:w="15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3.25 to 1.00</w:t>
            </w: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June 30, 2025 and thereafter</w:t>
            </w:r>
          </w:p>
        </w:tc>
        <w:tc>
          <w:tcPr>
            <w:tcW w:w="1580" w:type="dxa"/>
            <w:vAlign w:val="bottom"/>
          </w:tcPr>
          <w:p>
            <w:pPr>
              <w:ind w:left="720"/>
              <w:spacing w:after="0"/>
              <w:rPr>
                <w:sz w:val="20"/>
                <w:szCs w:val="20"/>
                <w:color w:val="auto"/>
              </w:rPr>
            </w:pPr>
            <w:r>
              <w:rPr>
                <w:rFonts w:ascii="Arial" w:cs="Arial" w:eastAsia="Arial" w:hAnsi="Arial"/>
                <w:sz w:val="18"/>
                <w:szCs w:val="18"/>
                <w:color w:val="auto"/>
                <w:w w:val="88"/>
              </w:rPr>
              <w:t>3.00 to 1.00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shall not permit their Liquidity (determined on a consolidated basis) to be less than $10,000 as of the last day of each fiscal month (commencing with month ending December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Fixed Charge Coverage Ratio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Fixed Charge Coverage Ratio is the ratio of consolidated EBITDA (less capital expenditures and certain other adjustments) to consolidated fixed charges, as defined in the agreement. If Liquidity is less than $17,500 as of the last day of any fiscal quarter (commencing with the quarter ending December 31, 2022), then the Company shall not permit the Fixed Charge Coverage Ratio for the trailing four quarterly periods ending on the last day of any such quarter to be less than 1.15 to 1.00.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285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consolidated EBITDA for the trailing twelve-month period ending on the most recently completed fiscal quarter is less than $15,000, then the level of capital expenditures is limited.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was in compliance with its covenants as of June 30, 2023 and December 31, 2022. During the three months ended March 31, 2023, the Company determined it would fail to satisfy the fixed charge coverage ratio and maximum senior leverage ratio for the quarter. On March 29, 2023, the Company obtained a waiver from the Administrative Agent and the Term Loan Lenders of its failures to satisfy the fixed charge coverage ratio and maximum senior leverage ratio with respect to the minimum cash requirements under the Term Loan during the quarter ended March 31, 2023. As a result of the uncertainty of maintaining compliance with financial covenants the Company has continued to classify the entire term loan balance within current liabilities on the balance sheet.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3" w:name="page174"/>
    <w:bookmarkEnd w:id="173"/>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6 - DEBT (CONTINUED)</w:t>
            </w: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Future Debt Maturities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At June 30, 2023, the future debt maturities are as follows:</w:t>
            </w: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For Year Ended December 31,</w:t>
            </w:r>
          </w:p>
        </w:tc>
        <w:tc>
          <w:tcPr>
            <w:tcW w:w="4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5360" w:type="dxa"/>
            <w:vAlign w:val="bottom"/>
          </w:tcPr>
          <w:p>
            <w:pPr>
              <w:spacing w:after="0" w:line="256" w:lineRule="exact"/>
              <w:rPr>
                <w:sz w:val="20"/>
                <w:szCs w:val="20"/>
                <w:color w:val="auto"/>
              </w:rPr>
            </w:pPr>
            <w:r>
              <w:rPr>
                <w:rFonts w:ascii="Arial" w:cs="Arial" w:eastAsia="Arial" w:hAnsi="Arial"/>
                <w:sz w:val="18"/>
                <w:szCs w:val="18"/>
                <w:color w:val="auto"/>
              </w:rPr>
              <w:t xml:space="preserve">2023 </w:t>
            </w:r>
            <w:r>
              <w:rPr>
                <w:rFonts w:ascii="Arial" w:cs="Arial" w:eastAsia="Arial" w:hAnsi="Arial"/>
                <w:sz w:val="29"/>
                <w:szCs w:val="29"/>
                <w:color w:val="auto"/>
                <w:vertAlign w:val="superscript"/>
              </w:rPr>
              <w:t>(1)</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2025</w:t>
            </w:r>
          </w:p>
        </w:tc>
        <w:tc>
          <w:tcPr>
            <w:tcW w:w="4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960" w:type="dxa"/>
            <w:vAlign w:val="bottom"/>
          </w:tcPr>
          <w:p>
            <w:pPr>
              <w:spacing w:after="0"/>
              <w:rPr>
                <w:sz w:val="21"/>
                <w:szCs w:val="21"/>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80,620</w:t>
            </w: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5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85,308</w:t>
            </w:r>
          </w:p>
        </w:tc>
        <w:tc>
          <w:tcPr>
            <w:tcW w:w="6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Estimated interest paid-in-kind</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(6,606</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Total debt</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spacing w:after="0"/>
              <w:rPr>
                <w:sz w:val="20"/>
                <w:szCs w:val="20"/>
                <w:color w:val="auto"/>
              </w:rPr>
            </w:pPr>
          </w:p>
        </w:tc>
        <w:tc>
          <w:tcPr>
            <w:tcW w:w="536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78,702</w:t>
            </w:r>
          </w:p>
        </w:tc>
        <w:tc>
          <w:tcPr>
            <w:tcW w:w="6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9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Less: Unamortized debt issuance costs, noncurrent</w:t>
            </w:r>
          </w:p>
        </w:tc>
        <w:tc>
          <w:tcPr>
            <w:tcW w:w="4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(56,330</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Total carrying amount</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960" w:type="dxa"/>
            <w:vAlign w:val="bottom"/>
          </w:tcPr>
          <w:p>
            <w:pPr>
              <w:spacing w:after="0"/>
              <w:rPr>
                <w:sz w:val="17"/>
                <w:szCs w:val="17"/>
                <w:color w:val="auto"/>
              </w:rPr>
            </w:pPr>
          </w:p>
        </w:tc>
        <w:tc>
          <w:tcPr>
            <w:tcW w:w="536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22,372</w:t>
            </w:r>
          </w:p>
        </w:tc>
        <w:tc>
          <w:tcPr>
            <w:tcW w:w="6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 of debt</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(22,372</w:t>
            </w:r>
          </w:p>
        </w:tc>
        <w:tc>
          <w:tcPr>
            <w:tcW w:w="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Total long-term debt</w:t>
            </w: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60" w:hanging="257"/>
        <w:spacing w:after="0"/>
        <w:tabs>
          <w:tab w:leader="none" w:pos="360" w:val="left"/>
        </w:tabs>
        <w:numPr>
          <w:ilvl w:val="0"/>
          <w:numId w:val="75"/>
        </w:numPr>
        <w:rPr>
          <w:rFonts w:ascii="Arial" w:cs="Arial" w:eastAsia="Arial" w:hAnsi="Arial"/>
          <w:sz w:val="30"/>
          <w:szCs w:val="30"/>
          <w:color w:val="auto"/>
          <w:vertAlign w:val="superscript"/>
        </w:rPr>
      </w:pPr>
      <w:r>
        <w:rPr>
          <w:rFonts w:ascii="Arial" w:cs="Arial" w:eastAsia="Arial" w:hAnsi="Arial"/>
          <w:sz w:val="18"/>
          <w:szCs w:val="18"/>
          <w:color w:val="auto"/>
        </w:rPr>
        <w:t>Represents scheduled payments for the remaining six-month period ending December 31, 2023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ASSET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Bourns Production, Inc</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January 1, 2022, the Company entered into an asset purchase agreement (the “APA”) with Bourns Productions, Inc., a Nevada corporation (“Bourns Productions”) pursuant to which the Company acquired machinery, equipment and a lease for a podcast studio from Bourns Productions as set forth in the APA for a purchase price of $197 which approximated fair market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Thomason Jones Company,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2022, the Company entered into an Asset Purchase Agreement (the “April 2022 Asset Purchase Agreement”) with William Thomason, Richard Jones, and Thomason Jones Company, LLC (“Thomason Jones”) whereby the Company acquired inventory and intellectual property assets for up to $700 cash plus contingent payments of $1,000 each to William Thomason and Richard Jones (the “Earn Out”). The Company determined the contingent consideration to be recognized as contingent compensation to Mr. Thomason and Mr. Jones. The Company concluded the purchase price to be $444 and was allocated in its entirety to inventory.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Compensation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within twenty-four months of the Agreement the Company realizes $3,000 in gross sales of product either (a) sold under the Wakespeed brand and/or (b) which incorporates any portion of Purchased IP as listed within the agreement, then the Company will pay to Thomason and Jones each the amount of $1,000 as soon as reasonably practicable. This payment may be made in cash or common stock, in the sole discretion of the Company. As a result, the Company determined that a liability should be recorded ratably over the 24-month period. The Company recognized immediate compensation expense within sales and marketing of $417 on October 1, 2022 for amounts that should have been accrued for during the period April 2022 through September 2022. In October 2022, the Company determined the sales goals will most likely be achieved within 18 months. As a result, the Company changed its estimate prospectively and accelerated the accrual as if the sales goals would be achieved within an 18-month period from the date of acquisition. As a result, the Company recorded an accrual related to the Earn Out in the amount of $1,909 and $782 as of June 30, 2023 and December 31, 2022, respectively.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4" w:name="page175"/>
    <w:bookmarkEnd w:id="174"/>
    <w:p>
      <w:pPr>
        <w:spacing w:after="0" w:line="56" w:lineRule="exact"/>
        <w:rPr>
          <w:sz w:val="20"/>
          <w:szCs w:val="20"/>
          <w:color w:val="auto"/>
        </w:rPr>
      </w:pPr>
    </w:p>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25, 2022, the Company entered into a separation and release of claims agreement with its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5, 2023, the Company entered into a convertible promissory note (the “Note”) with a board member in the amount of $1,000, or the Principal Amount. Upon execution of the Note and funding of the original principal sum, a payment of $100 (the “Loan Fee”) was fully earned as of the date of the Note and was due and payable in full in cash on April 4, 2023. The Company paid the Principal Amount and the Loan Fee on April 1, 2023 and April 4, 2023, respectively.</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26, 2023, the Company entered into a separation and release of claims agreement with its Chief Legal Officer (“CLO”). As consideration for the CLO’s execution of the agreement, the Company agreed to pay the employee payments equivalent to $720 for wages and benefits divided into 24 monthly payments commencing on June 1, 2023, and all outstanding equity-based compensation awards to become fully vested and exercisable resulting in an expense of $76. The CLO shall have 3 months from the termination date to exercise outstanding options. The three-month period ended on July 26, 2023 in which the options were not exercised and the options were forfeited as a result.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Each Public Warrant entitles the holder to the right to purchase one share of common stock at an exercise price of $11.50 per share. No fractional shares will be issued upon exercise of the Public Warrants. The Company may elect to redeem the Public Warrants subject to certain conditions, in whole and not in part,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Upon issuance of a redemption notice by the Company, the warrant holders have a period of 30 days to exercise for cash, or on a cashless basis. On the Closing Date, there were 9,487,500 Public Warrants issued and outstanding. The Public Warrants are not precluded from equity classification and are accounted for as such on the date of issuance, and each balance sheet date thereafter.</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the Company received proceeds from public warrant exercises of $747 in exchange for 64,971 common shares.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receive any proceeds from public warrants during the three months ended June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entry into the underwriting agreement as further described in Note 10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Warrant, less underwriting discounts and commissions .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its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Underwriter Warrants:</w:t>
      </w:r>
    </w:p>
    <w:p>
      <w:pPr>
        <w:spacing w:after="0" w:line="225"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287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00395" cy="142875"/>
                    </a:xfrm>
                    <a:prstGeom prst="rect">
                      <a:avLst/>
                    </a:prstGeom>
                    <a:noFill/>
                  </pic:spPr>
                </pic:pic>
              </a:graphicData>
            </a:graphic>
          </wp:anchor>
        </w:drawing>
      </w:r>
    </w:p>
    <w:p>
      <w:pPr>
        <w:spacing w:after="0" w:line="2" w:lineRule="exact"/>
        <w:rPr>
          <w:sz w:val="20"/>
          <w:szCs w:val="20"/>
          <w:color w:val="auto"/>
        </w:rPr>
      </w:pPr>
    </w:p>
    <w:p>
      <w:pPr>
        <w:ind w:left="1140"/>
        <w:spacing w:after="0"/>
        <w:tabs>
          <w:tab w:leader="none" w:pos="9960" w:val="left"/>
        </w:tabs>
        <w:rPr>
          <w:sz w:val="20"/>
          <w:szCs w:val="20"/>
          <w:color w:val="auto"/>
        </w:rPr>
      </w:pPr>
      <w:r>
        <w:rPr>
          <w:rFonts w:ascii="Arial" w:cs="Arial" w:eastAsia="Arial" w:hAnsi="Arial"/>
          <w:sz w:val="18"/>
          <w:szCs w:val="18"/>
          <w:color w:val="auto"/>
        </w:rPr>
        <w:t>Warrants Outstanding, January 1, 2023</w:t>
      </w:r>
      <w:r>
        <w:rPr>
          <w:sz w:val="20"/>
          <w:szCs w:val="20"/>
          <w:color w:val="auto"/>
        </w:rPr>
        <w:tab/>
      </w:r>
      <w:r>
        <w:rPr>
          <w:rFonts w:ascii="Arial" w:cs="Arial" w:eastAsia="Arial" w:hAnsi="Arial"/>
          <w:sz w:val="18"/>
          <w:szCs w:val="18"/>
          <w:color w:val="auto"/>
        </w:rPr>
        <w:t>-</w:t>
      </w:r>
    </w:p>
    <w:p>
      <w:pPr>
        <w:sectPr>
          <w:pgSz w:w="11900" w:h="16895" w:orient="portrait"/>
          <w:cols w:equalWidth="0" w:num="1">
            <w:col w:w="11240"/>
          </w:cols>
          <w:pgMar w:left="320" w:top="688" w:right="339" w:bottom="0" w:gutter="0" w:footer="0" w:header="0"/>
        </w:sectPr>
      </w:pPr>
    </w:p>
    <w:bookmarkStart w:id="175" w:name="page176"/>
    <w:bookmarkEnd w:id="175"/>
    <w:tbl>
      <w:tblPr>
        <w:tblLayout w:type="fixed"/>
        <w:tblInd w:w="20" w:type="dxa"/>
        <w:tblCellMar>
          <w:top w:w="0" w:type="dxa"/>
          <w:left w:w="0" w:type="dxa"/>
          <w:bottom w:w="0" w:type="dxa"/>
          <w:right w:w="0" w:type="dxa"/>
        </w:tblCellMar>
      </w:tblPr>
      <w:tr>
        <w:trPr>
          <w:trHeight w:val="237"/>
        </w:trPr>
        <w:tc>
          <w:tcPr>
            <w:tcW w:w="72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Warrants issued</w:t>
            </w:r>
          </w:p>
        </w:tc>
        <w:tc>
          <w:tcPr>
            <w:tcW w:w="17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570,250</w:t>
            </w:r>
          </w:p>
        </w:tc>
        <w:tc>
          <w:tcPr>
            <w:tcW w:w="80" w:type="dxa"/>
            <w:vAlign w:val="bottom"/>
            <w:tcBorders>
              <w:top w:val="single" w:sz="8" w:color="CCEEFF"/>
              <w:bottom w:val="single" w:sz="8" w:color="CCEEFF"/>
            </w:tcBorders>
          </w:tcPr>
          <w:p>
            <w:pPr>
              <w:spacing w:after="0"/>
              <w:rPr>
                <w:sz w:val="20"/>
                <w:szCs w:val="20"/>
                <w:color w:val="auto"/>
              </w:rPr>
            </w:pPr>
          </w:p>
        </w:tc>
      </w:tr>
      <w:tr>
        <w:trPr>
          <w:trHeight w:val="230"/>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2023</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570,250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340" w:right="1039" w:hanging="5445"/>
        <w:spacing w:after="0" w:line="527" w:lineRule="auto"/>
        <w:rPr>
          <w:sz w:val="20"/>
          <w:szCs w:val="20"/>
          <w:color w:val="auto"/>
        </w:rPr>
      </w:pPr>
      <w:r>
        <w:rPr>
          <w:rFonts w:ascii="Arial" w:cs="Arial" w:eastAsia="Arial" w:hAnsi="Arial"/>
          <w:sz w:val="18"/>
          <w:szCs w:val="18"/>
          <w:color w:val="auto"/>
        </w:rPr>
        <w:t>There were no underwriter warrants issued, exercised and outstanding from the period January 1, 2022 through June 30, 2022. 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-156210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76" w:name="page177"/>
    <w:bookmarkEnd w:id="176"/>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Private Placement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 During the six months ended June 30, 2023, private placement warrant holders exercised 3,126,472 warrants on a cashless basis, with the Company agreeing to issue 1,100,000 shares of common stock in connection with such exercise. There were 1,501,386 and 4,627,858 private warrants issued and outstanding as of June 30, 2023 and December 31,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Warrants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connection with the entry into the Term Loan Agreement, and as a required term and condition thereof, the Company issued (i) the penny warrants to the Term Loan Lenders exercisable to purchase an aggregate of 2,593,056 shares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three months ended June 30, 2023, penny warrant holders exercised 750,000 warrants on a cashless basis, with the Company agreeing to issue 748,029 shares of common stock in connection with such exercise. The Company concluded the warrants are not considered indexed to the Company’s stock and to be accounted for as liabilities under ASC 815. As such, the estimated fair value is recognized as a liability each reporting period, with changes in the fair value recognized within income each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spacing w:after="0" w:line="81" w:lineRule="exact"/>
        <w:rPr>
          <w:sz w:val="20"/>
          <w:szCs w:val="20"/>
          <w:color w:val="auto"/>
        </w:rPr>
      </w:pPr>
    </w:p>
    <w:p>
      <w:pPr>
        <w:jc w:val="center"/>
        <w:ind w:left="2340" w:right="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the significant inputs to the Black-Scholes method for the fair value of the Penny Warrants:</w:t>
      </w:r>
    </w:p>
    <w:p>
      <w:pPr>
        <w:spacing w:after="0" w:line="237"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As of</w:t>
            </w:r>
          </w:p>
        </w:tc>
      </w:tr>
      <w:tr>
        <w:trPr>
          <w:trHeight w:val="237"/>
        </w:trPr>
        <w:tc>
          <w:tcPr>
            <w:tcW w:w="29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right"/>
              <w:ind w:right="460"/>
              <w:spacing w:after="0"/>
              <w:rPr>
                <w:sz w:val="20"/>
                <w:szCs w:val="20"/>
                <w:color w:val="auto"/>
              </w:rPr>
            </w:pPr>
            <w:r>
              <w:rPr>
                <w:rFonts w:ascii="Arial" w:cs="Arial" w:eastAsia="Arial" w:hAnsi="Arial"/>
                <w:sz w:val="18"/>
                <w:szCs w:val="18"/>
                <w:color w:val="auto"/>
                <w:w w:val="92"/>
              </w:rPr>
              <w:t>June 30, 2023</w:t>
            </w:r>
          </w:p>
        </w:tc>
        <w:tc>
          <w:tcPr>
            <w:tcW w:w="80" w:type="dxa"/>
            <w:vAlign w:val="bottom"/>
          </w:tcPr>
          <w:p>
            <w:pPr>
              <w:spacing w:after="0"/>
              <w:rPr>
                <w:sz w:val="20"/>
                <w:szCs w:val="20"/>
                <w:color w:val="auto"/>
              </w:rPr>
            </w:pPr>
          </w:p>
        </w:tc>
        <w:tc>
          <w:tcPr>
            <w:tcW w:w="174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December 31, 2022</w:t>
            </w:r>
          </w:p>
        </w:tc>
      </w:tr>
      <w:tr>
        <w:trPr>
          <w:trHeight w:val="216"/>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Exercise price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Term (in years)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9.77</w:t>
            </w:r>
          </w:p>
        </w:tc>
        <w:tc>
          <w:tcPr>
            <w:tcW w:w="16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90.00%</w:t>
            </w: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Risk-free rate</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the significant inputs to the Black-Scholes method for the fair value of the June Offering Warrants:</w:t>
      </w:r>
    </w:p>
    <w:p>
      <w:pPr>
        <w:spacing w:after="0" w:line="248"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As of</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June 20, 2023</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(Initial</w:t>
            </w:r>
          </w:p>
        </w:tc>
      </w:tr>
      <w:tr>
        <w:trPr>
          <w:trHeight w:val="237"/>
        </w:trPr>
        <w:tc>
          <w:tcPr>
            <w:tcW w:w="3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June 30, 2023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Measurement)</w:t>
            </w: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price</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Exercise price</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Term (in years)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118.00%</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Risk-free rate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Company’s warrants from January 1, 2023 to June 30, 2023:</w:t>
      </w:r>
    </w:p>
    <w:p>
      <w:pPr>
        <w:sectPr>
          <w:pgSz w:w="11900" w:h="16919" w:orient="portrait"/>
          <w:cols w:equalWidth="0" w:num="1">
            <w:col w:w="10139"/>
          </w:cols>
          <w:pgMar w:left="320" w:top="688" w:right="1440"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4,627,858</w:t>
      </w:r>
    </w:p>
    <w:p>
      <w:pPr>
        <w:spacing w:after="0" w:line="3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(3,126,472)</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919" w:orient="portrait"/>
          <w:cols w:equalWidth="0" w:num="2">
            <w:col w:w="5440" w:space="720"/>
            <w:col w:w="3979"/>
          </w:cols>
          <w:pgMar w:left="320" w:top="688"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private warrants issued, exercised and outstanding from the period January 1, 2022 through June 30, 2022.</w:t>
      </w:r>
    </w:p>
    <w:p>
      <w:pPr>
        <w:sectPr>
          <w:pgSz w:w="11900" w:h="16919" w:orient="portrait"/>
          <w:cols w:equalWidth="0" w:num="1">
            <w:col w:w="10139"/>
          </w:cols>
          <w:pgMar w:left="320" w:top="688"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jc w:val="right"/>
        <w:ind w:right="2779"/>
        <w:spacing w:after="0"/>
        <w:rPr>
          <w:sz w:val="20"/>
          <w:szCs w:val="20"/>
          <w:color w:val="auto"/>
        </w:rPr>
      </w:pPr>
      <w:r>
        <w:rPr>
          <w:rFonts w:ascii="Arial" w:cs="Arial" w:eastAsia="Arial" w:hAnsi="Arial"/>
          <w:sz w:val="18"/>
          <w:szCs w:val="18"/>
          <w:color w:val="auto"/>
        </w:rPr>
        <w:t>9,487,500</w:t>
      </w:r>
    </w:p>
    <w:p>
      <w:pPr>
        <w:spacing w:after="0" w:line="23"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(64,971)</w:t>
      </w:r>
    </w:p>
    <w:p>
      <w:pPr>
        <w:spacing w:after="0" w:line="4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0" w:lineRule="exact"/>
        <w:rPr>
          <w:sz w:val="20"/>
          <w:szCs w:val="20"/>
          <w:color w:val="auto"/>
        </w:rPr>
      </w:pPr>
    </w:p>
    <w:p>
      <w:pPr>
        <w:sectPr>
          <w:pgSz w:w="11900" w:h="16919" w:orient="portrait"/>
          <w:cols w:equalWidth="0" w:num="2">
            <w:col w:w="5440" w:space="720"/>
            <w:col w:w="3979"/>
          </w:cols>
          <w:pgMar w:left="320" w:top="688"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public warrants issued, exercised and outstanding from the period January 1, 2022 through June 30, 2022.</w:t>
      </w:r>
    </w:p>
    <w:p>
      <w:pPr>
        <w:sectPr>
          <w:pgSz w:w="11900" w:h="16919" w:orient="portrait"/>
          <w:cols w:equalWidth="0" w:num="1">
            <w:col w:w="10139"/>
          </w:cols>
          <w:pgMar w:left="320" w:top="688" w:right="1440" w:bottom="0" w:gutter="0" w:footer="0" w:header="0"/>
          <w:type w:val="continuous"/>
        </w:sect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Term Loan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426085</wp:posOffset>
            </wp:positionV>
            <wp:extent cx="427736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January 1, 2023</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Exercise of warrants</w:t>
      </w:r>
    </w:p>
    <w:p>
      <w:pPr>
        <w:spacing w:after="0" w:line="2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Warrants Outstanding,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-115570</wp:posOffset>
            </wp:positionV>
            <wp:extent cx="4277360" cy="171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839"/>
        <w:spacing w:after="0"/>
        <w:rPr>
          <w:sz w:val="20"/>
          <w:szCs w:val="20"/>
          <w:color w:val="auto"/>
        </w:rPr>
      </w:pPr>
      <w:r>
        <w:rPr>
          <w:rFonts w:ascii="Arial" w:cs="Arial" w:eastAsia="Arial" w:hAnsi="Arial"/>
          <w:sz w:val="16"/>
          <w:szCs w:val="16"/>
          <w:color w:val="auto"/>
        </w:rPr>
        <w:t>Common Stock</w:t>
      </w:r>
    </w:p>
    <w:p>
      <w:pPr>
        <w:spacing w:after="0" w:line="46" w:lineRule="exact"/>
        <w:rPr>
          <w:sz w:val="20"/>
          <w:szCs w:val="20"/>
          <w:color w:val="auto"/>
        </w:rPr>
      </w:pPr>
    </w:p>
    <w:p>
      <w:pPr>
        <w:jc w:val="center"/>
        <w:ind w:right="2839"/>
        <w:spacing w:after="0"/>
        <w:rPr>
          <w:sz w:val="20"/>
          <w:szCs w:val="20"/>
          <w:color w:val="auto"/>
        </w:rPr>
      </w:pPr>
      <w:r>
        <w:rPr>
          <w:rFonts w:ascii="Arial" w:cs="Arial" w:eastAsia="Arial" w:hAnsi="Arial"/>
          <w:sz w:val="18"/>
          <w:szCs w:val="18"/>
          <w:color w:val="auto"/>
        </w:rPr>
        <w:t>Warrants</w:t>
      </w:r>
    </w:p>
    <w:p>
      <w:pPr>
        <w:spacing w:after="0" w:line="2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2,593,056</w:t>
      </w:r>
    </w:p>
    <w:p>
      <w:pPr>
        <w:spacing w:after="0" w:line="35" w:lineRule="exact"/>
        <w:rPr>
          <w:sz w:val="20"/>
          <w:szCs w:val="20"/>
          <w:color w:val="auto"/>
        </w:rPr>
      </w:pPr>
    </w:p>
    <w:p>
      <w:pPr>
        <w:jc w:val="right"/>
        <w:ind w:right="2719"/>
        <w:spacing w:after="0"/>
        <w:rPr>
          <w:sz w:val="20"/>
          <w:szCs w:val="20"/>
          <w:color w:val="auto"/>
        </w:rPr>
      </w:pPr>
      <w:r>
        <w:rPr>
          <w:rFonts w:ascii="Arial" w:cs="Arial" w:eastAsia="Arial" w:hAnsi="Arial"/>
          <w:sz w:val="18"/>
          <w:szCs w:val="18"/>
          <w:color w:val="auto"/>
        </w:rPr>
        <w:t>(2,000,000)</w:t>
      </w:r>
    </w:p>
    <w:p>
      <w:pPr>
        <w:spacing w:after="0" w:line="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593,056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39370</wp:posOffset>
            </wp:positionV>
            <wp:extent cx="8058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ectPr>
          <w:pgSz w:w="11900" w:h="16919" w:orient="portrait"/>
          <w:cols w:equalWidth="0" w:num="2">
            <w:col w:w="5440" w:space="720"/>
            <w:col w:w="3979"/>
          </w:cols>
          <w:pgMar w:left="320" w:top="688" w:right="1440" w:bottom="0" w:gutter="0" w:footer="0" w:header="0"/>
          <w:type w:val="continuous"/>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term loan warrants issued, exercised and outstanding from the period January 1, 2022 through June 30, 2022.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Investor Warrants:</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Common Stock</w:t>
            </w:r>
          </w:p>
        </w:tc>
      </w:tr>
      <w:tr>
        <w:trPr>
          <w:trHeight w:val="237"/>
        </w:trPr>
        <w:tc>
          <w:tcPr>
            <w:tcW w:w="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Warrants</w:t>
            </w:r>
          </w:p>
        </w:tc>
      </w:tr>
      <w:tr>
        <w:trPr>
          <w:trHeight w:val="216"/>
        </w:trPr>
        <w:tc>
          <w:tcPr>
            <w:tcW w:w="70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January 1, 2023</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Warrants issued</w:t>
            </w:r>
          </w:p>
        </w:tc>
        <w:tc>
          <w:tcPr>
            <w:tcW w:w="1280" w:type="dxa"/>
            <w:vAlign w:val="bottom"/>
          </w:tcPr>
          <w:p>
            <w:pPr>
              <w:jc w:val="right"/>
              <w:spacing w:after="0"/>
              <w:rPr>
                <w:sz w:val="20"/>
                <w:szCs w:val="20"/>
                <w:color w:val="auto"/>
              </w:rPr>
            </w:pPr>
            <w:r>
              <w:rPr>
                <w:rFonts w:ascii="Arial" w:cs="Arial" w:eastAsia="Arial" w:hAnsi="Arial"/>
                <w:sz w:val="18"/>
                <w:szCs w:val="18"/>
                <w:color w:val="auto"/>
              </w:rPr>
              <w:t>11,405,000</w:t>
            </w:r>
          </w:p>
        </w:tc>
        <w:tc>
          <w:tcPr>
            <w:tcW w:w="60" w:type="dxa"/>
            <w:vAlign w:val="bottom"/>
          </w:tcPr>
          <w:p>
            <w:pPr>
              <w:spacing w:after="0"/>
              <w:rPr>
                <w:sz w:val="20"/>
                <w:szCs w:val="20"/>
                <w:color w:val="auto"/>
              </w:rPr>
            </w:pPr>
          </w:p>
        </w:tc>
      </w:tr>
    </w:tbl>
    <w:p>
      <w:pPr>
        <w:sectPr>
          <w:pgSz w:w="11900" w:h="16919" w:orient="portrait"/>
          <w:cols w:equalWidth="0" w:num="1">
            <w:col w:w="10139"/>
          </w:cols>
          <w:pgMar w:left="320" w:top="688" w:right="1440" w:bottom="0" w:gutter="0" w:footer="0" w:header="0"/>
          <w:type w:val="continuous"/>
        </w:sectPr>
      </w:pPr>
    </w:p>
    <w:bookmarkStart w:id="178" w:name="page179"/>
    <w:bookmarkEnd w:id="178"/>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57"/>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June 30, 2023</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11,405,000</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54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investor warrants issued, exercised and outstanding from the period January 1, 2022 through June 30, 2022.</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a roll forward of the aggregate fair values of the Company’s warrant liabilities for which fair value is determined by Level 3 Inputs. The only class of warrants that were determined to be Level 3 are the term loan warrants.</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-130175</wp:posOffset>
            </wp:positionV>
            <wp:extent cx="4277360" cy="145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277360" cy="145415"/>
                    </a:xfrm>
                    <a:prstGeom prst="rect">
                      <a:avLst/>
                    </a:prstGeom>
                    <a:noFill/>
                  </pic:spPr>
                </pic:pic>
              </a:graphicData>
            </a:graphic>
          </wp:anchor>
        </w:drawing>
      </w:r>
    </w:p>
    <w:p>
      <w:pPr>
        <w:spacing w:after="0" w:line="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5715</wp:posOffset>
            </wp:positionV>
            <wp:extent cx="427736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700"/>
        <w:spacing w:after="0"/>
        <w:rPr>
          <w:sz w:val="20"/>
          <w:szCs w:val="20"/>
          <w:color w:val="auto"/>
        </w:rPr>
      </w:pPr>
      <w:r>
        <w:rPr>
          <w:rFonts w:ascii="Arial" w:cs="Arial" w:eastAsia="Arial" w:hAnsi="Arial"/>
          <w:sz w:val="18"/>
          <w:szCs w:val="18"/>
          <w:color w:val="auto"/>
        </w:rPr>
        <w:t>Exercise of warrants</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 in fair value of warrants</w:t>
      </w:r>
    </w:p>
    <w:p>
      <w:pPr>
        <w:spacing w:after="0" w:line="4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Balances,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-130175</wp:posOffset>
            </wp:positionV>
            <wp:extent cx="427736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Warrant Liability</w:t>
      </w:r>
    </w:p>
    <w:p>
      <w:pPr>
        <w:spacing w:after="0" w:line="36" w:lineRule="exact"/>
        <w:rPr>
          <w:sz w:val="20"/>
          <w:szCs w:val="20"/>
          <w:color w:val="auto"/>
        </w:rPr>
      </w:pPr>
    </w:p>
    <w:p>
      <w:pPr>
        <w:ind w:left="1400" w:hanging="792"/>
        <w:spacing w:after="0"/>
        <w:tabs>
          <w:tab w:leader="none" w:pos="14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30,841</w:t>
      </w:r>
    </w:p>
    <w:p>
      <w:pPr>
        <w:spacing w:after="0" w:line="23" w:lineRule="exact"/>
        <w:rPr>
          <w:rFonts w:ascii="Arial" w:cs="Arial" w:eastAsia="Arial" w:hAnsi="Arial"/>
          <w:sz w:val="18"/>
          <w:szCs w:val="18"/>
          <w:color w:val="auto"/>
        </w:rPr>
      </w:pPr>
    </w:p>
    <w:p>
      <w:pPr>
        <w:ind w:left="1400"/>
        <w:spacing w:after="0"/>
        <w:rPr>
          <w:rFonts w:ascii="Arial" w:cs="Arial" w:eastAsia="Arial" w:hAnsi="Arial"/>
          <w:sz w:val="18"/>
          <w:szCs w:val="18"/>
          <w:color w:val="auto"/>
        </w:rPr>
      </w:pPr>
      <w:r>
        <w:rPr>
          <w:rFonts w:ascii="Arial" w:cs="Arial" w:eastAsia="Arial" w:hAnsi="Arial"/>
          <w:sz w:val="18"/>
          <w:szCs w:val="18"/>
          <w:color w:val="auto"/>
        </w:rPr>
        <w:t>13,762</w:t>
      </w:r>
    </w:p>
    <w:p>
      <w:pPr>
        <w:spacing w:after="0" w:line="9"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(11,284)</w:t>
      </w:r>
    </w:p>
    <w:p>
      <w:pPr>
        <w:spacing w:after="0" w:line="9"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(18,832)</w:t>
      </w:r>
    </w:p>
    <w:p>
      <w:pPr>
        <w:spacing w:after="0" w:line="49" w:lineRule="exact"/>
        <w:rPr>
          <w:sz w:val="20"/>
          <w:szCs w:val="20"/>
          <w:color w:val="auto"/>
        </w:rPr>
      </w:pPr>
    </w:p>
    <w:p>
      <w:pPr>
        <w:ind w:left="1400" w:hanging="792"/>
        <w:spacing w:after="0"/>
        <w:tabs>
          <w:tab w:leader="none" w:pos="14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14,487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386715</wp:posOffset>
            </wp:positionH>
            <wp:positionV relativeFrom="paragraph">
              <wp:posOffset>31750</wp:posOffset>
            </wp:positionV>
            <wp:extent cx="8229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14605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120" w:right="339" w:bottom="1440" w:gutter="0" w:footer="0" w:header="0"/>
          <w:type w:val="continuous"/>
        </w:sectPr>
      </w:pPr>
    </w:p>
    <w:bookmarkStart w:id="179" w:name="page180"/>
    <w:bookmarkEnd w:id="179"/>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COMMON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authorized to issue up to 170,000,000 shares of common stock with $0.0001 par value. Common stockholders are entitled to dividends if and when declared by the Board of Directors subject to the rights of the preferred stockholders. As of June 30, 2023 and December 31, 2022, there were 58,504,541 and 43,272,728 shares issued and outstanding. No dividends on common stock had been declared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2023 and 2022, the Company had reserved shares of common stock for issuance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June 30,</w:t>
            </w:r>
          </w:p>
        </w:tc>
        <w:tc>
          <w:tcPr>
            <w:tcW w:w="1600" w:type="dxa"/>
            <w:vAlign w:val="bottom"/>
            <w:gridSpan w:val="3"/>
          </w:tcPr>
          <w:p>
            <w:pPr>
              <w:ind w:left="42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5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Options issued and outstanding</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3,443,099</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4,008,139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58,504,541</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36,749,738</w:t>
            </w:r>
          </w:p>
        </w:tc>
        <w:tc>
          <w:tcPr>
            <w:tcW w:w="60" w:type="dxa"/>
            <w:vAlign w:val="bottom"/>
          </w:tcPr>
          <w:p>
            <w:pPr>
              <w:spacing w:after="0"/>
              <w:rPr>
                <w:sz w:val="18"/>
                <w:szCs w:val="18"/>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23,492,221</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Earnout shares</w:t>
            </w: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40,000,000</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49"/>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Shares available for future issuance</w:t>
            </w:r>
          </w:p>
        </w:tc>
        <w:tc>
          <w:tcPr>
            <w:tcW w:w="1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4,434,916</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622,491</w:t>
            </w:r>
          </w:p>
        </w:tc>
        <w:tc>
          <w:tcPr>
            <w:tcW w:w="60" w:type="dxa"/>
            <w:vAlign w:val="bottom"/>
            <w:shd w:val="clear" w:color="auto" w:fill="CCEEFF"/>
          </w:tcPr>
          <w:p>
            <w:pPr>
              <w:spacing w:after="0"/>
              <w:rPr>
                <w:sz w:val="21"/>
                <w:szCs w:val="21"/>
                <w:color w:val="auto"/>
              </w:rPr>
            </w:pPr>
          </w:p>
        </w:tc>
      </w:tr>
      <w:tr>
        <w:trPr>
          <w:trHeight w:val="217"/>
        </w:trPr>
        <w:tc>
          <w:tcPr>
            <w:tcW w:w="5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129,874,777</w:t>
            </w:r>
          </w:p>
        </w:tc>
        <w:tc>
          <w:tcPr>
            <w:tcW w:w="26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41,380,368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ChEF Equity Facility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and Chardan Capital Markets LLC, a New York limited liability company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 million, pursuant to the terms of the Purchase Agreement. In addition, the Company appointed LifeSci Capital, LLC as “qualified independent underwriter” with respect to the transactions contemplated by the Purchase Agreement. Under the terms of the Purchase Agreement, the Company issued 98,500 shares pursuant to the Purchase Agreement with CCM LLC for aggregate net proceeds to the Company of $671 from the period January 1, 2023 through June 30,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2023 Offering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 In addition, the Company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$905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0" w:name="page181"/>
    <w:bookmarkEnd w:id="180"/>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Share-based compensation expense for options and RSUs totaling $5,441 and $719 was recognized in the Company’s consolidated statements of operations for the six months ended June 30, 2023 and 2022, respectively. Share-based compensation expense for options and RSUs totaling $954 and $431 was recognized in the Company’s consolidated statements of operations for the three months ended June 30, 2023 and 2022,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for the six months ended June 30, 2023 and 2022 was allocated as follows:</w:t>
      </w:r>
    </w:p>
    <w:p>
      <w:pPr>
        <w:sectPr>
          <w:pgSz w:w="11900" w:h="16838"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General and administrative expense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320" w:type="dxa"/>
            <w:vAlign w:val="bottom"/>
            <w:tcBorders>
              <w:top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1"/>
                <w:szCs w:val="21"/>
                <w:color w:val="auto"/>
              </w:rPr>
            </w:pPr>
          </w:p>
        </w:tc>
      </w:tr>
      <w:tr>
        <w:trPr>
          <w:trHeight w:val="202"/>
        </w:trPr>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75</w:t>
            </w:r>
          </w:p>
        </w:tc>
        <w:tc>
          <w:tcPr>
            <w:tcW w:w="320" w:type="dxa"/>
            <w:vAlign w:val="bottom"/>
          </w:tcPr>
          <w:p>
            <w:pPr>
              <w:spacing w:after="0"/>
              <w:rPr>
                <w:sz w:val="17"/>
                <w:szCs w:val="17"/>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49</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r>
      <w:tr>
        <w:trPr>
          <w:trHeight w:val="230"/>
        </w:trPr>
        <w:tc>
          <w:tcPr>
            <w:tcW w:w="3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971</w:t>
            </w:r>
          </w:p>
        </w:tc>
        <w:tc>
          <w:tcPr>
            <w:tcW w:w="3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37"/>
        </w:trPr>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4,346</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r>
      <w:tr>
        <w:trPr>
          <w:trHeight w:val="230"/>
        </w:trPr>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3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719</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-753745</wp:posOffset>
            </wp:positionV>
            <wp:extent cx="71323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-471170</wp:posOffset>
            </wp:positionV>
            <wp:extent cx="713232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-179070</wp:posOffset>
            </wp:positionV>
            <wp:extent cx="7132320" cy="1631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20" w:space="720"/>
            <w:col w:w="3800"/>
          </w:cols>
          <w:pgMar w:left="320" w:top="688" w:right="339"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for the three months ended June 30, 2023 and 2022 was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1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Cost of goods sold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4"/>
          </w:tcPr>
          <w:p>
            <w:pPr>
              <w:spacing w:after="0"/>
              <w:rPr>
                <w:sz w:val="20"/>
                <w:szCs w:val="20"/>
                <w:color w:val="auto"/>
              </w:rPr>
            </w:pPr>
            <w:r>
              <w:rPr>
                <w:rFonts w:ascii="Arial" w:cs="Arial" w:eastAsia="Arial" w:hAnsi="Arial"/>
                <w:sz w:val="18"/>
                <w:szCs w:val="18"/>
                <w:color w:val="auto"/>
                <w:w w:val="96"/>
              </w:rPr>
              <w:t>Research and development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1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Selling and marketing</w:t>
            </w: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6"/>
        </w:trPr>
        <w:tc>
          <w:tcPr>
            <w:tcW w:w="3860" w:type="dxa"/>
            <w:vAlign w:val="bottom"/>
            <w:gridSpan w:val="6"/>
          </w:tcPr>
          <w:p>
            <w:pPr>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9"/>
            <w:vMerge w:val="restart"/>
          </w:tcPr>
          <w:p>
            <w:pPr>
              <w:spacing w:after="0"/>
              <w:rPr>
                <w:sz w:val="20"/>
                <w:szCs w:val="20"/>
                <w:color w:val="auto"/>
              </w:rPr>
            </w:pPr>
            <w:r>
              <w:rPr>
                <w:rFonts w:ascii="Arial" w:cs="Arial" w:eastAsia="Arial" w:hAnsi="Arial"/>
                <w:sz w:val="18"/>
                <w:szCs w:val="18"/>
                <w:color w:val="auto"/>
                <w:w w:val="95"/>
              </w:rPr>
              <w:t>A summary of the Company’s option activity and related information follows:</w:t>
            </w: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80" w:type="dxa"/>
            <w:vAlign w:val="bottom"/>
            <w:gridSpan w:val="9"/>
            <w:vMerge w:val="continue"/>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Weighted-Average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vMerge w:val="restart"/>
          </w:tcPr>
          <w:p>
            <w:pPr>
              <w:jc w:val="right"/>
              <w:ind w:right="74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Weighted-Average</w:t>
            </w:r>
          </w:p>
        </w:tc>
        <w:tc>
          <w:tcPr>
            <w:tcW w:w="240" w:type="dxa"/>
            <w:vAlign w:val="bottom"/>
          </w:tcPr>
          <w:p>
            <w:pPr>
              <w:spacing w:after="0"/>
              <w:rPr>
                <w:sz w:val="18"/>
                <w:szCs w:val="18"/>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440"/>
              <w:spacing w:after="0" w:line="179" w:lineRule="exact"/>
              <w:rPr>
                <w:sz w:val="20"/>
                <w:szCs w:val="20"/>
                <w:color w:val="auto"/>
              </w:rPr>
            </w:pPr>
            <w:r>
              <w:rPr>
                <w:rFonts w:ascii="Arial" w:cs="Arial" w:eastAsia="Arial" w:hAnsi="Arial"/>
                <w:sz w:val="18"/>
                <w:szCs w:val="18"/>
                <w:color w:val="auto"/>
                <w:w w:val="89"/>
              </w:rPr>
              <w:t>Weighted-Average</w:t>
            </w:r>
          </w:p>
        </w:tc>
        <w:tc>
          <w:tcPr>
            <w:tcW w:w="100" w:type="dxa"/>
            <w:vAlign w:val="bottom"/>
          </w:tcPr>
          <w:p>
            <w:pPr>
              <w:spacing w:after="0"/>
              <w:rPr>
                <w:sz w:val="15"/>
                <w:szCs w:val="15"/>
                <w:color w:val="auto"/>
              </w:rPr>
            </w:pPr>
          </w:p>
        </w:tc>
        <w:tc>
          <w:tcPr>
            <w:tcW w:w="1560" w:type="dxa"/>
            <w:vAlign w:val="bottom"/>
            <w:gridSpan w:val="2"/>
          </w:tcPr>
          <w:p>
            <w:pPr>
              <w:jc w:val="center"/>
              <w:ind w:right="180"/>
              <w:spacing w:after="0" w:line="179" w:lineRule="exact"/>
              <w:rPr>
                <w:sz w:val="20"/>
                <w:szCs w:val="20"/>
                <w:color w:val="auto"/>
              </w:rPr>
            </w:pPr>
            <w:r>
              <w:rPr>
                <w:rFonts w:ascii="Arial" w:cs="Arial" w:eastAsia="Arial" w:hAnsi="Arial"/>
                <w:sz w:val="18"/>
                <w:szCs w:val="18"/>
                <w:color w:val="auto"/>
                <w:w w:val="91"/>
              </w:rPr>
              <w:t>Grant Date Fair</w:t>
            </w:r>
          </w:p>
        </w:tc>
        <w:tc>
          <w:tcPr>
            <w:tcW w:w="240" w:type="dxa"/>
            <w:vAlign w:val="bottom"/>
          </w:tcPr>
          <w:p>
            <w:pPr>
              <w:spacing w:after="0"/>
              <w:rPr>
                <w:sz w:val="15"/>
                <w:szCs w:val="15"/>
                <w:color w:val="auto"/>
              </w:rPr>
            </w:pPr>
          </w:p>
        </w:tc>
        <w:tc>
          <w:tcPr>
            <w:tcW w:w="1780" w:type="dxa"/>
            <w:vAlign w:val="bottom"/>
            <w:gridSpan w:val="3"/>
          </w:tcPr>
          <w:p>
            <w:pPr>
              <w:jc w:val="center"/>
              <w:ind w:right="220"/>
              <w:spacing w:after="0" w:line="179" w:lineRule="exact"/>
              <w:rPr>
                <w:sz w:val="20"/>
                <w:szCs w:val="20"/>
                <w:color w:val="auto"/>
              </w:rPr>
            </w:pPr>
            <w:r>
              <w:rPr>
                <w:rFonts w:ascii="Arial" w:cs="Arial" w:eastAsia="Arial" w:hAnsi="Arial"/>
                <w:sz w:val="18"/>
                <w:szCs w:val="18"/>
                <w:color w:val="auto"/>
                <w:w w:val="95"/>
              </w:rPr>
              <w:t>Contractual Life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center"/>
              <w:ind w:right="200"/>
              <w:spacing w:after="0" w:line="179" w:lineRule="exact"/>
              <w:rPr>
                <w:sz w:val="20"/>
                <w:szCs w:val="20"/>
                <w:color w:val="auto"/>
              </w:rPr>
            </w:pPr>
            <w:r>
              <w:rPr>
                <w:rFonts w:ascii="Arial" w:cs="Arial" w:eastAsia="Arial" w:hAnsi="Arial"/>
                <w:sz w:val="18"/>
                <w:szCs w:val="18"/>
                <w:color w:val="auto"/>
                <w:w w:val="92"/>
              </w:rPr>
              <w:t>Aggregate intrinsic</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gridSpan w:val="2"/>
          </w:tcPr>
          <w:p>
            <w:pPr>
              <w:jc w:val="right"/>
              <w:ind w:right="740"/>
              <w:spacing w:after="0" w:line="267" w:lineRule="exact"/>
              <w:rPr>
                <w:sz w:val="20"/>
                <w:szCs w:val="20"/>
                <w:color w:val="auto"/>
              </w:rPr>
            </w:pPr>
            <w:r>
              <w:rPr>
                <w:rFonts w:ascii="Arial" w:cs="Arial" w:eastAsia="Arial" w:hAnsi="Arial"/>
                <w:sz w:val="18"/>
                <w:szCs w:val="18"/>
                <w:color w:val="auto"/>
              </w:rPr>
              <w:t xml:space="preserve">Options </w:t>
            </w:r>
            <w:r>
              <w:rPr>
                <w:rFonts w:ascii="Arial" w:cs="Arial" w:eastAsia="Arial" w:hAnsi="Arial"/>
                <w:sz w:val="29"/>
                <w:szCs w:val="29"/>
                <w:color w:val="auto"/>
                <w:vertAlign w:val="superscript"/>
              </w:rPr>
              <w:t>(1)</w:t>
            </w:r>
          </w:p>
        </w:tc>
        <w:tc>
          <w:tcPr>
            <w:tcW w:w="120" w:type="dxa"/>
            <w:vAlign w:val="bottom"/>
          </w:tcPr>
          <w:p>
            <w:pPr>
              <w:spacing w:after="0"/>
              <w:rPr>
                <w:sz w:val="23"/>
                <w:szCs w:val="23"/>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8"/>
                <w:szCs w:val="18"/>
                <w:color w:val="auto"/>
              </w:rPr>
              <w:t>Exercise Price</w:t>
            </w:r>
          </w:p>
        </w:tc>
        <w:tc>
          <w:tcPr>
            <w:tcW w:w="100" w:type="dxa"/>
            <w:vAlign w:val="bottom"/>
          </w:tcPr>
          <w:p>
            <w:pPr>
              <w:spacing w:after="0"/>
              <w:rPr>
                <w:sz w:val="23"/>
                <w:szCs w:val="23"/>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Value</w:t>
            </w:r>
          </w:p>
        </w:tc>
        <w:tc>
          <w:tcPr>
            <w:tcW w:w="24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(in years)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value</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w w:val="90"/>
              </w:rPr>
              <w:t>January</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3,690,955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602,275</w:t>
            </w: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(30,468)</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1440" w:type="dxa"/>
            <w:vAlign w:val="bottom"/>
            <w:gridSpan w:val="2"/>
          </w:tcPr>
          <w:p>
            <w:pPr>
              <w:spacing w:after="0"/>
              <w:rPr>
                <w:sz w:val="20"/>
                <w:szCs w:val="20"/>
                <w:color w:val="auto"/>
              </w:rPr>
            </w:pPr>
            <w:r>
              <w:rPr>
                <w:rFonts w:ascii="Arial" w:cs="Arial" w:eastAsia="Arial" w:hAnsi="Arial"/>
                <w:sz w:val="18"/>
                <w:szCs w:val="18"/>
                <w:color w:val="auto"/>
                <w:w w:val="98"/>
              </w:rPr>
              <w:t>Options exercised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(254,623)</w:t>
            </w:r>
          </w:p>
        </w:tc>
        <w:tc>
          <w:tcPr>
            <w:tcW w:w="1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0.94</w:t>
            </w:r>
          </w:p>
        </w:tc>
        <w:tc>
          <w:tcPr>
            <w:tcW w:w="1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2.39</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140"/>
              <w:spacing w:after="0" w:line="189" w:lineRule="exact"/>
              <w:rPr>
                <w:sz w:val="20"/>
                <w:szCs w:val="20"/>
                <w:color w:val="auto"/>
              </w:rPr>
            </w:pPr>
            <w:r>
              <w:rPr>
                <w:rFonts w:ascii="Arial" w:cs="Arial" w:eastAsia="Arial" w:hAnsi="Arial"/>
                <w:sz w:val="18"/>
                <w:szCs w:val="18"/>
                <w:color w:val="auto"/>
              </w:rPr>
              <w:t>June</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87"/>
              </w:rPr>
              <w:t>30,</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4,008,139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5,845</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Balances,</w:t>
            </w:r>
          </w:p>
        </w:tc>
        <w:tc>
          <w:tcPr>
            <w:tcW w:w="66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90"/>
              </w:rPr>
              <w:t>January</w:t>
            </w:r>
          </w:p>
        </w:tc>
        <w:tc>
          <w:tcPr>
            <w:tcW w:w="48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3,642,958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35,989</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Options granted</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143,607</w:t>
            </w:r>
          </w:p>
        </w:tc>
        <w:tc>
          <w:tcPr>
            <w:tcW w:w="1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forfeited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(238,345)</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7"/>
        </w:trPr>
        <w:tc>
          <w:tcPr>
            <w:tcW w:w="1440" w:type="dxa"/>
            <w:vAlign w:val="bottom"/>
            <w:gridSpan w:val="2"/>
          </w:tcPr>
          <w:p>
            <w:pPr>
              <w:spacing w:after="0"/>
              <w:rPr>
                <w:sz w:val="20"/>
                <w:szCs w:val="20"/>
                <w:color w:val="auto"/>
              </w:rPr>
            </w:pPr>
            <w:r>
              <w:rPr>
                <w:rFonts w:ascii="Arial" w:cs="Arial" w:eastAsia="Arial" w:hAnsi="Arial"/>
                <w:sz w:val="18"/>
                <w:szCs w:val="18"/>
                <w:color w:val="auto"/>
                <w:w w:val="98"/>
              </w:rPr>
              <w:t>Options exercised</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(105,121)</w:t>
            </w:r>
          </w:p>
        </w:tc>
        <w:tc>
          <w:tcPr>
            <w:tcW w:w="1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188"/>
        </w:trPr>
        <w:tc>
          <w:tcPr>
            <w:tcW w:w="78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Balances,</w:t>
            </w:r>
          </w:p>
        </w:tc>
        <w:tc>
          <w:tcPr>
            <w:tcW w:w="66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June</w:t>
            </w:r>
          </w:p>
        </w:tc>
        <w:tc>
          <w:tcPr>
            <w:tcW w:w="480" w:type="dxa"/>
            <w:vAlign w:val="bottom"/>
            <w:tcBorders>
              <w:top w:val="single" w:sz="8" w:color="CCEEFF"/>
            </w:tcBorders>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87"/>
              </w:rPr>
              <w:t>30,</w:t>
            </w:r>
          </w:p>
        </w:tc>
        <w:tc>
          <w:tcPr>
            <w:tcW w:w="22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w:t>
            </w:r>
          </w:p>
        </w:tc>
        <w:tc>
          <w:tcPr>
            <w:tcW w:w="240" w:type="dxa"/>
            <w:vAlign w:val="bottom"/>
            <w:shd w:val="clear" w:color="auto" w:fill="CCEEFF"/>
          </w:tcPr>
          <w:p>
            <w:pPr>
              <w:spacing w:after="0"/>
              <w:rPr>
                <w:sz w:val="22"/>
                <w:szCs w:val="22"/>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144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June 30, 2023</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40" w:type="dxa"/>
            <w:vAlign w:val="bottom"/>
            <w:gridSpan w:val="4"/>
          </w:tcPr>
          <w:p>
            <w:pPr>
              <w:spacing w:after="0"/>
              <w:rPr>
                <w:sz w:val="20"/>
                <w:szCs w:val="20"/>
                <w:color w:val="auto"/>
              </w:rPr>
            </w:pPr>
            <w:r>
              <w:rPr>
                <w:rFonts w:ascii="Arial" w:cs="Arial" w:eastAsia="Arial" w:hAnsi="Arial"/>
                <w:sz w:val="18"/>
                <w:szCs w:val="18"/>
                <w:color w:val="auto"/>
              </w:rPr>
              <w:t>Vested and Exercisable</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2,164,874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220"/>
              <w:spacing w:after="0"/>
              <w:rPr>
                <w:sz w:val="20"/>
                <w:szCs w:val="20"/>
                <w:color w:val="auto"/>
              </w:rPr>
            </w:pPr>
            <w:r>
              <w:rPr>
                <w:rFonts w:ascii="Arial" w:cs="Arial" w:eastAsia="Arial" w:hAnsi="Arial"/>
                <w:sz w:val="18"/>
                <w:szCs w:val="18"/>
                <w:color w:val="auto"/>
              </w:rPr>
              <w:t>4.89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2"/>
        </w:trPr>
        <w:tc>
          <w:tcPr>
            <w:tcW w:w="214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Vested and expected to</w:t>
            </w: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 w:type="dxa"/>
            <w:vAlign w:val="bottom"/>
            <w:shd w:val="clear" w:color="auto" w:fill="CCEEFF"/>
          </w:tcPr>
          <w:p>
            <w:pPr>
              <w:spacing w:after="0"/>
              <w:rPr>
                <w:sz w:val="20"/>
                <w:szCs w:val="20"/>
                <w:color w:val="auto"/>
              </w:rPr>
            </w:pPr>
            <w:r>
              <w:rPr>
                <w:rFonts w:ascii="Arial" w:cs="Arial" w:eastAsia="Arial" w:hAnsi="Arial"/>
                <w:sz w:val="18"/>
                <w:szCs w:val="18"/>
                <w:color w:val="auto"/>
              </w:rPr>
              <w:t>vest</w:t>
            </w:r>
          </w:p>
        </w:tc>
        <w:tc>
          <w:tcPr>
            <w:tcW w:w="6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60" w:right="20" w:hanging="292"/>
        <w:spacing w:after="0" w:line="308" w:lineRule="auto"/>
        <w:tabs>
          <w:tab w:leader="none" w:pos="3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Number of options and weighted average exercise price has been adjusted to reflect the exchange of Legacy Dragonfly’s stock options for New Dragonfly stock options at an exchange ratio of approximately 1.182 as a result of the merger. See Note 1 for additional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7, 2022, the Company granted 180,000 restricted stock units under the 2022 plan which vest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immediately. The fair value of the restricted stock units on the date of grant was $3,464 and was recorded as compensation expense during the six months ended June 30, 2023. During the first six months of 2023, the Company granted an additional 28,000 restricted stock units which have not vested. The fair value of the 28,000 unvested restricted stock units was $105 and an expense of $7 was recorded during the six months ended June 30, 2023.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0" w:gutter="0" w:footer="0" w:header="0"/>
          <w:type w:val="continuous"/>
        </w:sectPr>
      </w:pPr>
    </w:p>
    <w:bookmarkStart w:id="181" w:name="page182"/>
    <w:bookmarkEnd w:id="181"/>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(Continued)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grants of restricted stock units prior to October 7, 2022. The following table presents the restricted stock units activity for the six months ended June 30, 2023:</w:t>
      </w:r>
    </w:p>
    <w:p>
      <w:pPr>
        <w:sectPr>
          <w:pgSz w:w="11900" w:h="16838" w:orient="portrait"/>
          <w:cols w:equalWidth="0" w:num="1">
            <w:col w:w="11240"/>
          </w:cols>
          <w:pgMar w:left="320" w:top="68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640"/>
        <w:spacing w:after="0" w:line="260" w:lineRule="auto"/>
        <w:rPr>
          <w:sz w:val="20"/>
          <w:szCs w:val="20"/>
          <w:color w:val="auto"/>
        </w:rPr>
      </w:pPr>
      <w:r>
        <w:rPr>
          <w:rFonts w:ascii="Arial" w:cs="Arial" w:eastAsia="Arial" w:hAnsi="Arial"/>
          <w:sz w:val="18"/>
          <w:szCs w:val="18"/>
          <w:color w:val="auto"/>
        </w:rPr>
        <w:t>Unvested shares at January 1, 2023 Granted and unvested Vested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Unvested shares, June 30, 2023</w:t>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Vested and exercisable as of June 30, 2023</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760" w:type="dxa"/>
            <w:vAlign w:val="bottom"/>
            <w:gridSpan w:val="3"/>
          </w:tcPr>
          <w:p>
            <w:pPr>
              <w:jc w:val="right"/>
              <w:ind w:right="580"/>
              <w:spacing w:after="0"/>
              <w:rPr>
                <w:sz w:val="20"/>
                <w:szCs w:val="20"/>
                <w:color w:val="auto"/>
              </w:rPr>
            </w:pPr>
            <w:r>
              <w:rPr>
                <w:rFonts w:ascii="Arial" w:cs="Arial" w:eastAsia="Arial" w:hAnsi="Arial"/>
                <w:sz w:val="18"/>
                <w:szCs w:val="18"/>
                <w:color w:val="auto"/>
              </w:rPr>
              <w:t>Number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color w:val="auto"/>
                <w:w w:val="99"/>
              </w:rPr>
              <w:t>Weighted-Average</w:t>
            </w:r>
          </w:p>
        </w:tc>
      </w:tr>
      <w:tr>
        <w:trPr>
          <w:trHeight w:val="237"/>
        </w:trPr>
        <w:tc>
          <w:tcPr>
            <w:tcW w:w="1760" w:type="dxa"/>
            <w:vAlign w:val="bottom"/>
            <w:gridSpan w:val="3"/>
          </w:tcPr>
          <w:p>
            <w:pPr>
              <w:jc w:val="right"/>
              <w:ind w:right="72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color w:val="auto"/>
              </w:rPr>
              <w:t>Fair Market Value</w:t>
            </w:r>
          </w:p>
        </w:tc>
      </w:tr>
      <w:tr>
        <w:trPr>
          <w:trHeight w:val="202"/>
        </w:trPr>
        <w:tc>
          <w:tcPr>
            <w:tcW w:w="1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180,000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14.00</w:t>
            </w:r>
          </w:p>
        </w:tc>
        <w:tc>
          <w:tcPr>
            <w:tcW w:w="20" w:type="dxa"/>
            <w:vAlign w:val="bottom"/>
          </w:tcPr>
          <w:p>
            <w:pPr>
              <w:spacing w:after="0"/>
              <w:rPr>
                <w:sz w:val="17"/>
                <w:szCs w:val="17"/>
                <w:color w:val="auto"/>
              </w:rPr>
            </w:pPr>
          </w:p>
        </w:tc>
      </w:tr>
      <w:tr>
        <w:trPr>
          <w:trHeight w:val="216"/>
        </w:trPr>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489,998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7.29</w:t>
            </w:r>
          </w:p>
        </w:tc>
      </w:tr>
      <w:tr>
        <w:trPr>
          <w:trHeight w:val="251"/>
        </w:trPr>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(461,998)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30"/>
        </w:trPr>
        <w:tc>
          <w:tcPr>
            <w:tcW w:w="16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208,000</w:t>
            </w:r>
          </w:p>
        </w:tc>
        <w:tc>
          <w:tcPr>
            <w:tcW w:w="140" w:type="dxa"/>
            <w:vAlign w:val="bottom"/>
          </w:tcPr>
          <w:p>
            <w:pPr>
              <w:spacing w:after="0"/>
              <w:rPr>
                <w:sz w:val="19"/>
                <w:szCs w:val="19"/>
                <w:color w:val="auto"/>
              </w:rPr>
            </w:pPr>
          </w:p>
        </w:tc>
        <w:tc>
          <w:tcPr>
            <w:tcW w:w="2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14.00</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-890905</wp:posOffset>
            </wp:positionV>
            <wp:extent cx="5349240" cy="1454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349240" cy="14541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-608330</wp:posOffset>
            </wp:positionV>
            <wp:extent cx="534924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349240" cy="15430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-290830</wp:posOffset>
            </wp:positionV>
            <wp:extent cx="534924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720"/>
            <w:col w:w="6340"/>
          </w:cols>
          <w:pgMar w:left="320" w:top="688" w:right="339" w:bottom="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2023, there were 4,434,916 shares of unissued authorized and available for future awards under the 2022 Equity Incentive Plan and Employee Stock Purchase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SUPPLIER AGREEMENT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9, 2023, Ioneer Rhyolite Ridge LLC (“Seller”), an emerging lithium-boron producer, and the Company announced a commercial offtake agreement partnership whereby the Seller is developing the Rhyolite Ridge Project which, once completed, is expected to produce lithium carbonate, and boric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LOSS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when computing net loss per share as the Company has issued warrants that meet the definition of participating securities. The </w:t>
      </w:r>
      <w:r>
        <w:rPr>
          <w:rFonts w:ascii="Arial" w:cs="Arial" w:eastAsia="Arial" w:hAnsi="Arial"/>
          <w:sz w:val="18"/>
          <w:szCs w:val="18"/>
          <w:i w:val="1"/>
          <w:iCs w:val="1"/>
          <w:color w:val="auto"/>
        </w:rPr>
        <w:t>two</w:t>
      </w:r>
      <w:r>
        <w:rPr>
          <w:rFonts w:ascii="Arial" w:cs="Arial" w:eastAsia="Arial" w:hAnsi="Arial"/>
          <w:sz w:val="18"/>
          <w:szCs w:val="18"/>
          <w:color w:val="auto"/>
        </w:rPr>
        <w:t xml:space="preserve">-class method determines net loss per share for each class of common and participating securities according to dividends declared or accumulated and participation rights in undistributed earnings. The </w:t>
      </w:r>
      <w:r>
        <w:rPr>
          <w:rFonts w:ascii="Arial" w:cs="Arial" w:eastAsia="Arial" w:hAnsi="Arial"/>
          <w:sz w:val="18"/>
          <w:szCs w:val="18"/>
          <w:i w:val="1"/>
          <w:iCs w:val="1"/>
          <w:color w:val="auto"/>
        </w:rPr>
        <w:t>two</w:t>
      </w:r>
      <w:r>
        <w:rPr>
          <w:rFonts w:ascii="Arial" w:cs="Arial" w:eastAsia="Arial" w:hAnsi="Arial"/>
          <w:sz w:val="18"/>
          <w:szCs w:val="18"/>
          <w:color w:val="auto"/>
        </w:rPr>
        <w:t>-class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by the weighted average number of common shares outstanding. In addition, in computing the dilutive effect of convertible securities, the numerator is adjusted to add back any convertible preferred dividends. Diluted net loss per common share is computed by dividing net loss attributable to common stockholders by the weighted average number of common shares that would have been outstanding during the period assuming the issuance of common shares for all potential dilutive common shares outstanding. Potential common shares consist of potential future exercises of outstanding stock options and common stock warrants. Because the inclusion of potential common shares would be anti-dilutive for all periods presented, they have been excluded from the calculation.</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Company’s common stock warrants contractually entitle the holders of such securities to participate in dividends but do </w:t>
      </w:r>
      <w:r>
        <w:rPr>
          <w:rFonts w:ascii="Arial" w:cs="Arial" w:eastAsia="Arial" w:hAnsi="Arial"/>
          <w:sz w:val="18"/>
          <w:szCs w:val="18"/>
          <w:i w:val="1"/>
          <w:iCs w:val="1"/>
          <w:color w:val="auto"/>
        </w:rPr>
        <w:t>not</w:t>
      </w:r>
      <w:r>
        <w:rPr>
          <w:rFonts w:ascii="Arial" w:cs="Arial" w:eastAsia="Arial" w:hAnsi="Arial"/>
          <w:sz w:val="18"/>
          <w:szCs w:val="18"/>
          <w:color w:val="auto"/>
        </w:rPr>
        <w:t xml:space="preserve"> contractually require the holders of such securities to participate in losses of the Company. Accordingly, in periods in which the Company reports a net loss, such losses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allocated to such participating securities. In periods in which the Company reports a net loss attributable to common stockholders, diluted net loss per share attributable to common stockholders is the same as basic net loss per share attributable to common stockholders, since dilutive common shares are </w:t>
      </w:r>
      <w:r>
        <w:rPr>
          <w:rFonts w:ascii="Arial" w:cs="Arial" w:eastAsia="Arial" w:hAnsi="Arial"/>
          <w:sz w:val="18"/>
          <w:szCs w:val="18"/>
          <w:i w:val="1"/>
          <w:iCs w:val="1"/>
          <w:color w:val="auto"/>
        </w:rPr>
        <w:t>not</w:t>
      </w:r>
      <w:r>
        <w:rPr>
          <w:rFonts w:ascii="Arial" w:cs="Arial" w:eastAsia="Arial" w:hAnsi="Arial"/>
          <w:sz w:val="18"/>
          <w:szCs w:val="18"/>
          <w:color w:val="auto"/>
        </w:rPr>
        <w:t xml:space="preserve"> assumed to have been issued if their effect is anti-dilutive. The Company reported a net loss attributable to common stockholders for the three and six months ended June 30, 2023 and 2022.</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information needed to compute basic and diluted loss per share for the three and six months ended June 30, 2023 and 2022:</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300" w:type="dxa"/>
            <w:vAlign w:val="bottom"/>
            <w:gridSpan w:val="5"/>
          </w:tcPr>
          <w:p>
            <w:pPr>
              <w:jc w:val="right"/>
              <w:ind w:right="1160"/>
              <w:spacing w:after="0"/>
              <w:rPr>
                <w:sz w:val="20"/>
                <w:szCs w:val="20"/>
                <w:color w:val="auto"/>
              </w:rPr>
            </w:pPr>
            <w:r>
              <w:rPr>
                <w:rFonts w:ascii="Arial" w:cs="Arial" w:eastAsia="Arial" w:hAnsi="Arial"/>
                <w:sz w:val="18"/>
                <w:szCs w:val="18"/>
                <w:color w:val="auto"/>
              </w:rPr>
              <w:t>For The Three Months</w:t>
            </w:r>
          </w:p>
        </w:tc>
        <w:tc>
          <w:tcPr>
            <w:tcW w:w="320" w:type="dxa"/>
            <w:vAlign w:val="bottom"/>
          </w:tcPr>
          <w:p>
            <w:pPr>
              <w:spacing w:after="0"/>
              <w:rPr>
                <w:sz w:val="18"/>
                <w:szCs w:val="18"/>
                <w:color w:val="auto"/>
              </w:rPr>
            </w:pPr>
          </w:p>
        </w:tc>
        <w:tc>
          <w:tcPr>
            <w:tcW w:w="3000" w:type="dxa"/>
            <w:vAlign w:val="bottom"/>
            <w:gridSpan w:val="6"/>
          </w:tcPr>
          <w:p>
            <w:pPr>
              <w:jc w:val="right"/>
              <w:ind w:right="980"/>
              <w:spacing w:after="0"/>
              <w:rPr>
                <w:sz w:val="20"/>
                <w:szCs w:val="20"/>
                <w:color w:val="auto"/>
              </w:rPr>
            </w:pPr>
            <w:r>
              <w:rPr>
                <w:rFonts w:ascii="Arial" w:cs="Arial" w:eastAsia="Arial" w:hAnsi="Arial"/>
                <w:sz w:val="18"/>
                <w:szCs w:val="18"/>
                <w:color w:val="auto"/>
              </w:rPr>
              <w:t>For The Six Months</w:t>
            </w:r>
          </w:p>
        </w:tc>
      </w:tr>
      <w:tr>
        <w:trPr>
          <w:trHeight w:val="237"/>
        </w:trPr>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Ended June 30,</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color w:val="auto"/>
              </w:rPr>
              <w:t>Ended 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6"/>
        </w:trPr>
        <w:tc>
          <w:tcPr>
            <w:tcW w:w="4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10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(11,700)</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(1,469)</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(6,808)</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(3,767)</w:t>
            </w:r>
          </w:p>
        </w:tc>
      </w:tr>
      <w:tr>
        <w:trPr>
          <w:trHeight w:val="196"/>
        </w:trPr>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outstanding used to</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compute net loss per share, basic and diluted</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47,418,269</w:t>
            </w:r>
          </w:p>
        </w:tc>
        <w:tc>
          <w:tcPr>
            <w:tcW w:w="4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36,616,430</w:t>
            </w:r>
          </w:p>
        </w:tc>
        <w:tc>
          <w:tcPr>
            <w:tcW w:w="32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46,263,591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36,579,990</w:t>
            </w:r>
          </w:p>
        </w:tc>
      </w:tr>
      <w:tr>
        <w:trPr>
          <w:trHeight w:val="198"/>
        </w:trPr>
        <w:tc>
          <w:tcPr>
            <w:tcW w:w="4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per share of common stock, basic and</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(0.04)</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(0.15)</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9"/>
        </w:trPr>
        <w:tc>
          <w:tcPr>
            <w:tcW w:w="4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F-56</w:t>
            </w: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0" w:gutter="0" w:footer="0" w:header="0"/>
          <w:type w:val="continuous"/>
        </w:sectPr>
      </w:pPr>
    </w:p>
    <w:bookmarkStart w:id="182" w:name="page183"/>
    <w:bookmarkEnd w:id="182"/>
    <w:p>
      <w:pPr>
        <w:jc w:val="center"/>
        <w:ind w:left="340" w:right="2100"/>
        <w:spacing w:after="0" w:line="266" w:lineRule="auto"/>
        <w:rPr>
          <w:sz w:val="20"/>
          <w:szCs w:val="20"/>
          <w:color w:val="auto"/>
        </w:rPr>
      </w:pPr>
      <w:r>
        <w:rPr>
          <w:rFonts w:ascii="Arial" w:cs="Arial" w:eastAsia="Arial" w:hAnsi="Arial"/>
          <w:sz w:val="18"/>
          <w:szCs w:val="18"/>
          <w:b w:val="1"/>
          <w:bCs w:val="1"/>
          <w:color w:val="auto"/>
        </w:rPr>
        <w:t>DRAGONFLY ENERGY HOLDINGS CORP. NOTES TO UNAUDITED CONDENSED CONSOLIDATED FINANCIAL STATEMENTS (IN THOUSANDS, EXCEPT SHARE AND PER SHARE DATA)</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the number of potential shares of common stock that have been excluded from diluted net loss per share because their effect was anti-dilutive:</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2040" w:type="dxa"/>
            <w:vAlign w:val="bottom"/>
            <w:gridSpan w:val="2"/>
          </w:tcPr>
          <w:p>
            <w:pPr>
              <w:jc w:val="right"/>
              <w:ind w:right="680"/>
              <w:spacing w:after="0"/>
              <w:rPr>
                <w:sz w:val="20"/>
                <w:szCs w:val="20"/>
                <w:color w:val="auto"/>
              </w:rPr>
            </w:pPr>
            <w:r>
              <w:rPr>
                <w:rFonts w:ascii="Arial" w:cs="Arial" w:eastAsia="Arial" w:hAnsi="Arial"/>
                <w:sz w:val="18"/>
                <w:szCs w:val="18"/>
                <w:color w:val="auto"/>
              </w:rPr>
              <w:t>June 30, 2023</w:t>
            </w:r>
          </w:p>
        </w:tc>
        <w:tc>
          <w:tcPr>
            <w:tcW w:w="1800" w:type="dxa"/>
            <w:vAlign w:val="bottom"/>
            <w:gridSpan w:val="3"/>
          </w:tcPr>
          <w:p>
            <w:pPr>
              <w:ind w:left="340"/>
              <w:spacing w:after="0"/>
              <w:rPr>
                <w:sz w:val="20"/>
                <w:szCs w:val="20"/>
                <w:color w:val="auto"/>
              </w:rPr>
            </w:pPr>
            <w:r>
              <w:rPr>
                <w:rFonts w:ascii="Arial" w:cs="Arial" w:eastAsia="Arial" w:hAnsi="Arial"/>
                <w:sz w:val="18"/>
                <w:szCs w:val="18"/>
                <w:color w:val="auto"/>
              </w:rPr>
              <w:t>June 30, 2022</w:t>
            </w:r>
          </w:p>
        </w:tc>
      </w:tr>
      <w:tr>
        <w:trPr>
          <w:trHeight w:val="216"/>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23,492,221</w:t>
            </w:r>
          </w:p>
        </w:tc>
        <w:tc>
          <w:tcPr>
            <w:tcW w:w="3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2040" w:type="dxa"/>
            <w:vAlign w:val="bottom"/>
            <w:gridSpan w:val="2"/>
          </w:tcPr>
          <w:p>
            <w:pPr>
              <w:jc w:val="right"/>
              <w:ind w:right="320"/>
              <w:spacing w:after="0"/>
              <w:rPr>
                <w:sz w:val="20"/>
                <w:szCs w:val="20"/>
                <w:color w:val="auto"/>
              </w:rPr>
            </w:pPr>
            <w:r>
              <w:rPr>
                <w:rFonts w:ascii="Arial" w:cs="Arial" w:eastAsia="Arial" w:hAnsi="Arial"/>
                <w:sz w:val="18"/>
                <w:szCs w:val="18"/>
                <w:color w:val="auto"/>
              </w:rPr>
              <w:t>208,000</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3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2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3,443,099</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4,008,139</w:t>
            </w:r>
          </w:p>
        </w:tc>
        <w:tc>
          <w:tcPr>
            <w:tcW w:w="80" w:type="dxa"/>
            <w:vAlign w:val="bottom"/>
            <w:shd w:val="clear" w:color="auto" w:fill="CCEEFF"/>
          </w:tcPr>
          <w:p>
            <w:pPr>
              <w:spacing w:after="0"/>
              <w:rPr>
                <w:sz w:val="20"/>
                <w:szCs w:val="20"/>
                <w:color w:val="auto"/>
              </w:rPr>
            </w:pP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Weighted average number of common shares-basic</w:t>
            </w:r>
          </w:p>
        </w:tc>
        <w:tc>
          <w:tcPr>
            <w:tcW w:w="1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27,143,320</w:t>
            </w:r>
          </w:p>
        </w:tc>
        <w:tc>
          <w:tcPr>
            <w:tcW w:w="320" w:type="dxa"/>
            <w:vAlign w:val="bottom"/>
            <w:tcBorders>
              <w:top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4,008,139</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62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Company’s tax provision and the resulting effective tax rate for interim periods is determined based upon its estimated annual effective tax rate adjusted for the effect of discrete items arising in that quarter. The Company recorded an income tax expense (benefit) of $0 and ($814) during the six months ended June 30, 2023 and 2022, respectively. The effective tax rate differs from the U.S. statutory tax rate primarily due to the valuation allowances on the Company’s deferred tax assets as it is more likely than not that some or all the Company’s deferred tax assets will not be realized. The Company’s policy is to recognize interest and penalties associated with uncertain tax benefits as part of the income tax provision and include accrued interest and penalties with the related income tax liability on the Company’s condensed consolidated balance sheets. The Company has not recognized any interest and penalties in its condensed consolidated statements of operations, nor has it accrued for or made payments for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Subsequent to the period ending June 30, 2023, and through August 8, 2023, 273,100 investor warrants were exercised for net proceeds of $546.</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July 2023, upon a request from the Company’s lenders under the term loan agreement, the Company repaid $5,275 of principal to satisfy a portion of its outstanding principal under the term loan agreement.</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July 6, 2023, the Company opened a 12-month time deposit account at Wells Fargo Commercial Banking amounting to $315 with fixed interest rate of 2%, payable on a monthly basis. The time deposit account has a current maturity date of July 6, 2024 and is subject to automatic annual renewal.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July of 2023, the Company was notified by its largest RV OEM customer that, due to weaker demand for its products and their subsequent focus on reducing costs, it would no longer install the Company’s storage solutions as standard equipment, but rather return to offering those solutions as an option to dealers and consumers. While this customer is not moving to a different solution or competitor, the Company expects this change in strategy to have a material limiting effect on the Company’s revenue throughout the remainder of 2023.</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August 20, 2023, upon mutual agreement between the Company and Mr. Marchetti, Mr. Marchetti resigned from his position as the Company’s Chief Financial Officer. Mr. Marchetti will continue in the role of Senior Vice President, Operations. In connection with Mr. Marchetti’s resignation, on August 20, 2023, the Board appointed Denis Phares, the Company’s President, Chief Executive Officer, and Chairman of the Board, to succeed Mr. Marchetti as the Company’s interim Chief Financial Officer. Dr. Phares will continue his duties as President, Chief Executive Officer, and Chairman of the Board. The Company intends to commence a search for a full time Chief Financial Officer.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the estimated expenses to be borne by the registrant in connection with the issuance and distribution of the securities being registered hereby.</w:t>
      </w:r>
    </w:p>
    <w:p>
      <w:pPr>
        <w:spacing w:after="0" w:line="200" w:lineRule="exact"/>
        <w:rPr>
          <w:sz w:val="20"/>
          <w:szCs w:val="20"/>
          <w:color w:val="auto"/>
        </w:rPr>
      </w:pPr>
    </w:p>
    <w:p>
      <w:pPr>
        <w:spacing w:after="0" w:line="20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fees</w:t>
            </w:r>
          </w:p>
        </w:tc>
        <w:tc>
          <w:tcPr>
            <w:tcW w:w="3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17,246.30</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0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56,000.00</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Financial printing and miscellaneous expenses</w:t>
            </w:r>
          </w:p>
        </w:tc>
        <w:tc>
          <w:tcPr>
            <w:tcW w:w="30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Neither our Articles of Incorporation nor our Bylaws prevent us from indemnifying our officers, directors and agents to the extent permitted under the Nevada Revised Statutes, as amended (“</w:t>
      </w:r>
      <w:r>
        <w:rPr>
          <w:rFonts w:ascii="Arial" w:cs="Arial" w:eastAsia="Arial" w:hAnsi="Arial"/>
          <w:sz w:val="17"/>
          <w:szCs w:val="17"/>
          <w:b w:val="1"/>
          <w:bCs w:val="1"/>
          <w:color w:val="auto"/>
        </w:rPr>
        <w:t>NRS</w:t>
      </w:r>
      <w:r>
        <w:rPr>
          <w:rFonts w:ascii="Arial" w:cs="Arial" w:eastAsia="Arial" w:hAnsi="Arial"/>
          <w:sz w:val="17"/>
          <w:szCs w:val="17"/>
          <w:color w:val="auto"/>
        </w:rPr>
        <w:t>”). NRS Section 78.751 provides that a corporation shall indemnify any director, officer, employee or agent of a corporation against expenses, including attorneys’ fees, actually and reasonably incurred by him in connection with any the defense to the extent that a director, officer, employee or agent of a corporation has been successful on the merits or otherwise in defense of any action, suit or proceeding referred to Section 78.7502(1) or 78.7502(2), or in defense of any claim, issue or matter therein.</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NRS Section 78.7502(1)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 (a) is not liable pursuant to NRS Section 78.138; or (b) acted in good faith and in a manner which he reasonably believed to be in or not opposed to the best interests of the corporation, and, with respect to any criminal action or proceeding, had no reasonable cause to believe his conduct was unlawful.</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NRS Section 78.7502(2)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is not liable pursuant to NRS Section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 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NRS Section 78.747 provides that except as otherwise provided by specific statute or agreement, no person other than a corporation is individually liable for a debt or liability of the corporation, unless the person acts as the alter ego of the corporation. The court as a matter of law must determine the question of whether the person acts as the alter ego of a 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both"/>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controlling persons of ours, pursuant to the foregoing provisions, or otherwise, we have been informed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a director, officer or controlling person in connection with the securities being registered, we will, unless in the opinion of its counsel the matter has been settled by controlling precedent, submit to a court of appropriate jurisdiction the question whether such indemnification is against public policy as expressed hereby in the Securities Act and we will be governed by the final adjudication of such issue.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also the undertakings set out in response to Item 17 of this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and Business Combination Issuances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13, 2021, simultaneously with the closing of the CNTQ IPO, CNTQ completed the private sale of an aggregate of 4,361,456 Private Warrants to Warrant Holdings at a purchase price of approximately $0.93 per Private Warrant, generating gross proceeds to CNTQ of $4,052,000. The Private Warrants are identical to the warrants sold in the IPO except that the Private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Warrants was made pursuant to the exemption from registration contained in Section 4(a)(2) of the Securities Act.</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Closing, we issued an additional 15,000 shares to CCM pursuant to the terms of the Subscription Agreement. See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 The Business Combination — PIPE Investment</w:t>
      </w:r>
      <w:r>
        <w:rPr>
          <w:rFonts w:ascii="Arial" w:cs="Arial" w:eastAsia="Arial" w:hAnsi="Arial"/>
          <w:sz w:val="18"/>
          <w:szCs w:val="18"/>
          <w:color w:val="auto"/>
        </w:rPr>
        <w: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Closing, in connection with the entry into the Term Loan Agreement, we entered into (i) the Penny Warrants and (ii) the $10 Warrants. See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 — Debt Financing — Warrant Agreements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RSU Grants</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On October 7, 2022, we granted each of our non-employee directors (i.e. Jonathan Bellows, Perry Boyle, Karina Edmonds, Luisa Ingargiola, Brian Nelson, and Rick Parod) an award of 30,000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under the Dragonfly Energy Holdings Corp. 2022 Equity Incentive Plan. The RSUs are eligible to vest on the first anniversary of the grant date, subject to each director’s continued service on our board through the vesting date.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transactions did not involve any underwriters, underwriting discounts or commissions, or any public offering. We believe these transactions were exempt from registration under the Securities Act in reliance on Section 4(a)(2) of the Securities Act (and Regulation D promulgated thereunder) as transactions by an issuer not involving any public offering.</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certificates or book entry statements representing the securities issued in the transactions described above included appropriate legends setting forth that the securities had not been offered or sold pursuant to a registration statement and describing the applicable restrictions on transfer of the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March 5, 2023, we issued the Note in the Principal Amount of $1.0 million to Brian Nelson, one of our directors, in a private placement in exchange for cash in an equal amount. The Note became due and payable in full on April 1, 2023. We were also obligated to pay the Loan Fee in the amount of $100,000 to Mr. Nelson on April 4, 2023. The Principal Amount of the Note was paid in full on April 1, 2023 and the Loan Fee was paid in full on April 4,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3"/>
        </w:trPr>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w w:val="99"/>
              </w:rPr>
              <w:t>Incorporated By Reference</w:t>
            </w:r>
          </w:p>
        </w:tc>
      </w:tr>
      <w:tr>
        <w:trPr>
          <w:trHeight w:val="237"/>
        </w:trPr>
        <w:tc>
          <w:tcPr>
            <w:tcW w:w="980" w:type="dxa"/>
            <w:vAlign w:val="bottom"/>
          </w:tcPr>
          <w:p>
            <w:pPr>
              <w:ind w:left="60"/>
              <w:spacing w:after="0" w:line="202" w:lineRule="exact"/>
              <w:rPr>
                <w:sz w:val="20"/>
                <w:szCs w:val="20"/>
                <w:color w:val="auto"/>
              </w:rPr>
            </w:pPr>
            <w:r>
              <w:rPr>
                <w:rFonts w:ascii="Arial" w:cs="Arial" w:eastAsia="Arial" w:hAnsi="Arial"/>
                <w:sz w:val="18"/>
                <w:szCs w:val="18"/>
                <w:b w:val="1"/>
                <w:bCs w:val="1"/>
                <w:color w:val="auto"/>
                <w:w w:val="95"/>
              </w:rPr>
              <w:t>Exhibit No.</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380" w:type="dxa"/>
            <w:vAlign w:val="bottom"/>
            <w:gridSpan w:val="17"/>
          </w:tcPr>
          <w:p>
            <w:pPr>
              <w:ind w:left="60"/>
              <w:spacing w:after="0" w:line="202" w:lineRule="exact"/>
              <w:rPr>
                <w:sz w:val="20"/>
                <w:szCs w:val="20"/>
                <w:color w:val="auto"/>
              </w:rPr>
            </w:pPr>
            <w:r>
              <w:rPr>
                <w:rFonts w:ascii="Arial" w:cs="Arial" w:eastAsia="Arial" w:hAnsi="Arial"/>
                <w:sz w:val="18"/>
                <w:szCs w:val="18"/>
                <w:b w:val="1"/>
                <w:bCs w:val="1"/>
                <w:color w:val="auto"/>
              </w:rPr>
              <w:t>Description</w:t>
            </w:r>
          </w:p>
        </w:tc>
        <w:tc>
          <w:tcPr>
            <w:tcW w:w="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Form</w:t>
            </w: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ind w:left="60"/>
              <w:spacing w:after="0"/>
              <w:rPr>
                <w:sz w:val="20"/>
                <w:szCs w:val="20"/>
                <w:color w:val="auto"/>
              </w:rPr>
            </w:pPr>
            <w:r>
              <w:rPr>
                <w:rFonts w:ascii="Arial" w:cs="Arial" w:eastAsia="Arial" w:hAnsi="Arial"/>
                <w:sz w:val="18"/>
                <w:szCs w:val="18"/>
                <w:b w:val="1"/>
                <w:bCs w:val="1"/>
                <w:color w:val="auto"/>
                <w:w w:val="97"/>
              </w:rPr>
              <w:t>Filing 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1.1</w:t>
            </w:r>
          </w:p>
        </w:tc>
        <w:tc>
          <w:tcPr>
            <w:tcW w:w="140" w:type="dxa"/>
            <w:vAlign w:val="bottom"/>
          </w:tcPr>
          <w:p>
            <w:pPr>
              <w:spacing w:after="0"/>
              <w:rPr>
                <w:sz w:val="15"/>
                <w:szCs w:val="15"/>
                <w:color w:val="auto"/>
              </w:rPr>
            </w:pPr>
          </w:p>
        </w:tc>
        <w:tc>
          <w:tcPr>
            <w:tcW w:w="2480" w:type="dxa"/>
            <w:vAlign w:val="bottom"/>
            <w:tcBorders>
              <w:top w:val="single" w:sz="8" w:color="auto"/>
              <w:bottom w:val="single" w:sz="8" w:color="0000EE"/>
            </w:tcBorders>
            <w:gridSpan w:val="7"/>
          </w:tcPr>
          <w:p>
            <w:pPr>
              <w:spacing w:after="0" w:line="176" w:lineRule="exact"/>
              <w:rPr>
                <w:rFonts w:ascii="Arial" w:cs="Arial" w:eastAsia="Arial" w:hAnsi="Arial"/>
                <w:sz w:val="18"/>
                <w:szCs w:val="18"/>
                <w:color w:val="0000EE"/>
                <w:w w:val="92"/>
              </w:rPr>
            </w:pPr>
            <w:hyperlink r:id="rId252">
              <w:r>
                <w:rPr>
                  <w:rFonts w:ascii="Arial" w:cs="Arial" w:eastAsia="Arial" w:hAnsi="Arial"/>
                  <w:sz w:val="18"/>
                  <w:szCs w:val="18"/>
                  <w:color w:val="0000EE"/>
                  <w:w w:val="92"/>
                </w:rPr>
                <w:t>Form of Underwriting Agreement.</w:t>
              </w:r>
            </w:hyperlink>
          </w:p>
        </w:tc>
        <w:tc>
          <w:tcPr>
            <w:tcW w:w="5000" w:type="dxa"/>
            <w:vAlign w:val="bottom"/>
            <w:tcBorders>
              <w:top w:val="single" w:sz="8" w:color="auto"/>
            </w:tcBorders>
            <w:gridSpan w:val="18"/>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S-1/A</w:t>
            </w:r>
          </w:p>
        </w:tc>
        <w:tc>
          <w:tcPr>
            <w:tcW w:w="120" w:type="dxa"/>
            <w:vAlign w:val="bottom"/>
          </w:tcPr>
          <w:p>
            <w:pPr>
              <w:spacing w:after="0"/>
              <w:rPr>
                <w:sz w:val="15"/>
                <w:szCs w:val="15"/>
                <w:color w:val="auto"/>
              </w:rPr>
            </w:pPr>
          </w:p>
        </w:tc>
        <w:tc>
          <w:tcPr>
            <w:tcW w:w="64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87"/>
              </w:rPr>
              <w:t>1.1</w:t>
            </w:r>
          </w:p>
        </w:tc>
        <w:tc>
          <w:tcPr>
            <w:tcW w:w="120" w:type="dxa"/>
            <w:vAlign w:val="bottom"/>
          </w:tcPr>
          <w:p>
            <w:pPr>
              <w:spacing w:after="0"/>
              <w:rPr>
                <w:sz w:val="15"/>
                <w:szCs w:val="15"/>
                <w:color w:val="auto"/>
              </w:rPr>
            </w:pPr>
          </w:p>
        </w:tc>
        <w:tc>
          <w:tcPr>
            <w:tcW w:w="980" w:type="dxa"/>
            <w:vAlign w:val="bottom"/>
            <w:tcBorders>
              <w:top w:val="single" w:sz="8" w:color="auto"/>
            </w:tcBorders>
          </w:tcPr>
          <w:p>
            <w:pPr>
              <w:ind w:left="80"/>
              <w:spacing w:after="0" w:line="176" w:lineRule="exact"/>
              <w:rPr>
                <w:sz w:val="20"/>
                <w:szCs w:val="20"/>
                <w:color w:val="auto"/>
              </w:rPr>
            </w:pPr>
            <w:r>
              <w:rPr>
                <w:rFonts w:ascii="Arial" w:cs="Arial" w:eastAsia="Arial" w:hAnsi="Arial"/>
                <w:sz w:val="18"/>
                <w:szCs w:val="18"/>
                <w:color w:val="auto"/>
                <w:w w:val="97"/>
              </w:rPr>
              <w:t>06/14/2023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w w:val="94"/>
              </w:rPr>
            </w:pPr>
            <w:hyperlink r:id="rId253">
              <w:r>
                <w:rPr>
                  <w:rFonts w:ascii="Arial" w:cs="Arial" w:eastAsia="Arial" w:hAnsi="Arial"/>
                  <w:sz w:val="18"/>
                  <w:szCs w:val="18"/>
                  <w:color w:val="0000EE"/>
                  <w:w w:val="94"/>
                </w:rPr>
                <w:t>Agreement and Plan of Merger, dated as of May 15, 2022, by and among Dragonfly Energy Holdings</w:t>
              </w:r>
            </w:hyperlink>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80" w:type="dxa"/>
            <w:vAlign w:val="bottom"/>
            <w:tcBorders>
              <w:top w:val="single" w:sz="8" w:color="0000EE"/>
            </w:tcBorders>
            <w:gridSpan w:val="22"/>
          </w:tcPr>
          <w:p>
            <w:pPr>
              <w:spacing w:after="0" w:line="196" w:lineRule="exact"/>
              <w:rPr>
                <w:rFonts w:ascii="Arial" w:cs="Arial" w:eastAsia="Arial" w:hAnsi="Arial"/>
                <w:sz w:val="18"/>
                <w:szCs w:val="18"/>
                <w:color w:val="0000EE"/>
                <w:w w:val="92"/>
              </w:rPr>
            </w:pPr>
            <w:hyperlink r:id="rId253">
              <w:r>
                <w:rPr>
                  <w:rFonts w:ascii="Arial" w:cs="Arial" w:eastAsia="Arial" w:hAnsi="Arial"/>
                  <w:sz w:val="18"/>
                  <w:szCs w:val="18"/>
                  <w:color w:val="0000EE"/>
                  <w:w w:val="92"/>
                </w:rPr>
                <w:t>Corp. (f/k/a Chardan NexTech Acquisition 2 Corp.), Bronco Merger Sub, Inc. and Dragonfly Energy</w:t>
              </w:r>
            </w:hyperlink>
          </w:p>
        </w:tc>
        <w:tc>
          <w:tcPr>
            <w:tcW w:w="32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Corp. (included as Annex A to the proxy statement/prospectus).</w:t>
              </w:r>
            </w:hyperlink>
          </w:p>
        </w:tc>
        <w:tc>
          <w:tcPr>
            <w:tcW w:w="2640" w:type="dxa"/>
            <w:vAlign w:val="bottom"/>
            <w:tcBorders>
              <w:top w:val="single" w:sz="8" w:color="0000EE"/>
            </w:tcBorders>
            <w:gridSpan w:val="6"/>
          </w:tcPr>
          <w:p>
            <w:pPr>
              <w:spacing w:after="0"/>
              <w:rPr>
                <w:sz w:val="17"/>
                <w:szCs w:val="17"/>
                <w:color w:val="auto"/>
              </w:rPr>
            </w:pPr>
          </w:p>
        </w:tc>
        <w:tc>
          <w:tcPr>
            <w:tcW w:w="38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Amendment to Agreement and Plan of Merger, dated as of July 12, 2022, by and among Dragonfly</w:t>
              </w:r>
            </w:hyperlink>
          </w:p>
        </w:tc>
        <w:tc>
          <w:tcPr>
            <w:tcW w:w="480" w:type="dxa"/>
            <w:vAlign w:val="bottom"/>
            <w:gridSpan w:val="7"/>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S-4</w:t>
            </w:r>
          </w:p>
        </w:tc>
        <w:tc>
          <w:tcPr>
            <w:tcW w:w="76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89"/>
              </w:rPr>
              <w:t>2.1(a)</w:t>
            </w: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w w:val="97"/>
              </w:rPr>
            </w:pPr>
            <w:hyperlink r:id="rId254">
              <w:r>
                <w:rPr>
                  <w:rFonts w:ascii="Arial" w:cs="Arial" w:eastAsia="Arial" w:hAnsi="Arial"/>
                  <w:sz w:val="18"/>
                  <w:szCs w:val="18"/>
                  <w:color w:val="0000EE"/>
                  <w:w w:val="97"/>
                </w:rPr>
                <w:t>Energy Holdings Corp. (f/k/a Chardan NexTech Acquisition 2 Corp.), Bronco Merger Sub, Inc. and</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Dragonfly Energy Corp.</w:t>
              </w:r>
            </w:hyperlink>
          </w:p>
        </w:tc>
        <w:tc>
          <w:tcPr>
            <w:tcW w:w="5400" w:type="dxa"/>
            <w:vAlign w:val="bottom"/>
            <w:tcBorders>
              <w:top w:val="single" w:sz="8" w:color="0000EE"/>
            </w:tcBorders>
            <w:gridSpan w:val="18"/>
          </w:tcPr>
          <w:p>
            <w:pPr>
              <w:spacing w:after="0"/>
              <w:rPr>
                <w:sz w:val="17"/>
                <w:szCs w:val="17"/>
                <w:color w:val="auto"/>
              </w:rPr>
            </w:pPr>
          </w:p>
        </w:tc>
        <w:tc>
          <w:tcPr>
            <w:tcW w:w="460" w:type="dxa"/>
            <w:vAlign w:val="bottom"/>
            <w:gridSpan w:val="6"/>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255">
              <w:r>
                <w:rPr>
                  <w:rFonts w:ascii="Arial" w:cs="Arial" w:eastAsia="Arial" w:hAnsi="Arial"/>
                  <w:sz w:val="18"/>
                  <w:szCs w:val="18"/>
                  <w:color w:val="0000EE"/>
                  <w:w w:val="89"/>
                </w:rPr>
                <w:t>Plan of Conversion.</w:t>
              </w:r>
            </w:hyperlink>
          </w:p>
        </w:tc>
        <w:tc>
          <w:tcPr>
            <w:tcW w:w="6180" w:type="dxa"/>
            <w:vAlign w:val="bottom"/>
            <w:gridSpan w:val="25"/>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rPr>
            </w:pPr>
            <w:hyperlink r:id="rId256">
              <w:r>
                <w:rPr>
                  <w:rFonts w:ascii="Arial" w:cs="Arial" w:eastAsia="Arial" w:hAnsi="Arial"/>
                  <w:sz w:val="18"/>
                  <w:szCs w:val="18"/>
                  <w:color w:val="0000EE"/>
                </w:rPr>
                <w:t>Articles of Incorporation of Dragonfly Energy Holdings Corp.</w:t>
              </w:r>
            </w:hyperlink>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257">
              <w:r>
                <w:rPr>
                  <w:rFonts w:ascii="Arial" w:cs="Arial" w:eastAsia="Arial" w:hAnsi="Arial"/>
                  <w:sz w:val="18"/>
                  <w:szCs w:val="18"/>
                  <w:color w:val="0000EE"/>
                  <w:w w:val="92"/>
                </w:rPr>
                <w:t>Bylaws of Dragonfly Energy Holdings Corp.</w:t>
              </w:r>
            </w:hyperlink>
          </w:p>
        </w:tc>
        <w:tc>
          <w:tcPr>
            <w:tcW w:w="1240" w:type="dxa"/>
            <w:vAlign w:val="bottom"/>
            <w:tcBorders>
              <w:top w:val="single" w:sz="8" w:color="0000EE"/>
            </w:tcBorders>
            <w:gridSpan w:val="5"/>
          </w:tcPr>
          <w:p>
            <w:pPr>
              <w:spacing w:after="0"/>
              <w:rPr>
                <w:sz w:val="17"/>
                <w:szCs w:val="17"/>
                <w:color w:val="auto"/>
              </w:rPr>
            </w:pPr>
          </w:p>
        </w:tc>
        <w:tc>
          <w:tcPr>
            <w:tcW w:w="3140" w:type="dxa"/>
            <w:vAlign w:val="bottom"/>
            <w:gridSpan w:val="12"/>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03/31/2023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4.1</w:t>
            </w: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rPr>
            </w:pPr>
            <w:hyperlink r:id="rId258">
              <w:r>
                <w:rPr>
                  <w:rFonts w:ascii="Arial" w:cs="Arial" w:eastAsia="Arial" w:hAnsi="Arial"/>
                  <w:sz w:val="18"/>
                  <w:szCs w:val="18"/>
                  <w:color w:val="0000EE"/>
                </w:rPr>
                <w:t>Specimen Common Stock Certificate of Dragonfly Energy Holdings Corp.</w:t>
              </w:r>
            </w:hyperlink>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4.2</w:t>
            </w:r>
          </w:p>
        </w:tc>
        <w:tc>
          <w:tcPr>
            <w:tcW w:w="140" w:type="dxa"/>
            <w:vAlign w:val="bottom"/>
          </w:tcPr>
          <w:p>
            <w:pPr>
              <w:spacing w:after="0"/>
              <w:rPr>
                <w:sz w:val="17"/>
                <w:szCs w:val="17"/>
                <w:color w:val="auto"/>
              </w:rPr>
            </w:pPr>
          </w:p>
        </w:tc>
        <w:tc>
          <w:tcPr>
            <w:tcW w:w="42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2"/>
              </w:rPr>
            </w:pPr>
            <w:hyperlink r:id="rId259">
              <w:r>
                <w:rPr>
                  <w:rFonts w:ascii="Arial" w:cs="Arial" w:eastAsia="Arial" w:hAnsi="Arial"/>
                  <w:sz w:val="18"/>
                  <w:szCs w:val="18"/>
                  <w:color w:val="0000EE"/>
                  <w:w w:val="92"/>
                </w:rPr>
                <w:t xml:space="preserve">Form of </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10 Warrant of Dragonfly Energy Holdings Corp.</w:t>
              </w:r>
            </w:hyperlink>
          </w:p>
        </w:tc>
        <w:tc>
          <w:tcPr>
            <w:tcW w:w="1160" w:type="dxa"/>
            <w:vAlign w:val="bottom"/>
            <w:tcBorders>
              <w:top w:val="single" w:sz="8" w:color="0000EE"/>
            </w:tcBorders>
            <w:gridSpan w:val="5"/>
          </w:tcPr>
          <w:p>
            <w:pPr>
              <w:spacing w:after="0"/>
              <w:rPr>
                <w:sz w:val="17"/>
                <w:szCs w:val="17"/>
                <w:color w:val="auto"/>
              </w:rPr>
            </w:pPr>
          </w:p>
        </w:tc>
        <w:tc>
          <w:tcPr>
            <w:tcW w:w="2240" w:type="dxa"/>
            <w:vAlign w:val="bottom"/>
            <w:gridSpan w:val="9"/>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43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60">
              <w:r>
                <w:rPr>
                  <w:rFonts w:ascii="Arial" w:cs="Arial" w:eastAsia="Arial" w:hAnsi="Arial"/>
                  <w:sz w:val="18"/>
                  <w:szCs w:val="18"/>
                  <w:color w:val="0000EE"/>
                  <w:w w:val="91"/>
                </w:rPr>
                <w:t>Form of Penny Warrant of Dragonfly Energy Holdings Corp.</w:t>
              </w:r>
            </w:hyperlink>
          </w:p>
        </w:tc>
        <w:tc>
          <w:tcPr>
            <w:tcW w:w="3220" w:type="dxa"/>
            <w:vAlign w:val="bottom"/>
            <w:gridSpan w:val="13"/>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10/11/2022</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4.4</w:t>
            </w: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w w:val="97"/>
              </w:rPr>
            </w:pPr>
            <w:hyperlink r:id="rId261">
              <w:r>
                <w:rPr>
                  <w:rFonts w:ascii="Arial" w:cs="Arial" w:eastAsia="Arial" w:hAnsi="Arial"/>
                  <w:sz w:val="18"/>
                  <w:szCs w:val="18"/>
                  <w:color w:val="0000EE"/>
                  <w:w w:val="97"/>
                </w:rPr>
                <w:t>Warrant Agreement, dated as of October 19, 2022, between Dragonfly Energy Holdings Corp. and</w:t>
              </w:r>
            </w:hyperlink>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S-1</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10/21/2022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61">
              <w:r>
                <w:rPr>
                  <w:rFonts w:ascii="Arial" w:cs="Arial" w:eastAsia="Arial" w:hAnsi="Arial"/>
                  <w:sz w:val="18"/>
                  <w:szCs w:val="18"/>
                  <w:color w:val="0000EE"/>
                </w:rPr>
                <w:t>American Stock Transfer &amp; Trust Company, LLC.</w:t>
              </w:r>
            </w:hyperlink>
          </w:p>
        </w:tc>
        <w:tc>
          <w:tcPr>
            <w:tcW w:w="54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4.5</w:t>
            </w:r>
          </w:p>
        </w:tc>
        <w:tc>
          <w:tcPr>
            <w:tcW w:w="140" w:type="dxa"/>
            <w:vAlign w:val="bottom"/>
          </w:tcPr>
          <w:p>
            <w:pPr>
              <w:spacing w:after="0"/>
              <w:rPr>
                <w:sz w:val="17"/>
                <w:szCs w:val="17"/>
                <w:color w:val="auto"/>
              </w:rPr>
            </w:pPr>
          </w:p>
        </w:tc>
        <w:tc>
          <w:tcPr>
            <w:tcW w:w="482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62">
              <w:r>
                <w:rPr>
                  <w:rFonts w:ascii="Arial" w:cs="Arial" w:eastAsia="Arial" w:hAnsi="Arial"/>
                  <w:sz w:val="18"/>
                  <w:szCs w:val="18"/>
                  <w:color w:val="0000EE"/>
                  <w:w w:val="91"/>
                </w:rPr>
                <w:t>Specimen Warrant Certificate of Dragonfly Energy Holdings Corp.</w:t>
              </w:r>
            </w:hyperlink>
          </w:p>
        </w:tc>
        <w:tc>
          <w:tcPr>
            <w:tcW w:w="2780" w:type="dxa"/>
            <w:vAlign w:val="bottom"/>
            <w:gridSpan w:val="10"/>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04/17/2023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4.6</w:t>
            </w:r>
          </w:p>
        </w:tc>
        <w:tc>
          <w:tcPr>
            <w:tcW w:w="140" w:type="dxa"/>
            <w:vAlign w:val="bottom"/>
          </w:tcPr>
          <w:p>
            <w:pPr>
              <w:spacing w:after="0"/>
              <w:rPr>
                <w:sz w:val="17"/>
                <w:szCs w:val="17"/>
                <w:color w:val="auto"/>
              </w:rPr>
            </w:pPr>
          </w:p>
        </w:tc>
        <w:tc>
          <w:tcPr>
            <w:tcW w:w="402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r:id="rId263">
              <w:r>
                <w:rPr>
                  <w:rFonts w:ascii="Arial" w:cs="Arial" w:eastAsia="Arial" w:hAnsi="Arial"/>
                  <w:sz w:val="18"/>
                  <w:szCs w:val="18"/>
                  <w:color w:val="0000EE"/>
                  <w:w w:val="89"/>
                </w:rPr>
                <w:t>Promissory Note of the Company, dated March 5, 2023.</w:t>
              </w:r>
            </w:hyperlink>
          </w:p>
        </w:tc>
        <w:tc>
          <w:tcPr>
            <w:tcW w:w="3580" w:type="dxa"/>
            <w:vAlign w:val="bottom"/>
            <w:gridSpan w:val="15"/>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03/09/2023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4.7</w:t>
            </w:r>
          </w:p>
        </w:tc>
        <w:tc>
          <w:tcPr>
            <w:tcW w:w="140" w:type="dxa"/>
            <w:vAlign w:val="bottom"/>
          </w:tcPr>
          <w:p>
            <w:pPr>
              <w:spacing w:after="0"/>
              <w:rPr>
                <w:sz w:val="17"/>
                <w:szCs w:val="17"/>
                <w:color w:val="auto"/>
              </w:rPr>
            </w:pPr>
          </w:p>
        </w:tc>
        <w:tc>
          <w:tcPr>
            <w:tcW w:w="182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r:id="rId264">
              <w:r>
                <w:rPr>
                  <w:rFonts w:ascii="Arial" w:cs="Arial" w:eastAsia="Arial" w:hAnsi="Arial"/>
                  <w:sz w:val="18"/>
                  <w:szCs w:val="18"/>
                  <w:color w:val="0000EE"/>
                  <w:w w:val="90"/>
                </w:rPr>
                <w:t>Description of Securities.</w:t>
              </w:r>
            </w:hyperlink>
          </w:p>
        </w:tc>
        <w:tc>
          <w:tcPr>
            <w:tcW w:w="5780" w:type="dxa"/>
            <w:vAlign w:val="bottom"/>
            <w:gridSpan w:val="23"/>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9"/>
              </w:rPr>
              <w:t>10-K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04/17/2023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4.8</w:t>
            </w: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rPr>
            </w:pPr>
            <w:hyperlink r:id="rId265">
              <w:r>
                <w:rPr>
                  <w:rFonts w:ascii="Arial" w:cs="Arial" w:eastAsia="Arial" w:hAnsi="Arial"/>
                  <w:sz w:val="18"/>
                  <w:szCs w:val="18"/>
                  <w:color w:val="0000EE"/>
                </w:rPr>
                <w:t>Form of Underwriters’ Warrant.</w:t>
              </w:r>
            </w:hyperlink>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3"/>
              </w:rPr>
              <w:t>S-1/A</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06/14/2023</w:t>
            </w: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4.9</w:t>
            </w:r>
          </w:p>
        </w:tc>
        <w:tc>
          <w:tcPr>
            <w:tcW w:w="140" w:type="dxa"/>
            <w:vAlign w:val="bottom"/>
          </w:tcPr>
          <w:p>
            <w:pPr>
              <w:spacing w:after="0"/>
              <w:rPr>
                <w:sz w:val="17"/>
                <w:szCs w:val="17"/>
                <w:color w:val="auto"/>
              </w:rPr>
            </w:pPr>
          </w:p>
        </w:tc>
        <w:tc>
          <w:tcPr>
            <w:tcW w:w="22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266">
              <w:r>
                <w:rPr>
                  <w:rFonts w:ascii="Arial" w:cs="Arial" w:eastAsia="Arial" w:hAnsi="Arial"/>
                  <w:sz w:val="18"/>
                  <w:szCs w:val="18"/>
                  <w:color w:val="0000EE"/>
                </w:rPr>
                <w:t>Form of Investor Warrant.</w:t>
              </w:r>
            </w:hyperlink>
          </w:p>
        </w:tc>
        <w:tc>
          <w:tcPr>
            <w:tcW w:w="5320" w:type="dxa"/>
            <w:vAlign w:val="bottom"/>
            <w:gridSpan w:val="20"/>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9"/>
              </w:rPr>
              <w:t>8-K</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06/21/2023</w:t>
            </w: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620" w:type="dxa"/>
            <w:vAlign w:val="bottom"/>
            <w:gridSpan w:val="1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5.1*</w:t>
            </w:r>
          </w:p>
        </w:tc>
        <w:tc>
          <w:tcPr>
            <w:tcW w:w="140" w:type="dxa"/>
            <w:vAlign w:val="bottom"/>
          </w:tcPr>
          <w:p>
            <w:pPr>
              <w:spacing w:after="0"/>
              <w:rPr>
                <w:sz w:val="17"/>
                <w:szCs w:val="17"/>
                <w:color w:val="auto"/>
              </w:rPr>
            </w:pPr>
          </w:p>
        </w:tc>
        <w:tc>
          <w:tcPr>
            <w:tcW w:w="26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1"/>
              </w:rPr>
              <w:t>Opinion of Parsons Behle &amp; Latimer.</w:t>
            </w:r>
          </w:p>
        </w:tc>
        <w:tc>
          <w:tcPr>
            <w:tcW w:w="4920" w:type="dxa"/>
            <w:vAlign w:val="bottom"/>
            <w:gridSpan w:val="18"/>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7"/>
                <w:szCs w:val="17"/>
                <w:color w:val="auto"/>
              </w:rPr>
            </w:pPr>
          </w:p>
        </w:tc>
        <w:tc>
          <w:tcPr>
            <w:tcW w:w="7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267">
              <w:r>
                <w:rPr>
                  <w:rFonts w:ascii="Arial" w:cs="Arial" w:eastAsia="Arial" w:hAnsi="Arial"/>
                  <w:sz w:val="18"/>
                  <w:szCs w:val="18"/>
                  <w:color w:val="0000EE"/>
                  <w:w w:val="89"/>
                </w:rPr>
                <w:t>Sponsor Support Agreement, dated as of May 15, 2022, by and among Chardan NexTech Investments 2</w:t>
              </w:r>
            </w:hyperlink>
          </w:p>
        </w:tc>
        <w:tc>
          <w:tcPr>
            <w:tcW w:w="140" w:type="dxa"/>
            <w:vAlign w:val="bottom"/>
            <w:gridSpan w:val="2"/>
          </w:tcPr>
          <w:p>
            <w:pPr>
              <w:spacing w:after="0"/>
              <w:rPr>
                <w:sz w:val="17"/>
                <w:szCs w:val="17"/>
                <w:color w:val="auto"/>
              </w:rPr>
            </w:pPr>
          </w:p>
        </w:tc>
        <w:tc>
          <w:tcPr>
            <w:tcW w:w="780" w:type="dxa"/>
            <w:vAlign w:val="bottom"/>
            <w:gridSpan w:val="2"/>
          </w:tcPr>
          <w:p>
            <w:pPr>
              <w:jc w:val="center"/>
              <w:ind w:right="120"/>
              <w:spacing w:after="0" w:line="196" w:lineRule="exact"/>
              <w:rPr>
                <w:sz w:val="20"/>
                <w:szCs w:val="20"/>
                <w:color w:val="auto"/>
              </w:rPr>
            </w:pPr>
            <w:r>
              <w:rPr>
                <w:rFonts w:ascii="Arial" w:cs="Arial" w:eastAsia="Arial" w:hAnsi="Arial"/>
                <w:sz w:val="18"/>
                <w:szCs w:val="18"/>
                <w:color w:val="auto"/>
                <w:w w:val="92"/>
              </w:rPr>
              <w:t>S-4</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7"/>
                <w:szCs w:val="17"/>
                <w:color w:val="auto"/>
              </w:rPr>
            </w:pPr>
          </w:p>
        </w:tc>
        <w:tc>
          <w:tcPr>
            <w:tcW w:w="980" w:type="dxa"/>
            <w:vAlign w:val="bottom"/>
          </w:tcPr>
          <w:p>
            <w:pPr>
              <w:ind w:left="80"/>
              <w:spacing w:after="0" w:line="196" w:lineRule="exact"/>
              <w:rPr>
                <w:sz w:val="20"/>
                <w:szCs w:val="20"/>
                <w:color w:val="auto"/>
              </w:rPr>
            </w:pPr>
            <w:r>
              <w:rPr>
                <w:rFonts w:ascii="Arial" w:cs="Arial" w:eastAsia="Arial" w:hAnsi="Arial"/>
                <w:sz w:val="18"/>
                <w:szCs w:val="18"/>
                <w:color w:val="auto"/>
                <w:w w:val="97"/>
              </w:rPr>
              <w:t>07/22/2022</w:t>
            </w: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0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67">
              <w:r>
                <w:rPr>
                  <w:rFonts w:ascii="Arial" w:cs="Arial" w:eastAsia="Arial" w:hAnsi="Arial"/>
                  <w:sz w:val="18"/>
                  <w:szCs w:val="18"/>
                  <w:color w:val="0000EE"/>
                  <w:w w:val="91"/>
                </w:rPr>
                <w:t>LLC, Dragonfly Energy Corp. and Chardan NexTech Investments 2 LLC (included as Annex E to the</w:t>
              </w:r>
            </w:hyperlink>
          </w:p>
        </w:tc>
        <w:tc>
          <w:tcPr>
            <w:tcW w:w="30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6"/>
          </w:tcPr>
          <w:p>
            <w:pPr>
              <w:spacing w:after="0" w:line="196" w:lineRule="exact"/>
              <w:rPr>
                <w:rFonts w:ascii="Arial" w:cs="Arial" w:eastAsia="Arial" w:hAnsi="Arial"/>
                <w:sz w:val="18"/>
                <w:szCs w:val="18"/>
                <w:color w:val="0000EE"/>
              </w:rPr>
            </w:pPr>
            <w:hyperlink r:id="rId267">
              <w:r>
                <w:rPr>
                  <w:rFonts w:ascii="Arial" w:cs="Arial" w:eastAsia="Arial" w:hAnsi="Arial"/>
                  <w:sz w:val="18"/>
                  <w:szCs w:val="18"/>
                  <w:color w:val="0000EE"/>
                </w:rPr>
                <w:t>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w:t>
            </w:r>
          </w:p>
        </w:tc>
        <w:tc>
          <w:tcPr>
            <w:tcW w:w="7400" w:type="dxa"/>
            <w:vAlign w:val="bottom"/>
            <w:tcBorders>
              <w:bottom w:val="single" w:sz="8" w:color="0000EE"/>
            </w:tcBorders>
            <w:gridSpan w:val="29"/>
          </w:tcPr>
          <w:p>
            <w:pPr>
              <w:spacing w:after="0"/>
              <w:rPr>
                <w:rFonts w:ascii="Arial" w:cs="Arial" w:eastAsia="Arial" w:hAnsi="Arial"/>
                <w:sz w:val="18"/>
                <w:szCs w:val="18"/>
                <w:color w:val="0000EE"/>
                <w:w w:val="91"/>
              </w:rPr>
            </w:pPr>
            <w:hyperlink r:id="rId269">
              <w:r>
                <w:rPr>
                  <w:rFonts w:ascii="Arial" w:cs="Arial" w:eastAsia="Arial" w:hAnsi="Arial"/>
                  <w:sz w:val="18"/>
                  <w:szCs w:val="18"/>
                  <w:color w:val="0000EE"/>
                  <w:w w:val="91"/>
                </w:rPr>
                <w:t>Commitment Letter, dated as of May 15, 2022, by and among Dragonfly Energy Holdings Corp. (f/k/a</w:t>
              </w:r>
            </w:hyperlink>
          </w:p>
        </w:tc>
        <w:tc>
          <w:tcPr>
            <w:tcW w:w="100" w:type="dxa"/>
            <w:vAlign w:val="bottom"/>
            <w:gridSpan w:val="2"/>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340" w:type="dxa"/>
            <w:vAlign w:val="bottom"/>
            <w:tcBorders>
              <w:bottom w:val="single" w:sz="8" w:color="0000EE"/>
            </w:tcBorders>
            <w:gridSpan w:val="27"/>
          </w:tcPr>
          <w:p>
            <w:pPr>
              <w:spacing w:after="0" w:line="196" w:lineRule="exact"/>
              <w:rPr>
                <w:rFonts w:ascii="Arial" w:cs="Arial" w:eastAsia="Arial" w:hAnsi="Arial"/>
                <w:sz w:val="18"/>
                <w:szCs w:val="18"/>
                <w:color w:val="0000EE"/>
                <w:w w:val="92"/>
              </w:rPr>
            </w:pPr>
            <w:hyperlink r:id="rId269">
              <w:r>
                <w:rPr>
                  <w:rFonts w:ascii="Arial" w:cs="Arial" w:eastAsia="Arial" w:hAnsi="Arial"/>
                  <w:sz w:val="18"/>
                  <w:szCs w:val="18"/>
                  <w:color w:val="0000EE"/>
                  <w:w w:val="92"/>
                </w:rPr>
                <w:t>Chardan NexTech Acquisition 2 Corp.), Dragonfly Energy Corp., CCM Investments 5 LLC and EICF</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269">
              <w:r>
                <w:rPr>
                  <w:rFonts w:ascii="Arial" w:cs="Arial" w:eastAsia="Arial" w:hAnsi="Arial"/>
                  <w:sz w:val="18"/>
                  <w:szCs w:val="18"/>
                  <w:color w:val="0000EE"/>
                  <w:w w:val="90"/>
                </w:rPr>
                <w:t>Agent LLC (included as Annex J to the proxy statement/prospectus).</w:t>
              </w:r>
            </w:hyperlink>
          </w:p>
        </w:tc>
        <w:tc>
          <w:tcPr>
            <w:tcW w:w="2540" w:type="dxa"/>
            <w:vAlign w:val="bottom"/>
            <w:gridSpan w:val="14"/>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7500" w:type="dxa"/>
            <w:vAlign w:val="bottom"/>
            <w:gridSpan w:val="31"/>
          </w:tcPr>
          <w:p>
            <w:pPr>
              <w:spacing w:after="0" w:line="196" w:lineRule="exact"/>
              <w:rPr>
                <w:rFonts w:ascii="Arial" w:cs="Arial" w:eastAsia="Arial" w:hAnsi="Arial"/>
                <w:sz w:val="18"/>
                <w:szCs w:val="18"/>
                <w:color w:val="0000EE"/>
                <w:w w:val="94"/>
              </w:rPr>
            </w:pPr>
            <w:hyperlink r:id="rId270">
              <w:r>
                <w:rPr>
                  <w:rFonts w:ascii="Arial" w:cs="Arial" w:eastAsia="Arial" w:hAnsi="Arial"/>
                  <w:sz w:val="18"/>
                  <w:szCs w:val="18"/>
                  <w:color w:val="0000EE"/>
                  <w:w w:val="94"/>
                </w:rPr>
                <w:t>Equity Facility Letter Agreement, dated as of May 15, 2022, by and among Dragonfly Energy Corp.,</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44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270">
              <w:r>
                <w:rPr>
                  <w:rFonts w:ascii="Arial" w:cs="Arial" w:eastAsia="Arial" w:hAnsi="Arial"/>
                  <w:sz w:val="18"/>
                  <w:szCs w:val="18"/>
                  <w:color w:val="0000EE"/>
                  <w:w w:val="92"/>
                </w:rPr>
                <w:t>Dragonfly Energy Holdings Corp. (f/k/a Chardan NexTech Acquisition 2 Corp.) and CCM Investments</w:t>
              </w:r>
            </w:hyperlink>
          </w:p>
        </w:tc>
        <w:tc>
          <w:tcPr>
            <w:tcW w:w="6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Arial" w:cs="Arial" w:eastAsia="Arial" w:hAnsi="Arial"/>
                <w:sz w:val="18"/>
                <w:szCs w:val="18"/>
                <w:color w:val="0000EE"/>
              </w:rPr>
            </w:pPr>
            <w:hyperlink r:id="rId270">
              <w:r>
                <w:rPr>
                  <w:rFonts w:ascii="Arial" w:cs="Arial" w:eastAsia="Arial" w:hAnsi="Arial"/>
                  <w:sz w:val="18"/>
                  <w:szCs w:val="18"/>
                  <w:color w:val="0000EE"/>
                </w:rPr>
                <w:t>5 LLC (included as Annex K to the proxy statement/prospectus).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73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271">
              <w:r>
                <w:rPr>
                  <w:rFonts w:ascii="Arial" w:cs="Arial" w:eastAsia="Arial" w:hAnsi="Arial"/>
                  <w:sz w:val="18"/>
                  <w:szCs w:val="18"/>
                  <w:color w:val="0000EE"/>
                  <w:w w:val="91"/>
                </w:rPr>
                <w:t>Subscription Agreement, dated as of May 15, 2022, between Dragonfly Energy Holdings Corp. (f/k/a</w:t>
              </w:r>
            </w:hyperlink>
          </w:p>
        </w:tc>
        <w:tc>
          <w:tcPr>
            <w:tcW w:w="200" w:type="dxa"/>
            <w:vAlign w:val="bottom"/>
            <w:gridSpan w:val="6"/>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271">
              <w:r>
                <w:rPr>
                  <w:rFonts w:ascii="Arial" w:cs="Arial" w:eastAsia="Arial" w:hAnsi="Arial"/>
                  <w:sz w:val="18"/>
                  <w:szCs w:val="18"/>
                  <w:color w:val="0000EE"/>
                  <w:w w:val="90"/>
                </w:rPr>
                <w:t>Chardan NexTech Acquisition 2 Corp.) and Chardan NexTech Investments 2 LLC (included as Annex F</w:t>
              </w:r>
            </w:hyperlink>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271">
              <w:r>
                <w:rPr>
                  <w:rFonts w:ascii="Arial" w:cs="Arial" w:eastAsia="Arial" w:hAnsi="Arial"/>
                  <w:sz w:val="18"/>
                  <w:szCs w:val="18"/>
                  <w:color w:val="0000EE"/>
                  <w:w w:val="89"/>
                </w:rPr>
                <w:t>to the proxy statement/prospectus).</w:t>
              </w:r>
            </w:hyperlink>
          </w:p>
        </w:tc>
        <w:tc>
          <w:tcPr>
            <w:tcW w:w="4960" w:type="dxa"/>
            <w:vAlign w:val="bottom"/>
            <w:gridSpan w:val="2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45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272">
              <w:r>
                <w:rPr>
                  <w:rFonts w:ascii="Arial" w:cs="Arial" w:eastAsia="Arial" w:hAnsi="Arial"/>
                  <w:sz w:val="18"/>
                  <w:szCs w:val="18"/>
                  <w:color w:val="0000EE"/>
                  <w:w w:val="92"/>
                </w:rPr>
                <w:t>Dragonfly Energy Holdings Corp. 2022 Equity Incentive Plan.</w:t>
              </w:r>
            </w:hyperlink>
          </w:p>
        </w:tc>
        <w:tc>
          <w:tcPr>
            <w:tcW w:w="2980" w:type="dxa"/>
            <w:vAlign w:val="bottom"/>
            <w:gridSpan w:val="1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273">
              <w:r>
                <w:rPr>
                  <w:rFonts w:ascii="Arial" w:cs="Arial" w:eastAsia="Arial" w:hAnsi="Arial"/>
                  <w:sz w:val="18"/>
                  <w:szCs w:val="18"/>
                  <w:color w:val="0000EE"/>
                  <w:w w:val="91"/>
                </w:rPr>
                <w:t>Dragonfly Energy Holdings Corp. Employee Stock Purchase Plan.</w:t>
              </w:r>
            </w:hyperlink>
          </w:p>
        </w:tc>
        <w:tc>
          <w:tcPr>
            <w:tcW w:w="2700" w:type="dxa"/>
            <w:vAlign w:val="bottom"/>
            <w:gridSpan w:val="1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332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r:id="rId274">
              <w:r>
                <w:rPr>
                  <w:rFonts w:ascii="Arial" w:cs="Arial" w:eastAsia="Arial" w:hAnsi="Arial"/>
                  <w:sz w:val="18"/>
                  <w:szCs w:val="18"/>
                  <w:color w:val="0000EE"/>
                  <w:w w:val="93"/>
                </w:rPr>
                <w:t>Form of Director Indemnification Agreement.</w:t>
              </w:r>
            </w:hyperlink>
          </w:p>
        </w:tc>
        <w:tc>
          <w:tcPr>
            <w:tcW w:w="4180" w:type="dxa"/>
            <w:vAlign w:val="bottom"/>
            <w:gridSpan w:val="2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734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275">
              <w:r>
                <w:rPr>
                  <w:rFonts w:ascii="Arial" w:cs="Arial" w:eastAsia="Arial" w:hAnsi="Arial"/>
                  <w:sz w:val="18"/>
                  <w:szCs w:val="18"/>
                  <w:color w:val="0000EE"/>
                  <w:w w:val="91"/>
                </w:rPr>
                <w:t>Multi-tenant Industrial Triple Net Lease, dated as of March 1, 2021, between Dragonfly Energy Corp.</w:t>
              </w:r>
            </w:hyperlink>
          </w:p>
        </w:tc>
        <w:tc>
          <w:tcPr>
            <w:tcW w:w="16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Arial" w:cs="Arial" w:eastAsia="Arial" w:hAnsi="Arial"/>
                <w:sz w:val="18"/>
                <w:szCs w:val="18"/>
                <w:color w:val="0000EE"/>
              </w:rPr>
            </w:pPr>
            <w:hyperlink r:id="rId275">
              <w:r>
                <w:rPr>
                  <w:rFonts w:ascii="Arial" w:cs="Arial" w:eastAsia="Arial" w:hAnsi="Arial"/>
                  <w:sz w:val="18"/>
                  <w:szCs w:val="18"/>
                  <w:color w:val="0000EE"/>
                </w:rPr>
                <w:t>and Icon Reno Property Owner Pool 3 Nevada, LLC.</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63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276">
              <w:r>
                <w:rPr>
                  <w:rFonts w:ascii="Arial" w:cs="Arial" w:eastAsia="Arial" w:hAnsi="Arial"/>
                  <w:sz w:val="18"/>
                  <w:szCs w:val="18"/>
                  <w:color w:val="0000EE"/>
                  <w:w w:val="89"/>
                </w:rPr>
                <w:t>Lease, dated as of February 8, 2022, between Dragonfly Energy Corp. and Prologis, L.P.</w:t>
              </w:r>
            </w:hyperlink>
          </w:p>
        </w:tc>
        <w:tc>
          <w:tcPr>
            <w:tcW w:w="1120" w:type="dxa"/>
            <w:vAlign w:val="bottom"/>
            <w:gridSpan w:val="1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708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r:id="rId277">
              <w:r>
                <w:rPr>
                  <w:rFonts w:ascii="Arial" w:cs="Arial" w:eastAsia="Arial" w:hAnsi="Arial"/>
                  <w:sz w:val="18"/>
                  <w:szCs w:val="18"/>
                  <w:color w:val="0000EE"/>
                  <w:w w:val="90"/>
                </w:rPr>
                <w:t>Purchase Agreement, dated as of October 7, 2022, between Dragonfly Energy Holdings Corp. and</w:t>
              </w:r>
            </w:hyperlink>
          </w:p>
        </w:tc>
        <w:tc>
          <w:tcPr>
            <w:tcW w:w="420" w:type="dxa"/>
            <w:vAlign w:val="bottom"/>
            <w:gridSpan w:val="10"/>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2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77">
              <w:r>
                <w:rPr>
                  <w:rFonts w:ascii="Arial" w:cs="Arial" w:eastAsia="Arial" w:hAnsi="Arial"/>
                  <w:sz w:val="18"/>
                  <w:szCs w:val="18"/>
                  <w:color w:val="0000EE"/>
                  <w:w w:val="91"/>
                </w:rPr>
                <w:t>Chardan Capital Markets LLC.</w:t>
              </w:r>
            </w:hyperlink>
          </w:p>
        </w:tc>
        <w:tc>
          <w:tcPr>
            <w:tcW w:w="5260" w:type="dxa"/>
            <w:vAlign w:val="bottom"/>
            <w:gridSpan w:val="2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706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278">
              <w:r>
                <w:rPr>
                  <w:rFonts w:ascii="Arial" w:cs="Arial" w:eastAsia="Arial" w:hAnsi="Arial"/>
                  <w:sz w:val="18"/>
                  <w:szCs w:val="18"/>
                  <w:color w:val="0000EE"/>
                  <w:w w:val="90"/>
                </w:rPr>
                <w:t>Registration Rights Agreement, dated as of October 7, 2022, between Dragonfly Energy Holdings</w:t>
              </w:r>
            </w:hyperlink>
          </w:p>
        </w:tc>
        <w:tc>
          <w:tcPr>
            <w:tcW w:w="440" w:type="dxa"/>
            <w:vAlign w:val="bottom"/>
            <w:gridSpan w:val="11"/>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278">
              <w:r>
                <w:rPr>
                  <w:rFonts w:ascii="Arial" w:cs="Arial" w:eastAsia="Arial" w:hAnsi="Arial"/>
                  <w:sz w:val="18"/>
                  <w:szCs w:val="18"/>
                  <w:color w:val="0000EE"/>
                  <w:w w:val="91"/>
                </w:rPr>
                <w:t>Corp. and Chardan Capital Markets LLC.</w:t>
              </w:r>
            </w:hyperlink>
          </w:p>
        </w:tc>
        <w:tc>
          <w:tcPr>
            <w:tcW w:w="4500" w:type="dxa"/>
            <w:vAlign w:val="bottom"/>
            <w:gridSpan w:val="21"/>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7500" w:type="dxa"/>
            <w:vAlign w:val="bottom"/>
            <w:gridSpan w:val="31"/>
          </w:tcPr>
          <w:p>
            <w:pPr>
              <w:spacing w:after="0" w:line="196" w:lineRule="exact"/>
              <w:rPr>
                <w:rFonts w:ascii="Arial" w:cs="Arial" w:eastAsia="Arial" w:hAnsi="Arial"/>
                <w:sz w:val="18"/>
                <w:szCs w:val="18"/>
                <w:color w:val="0000EE"/>
                <w:w w:val="95"/>
              </w:rPr>
            </w:pPr>
            <w:hyperlink r:id="rId279">
              <w:r>
                <w:rPr>
                  <w:rFonts w:ascii="Arial" w:cs="Arial" w:eastAsia="Arial" w:hAnsi="Arial"/>
                  <w:sz w:val="18"/>
                  <w:szCs w:val="18"/>
                  <w:color w:val="0000EE"/>
                  <w:w w:val="95"/>
                </w:rPr>
                <w:t>Term Loan Agreement, dated as of October 7, 2022, by and among the Dragonfly Energy Holdings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20" w:type="dxa"/>
            <w:vAlign w:val="bottom"/>
            <w:gridSpan w:val="5"/>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r:id="rId279">
              <w:r>
                <w:rPr>
                  <w:rFonts w:ascii="Arial" w:cs="Arial" w:eastAsia="Arial" w:hAnsi="Arial"/>
                  <w:sz w:val="18"/>
                  <w:szCs w:val="18"/>
                  <w:color w:val="0000EE"/>
                  <w:w w:val="92"/>
                </w:rPr>
                <w:t>Corp., Dragonfly Energy Corp., the lenders from time to time party thereto and Alter Domus (US) LLC.</w:t>
              </w:r>
            </w:hyperlink>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7500" w:type="dxa"/>
            <w:vAlign w:val="bottom"/>
            <w:gridSpan w:val="31"/>
          </w:tcPr>
          <w:p>
            <w:pPr>
              <w:spacing w:after="0" w:line="196" w:lineRule="exact"/>
              <w:rPr>
                <w:rFonts w:ascii="Arial" w:cs="Arial" w:eastAsia="Arial" w:hAnsi="Arial"/>
                <w:sz w:val="18"/>
                <w:szCs w:val="18"/>
                <w:color w:val="0000EE"/>
                <w:w w:val="92"/>
              </w:rPr>
            </w:pPr>
            <w:hyperlink r:id="rId280">
              <w:r>
                <w:rPr>
                  <w:rFonts w:ascii="Arial" w:cs="Arial" w:eastAsia="Arial" w:hAnsi="Arial"/>
                  <w:sz w:val="18"/>
                  <w:szCs w:val="18"/>
                  <w:color w:val="0000EE"/>
                  <w:w w:val="92"/>
                </w:rPr>
                <w:t>Pledge Agreement, dated as of October 7, 2022, by and among Dragonfly Energy Holdings Corp. and</w:t>
              </w:r>
            </w:hyperlink>
          </w:p>
        </w:tc>
      </w:tr>
      <w:tr>
        <w:trPr>
          <w:trHeight w:val="196"/>
        </w:trPr>
        <w:tc>
          <w:tcPr>
            <w:tcW w:w="1100" w:type="dxa"/>
            <w:vAlign w:val="bottom"/>
          </w:tcPr>
          <w:p>
            <w:pPr>
              <w:spacing w:after="0"/>
              <w:rPr>
                <w:sz w:val="17"/>
                <w:szCs w:val="17"/>
                <w:color w:val="auto"/>
              </w:rPr>
            </w:pPr>
          </w:p>
        </w:tc>
        <w:tc>
          <w:tcPr>
            <w:tcW w:w="1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r:id="rId280">
              <w:r>
                <w:rPr>
                  <w:rFonts w:ascii="Arial" w:cs="Arial" w:eastAsia="Arial" w:hAnsi="Arial"/>
                  <w:sz w:val="18"/>
                  <w:szCs w:val="18"/>
                  <w:color w:val="0000EE"/>
                  <w:w w:val="95"/>
                </w:rPr>
                <w:t>Alter Domus (US) LLC.</w:t>
              </w:r>
            </w:hyperlink>
          </w:p>
        </w:tc>
        <w:tc>
          <w:tcPr>
            <w:tcW w:w="5540" w:type="dxa"/>
            <w:vAlign w:val="bottom"/>
            <w:tcBorders>
              <w:top w:val="single" w:sz="8" w:color="0000EE"/>
            </w:tcBorders>
            <w:gridSpan w:val="21"/>
          </w:tcPr>
          <w:p>
            <w:pPr>
              <w:spacing w:after="0"/>
              <w:rPr>
                <w:sz w:val="17"/>
                <w:szCs w:val="17"/>
                <w:color w:val="auto"/>
              </w:rPr>
            </w:pPr>
          </w:p>
        </w:tc>
        <w:tc>
          <w:tcPr>
            <w:tcW w:w="18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71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81">
              <w:r>
                <w:rPr>
                  <w:rFonts w:ascii="Arial" w:cs="Arial" w:eastAsia="Arial" w:hAnsi="Arial"/>
                  <w:sz w:val="18"/>
                  <w:szCs w:val="18"/>
                  <w:color w:val="0000EE"/>
                  <w:w w:val="90"/>
                </w:rPr>
                <w:t>Employment Agreement, dated as of January 1, 2022, by and between Dragonfly Energy Corp. and</w:t>
              </w:r>
            </w:hyperlink>
          </w:p>
        </w:tc>
        <w:tc>
          <w:tcPr>
            <w:tcW w:w="34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281">
              <w:r>
                <w:rPr>
                  <w:rFonts w:ascii="Arial" w:cs="Arial" w:eastAsia="Arial" w:hAnsi="Arial"/>
                  <w:sz w:val="18"/>
                  <w:szCs w:val="18"/>
                  <w:color w:val="0000EE"/>
                  <w:w w:val="86"/>
                </w:rPr>
                <w:t>Denis Phares.</w:t>
              </w:r>
            </w:hyperlink>
          </w:p>
        </w:tc>
        <w:tc>
          <w:tcPr>
            <w:tcW w:w="6500" w:type="dxa"/>
            <w:vAlign w:val="bottom"/>
            <w:gridSpan w:val="3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73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82">
              <w:r>
                <w:rPr>
                  <w:rFonts w:ascii="Arial" w:cs="Arial" w:eastAsia="Arial" w:hAnsi="Arial"/>
                  <w:sz w:val="18"/>
                  <w:szCs w:val="18"/>
                  <w:color w:val="0000EE"/>
                  <w:w w:val="90"/>
                </w:rPr>
                <w:t>Amendment to Employment Agreement, dated as of May 15, 2022, by and between Dragonfly Energy</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Corp. and Denis Phares.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10.16++</w:t>
            </w:r>
          </w:p>
        </w:tc>
        <w:tc>
          <w:tcPr>
            <w:tcW w:w="71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83">
              <w:r>
                <w:rPr>
                  <w:rFonts w:ascii="Arial" w:cs="Arial" w:eastAsia="Arial" w:hAnsi="Arial"/>
                  <w:sz w:val="18"/>
                  <w:szCs w:val="18"/>
                  <w:color w:val="0000EE"/>
                  <w:w w:val="90"/>
                </w:rPr>
                <w:t>Employment Agreement, dated as of January 1, 2022, by and between Dragonfly Energy Corp. and</w:t>
              </w:r>
            </w:hyperlink>
          </w:p>
        </w:tc>
        <w:tc>
          <w:tcPr>
            <w:tcW w:w="340" w:type="dxa"/>
            <w:vAlign w:val="bottom"/>
            <w:gridSpan w:val="8"/>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gridSpan w:val="31"/>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Sean Nichols.</w:t>
              </w:r>
            </w:hyperlink>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10.17++</w:t>
            </w:r>
          </w:p>
        </w:tc>
        <w:tc>
          <w:tcPr>
            <w:tcW w:w="738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284">
              <w:r>
                <w:rPr>
                  <w:rFonts w:ascii="Arial" w:cs="Arial" w:eastAsia="Arial" w:hAnsi="Arial"/>
                  <w:sz w:val="18"/>
                  <w:szCs w:val="18"/>
                  <w:color w:val="0000EE"/>
                  <w:w w:val="90"/>
                </w:rPr>
                <w:t>Amendment to Employment Agreement, dated as of May 15, 2022, by and between Dragonfly Energy</w:t>
              </w:r>
            </w:hyperlink>
          </w:p>
        </w:tc>
        <w:tc>
          <w:tcPr>
            <w:tcW w:w="120" w:type="dxa"/>
            <w:vAlign w:val="bottom"/>
            <w:gridSpan w:val="3"/>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284">
              <w:r>
                <w:rPr>
                  <w:rFonts w:ascii="Arial" w:cs="Arial" w:eastAsia="Arial" w:hAnsi="Arial"/>
                  <w:sz w:val="18"/>
                  <w:szCs w:val="18"/>
                  <w:color w:val="0000EE"/>
                  <w:w w:val="89"/>
                </w:rPr>
                <w:t>Corp. and Sean Nichols.</w:t>
              </w:r>
            </w:hyperlink>
          </w:p>
        </w:tc>
        <w:tc>
          <w:tcPr>
            <w:tcW w:w="5740" w:type="dxa"/>
            <w:vAlign w:val="bottom"/>
            <w:gridSpan w:val="2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7500" w:type="dxa"/>
            <w:vAlign w:val="bottom"/>
            <w:gridSpan w:val="31"/>
          </w:tcPr>
          <w:p>
            <w:pPr>
              <w:spacing w:after="0" w:line="196" w:lineRule="exact"/>
              <w:rPr>
                <w:rFonts w:ascii="Arial" w:cs="Arial" w:eastAsia="Arial" w:hAnsi="Arial"/>
                <w:sz w:val="18"/>
                <w:szCs w:val="18"/>
                <w:color w:val="0000EE"/>
                <w:w w:val="94"/>
              </w:rPr>
            </w:pPr>
            <w:hyperlink r:id="rId285">
              <w:r>
                <w:rPr>
                  <w:rFonts w:ascii="Arial" w:cs="Arial" w:eastAsia="Arial" w:hAnsi="Arial"/>
                  <w:sz w:val="18"/>
                  <w:szCs w:val="18"/>
                  <w:color w:val="0000EE"/>
                  <w:w w:val="94"/>
                </w:rPr>
                <w:t>Employment Agreement, dated as of August 17, 2021, by and between Dragonfly Energy Corp. and</w:t>
              </w:r>
            </w:hyperlink>
          </w:p>
        </w:tc>
      </w:tr>
      <w:tr>
        <w:trPr>
          <w:trHeight w:val="196"/>
        </w:trPr>
        <w:tc>
          <w:tcPr>
            <w:tcW w:w="11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285">
              <w:r>
                <w:rPr>
                  <w:rFonts w:ascii="Arial" w:cs="Arial" w:eastAsia="Arial" w:hAnsi="Arial"/>
                  <w:sz w:val="18"/>
                  <w:szCs w:val="18"/>
                  <w:color w:val="0000EE"/>
                  <w:w w:val="90"/>
                </w:rPr>
                <w:t>John Marchetti.</w:t>
              </w:r>
            </w:hyperlink>
          </w:p>
        </w:tc>
        <w:tc>
          <w:tcPr>
            <w:tcW w:w="6120" w:type="dxa"/>
            <w:vAlign w:val="bottom"/>
            <w:tcBorders>
              <w:top w:val="single" w:sz="8" w:color="0000EE"/>
            </w:tcBorders>
            <w:gridSpan w:val="22"/>
          </w:tcPr>
          <w:p>
            <w:pPr>
              <w:spacing w:after="0"/>
              <w:rPr>
                <w:sz w:val="17"/>
                <w:szCs w:val="17"/>
                <w:color w:val="auto"/>
              </w:rPr>
            </w:pPr>
          </w:p>
        </w:tc>
        <w:tc>
          <w:tcPr>
            <w:tcW w:w="240" w:type="dxa"/>
            <w:vAlign w:val="bottom"/>
            <w:gridSpan w:val="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10.19++</w:t>
            </w:r>
          </w:p>
        </w:tc>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86">
              <w:r>
                <w:rPr>
                  <w:rFonts w:ascii="Arial" w:cs="Arial" w:eastAsia="Arial" w:hAnsi="Arial"/>
                  <w:sz w:val="18"/>
                  <w:szCs w:val="18"/>
                  <w:color w:val="0000EE"/>
                  <w:w w:val="91"/>
                </w:rPr>
                <w:t>Dragonfly Energy Corp. 2019 Stock Incentive Plan.</w:t>
              </w:r>
            </w:hyperlink>
          </w:p>
        </w:tc>
        <w:tc>
          <w:tcPr>
            <w:tcW w:w="3760" w:type="dxa"/>
            <w:vAlign w:val="bottom"/>
            <w:gridSpan w:val="1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10.20++</w:t>
            </w:r>
          </w:p>
        </w:tc>
        <w:tc>
          <w:tcPr>
            <w:tcW w:w="374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Dragonfly Energy Corp. 2021 Stock Incentive Plan.</w:t>
              </w:r>
            </w:hyperlink>
          </w:p>
        </w:tc>
        <w:tc>
          <w:tcPr>
            <w:tcW w:w="3760" w:type="dxa"/>
            <w:vAlign w:val="bottom"/>
            <w:gridSpan w:val="1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10.21</w:t>
            </w:r>
          </w:p>
        </w:tc>
        <w:tc>
          <w:tcPr>
            <w:tcW w:w="7500" w:type="dxa"/>
            <w:vAlign w:val="bottom"/>
            <w:gridSpan w:val="31"/>
          </w:tcPr>
          <w:p>
            <w:pPr>
              <w:spacing w:after="0" w:line="196" w:lineRule="exact"/>
              <w:rPr>
                <w:rFonts w:ascii="Arial" w:cs="Arial" w:eastAsia="Arial" w:hAnsi="Arial"/>
                <w:sz w:val="18"/>
                <w:szCs w:val="18"/>
                <w:color w:val="0000EE"/>
                <w:w w:val="93"/>
              </w:rPr>
            </w:pPr>
            <w:hyperlink r:id="rId288">
              <w:r>
                <w:rPr>
                  <w:rFonts w:ascii="Arial" w:cs="Arial" w:eastAsia="Arial" w:hAnsi="Arial"/>
                  <w:sz w:val="18"/>
                  <w:szCs w:val="18"/>
                  <w:color w:val="0000EE"/>
                  <w:w w:val="93"/>
                </w:rPr>
                <w:t>Amended and Restated Registration Rights Agreement, dated as of October 7, 2022, by and among</w:t>
              </w:r>
            </w:hyperlink>
          </w:p>
        </w:tc>
      </w:tr>
      <w:tr>
        <w:trPr>
          <w:trHeight w:val="196"/>
        </w:trPr>
        <w:tc>
          <w:tcPr>
            <w:tcW w:w="110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288">
              <w:r>
                <w:rPr>
                  <w:rFonts w:ascii="Arial" w:cs="Arial" w:eastAsia="Arial" w:hAnsi="Arial"/>
                  <w:sz w:val="18"/>
                  <w:szCs w:val="18"/>
                  <w:color w:val="0000EE"/>
                  <w:w w:val="90"/>
                </w:rPr>
                <w:t>Dragonfly Energy Holdings Corp. and each of the stockholders thereto.</w:t>
              </w:r>
            </w:hyperlink>
          </w:p>
        </w:tc>
        <w:tc>
          <w:tcPr>
            <w:tcW w:w="2000" w:type="dxa"/>
            <w:vAlign w:val="bottom"/>
            <w:tcBorders>
              <w:top w:val="single" w:sz="8" w:color="0000EE"/>
            </w:tcBorders>
            <w:gridSpan w:val="4"/>
          </w:tcPr>
          <w:p>
            <w:pPr>
              <w:spacing w:after="0"/>
              <w:rPr>
                <w:sz w:val="17"/>
                <w:szCs w:val="17"/>
                <w:color w:val="auto"/>
              </w:rPr>
            </w:pPr>
          </w:p>
        </w:tc>
        <w:tc>
          <w:tcPr>
            <w:tcW w:w="360" w:type="dxa"/>
            <w:vAlign w:val="bottom"/>
            <w:gridSpan w:val="9"/>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7500" w:type="dxa"/>
            <w:vAlign w:val="bottom"/>
            <w:gridSpan w:val="31"/>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Director Compensation Policy.</w:t>
              </w:r>
            </w:hyperlink>
          </w:p>
        </w:tc>
      </w:tr>
      <w:tr>
        <w:trPr>
          <w:trHeight w:val="20"/>
        </w:trPr>
        <w:tc>
          <w:tcPr>
            <w:tcW w:w="1100" w:type="dxa"/>
            <w:vAlign w:val="bottom"/>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040" w:type="dxa"/>
            <w:vAlign w:val="bottom"/>
            <w:gridSpan w:val="17"/>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7500" w:type="dxa"/>
            <w:vAlign w:val="bottom"/>
            <w:gridSpan w:val="31"/>
          </w:tcPr>
          <w:p>
            <w:pPr>
              <w:spacing w:after="0" w:line="196" w:lineRule="exact"/>
              <w:rPr>
                <w:rFonts w:ascii="Arial" w:cs="Arial" w:eastAsia="Arial" w:hAnsi="Arial"/>
                <w:sz w:val="18"/>
                <w:szCs w:val="18"/>
                <w:color w:val="0000EE"/>
                <w:w w:val="94"/>
              </w:rPr>
            </w:pPr>
            <w:hyperlink r:id="rId290">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Corp. and Denis Phares.</w:t>
              </w:r>
            </w:hyperlink>
          </w:p>
        </w:tc>
        <w:tc>
          <w:tcPr>
            <w:tcW w:w="2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5620" w:type="dxa"/>
            <w:vAlign w:val="bottom"/>
            <w:gridSpan w:val="25"/>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7500" w:type="dxa"/>
            <w:vAlign w:val="bottom"/>
            <w:gridSpan w:val="31"/>
          </w:tcPr>
          <w:p>
            <w:pPr>
              <w:spacing w:after="0" w:line="196" w:lineRule="exact"/>
              <w:rPr>
                <w:rFonts w:ascii="Arial" w:cs="Arial" w:eastAsia="Arial" w:hAnsi="Arial"/>
                <w:sz w:val="18"/>
                <w:szCs w:val="18"/>
                <w:color w:val="0000EE"/>
                <w:w w:val="94"/>
              </w:rPr>
            </w:pPr>
            <w:hyperlink r:id="rId291">
              <w:r>
                <w:rPr>
                  <w:rFonts w:ascii="Arial" w:cs="Arial" w:eastAsia="Arial" w:hAnsi="Arial"/>
                  <w:sz w:val="18"/>
                  <w:szCs w:val="18"/>
                  <w:color w:val="0000EE"/>
                  <w:w w:val="94"/>
                </w:rPr>
                <w:t>Employment Agreement, dated as of October 11, 2022, by and between Dragonfly Energy Holdings</w:t>
              </w:r>
            </w:hyperlink>
          </w:p>
        </w:tc>
      </w:tr>
      <w:tr>
        <w:trPr>
          <w:trHeight w:val="196"/>
        </w:trPr>
        <w:tc>
          <w:tcPr>
            <w:tcW w:w="1100" w:type="dxa"/>
            <w:vAlign w:val="bottom"/>
          </w:tcPr>
          <w:p>
            <w:pPr>
              <w:spacing w:after="0"/>
              <w:rPr>
                <w:sz w:val="17"/>
                <w:szCs w:val="17"/>
                <w:color w:val="auto"/>
              </w:rPr>
            </w:pPr>
          </w:p>
        </w:tc>
        <w:tc>
          <w:tcPr>
            <w:tcW w:w="726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Corp. and John Marchetti.</w:t>
              </w:r>
            </w:hyperlink>
          </w:p>
        </w:tc>
        <w:tc>
          <w:tcPr>
            <w:tcW w:w="240" w:type="dxa"/>
            <w:vAlign w:val="bottom"/>
            <w:gridSpan w:val="7"/>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07/22/2022</w:t>
            </w:r>
          </w:p>
        </w:tc>
      </w:tr>
      <w:tr>
        <w:trPr>
          <w:trHeight w:val="648"/>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07/22/2022</w:t>
            </w:r>
          </w:p>
        </w:tc>
      </w:tr>
      <w:tr>
        <w:trPr>
          <w:trHeight w:val="648"/>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07/22/2022</w:t>
            </w:r>
          </w:p>
        </w:tc>
      </w:tr>
      <w:tr>
        <w:trPr>
          <w:trHeight w:val="634"/>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216"/>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216"/>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3"/>
              </w:rPr>
              <w:t>S-4/A</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09/14/2022</w:t>
            </w:r>
          </w:p>
        </w:tc>
      </w:tr>
      <w:tr>
        <w:trPr>
          <w:trHeight w:val="230"/>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07/22/2022</w:t>
            </w:r>
          </w:p>
        </w:tc>
      </w:tr>
      <w:tr>
        <w:trPr>
          <w:trHeight w:val="418"/>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07/22/2022</w:t>
            </w:r>
          </w:p>
        </w:tc>
      </w:tr>
      <w:tr>
        <w:trPr>
          <w:trHeight w:val="230"/>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32"/>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18"/>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216"/>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230"/>
        </w:trPr>
        <w:tc>
          <w:tcPr>
            <w:tcW w:w="600" w:type="dxa"/>
            <w:vAlign w:val="bottom"/>
          </w:tcPr>
          <w:p>
            <w:pPr>
              <w:jc w:val="center"/>
              <w:ind w:right="7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980" w:type="dxa"/>
            <w:vAlign w:val="bottom"/>
          </w:tcPr>
          <w:p>
            <w:pPr>
              <w:jc w:val="center"/>
              <w:ind w:left="70"/>
              <w:spacing w:after="0"/>
              <w:rPr>
                <w:sz w:val="20"/>
                <w:szCs w:val="20"/>
                <w:color w:val="auto"/>
              </w:rPr>
            </w:pPr>
            <w:r>
              <w:rPr>
                <w:rFonts w:ascii="Arial" w:cs="Arial" w:eastAsia="Arial" w:hAnsi="Arial"/>
                <w:sz w:val="18"/>
                <w:szCs w:val="18"/>
                <w:color w:val="auto"/>
                <w:w w:val="90"/>
              </w:rPr>
              <w:t>10/11/2022</w:t>
            </w:r>
          </w:p>
        </w:tc>
      </w:tr>
      <w:tr>
        <w:trPr>
          <w:trHeight w:val="418"/>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89"/>
              </w:rPr>
              <w:t>11/4/2022</w:t>
            </w:r>
          </w:p>
        </w:tc>
      </w:tr>
      <w:tr>
        <w:trPr>
          <w:trHeight w:val="230"/>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89"/>
              </w:rPr>
              <w:t>11/4/2022</w:t>
            </w:r>
          </w:p>
        </w:tc>
      </w:tr>
      <w:tr>
        <w:trPr>
          <w:trHeight w:val="432"/>
        </w:trPr>
        <w:tc>
          <w:tcPr>
            <w:tcW w:w="600" w:type="dxa"/>
            <w:vAlign w:val="bottom"/>
          </w:tcPr>
          <w:p>
            <w:pPr>
              <w:jc w:val="center"/>
              <w:ind w:right="90"/>
              <w:spacing w:after="0"/>
              <w:rPr>
                <w:sz w:val="20"/>
                <w:szCs w:val="20"/>
                <w:color w:val="auto"/>
              </w:rPr>
            </w:pPr>
            <w:r>
              <w:rPr>
                <w:rFonts w:ascii="Arial" w:cs="Arial" w:eastAsia="Arial" w:hAnsi="Arial"/>
                <w:sz w:val="18"/>
                <w:szCs w:val="18"/>
                <w:color w:val="auto"/>
                <w:w w:val="92"/>
              </w:rPr>
              <w:t>S-1</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980" w:type="dxa"/>
            <w:vAlign w:val="bottom"/>
          </w:tcPr>
          <w:p>
            <w:pPr>
              <w:jc w:val="center"/>
              <w:ind w:left="90"/>
              <w:spacing w:after="0"/>
              <w:rPr>
                <w:sz w:val="20"/>
                <w:szCs w:val="20"/>
                <w:color w:val="auto"/>
              </w:rPr>
            </w:pPr>
            <w:r>
              <w:rPr>
                <w:rFonts w:ascii="Arial" w:cs="Arial" w:eastAsia="Arial" w:hAnsi="Arial"/>
                <w:sz w:val="18"/>
                <w:szCs w:val="18"/>
                <w:color w:val="auto"/>
                <w:w w:val="89"/>
              </w:rPr>
              <w:t>11/4/2022</w:t>
            </w:r>
          </w:p>
        </w:tc>
      </w:tr>
    </w:tbl>
    <w:p>
      <w:pPr>
        <w:sectPr>
          <w:pgSz w:w="11900" w:h="16838" w:orient="portrait"/>
          <w:cols w:equalWidth="0" w:num="2">
            <w:col w:w="8600" w:space="240"/>
            <w:col w:w="2320"/>
          </w:cols>
          <w:pgMar w:left="320" w:top="648" w:right="41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Arial" w:cs="Arial" w:eastAsia="Arial" w:hAnsi="Arial"/>
                <w:sz w:val="18"/>
                <w:szCs w:val="18"/>
                <w:color w:val="auto"/>
              </w:rPr>
              <w:t>10.25++</w:t>
            </w:r>
          </w:p>
        </w:tc>
        <w:tc>
          <w:tcPr>
            <w:tcW w:w="6940" w:type="dxa"/>
            <w:vAlign w:val="bottom"/>
            <w:tcBorders>
              <w:bottom w:val="single" w:sz="8" w:color="0000EE"/>
            </w:tcBorders>
            <w:gridSpan w:val="21"/>
          </w:tcPr>
          <w:p>
            <w:pPr>
              <w:spacing w:after="0"/>
              <w:rPr>
                <w:rFonts w:ascii="Arial" w:cs="Arial" w:eastAsia="Arial" w:hAnsi="Arial"/>
                <w:sz w:val="18"/>
                <w:szCs w:val="18"/>
                <w:color w:val="0000EE"/>
                <w:w w:val="89"/>
              </w:rPr>
            </w:pPr>
            <w:hyperlink r:id="rId293">
              <w:r>
                <w:rPr>
                  <w:rFonts w:ascii="Arial" w:cs="Arial" w:eastAsia="Arial" w:hAnsi="Arial"/>
                  <w:sz w:val="18"/>
                  <w:szCs w:val="18"/>
                  <w:color w:val="0000EE"/>
                  <w:w w:val="89"/>
                </w:rPr>
                <w:t>First Amended and Restated Employment Agreement, dated February 24, 2023, by and between</w:t>
              </w:r>
            </w:hyperlink>
          </w:p>
        </w:tc>
        <w:tc>
          <w:tcPr>
            <w:tcW w:w="660" w:type="dxa"/>
            <w:vAlign w:val="bottom"/>
            <w:gridSpan w:val="16"/>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980" w:type="dxa"/>
            <w:vAlign w:val="bottom"/>
          </w:tcPr>
          <w:p>
            <w:pPr>
              <w:jc w:val="right"/>
              <w:spacing w:after="0"/>
              <w:rPr>
                <w:sz w:val="20"/>
                <w:szCs w:val="20"/>
                <w:color w:val="auto"/>
              </w:rPr>
            </w:pPr>
            <w:r>
              <w:rPr>
                <w:rFonts w:ascii="Arial" w:cs="Arial" w:eastAsia="Arial" w:hAnsi="Arial"/>
                <w:sz w:val="18"/>
                <w:szCs w:val="18"/>
                <w:color w:val="auto"/>
              </w:rPr>
              <w:t>03/02/2023</w:t>
            </w:r>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293">
              <w:r>
                <w:rPr>
                  <w:rFonts w:ascii="Arial" w:cs="Arial" w:eastAsia="Arial" w:hAnsi="Arial"/>
                  <w:sz w:val="18"/>
                  <w:szCs w:val="18"/>
                  <w:color w:val="0000EE"/>
                  <w:w w:val="91"/>
                </w:rPr>
                <w:t>Dragonfly Energy Holdings Corp. and John Marchetti.</w:t>
              </w:r>
            </w:hyperlink>
          </w:p>
        </w:tc>
        <w:tc>
          <w:tcPr>
            <w:tcW w:w="366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10.26</w:t>
            </w:r>
          </w:p>
        </w:tc>
        <w:tc>
          <w:tcPr>
            <w:tcW w:w="70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294">
              <w:r>
                <w:rPr>
                  <w:rFonts w:ascii="Arial" w:cs="Arial" w:eastAsia="Arial" w:hAnsi="Arial"/>
                  <w:sz w:val="18"/>
                  <w:szCs w:val="18"/>
                  <w:color w:val="0000EE"/>
                  <w:w w:val="90"/>
                </w:rPr>
                <w:t>Separation Agreement by and between Dragonfly Energy Holdings Corp. and Sean Nichols, dated</w:t>
              </w:r>
            </w:hyperlink>
          </w:p>
        </w:tc>
        <w:tc>
          <w:tcPr>
            <w:tcW w:w="520" w:type="dxa"/>
            <w:vAlign w:val="bottom"/>
            <w:gridSpan w:val="12"/>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10.26</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7600" w:type="dxa"/>
            <w:vAlign w:val="bottom"/>
            <w:gridSpan w:val="37"/>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October 25, 2022.</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10.27</w:t>
            </w:r>
          </w:p>
        </w:tc>
        <w:tc>
          <w:tcPr>
            <w:tcW w:w="7600" w:type="dxa"/>
            <w:vAlign w:val="bottom"/>
            <w:gridSpan w:val="37"/>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First Amendment to Separation Agreement by and between Dragonfly Energy Holdings Corp. and Sean</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10.27</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74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295">
              <w:r>
                <w:rPr>
                  <w:rFonts w:ascii="Arial" w:cs="Arial" w:eastAsia="Arial" w:hAnsi="Arial"/>
                  <w:sz w:val="18"/>
                  <w:szCs w:val="18"/>
                  <w:color w:val="0000EE"/>
                </w:rPr>
                <w:t>Nichols, dated November 14, 2022.</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728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Asset Purchase Agreement, dated April 22, 2022, by and among Dragonfly Energy Corp., Thomason</w:t>
              </w:r>
            </w:hyperlink>
          </w:p>
        </w:tc>
        <w:tc>
          <w:tcPr>
            <w:tcW w:w="320" w:type="dxa"/>
            <w:vAlign w:val="bottom"/>
            <w:gridSpan w:val="6"/>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10.28</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44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296">
              <w:r>
                <w:rPr>
                  <w:rFonts w:ascii="Arial" w:cs="Arial" w:eastAsia="Arial" w:hAnsi="Arial"/>
                  <w:sz w:val="18"/>
                  <w:szCs w:val="18"/>
                  <w:color w:val="0000EE"/>
                  <w:w w:val="90"/>
                </w:rPr>
                <w:t>Jones Company, LLC, William Thomason and Richard Jones.</w:t>
              </w:r>
            </w:hyperlink>
          </w:p>
        </w:tc>
        <w:tc>
          <w:tcPr>
            <w:tcW w:w="314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702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297">
              <w:r>
                <w:rPr>
                  <w:rFonts w:ascii="Arial" w:cs="Arial" w:eastAsia="Arial" w:hAnsi="Arial"/>
                  <w:sz w:val="18"/>
                  <w:szCs w:val="18"/>
                  <w:color w:val="0000EE"/>
                  <w:w w:val="91"/>
                </w:rPr>
                <w:t>Manufacturing Supply Agreement, dated November 19, 2021, by and between Dragonfly Energy</w:t>
              </w:r>
            </w:hyperlink>
          </w:p>
        </w:tc>
        <w:tc>
          <w:tcPr>
            <w:tcW w:w="580" w:type="dxa"/>
            <w:vAlign w:val="bottom"/>
            <w:gridSpan w:val="1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10.29</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32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Holdings Corp. and Keystone RV Company.</w:t>
              </w:r>
            </w:hyperlink>
          </w:p>
        </w:tc>
        <w:tc>
          <w:tcPr>
            <w:tcW w:w="4400" w:type="dxa"/>
            <w:vAlign w:val="bottom"/>
            <w:gridSpan w:val="26"/>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10.30</w:t>
            </w:r>
          </w:p>
        </w:tc>
        <w:tc>
          <w:tcPr>
            <w:tcW w:w="7600" w:type="dxa"/>
            <w:vAlign w:val="bottom"/>
            <w:gridSpan w:val="37"/>
          </w:tcPr>
          <w:p>
            <w:pPr>
              <w:spacing w:after="0" w:line="196" w:lineRule="exact"/>
              <w:rPr>
                <w:rFonts w:ascii="Arial" w:cs="Arial" w:eastAsia="Arial" w:hAnsi="Arial"/>
                <w:sz w:val="18"/>
                <w:szCs w:val="18"/>
                <w:color w:val="0000EE"/>
                <w:w w:val="93"/>
              </w:rPr>
            </w:pPr>
            <w:hyperlink r:id="rId298">
              <w:r>
                <w:rPr>
                  <w:rFonts w:ascii="Arial" w:cs="Arial" w:eastAsia="Arial" w:hAnsi="Arial"/>
                  <w:sz w:val="18"/>
                  <w:szCs w:val="18"/>
                  <w:color w:val="0000EE"/>
                  <w:w w:val="93"/>
                </w:rPr>
                <w:t>Asset Purchase Agreement, dated January 1, 2022, by and between Dragonfly Energy Holdings Corp.</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10.30</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298">
              <w:r>
                <w:rPr>
                  <w:rFonts w:ascii="Arial" w:cs="Arial" w:eastAsia="Arial" w:hAnsi="Arial"/>
                  <w:sz w:val="18"/>
                  <w:szCs w:val="18"/>
                  <w:color w:val="0000EE"/>
                  <w:w w:val="89"/>
                </w:rPr>
                <w:t>and Bourns Productions, Inc.</w:t>
              </w:r>
            </w:hyperlink>
          </w:p>
        </w:tc>
        <w:tc>
          <w:tcPr>
            <w:tcW w:w="5220" w:type="dxa"/>
            <w:vAlign w:val="bottom"/>
            <w:tcBorders>
              <w:top w:val="single" w:sz="8" w:color="0000EE"/>
            </w:tcBorders>
            <w:gridSpan w:val="25"/>
          </w:tcPr>
          <w:p>
            <w:pPr>
              <w:spacing w:after="0"/>
              <w:rPr>
                <w:sz w:val="17"/>
                <w:szCs w:val="17"/>
                <w:color w:val="auto"/>
              </w:rPr>
            </w:pPr>
          </w:p>
        </w:tc>
        <w:tc>
          <w:tcPr>
            <w:tcW w:w="2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10.31</w:t>
            </w:r>
          </w:p>
        </w:tc>
        <w:tc>
          <w:tcPr>
            <w:tcW w:w="71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r:id="rId299">
              <w:r>
                <w:rPr>
                  <w:rFonts w:ascii="Arial" w:cs="Arial" w:eastAsia="Arial" w:hAnsi="Arial"/>
                  <w:sz w:val="18"/>
                  <w:szCs w:val="18"/>
                  <w:color w:val="0000EE"/>
                  <w:w w:val="90"/>
                </w:rPr>
                <w:t>Assignment and Assumption Agreement, dated January 1, 2022, by and between Dragonfly Energy</w:t>
              </w:r>
            </w:hyperlink>
          </w:p>
        </w:tc>
        <w:tc>
          <w:tcPr>
            <w:tcW w:w="440" w:type="dxa"/>
            <w:vAlign w:val="bottom"/>
            <w:gridSpan w:val="10"/>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7600" w:type="dxa"/>
            <w:vAlign w:val="bottom"/>
            <w:gridSpan w:val="37"/>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Corp. and Bourns Productions, Inc.</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10.32</w:t>
            </w:r>
          </w:p>
        </w:tc>
        <w:tc>
          <w:tcPr>
            <w:tcW w:w="7600" w:type="dxa"/>
            <w:vAlign w:val="bottom"/>
            <w:gridSpan w:val="37"/>
          </w:tcPr>
          <w:p>
            <w:pPr>
              <w:spacing w:after="0" w:line="196" w:lineRule="exact"/>
              <w:rPr>
                <w:rFonts w:ascii="Arial" w:cs="Arial" w:eastAsia="Arial" w:hAnsi="Arial"/>
                <w:sz w:val="18"/>
                <w:szCs w:val="18"/>
                <w:color w:val="0000EE"/>
                <w:w w:val="95"/>
              </w:rPr>
            </w:pPr>
            <w:hyperlink r:id="rId300">
              <w:r>
                <w:rPr>
                  <w:rFonts w:ascii="Arial" w:cs="Arial" w:eastAsia="Arial" w:hAnsi="Arial"/>
                  <w:sz w:val="18"/>
                  <w:szCs w:val="18"/>
                  <w:color w:val="0000EE"/>
                  <w:w w:val="95"/>
                </w:rPr>
                <w:t>Assignment and Assumption of Lease Agreement, dated January 1, 2022, by and among Dragonfly</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10.32</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50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300">
              <w:r>
                <w:rPr>
                  <w:rFonts w:ascii="Arial" w:cs="Arial" w:eastAsia="Arial" w:hAnsi="Arial"/>
                  <w:sz w:val="18"/>
                  <w:szCs w:val="18"/>
                  <w:color w:val="0000EE"/>
                  <w:w w:val="90"/>
                </w:rPr>
                <w:t>Energy Corp., Bourns Productions, Inc. and Los Angeles &amp; Steel Co.</w:t>
              </w:r>
            </w:hyperlink>
          </w:p>
        </w:tc>
        <w:tc>
          <w:tcPr>
            <w:tcW w:w="2140" w:type="dxa"/>
            <w:vAlign w:val="bottom"/>
            <w:tcBorders>
              <w:top w:val="single" w:sz="8" w:color="0000EE"/>
            </w:tcBorders>
            <w:gridSpan w:val="7"/>
          </w:tcPr>
          <w:p>
            <w:pPr>
              <w:spacing w:after="0"/>
              <w:rPr>
                <w:sz w:val="17"/>
                <w:szCs w:val="17"/>
                <w:color w:val="auto"/>
              </w:rPr>
            </w:pPr>
          </w:p>
        </w:tc>
        <w:tc>
          <w:tcPr>
            <w:tcW w:w="46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10.33</w:t>
            </w:r>
          </w:p>
        </w:tc>
        <w:tc>
          <w:tcPr>
            <w:tcW w:w="7600" w:type="dxa"/>
            <w:vAlign w:val="bottom"/>
            <w:gridSpan w:val="37"/>
          </w:tcPr>
          <w:p>
            <w:pPr>
              <w:spacing w:after="0" w:line="196" w:lineRule="exact"/>
              <w:rPr>
                <w:rFonts w:ascii="Arial" w:cs="Arial" w:eastAsia="Arial" w:hAnsi="Arial"/>
                <w:sz w:val="18"/>
                <w:szCs w:val="18"/>
                <w:color w:val="0000EE"/>
                <w:w w:val="93"/>
              </w:rPr>
            </w:pPr>
            <w:hyperlink r:id="rId301">
              <w:r>
                <w:rPr>
                  <w:rFonts w:ascii="Arial" w:cs="Arial" w:eastAsia="Arial" w:hAnsi="Arial"/>
                  <w:sz w:val="18"/>
                  <w:szCs w:val="18"/>
                  <w:color w:val="0000EE"/>
                  <w:w w:val="93"/>
                </w:rPr>
                <w:t>Research and Development Lab Lease, dated April 25, 2019, by and between Dragonfly Energy Corp.</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10.33</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736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and BRE RS Greg Park Owner LLC.</w:t>
              </w:r>
            </w:hyperlink>
          </w:p>
        </w:tc>
        <w:tc>
          <w:tcPr>
            <w:tcW w:w="2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10.34</w:t>
            </w:r>
          </w:p>
        </w:tc>
        <w:tc>
          <w:tcPr>
            <w:tcW w:w="700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r:id="rId302">
              <w:r>
                <w:rPr>
                  <w:rFonts w:ascii="Arial" w:cs="Arial" w:eastAsia="Arial" w:hAnsi="Arial"/>
                  <w:sz w:val="18"/>
                  <w:szCs w:val="18"/>
                  <w:color w:val="0000EE"/>
                  <w:w w:val="90"/>
                </w:rPr>
                <w:t>Amendment No. 1 to Research and Lab Lease, dated March 12, 2020, by and between Dragonfly</w:t>
              </w:r>
            </w:hyperlink>
          </w:p>
        </w:tc>
        <w:tc>
          <w:tcPr>
            <w:tcW w:w="600" w:type="dxa"/>
            <w:vAlign w:val="bottom"/>
            <w:gridSpan w:val="1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10.34</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37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02">
              <w:r>
                <w:rPr>
                  <w:rFonts w:ascii="Arial" w:cs="Arial" w:eastAsia="Arial" w:hAnsi="Arial"/>
                  <w:sz w:val="18"/>
                  <w:szCs w:val="18"/>
                  <w:color w:val="0000EE"/>
                  <w:w w:val="91"/>
                </w:rPr>
                <w:t>Energy Corp. and DRE RS Greg Park Owner LLC.</w:t>
              </w:r>
            </w:hyperlink>
          </w:p>
        </w:tc>
        <w:tc>
          <w:tcPr>
            <w:tcW w:w="390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10.35</w:t>
            </w:r>
          </w:p>
        </w:tc>
        <w:tc>
          <w:tcPr>
            <w:tcW w:w="7600" w:type="dxa"/>
            <w:vAlign w:val="bottom"/>
            <w:gridSpan w:val="37"/>
          </w:tcPr>
          <w:p>
            <w:pPr>
              <w:spacing w:after="0" w:line="196" w:lineRule="exact"/>
              <w:rPr>
                <w:rFonts w:ascii="Arial" w:cs="Arial" w:eastAsia="Arial" w:hAnsi="Arial"/>
                <w:sz w:val="18"/>
                <w:szCs w:val="18"/>
                <w:color w:val="0000EE"/>
                <w:w w:val="92"/>
              </w:rPr>
            </w:pPr>
            <w:hyperlink r:id="rId303">
              <w:r>
                <w:rPr>
                  <w:rFonts w:ascii="Arial" w:cs="Arial" w:eastAsia="Arial" w:hAnsi="Arial"/>
                  <w:sz w:val="18"/>
                  <w:szCs w:val="18"/>
                  <w:color w:val="0000EE"/>
                  <w:w w:val="92"/>
                </w:rPr>
                <w:t>Amendment No. 2 to Research and Lab Lease, dated July 27, 2020, by and between Dragonfly Energy</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10.35</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738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303">
              <w:r>
                <w:rPr>
                  <w:rFonts w:ascii="Arial" w:cs="Arial" w:eastAsia="Arial" w:hAnsi="Arial"/>
                  <w:sz w:val="18"/>
                  <w:szCs w:val="18"/>
                  <w:color w:val="0000EE"/>
                </w:rPr>
                <w:t>Corp. and DRE RS Greg Park Owner LLC.</w:t>
              </w:r>
            </w:hyperlink>
          </w:p>
        </w:tc>
        <w:tc>
          <w:tcPr>
            <w:tcW w:w="2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10.36</w:t>
            </w:r>
          </w:p>
        </w:tc>
        <w:tc>
          <w:tcPr>
            <w:tcW w:w="7600" w:type="dxa"/>
            <w:vAlign w:val="bottom"/>
            <w:gridSpan w:val="37"/>
          </w:tcPr>
          <w:p>
            <w:pPr>
              <w:spacing w:after="0" w:line="196" w:lineRule="exact"/>
              <w:rPr>
                <w:rFonts w:ascii="Arial" w:cs="Arial" w:eastAsia="Arial" w:hAnsi="Arial"/>
                <w:sz w:val="18"/>
                <w:szCs w:val="18"/>
                <w:color w:val="0000EE"/>
                <w:w w:val="96"/>
              </w:rPr>
            </w:pPr>
            <w:hyperlink r:id="rId304">
              <w:r>
                <w:rPr>
                  <w:rFonts w:ascii="Arial" w:cs="Arial" w:eastAsia="Arial" w:hAnsi="Arial"/>
                  <w:sz w:val="18"/>
                  <w:szCs w:val="18"/>
                  <w:color w:val="0000EE"/>
                  <w:w w:val="96"/>
                </w:rPr>
                <w:t>Amendment No. 3 to Research and Lab Lease, dated August 26, 2020, by and between Dragonfly</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10.36</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304">
              <w:r>
                <w:rPr>
                  <w:rFonts w:ascii="Arial" w:cs="Arial" w:eastAsia="Arial" w:hAnsi="Arial"/>
                  <w:sz w:val="18"/>
                  <w:szCs w:val="18"/>
                  <w:color w:val="0000EE"/>
                  <w:w w:val="91"/>
                </w:rPr>
                <w:t>Energy Corp. and DRE RS Greg Park Owner LLC.</w:t>
              </w:r>
            </w:hyperlink>
          </w:p>
        </w:tc>
        <w:tc>
          <w:tcPr>
            <w:tcW w:w="3340" w:type="dxa"/>
            <w:vAlign w:val="bottom"/>
            <w:tcBorders>
              <w:top w:val="single" w:sz="8" w:color="0000EE"/>
            </w:tcBorders>
            <w:gridSpan w:val="9"/>
          </w:tcPr>
          <w:p>
            <w:pPr>
              <w:spacing w:after="0"/>
              <w:rPr>
                <w:sz w:val="17"/>
                <w:szCs w:val="17"/>
                <w:color w:val="auto"/>
              </w:rPr>
            </w:pPr>
          </w:p>
        </w:tc>
        <w:tc>
          <w:tcPr>
            <w:tcW w:w="56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10.37</w:t>
            </w:r>
          </w:p>
        </w:tc>
        <w:tc>
          <w:tcPr>
            <w:tcW w:w="7600" w:type="dxa"/>
            <w:vAlign w:val="bottom"/>
            <w:gridSpan w:val="37"/>
          </w:tcPr>
          <w:p>
            <w:pPr>
              <w:spacing w:after="0" w:line="196" w:lineRule="exact"/>
              <w:rPr>
                <w:rFonts w:ascii="Arial" w:cs="Arial" w:eastAsia="Arial" w:hAnsi="Arial"/>
                <w:sz w:val="18"/>
                <w:szCs w:val="18"/>
                <w:color w:val="0000EE"/>
                <w:w w:val="93"/>
              </w:rPr>
            </w:pPr>
            <w:hyperlink r:id="rId305">
              <w:r>
                <w:rPr>
                  <w:rFonts w:ascii="Arial" w:cs="Arial" w:eastAsia="Arial" w:hAnsi="Arial"/>
                  <w:sz w:val="18"/>
                  <w:szCs w:val="18"/>
                  <w:color w:val="0000EE"/>
                  <w:w w:val="93"/>
                </w:rPr>
                <w:t>Amendment No. 4 to Research and Lab Lease, dated December 16, 2020, by and between Dragonfly</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10.37</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305">
              <w:r>
                <w:rPr>
                  <w:rFonts w:ascii="Arial" w:cs="Arial" w:eastAsia="Arial" w:hAnsi="Arial"/>
                  <w:sz w:val="18"/>
                  <w:szCs w:val="18"/>
                  <w:color w:val="0000EE"/>
                  <w:w w:val="91"/>
                </w:rPr>
                <w:t>Energy Corp. and BRS RS Greg Park Owner LLC.</w:t>
              </w:r>
            </w:hyperlink>
          </w:p>
        </w:tc>
        <w:tc>
          <w:tcPr>
            <w:tcW w:w="3580" w:type="dxa"/>
            <w:vAlign w:val="bottom"/>
            <w:tcBorders>
              <w:top w:val="single" w:sz="8" w:color="0000EE"/>
            </w:tcBorders>
            <w:gridSpan w:val="16"/>
          </w:tcPr>
          <w:p>
            <w:pPr>
              <w:spacing w:after="0"/>
              <w:rPr>
                <w:sz w:val="17"/>
                <w:szCs w:val="17"/>
                <w:color w:val="auto"/>
              </w:rPr>
            </w:pPr>
          </w:p>
        </w:tc>
        <w:tc>
          <w:tcPr>
            <w:tcW w:w="34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10.38</w:t>
            </w:r>
          </w:p>
        </w:tc>
        <w:tc>
          <w:tcPr>
            <w:tcW w:w="7600" w:type="dxa"/>
            <w:vAlign w:val="bottom"/>
            <w:gridSpan w:val="37"/>
          </w:tcPr>
          <w:p>
            <w:pPr>
              <w:spacing w:after="0" w:line="196" w:lineRule="exact"/>
              <w:rPr>
                <w:rFonts w:ascii="Arial" w:cs="Arial" w:eastAsia="Arial" w:hAnsi="Arial"/>
                <w:sz w:val="18"/>
                <w:szCs w:val="18"/>
                <w:color w:val="0000EE"/>
                <w:w w:val="96"/>
              </w:rPr>
            </w:pPr>
            <w:hyperlink r:id="rId306">
              <w:r>
                <w:rPr>
                  <w:rFonts w:ascii="Arial" w:cs="Arial" w:eastAsia="Arial" w:hAnsi="Arial"/>
                  <w:sz w:val="18"/>
                  <w:szCs w:val="18"/>
                  <w:color w:val="0000EE"/>
                  <w:w w:val="96"/>
                </w:rPr>
                <w:t>Amendment No. 5 to Research and Lab Lease, dated January 28, 2022, by and between Dragonfly</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88"/>
              </w:rPr>
              <w:t>10.38</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04/17/2023</w:t>
            </w:r>
          </w:p>
        </w:tc>
      </w:tr>
      <w:tr>
        <w:trPr>
          <w:trHeight w:val="196"/>
        </w:trPr>
        <w:tc>
          <w:tcPr>
            <w:tcW w:w="110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306">
              <w:r>
                <w:rPr>
                  <w:rFonts w:ascii="Arial" w:cs="Arial" w:eastAsia="Arial" w:hAnsi="Arial"/>
                  <w:sz w:val="18"/>
                  <w:szCs w:val="18"/>
                  <w:color w:val="0000EE"/>
                  <w:w w:val="91"/>
                </w:rPr>
                <w:t>Energy Corp. and BRS RS Greg Park Owner LLC.</w:t>
              </w:r>
            </w:hyperlink>
          </w:p>
        </w:tc>
        <w:tc>
          <w:tcPr>
            <w:tcW w:w="3400" w:type="dxa"/>
            <w:vAlign w:val="bottom"/>
            <w:tcBorders>
              <w:top w:val="single" w:sz="8" w:color="0000EE"/>
            </w:tcBorders>
            <w:gridSpan w:val="11"/>
          </w:tcPr>
          <w:p>
            <w:pPr>
              <w:spacing w:after="0"/>
              <w:rPr>
                <w:sz w:val="17"/>
                <w:szCs w:val="17"/>
                <w:color w:val="auto"/>
              </w:rPr>
            </w:pPr>
          </w:p>
        </w:tc>
        <w:tc>
          <w:tcPr>
            <w:tcW w:w="52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10.39</w:t>
            </w:r>
          </w:p>
        </w:tc>
        <w:tc>
          <w:tcPr>
            <w:tcW w:w="7600" w:type="dxa"/>
            <w:vAlign w:val="bottom"/>
            <w:gridSpan w:val="37"/>
          </w:tcPr>
          <w:p>
            <w:pPr>
              <w:spacing w:after="0" w:line="196" w:lineRule="exact"/>
              <w:rPr>
                <w:rFonts w:ascii="Arial" w:cs="Arial" w:eastAsia="Arial" w:hAnsi="Arial"/>
                <w:sz w:val="18"/>
                <w:szCs w:val="18"/>
                <w:color w:val="0000EE"/>
                <w:w w:val="95"/>
              </w:rPr>
            </w:pPr>
            <w:hyperlink r:id="rId307">
              <w:r>
                <w:rPr>
                  <w:rFonts w:ascii="Arial" w:cs="Arial" w:eastAsia="Arial" w:hAnsi="Arial"/>
                  <w:sz w:val="18"/>
                  <w:szCs w:val="18"/>
                  <w:color w:val="0000EE"/>
                  <w:w w:val="95"/>
                </w:rPr>
                <w:t>Limited Waiver, dated as of March 29, 2023, to the Term Loan, Guarantee and Security Agreement,</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03/29/2023</w:t>
            </w: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20" w:type="dxa"/>
            <w:vAlign w:val="bottom"/>
            <w:gridSpan w:val="8"/>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600" w:type="dxa"/>
            <w:vAlign w:val="bottom"/>
            <w:gridSpan w:val="37"/>
          </w:tcPr>
          <w:p>
            <w:pPr>
              <w:spacing w:after="0" w:line="196" w:lineRule="exact"/>
              <w:rPr>
                <w:rFonts w:ascii="Arial" w:cs="Arial" w:eastAsia="Arial" w:hAnsi="Arial"/>
                <w:sz w:val="18"/>
                <w:szCs w:val="18"/>
                <w:color w:val="0000EE"/>
                <w:w w:val="92"/>
              </w:rPr>
            </w:pPr>
            <w:hyperlink r:id="rId307">
              <w:r>
                <w:rPr>
                  <w:rFonts w:ascii="Arial" w:cs="Arial" w:eastAsia="Arial" w:hAnsi="Arial"/>
                  <w:sz w:val="18"/>
                  <w:szCs w:val="18"/>
                  <w:color w:val="0000EE"/>
                  <w:w w:val="92"/>
                </w:rPr>
                <w:t>dated as of October 7, 2022, by and among Dragonfly Energy Holdings Corp., Dragonfly Energy Corp.,</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48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r:id="rId307">
              <w:r>
                <w:rPr>
                  <w:rFonts w:ascii="Arial" w:cs="Arial" w:eastAsia="Arial" w:hAnsi="Arial"/>
                  <w:sz w:val="18"/>
                  <w:szCs w:val="18"/>
                  <w:color w:val="0000EE"/>
                </w:rPr>
                <w:t>the lenders from time to time party thereto and Alter Domus (US) LLC.</w:t>
              </w:r>
            </w:hyperlink>
          </w:p>
        </w:tc>
        <w:tc>
          <w:tcPr>
            <w:tcW w:w="12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gridSpan w:val="9"/>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10.40++</w:t>
            </w:r>
          </w:p>
        </w:tc>
        <w:tc>
          <w:tcPr>
            <w:tcW w:w="7600" w:type="dxa"/>
            <w:vAlign w:val="bottom"/>
            <w:gridSpan w:val="37"/>
          </w:tcPr>
          <w:p>
            <w:pPr>
              <w:spacing w:after="0" w:line="196" w:lineRule="exact"/>
              <w:rPr>
                <w:rFonts w:ascii="Arial" w:cs="Arial" w:eastAsia="Arial" w:hAnsi="Arial"/>
                <w:sz w:val="18"/>
                <w:szCs w:val="18"/>
                <w:color w:val="0000EE"/>
                <w:w w:val="95"/>
              </w:rPr>
            </w:pPr>
            <w:hyperlink r:id="rId308">
              <w:r>
                <w:rPr>
                  <w:rFonts w:ascii="Arial" w:cs="Arial" w:eastAsia="Arial" w:hAnsi="Arial"/>
                  <w:sz w:val="18"/>
                  <w:szCs w:val="18"/>
                  <w:color w:val="0000EE"/>
                  <w:w w:val="95"/>
                </w:rPr>
                <w:t>Employment Agreement, dated as of October 11, 2022, by and between Dragonfly Energy Holdings</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8"/>
              </w:rPr>
              <w:t>10-K/A</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05/01/2023</w:t>
            </w:r>
          </w:p>
        </w:tc>
      </w:tr>
      <w:tr>
        <w:trPr>
          <w:trHeight w:val="196"/>
        </w:trPr>
        <w:tc>
          <w:tcPr>
            <w:tcW w:w="1100" w:type="dxa"/>
            <w:vAlign w:val="bottom"/>
          </w:tcPr>
          <w:p>
            <w:pPr>
              <w:spacing w:after="0"/>
              <w:rPr>
                <w:sz w:val="17"/>
                <w:szCs w:val="17"/>
                <w:color w:val="auto"/>
              </w:rPr>
            </w:pPr>
          </w:p>
        </w:tc>
        <w:tc>
          <w:tcPr>
            <w:tcW w:w="72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308">
              <w:r>
                <w:rPr>
                  <w:rFonts w:ascii="Arial" w:cs="Arial" w:eastAsia="Arial" w:hAnsi="Arial"/>
                  <w:sz w:val="18"/>
                  <w:szCs w:val="18"/>
                  <w:color w:val="0000EE"/>
                </w:rPr>
                <w:t>Corp. and Nicole Harvey.</w:t>
              </w:r>
            </w:hyperlink>
          </w:p>
        </w:tc>
        <w:tc>
          <w:tcPr>
            <w:tcW w:w="40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50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r:id="rId309">
              <w:r>
                <w:rPr>
                  <w:rFonts w:ascii="Arial" w:cs="Arial" w:eastAsia="Arial" w:hAnsi="Arial"/>
                  <w:sz w:val="18"/>
                  <w:szCs w:val="18"/>
                  <w:color w:val="0000EE"/>
                  <w:w w:val="92"/>
                </w:rPr>
                <w:t>Dragonfly Energy Holdings Corp. Code of Conduct.</w:t>
              </w:r>
            </w:hyperlink>
          </w:p>
        </w:tc>
        <w:tc>
          <w:tcPr>
            <w:tcW w:w="3820" w:type="dxa"/>
            <w:vAlign w:val="bottom"/>
            <w:gridSpan w:val="21"/>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14.1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14.2</w:t>
            </w:r>
          </w:p>
        </w:tc>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310">
              <w:r>
                <w:rPr>
                  <w:rFonts w:ascii="Arial" w:cs="Arial" w:eastAsia="Arial" w:hAnsi="Arial"/>
                  <w:sz w:val="18"/>
                  <w:szCs w:val="18"/>
                  <w:color w:val="0000EE"/>
                  <w:w w:val="92"/>
                </w:rPr>
                <w:t>Dragonfly Energy Holdings Corp. Code of Ethics.</w:t>
              </w:r>
            </w:hyperlink>
          </w:p>
        </w:tc>
        <w:tc>
          <w:tcPr>
            <w:tcW w:w="3980" w:type="dxa"/>
            <w:vAlign w:val="bottom"/>
            <w:gridSpan w:val="2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14.2</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16.1</w:t>
            </w:r>
          </w:p>
        </w:tc>
        <w:tc>
          <w:tcPr>
            <w:tcW w:w="36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311">
              <w:r>
                <w:rPr>
                  <w:rFonts w:ascii="Arial" w:cs="Arial" w:eastAsia="Arial" w:hAnsi="Arial"/>
                  <w:sz w:val="18"/>
                  <w:szCs w:val="18"/>
                  <w:color w:val="0000EE"/>
                  <w:w w:val="92"/>
                </w:rPr>
                <w:t>Letter from WithumSmith+Brown, PC to the SEC.</w:t>
              </w:r>
            </w:hyperlink>
          </w:p>
        </w:tc>
        <w:tc>
          <w:tcPr>
            <w:tcW w:w="3940" w:type="dxa"/>
            <w:vAlign w:val="bottom"/>
            <w:gridSpan w:val="24"/>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16.1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10/11/2022</w:t>
            </w: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7600" w:type="dxa"/>
            <w:vAlign w:val="bottom"/>
            <w:gridSpan w:val="37"/>
          </w:tcPr>
          <w:p>
            <w:pPr>
              <w:spacing w:after="0" w:line="196" w:lineRule="exact"/>
              <w:rPr>
                <w:rFonts w:ascii="Arial" w:cs="Arial" w:eastAsia="Arial" w:hAnsi="Arial"/>
                <w:sz w:val="18"/>
                <w:szCs w:val="18"/>
                <w:color w:val="0000EE"/>
              </w:rPr>
            </w:pPr>
            <w:hyperlink r:id="rId312">
              <w:r>
                <w:rPr>
                  <w:rFonts w:ascii="Arial" w:cs="Arial" w:eastAsia="Arial" w:hAnsi="Arial"/>
                  <w:sz w:val="18"/>
                  <w:szCs w:val="18"/>
                  <w:color w:val="0000EE"/>
                </w:rPr>
                <w:t>List of Subsidiaries.</w:t>
              </w:r>
            </w:hyperlink>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700" w:type="dxa"/>
            <w:vAlign w:val="bottom"/>
          </w:tcPr>
          <w:p>
            <w:pPr>
              <w:jc w:val="center"/>
              <w:spacing w:after="0" w:line="196" w:lineRule="exact"/>
              <w:rPr>
                <w:sz w:val="20"/>
                <w:szCs w:val="20"/>
                <w:color w:val="auto"/>
              </w:rPr>
            </w:pPr>
            <w:r>
              <w:rPr>
                <w:rFonts w:ascii="Arial" w:cs="Arial" w:eastAsia="Arial" w:hAnsi="Arial"/>
                <w:sz w:val="18"/>
                <w:szCs w:val="18"/>
                <w:color w:val="auto"/>
                <w:w w:val="91"/>
              </w:rPr>
              <w:t>21.1</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10/11/2022</w:t>
            </w: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0" w:type="dxa"/>
            <w:vAlign w:val="bottom"/>
            <w:gridSpan w:val="13"/>
          </w:tcPr>
          <w:p>
            <w:pPr>
              <w:spacing w:after="0" w:line="20" w:lineRule="exact"/>
              <w:rPr>
                <w:sz w:val="1"/>
                <w:szCs w:val="1"/>
                <w:color w:val="auto"/>
              </w:rPr>
            </w:pPr>
          </w:p>
        </w:tc>
        <w:tc>
          <w:tcPr>
            <w:tcW w:w="250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0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Consent of BDO USA, P.C.</w:t>
            </w:r>
          </w:p>
        </w:tc>
        <w:tc>
          <w:tcPr>
            <w:tcW w:w="5600" w:type="dxa"/>
            <w:vAlign w:val="bottom"/>
            <w:gridSpan w:val="31"/>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23.2*</w:t>
            </w:r>
          </w:p>
        </w:tc>
        <w:tc>
          <w:tcPr>
            <w:tcW w:w="7600" w:type="dxa"/>
            <w:vAlign w:val="bottom"/>
            <w:gridSpan w:val="37"/>
          </w:tcPr>
          <w:p>
            <w:pPr>
              <w:spacing w:after="0" w:line="196" w:lineRule="exact"/>
              <w:rPr>
                <w:sz w:val="20"/>
                <w:szCs w:val="20"/>
                <w:color w:val="auto"/>
              </w:rPr>
            </w:pPr>
            <w:r>
              <w:rPr>
                <w:rFonts w:ascii="Arial" w:cs="Arial" w:eastAsia="Arial" w:hAnsi="Arial"/>
                <w:sz w:val="18"/>
                <w:szCs w:val="18"/>
                <w:color w:val="0000EE"/>
              </w:rPr>
              <w:t>Consent of Parsons Behle &amp; Latimer (included in Exhibit 5.1 hereto).</w:t>
            </w: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40" w:type="dxa"/>
            <w:vAlign w:val="bottom"/>
            <w:gridSpan w:val="16"/>
            <w:shd w:val="clear" w:color="auto" w:fill="0000EE"/>
          </w:tcPr>
          <w:p>
            <w:pPr>
              <w:spacing w:after="0" w:line="20" w:lineRule="exact"/>
              <w:rPr>
                <w:sz w:val="1"/>
                <w:szCs w:val="1"/>
                <w:color w:val="auto"/>
              </w:rPr>
            </w:pPr>
          </w:p>
        </w:tc>
        <w:tc>
          <w:tcPr>
            <w:tcW w:w="2500" w:type="dxa"/>
            <w:vAlign w:val="bottom"/>
            <w:gridSpan w:val="1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7600" w:type="dxa"/>
            <w:vAlign w:val="bottom"/>
            <w:gridSpan w:val="37"/>
          </w:tcPr>
          <w:p>
            <w:pPr>
              <w:spacing w:after="0" w:line="196" w:lineRule="exact"/>
              <w:rPr>
                <w:rFonts w:ascii="Arial" w:cs="Arial" w:eastAsia="Arial" w:hAnsi="Arial"/>
                <w:sz w:val="18"/>
                <w:szCs w:val="18"/>
                <w:color w:val="0000EE"/>
                <w:w w:val="91"/>
              </w:rPr>
            </w:pPr>
            <w:hyperlink r:id="rId313">
              <w:r>
                <w:rPr>
                  <w:rFonts w:ascii="Arial" w:cs="Arial" w:eastAsia="Arial" w:hAnsi="Arial"/>
                  <w:sz w:val="18"/>
                  <w:szCs w:val="18"/>
                  <w:color w:val="0000EE"/>
                  <w:w w:val="91"/>
                </w:rPr>
                <w:t>Power of Attorney (included on the signature page to the prospectus which forms part of the registration</w:t>
              </w:r>
            </w:hyperlink>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313">
              <w:r>
                <w:rPr>
                  <w:rFonts w:ascii="Arial" w:cs="Arial" w:eastAsia="Arial" w:hAnsi="Arial"/>
                  <w:sz w:val="18"/>
                  <w:szCs w:val="18"/>
                  <w:color w:val="0000EE"/>
                </w:rPr>
                <w:t>statement thereto).</w:t>
              </w:r>
            </w:hyperlink>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40" w:type="dxa"/>
            <w:vAlign w:val="bottom"/>
            <w:gridSpan w:val="3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Instance Document</w:t>
            </w: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Taxonomy Extension Schema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7600" w:type="dxa"/>
            <w:vAlign w:val="bottom"/>
            <w:gridSpan w:val="3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rPr>
              <w:t>104*</w:t>
            </w:r>
          </w:p>
        </w:tc>
        <w:tc>
          <w:tcPr>
            <w:tcW w:w="7600" w:type="dxa"/>
            <w:vAlign w:val="bottom"/>
            <w:gridSpan w:val="3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90"/>
        </w:trPr>
        <w:tc>
          <w:tcPr>
            <w:tcW w:w="1100" w:type="dxa"/>
            <w:vAlign w:val="bottom"/>
          </w:tcPr>
          <w:p>
            <w:pPr>
              <w:spacing w:after="0" w:line="190" w:lineRule="exact"/>
              <w:rPr>
                <w:sz w:val="20"/>
                <w:szCs w:val="20"/>
                <w:color w:val="auto"/>
              </w:rPr>
            </w:pPr>
            <w:r>
              <w:rPr>
                <w:rFonts w:ascii="Arial" w:cs="Arial" w:eastAsia="Arial" w:hAnsi="Arial"/>
                <w:sz w:val="18"/>
                <w:szCs w:val="18"/>
                <w:color w:val="auto"/>
              </w:rPr>
              <w:t>107**</w:t>
            </w:r>
          </w:p>
        </w:tc>
        <w:tc>
          <w:tcPr>
            <w:tcW w:w="1360" w:type="dxa"/>
            <w:vAlign w:val="bottom"/>
            <w:tcBorders>
              <w:bottom w:val="single" w:sz="8" w:color="0000EE"/>
            </w:tcBorders>
            <w:gridSpan w:val="3"/>
          </w:tcPr>
          <w:p>
            <w:pPr>
              <w:spacing w:after="0" w:line="190" w:lineRule="exact"/>
              <w:rPr>
                <w:rFonts w:ascii="Arial" w:cs="Arial" w:eastAsia="Arial" w:hAnsi="Arial"/>
                <w:sz w:val="18"/>
                <w:szCs w:val="18"/>
                <w:color w:val="0000EE"/>
                <w:w w:val="93"/>
              </w:rPr>
            </w:pPr>
            <w:hyperlink r:id="rId314">
              <w:r>
                <w:rPr>
                  <w:rFonts w:ascii="Arial" w:cs="Arial" w:eastAsia="Arial" w:hAnsi="Arial"/>
                  <w:sz w:val="18"/>
                  <w:szCs w:val="18"/>
                  <w:color w:val="0000EE"/>
                  <w:w w:val="93"/>
                </w:rPr>
                <w:t>Filing Fee Exhibit.</w:t>
              </w:r>
            </w:hyperlink>
          </w:p>
        </w:tc>
        <w:tc>
          <w:tcPr>
            <w:tcW w:w="6240" w:type="dxa"/>
            <w:vAlign w:val="bottom"/>
            <w:gridSpan w:val="34"/>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229" w:lineRule="exact"/>
        <w:rPr>
          <w:sz w:val="20"/>
          <w:szCs w:val="20"/>
          <w:color w:val="auto"/>
        </w:rPr>
      </w:pPr>
    </w:p>
    <w:p>
      <w:pPr>
        <w:ind w:right="9820" w:firstLine="8"/>
        <w:spacing w:after="0" w:line="274" w:lineRule="auto"/>
        <w:tabs>
          <w:tab w:leader="none" w:pos="135" w:val="left"/>
        </w:tabs>
        <w:numPr>
          <w:ilvl w:val="0"/>
          <w:numId w:val="79"/>
        </w:numPr>
        <w:rPr>
          <w:rFonts w:ascii="Arial" w:cs="Arial" w:eastAsia="Arial" w:hAnsi="Arial"/>
          <w:sz w:val="17"/>
          <w:szCs w:val="17"/>
          <w:color w:val="auto"/>
        </w:rPr>
      </w:pPr>
      <w:r>
        <w:rPr>
          <w:rFonts w:ascii="Arial" w:cs="Arial" w:eastAsia="Arial" w:hAnsi="Arial"/>
          <w:sz w:val="17"/>
          <w:szCs w:val="17"/>
          <w:color w:val="auto"/>
        </w:rPr>
        <w:t>Filed herewith. ** Previously filed.</w:t>
      </w:r>
    </w:p>
    <w:p>
      <w:pPr>
        <w:spacing w:after="0" w:line="250" w:lineRule="auto"/>
        <w:rPr>
          <w:rFonts w:ascii="Arial" w:cs="Arial" w:eastAsia="Arial" w:hAnsi="Arial"/>
          <w:sz w:val="17"/>
          <w:szCs w:val="17"/>
          <w:color w:val="auto"/>
        </w:rPr>
      </w:pPr>
      <w:r>
        <w:rPr>
          <w:rFonts w:ascii="Arial" w:cs="Arial" w:eastAsia="Arial" w:hAnsi="Arial"/>
          <w:sz w:val="18"/>
          <w:szCs w:val="18"/>
          <w:color w:val="auto"/>
        </w:rPr>
        <w:t># Portions of schedules and exhibits to the agreement have been omitted pursuant to Item 601(b)(2) of Regulation S-K. A copy of any omitted schedule and/or exhibit will be furnished to the Securities and Exchange Commission upon request.</w:t>
      </w:r>
    </w:p>
    <w:p>
      <w:pPr>
        <w:spacing w:after="0"/>
        <w:rPr>
          <w:rFonts w:ascii="Arial" w:cs="Arial" w:eastAsia="Arial" w:hAnsi="Arial"/>
          <w:sz w:val="17"/>
          <w:szCs w:val="17"/>
          <w:color w:val="auto"/>
        </w:rPr>
      </w:pPr>
      <w:r>
        <w:rPr>
          <w:rFonts w:ascii="Arial" w:cs="Arial" w:eastAsia="Arial" w:hAnsi="Arial"/>
          <w:sz w:val="18"/>
          <w:szCs w:val="18"/>
          <w:color w:val="auto"/>
        </w:rPr>
        <w:t>++ Indicates a management contract or compensatory plan.</w:t>
      </w:r>
    </w:p>
    <w:p>
      <w:pPr>
        <w:spacing w:after="0" w:line="211" w:lineRule="exact"/>
        <w:rPr>
          <w:sz w:val="20"/>
          <w:szCs w:val="20"/>
          <w:color w:val="auto"/>
        </w:rPr>
      </w:pPr>
    </w:p>
    <w:p>
      <w:pPr>
        <w:ind w:firstLine="8"/>
        <w:spacing w:after="0" w:line="277" w:lineRule="auto"/>
        <w:tabs>
          <w:tab w:leader="none" w:pos="255" w:val="left"/>
        </w:tabs>
        <w:numPr>
          <w:ilvl w:val="0"/>
          <w:numId w:val="8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No financial statement schedules are provided because the information called for is not required or is shown either in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or the notes thereto.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240" w:hanging="232"/>
        <w:spacing w:after="0"/>
        <w:tabs>
          <w:tab w:leader="none" w:pos="2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1" w:lineRule="exact"/>
        <w:rPr>
          <w:sz w:val="20"/>
          <w:szCs w:val="20"/>
          <w:color w:val="auto"/>
        </w:rPr>
      </w:pPr>
    </w:p>
    <w:p>
      <w:pPr>
        <w:ind w:left="980" w:hanging="324"/>
        <w:spacing w:after="0"/>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jc w:val="both"/>
        <w:ind w:left="980" w:hanging="324"/>
        <w:spacing w:after="0" w:line="250"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 w:lineRule="exact"/>
        <w:rPr>
          <w:rFonts w:ascii="Arial" w:cs="Arial" w:eastAsia="Arial" w:hAnsi="Arial"/>
          <w:sz w:val="18"/>
          <w:szCs w:val="18"/>
          <w:color w:val="auto"/>
        </w:rPr>
      </w:pPr>
    </w:p>
    <w:p>
      <w:pPr>
        <w:ind w:left="980" w:hanging="324"/>
        <w:spacing w:after="0" w:line="260"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5" w:lineRule="exact"/>
        <w:rPr>
          <w:sz w:val="20"/>
          <w:szCs w:val="20"/>
          <w:color w:val="auto"/>
        </w:rPr>
      </w:pPr>
    </w:p>
    <w:p>
      <w:pPr>
        <w:jc w:val="both"/>
        <w:ind w:firstLine="656"/>
        <w:spacing w:after="0" w:line="263" w:lineRule="auto"/>
        <w:tabs>
          <w:tab w:leader="none" w:pos="91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656"/>
        <w:spacing w:after="0" w:line="277" w:lineRule="auto"/>
        <w:tabs>
          <w:tab w:leader="none" w:pos="930" w:val="left"/>
        </w:tabs>
        <w:numPr>
          <w:ilvl w:val="2"/>
          <w:numId w:val="8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72" w:lineRule="auto"/>
        <w:tabs>
          <w:tab w:leader="none" w:pos="900" w:val="left"/>
        </w:tabs>
        <w:numPr>
          <w:ilvl w:val="2"/>
          <w:numId w:val="83"/>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656"/>
        <w:spacing w:after="0" w:line="257" w:lineRule="auto"/>
        <w:tabs>
          <w:tab w:leader="none" w:pos="928" w:val="left"/>
        </w:tabs>
        <w:numPr>
          <w:ilvl w:val="2"/>
          <w:numId w:val="8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rFonts w:ascii="Arial" w:cs="Arial" w:eastAsia="Arial" w:hAnsi="Arial"/>
          <w:sz w:val="18"/>
          <w:szCs w:val="18"/>
          <w:color w:val="auto"/>
        </w:rPr>
      </w:pPr>
    </w:p>
    <w:p>
      <w:pPr>
        <w:ind w:left="660" w:hanging="328"/>
        <w:spacing w:after="0"/>
        <w:tabs>
          <w:tab w:leader="none" w:pos="660" w:val="left"/>
        </w:tabs>
        <w:numPr>
          <w:ilvl w:val="1"/>
          <w:numId w:val="84"/>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ind w:left="660" w:hanging="328"/>
        <w:spacing w:after="0" w:line="250" w:lineRule="auto"/>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ind w:left="660" w:hanging="328"/>
        <w:spacing w:after="0"/>
        <w:tabs>
          <w:tab w:leader="none" w:pos="66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10" w:lineRule="exact"/>
        <w:rPr>
          <w:rFonts w:ascii="Arial" w:cs="Arial" w:eastAsia="Arial" w:hAnsi="Arial"/>
          <w:sz w:val="18"/>
          <w:szCs w:val="18"/>
          <w:color w:val="auto"/>
        </w:rPr>
      </w:pPr>
    </w:p>
    <w:p>
      <w:pPr>
        <w:jc w:val="both"/>
        <w:ind w:firstLine="8"/>
        <w:spacing w:after="0" w:line="291" w:lineRule="auto"/>
        <w:tabs>
          <w:tab w:leader="none" w:pos="273"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Reno, State of Nevada, as of September 25, 2023.</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DRAGONFLY ENERGY HOLDINGS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Denis Phares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Chairman, President, Chief Executive Officer and Interim Chief</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Financial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b w:val="1"/>
                <w:bCs w:val="1"/>
                <w:color w:val="auto"/>
                <w:w w:val="97"/>
              </w:rPr>
              <w:t>Title</w:t>
            </w:r>
          </w:p>
        </w:tc>
        <w:tc>
          <w:tcPr>
            <w:tcW w:w="220" w:type="dxa"/>
            <w:vAlign w:val="bottom"/>
          </w:tcPr>
          <w:p>
            <w:pPr>
              <w:spacing w:after="0"/>
              <w:rPr>
                <w:sz w:val="20"/>
                <w:szCs w:val="20"/>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18"/>
        </w:trPr>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1"/>
              </w:rPr>
              <w:t>Chairman, President, Chief Executive Officer and Interim</w:t>
            </w:r>
          </w:p>
        </w:tc>
        <w:tc>
          <w:tcPr>
            <w:tcW w:w="2920" w:type="dxa"/>
            <w:vAlign w:val="bottom"/>
          </w:tcPr>
          <w:p>
            <w:pPr>
              <w:spacing w:after="0"/>
              <w:rPr>
                <w:sz w:val="24"/>
                <w:szCs w:val="24"/>
                <w:color w:val="auto"/>
              </w:rPr>
            </w:pPr>
          </w:p>
        </w:tc>
      </w:tr>
      <w:tr>
        <w:trPr>
          <w:trHeight w:val="251"/>
        </w:trPr>
        <w:tc>
          <w:tcPr>
            <w:tcW w:w="5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i w:val="1"/>
                <w:iCs w:val="1"/>
                <w:color w:val="auto"/>
                <w:w w:val="89"/>
              </w:rPr>
              <w:t>/s/ Denis Phares</w:t>
            </w:r>
          </w:p>
        </w:tc>
        <w:tc>
          <w:tcPr>
            <w:tcW w:w="240" w:type="dxa"/>
            <w:vAlign w:val="bottom"/>
          </w:tcPr>
          <w:p>
            <w:pPr>
              <w:spacing w:after="0"/>
              <w:rPr>
                <w:sz w:val="21"/>
                <w:szCs w:val="21"/>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02"/>
        </w:trPr>
        <w:tc>
          <w:tcPr>
            <w:tcW w:w="580" w:type="dxa"/>
            <w:vAlign w:val="bottom"/>
          </w:tcPr>
          <w:p>
            <w:pPr>
              <w:spacing w:after="0"/>
              <w:rPr>
                <w:sz w:val="17"/>
                <w:szCs w:val="17"/>
                <w:color w:val="auto"/>
              </w:rPr>
            </w:pPr>
          </w:p>
        </w:tc>
        <w:tc>
          <w:tcPr>
            <w:tcW w:w="2800" w:type="dxa"/>
            <w:vAlign w:val="bottom"/>
          </w:tcPr>
          <w:p>
            <w:pPr>
              <w:jc w:val="center"/>
              <w:ind w:right="490"/>
              <w:spacing w:after="0" w:line="201" w:lineRule="exact"/>
              <w:rPr>
                <w:sz w:val="20"/>
                <w:szCs w:val="20"/>
                <w:color w:val="auto"/>
              </w:rPr>
            </w:pPr>
            <w:r>
              <w:rPr>
                <w:rFonts w:ascii="Arial" w:cs="Arial" w:eastAsia="Arial" w:hAnsi="Arial"/>
                <w:sz w:val="18"/>
                <w:szCs w:val="18"/>
                <w:color w:val="auto"/>
                <w:w w:val="88"/>
              </w:rPr>
              <w:t>Dr. Denis Phares</w:t>
            </w:r>
          </w:p>
        </w:tc>
        <w:tc>
          <w:tcPr>
            <w:tcW w:w="240" w:type="dxa"/>
            <w:vAlign w:val="bottom"/>
          </w:tcPr>
          <w:p>
            <w:pPr>
              <w:spacing w:after="0"/>
              <w:rPr>
                <w:sz w:val="17"/>
                <w:szCs w:val="17"/>
                <w:color w:val="auto"/>
              </w:rPr>
            </w:pPr>
          </w:p>
        </w:tc>
        <w:tc>
          <w:tcPr>
            <w:tcW w:w="4700" w:type="dxa"/>
            <w:vAlign w:val="bottom"/>
            <w:gridSpan w:val="3"/>
          </w:tcPr>
          <w:p>
            <w:pPr>
              <w:jc w:val="center"/>
              <w:ind w:right="220"/>
              <w:spacing w:after="0" w:line="201" w:lineRule="exact"/>
              <w:rPr>
                <w:sz w:val="20"/>
                <w:szCs w:val="20"/>
                <w:color w:val="auto"/>
              </w:rPr>
            </w:pPr>
            <w:r>
              <w:rPr>
                <w:rFonts w:ascii="Arial" w:cs="Arial" w:eastAsia="Arial" w:hAnsi="Arial"/>
                <w:sz w:val="18"/>
                <w:szCs w:val="18"/>
                <w:i w:val="1"/>
                <w:iCs w:val="1"/>
                <w:color w:val="auto"/>
                <w:w w:val="93"/>
              </w:rPr>
              <w:t>(Principal Executive Officer and</w:t>
            </w:r>
          </w:p>
        </w:tc>
        <w:tc>
          <w:tcPr>
            <w:tcW w:w="2920" w:type="dxa"/>
            <w:vAlign w:val="bottom"/>
          </w:tcPr>
          <w:p>
            <w:pPr>
              <w:spacing w:after="0"/>
              <w:rPr>
                <w:sz w:val="17"/>
                <w:szCs w:val="17"/>
                <w:color w:val="auto"/>
              </w:rPr>
            </w:pPr>
          </w:p>
        </w:tc>
      </w:tr>
      <w:tr>
        <w:trPr>
          <w:trHeight w:val="230"/>
        </w:trPr>
        <w:tc>
          <w:tcPr>
            <w:tcW w:w="5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i w:val="1"/>
                <w:iCs w:val="1"/>
                <w:color w:val="auto"/>
                <w:w w:val="97"/>
              </w:rPr>
              <w:t>Principal Financial Officer)</w:t>
            </w:r>
          </w:p>
        </w:tc>
        <w:tc>
          <w:tcPr>
            <w:tcW w:w="2920" w:type="dxa"/>
            <w:vAlign w:val="bottom"/>
          </w:tcPr>
          <w:p>
            <w:pPr>
              <w:spacing w:after="0"/>
              <w:rPr>
                <w:sz w:val="20"/>
                <w:szCs w:val="20"/>
                <w:color w:val="auto"/>
              </w:rPr>
            </w:pPr>
          </w:p>
        </w:tc>
      </w:tr>
      <w:tr>
        <w:trPr>
          <w:trHeight w:val="453"/>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2"/>
              </w:rPr>
              <w:t>Luisa Ingargiola</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Arial" w:cs="Arial" w:eastAsia="Arial" w:hAnsi="Arial"/>
                <w:sz w:val="18"/>
                <w:szCs w:val="18"/>
                <w:color w:val="auto"/>
                <w:w w:val="93"/>
              </w:rPr>
              <w:t>Brian Nelson</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2"/>
              </w:rPr>
              <w:t>Perry Boyle</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Arial" w:cs="Arial" w:eastAsia="Arial" w:hAnsi="Arial"/>
                <w:sz w:val="18"/>
                <w:szCs w:val="18"/>
                <w:color w:val="auto"/>
                <w:w w:val="90"/>
              </w:rPr>
              <w:t>Jonathan Bellows</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70"/>
              <w:spacing w:after="0"/>
              <w:rPr>
                <w:sz w:val="20"/>
                <w:szCs w:val="20"/>
                <w:color w:val="auto"/>
              </w:rPr>
            </w:pPr>
            <w:r>
              <w:rPr>
                <w:rFonts w:ascii="Arial" w:cs="Arial" w:eastAsia="Arial" w:hAnsi="Arial"/>
                <w:sz w:val="18"/>
                <w:szCs w:val="18"/>
                <w:color w:val="auto"/>
                <w:w w:val="90"/>
              </w:rPr>
              <w:t>Rick Parod</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470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Director</w:t>
            </w:r>
          </w:p>
        </w:tc>
        <w:tc>
          <w:tcPr>
            <w:tcW w:w="2920" w:type="dxa"/>
            <w:vAlign w:val="bottom"/>
          </w:tcPr>
          <w:p>
            <w:pPr>
              <w:jc w:val="center"/>
              <w:spacing w:after="0"/>
              <w:rPr>
                <w:sz w:val="20"/>
                <w:szCs w:val="20"/>
                <w:color w:val="auto"/>
              </w:rPr>
            </w:pPr>
            <w:r>
              <w:rPr>
                <w:rFonts w:ascii="Arial" w:cs="Arial" w:eastAsia="Arial" w:hAnsi="Arial"/>
                <w:sz w:val="18"/>
                <w:szCs w:val="18"/>
                <w:color w:val="auto"/>
                <w:w w:val="88"/>
              </w:rPr>
              <w:t>September 25, 2023</w:t>
            </w:r>
          </w:p>
        </w:tc>
      </w:tr>
      <w:tr>
        <w:trPr>
          <w:trHeight w:val="230"/>
        </w:trPr>
        <w:tc>
          <w:tcPr>
            <w:tcW w:w="580" w:type="dxa"/>
            <w:vAlign w:val="bottom"/>
          </w:tcPr>
          <w:p>
            <w:pPr>
              <w:spacing w:after="0"/>
              <w:rPr>
                <w:sz w:val="20"/>
                <w:szCs w:val="20"/>
                <w:color w:val="auto"/>
              </w:rPr>
            </w:pPr>
          </w:p>
        </w:tc>
        <w:tc>
          <w:tcPr>
            <w:tcW w:w="2800" w:type="dxa"/>
            <w:vAlign w:val="bottom"/>
          </w:tcPr>
          <w:p>
            <w:pPr>
              <w:jc w:val="center"/>
              <w:ind w:right="490"/>
              <w:spacing w:after="0"/>
              <w:rPr>
                <w:sz w:val="20"/>
                <w:szCs w:val="20"/>
                <w:color w:val="auto"/>
              </w:rPr>
            </w:pPr>
            <w:r>
              <w:rPr>
                <w:rFonts w:ascii="Arial" w:cs="Arial" w:eastAsia="Arial" w:hAnsi="Arial"/>
                <w:sz w:val="18"/>
                <w:szCs w:val="18"/>
                <w:color w:val="auto"/>
                <w:w w:val="91"/>
              </w:rPr>
              <w:t>Karina Edmonds</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8"/>
        </w:trPr>
        <w:tc>
          <w:tcPr>
            <w:tcW w:w="338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Denis Phares</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2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Denis Phares</w:t>
            </w:r>
          </w:p>
        </w:tc>
        <w:tc>
          <w:tcPr>
            <w:tcW w:w="2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2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20" w:type="dxa"/>
            <w:vAlign w:val="bottom"/>
          </w:tcPr>
          <w:p>
            <w:pPr>
              <w:spacing w:after="0"/>
              <w:rPr>
                <w:sz w:val="17"/>
                <w:szCs w:val="17"/>
                <w:color w:val="auto"/>
              </w:rPr>
            </w:pPr>
          </w:p>
        </w:tc>
      </w:tr>
      <w:tr>
        <w:trPr>
          <w:trHeight w:val="230"/>
        </w:trPr>
        <w:tc>
          <w:tcPr>
            <w:tcW w:w="3380" w:type="dxa"/>
            <w:vAlign w:val="bottom"/>
            <w:gridSpan w:val="2"/>
          </w:tcPr>
          <w:p>
            <w:pPr>
              <w:spacing w:after="0"/>
              <w:rPr>
                <w:sz w:val="20"/>
                <w:szCs w:val="20"/>
                <w:color w:val="auto"/>
              </w:rPr>
            </w:pPr>
            <w:r>
              <w:rPr>
                <w:rFonts w:ascii="Arial" w:cs="Arial" w:eastAsia="Arial" w:hAnsi="Arial"/>
                <w:sz w:val="18"/>
                <w:szCs w:val="18"/>
                <w:color w:val="auto"/>
              </w:rPr>
              <w:t>Title:  Attorney-in-fact</w:t>
            </w: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tcPr>
          <w:p>
            <w:pPr>
              <w:spacing w:after="0"/>
              <w:rPr>
                <w:sz w:val="20"/>
                <w:szCs w:val="20"/>
                <w:color w:val="auto"/>
              </w:rPr>
            </w:pPr>
          </w:p>
        </w:tc>
      </w:tr>
      <w:tr>
        <w:trPr>
          <w:trHeight w:val="439"/>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25,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1190 Trademark Drive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Reno, Nevada 89521</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Re: </w:t>
      </w:r>
      <w:r>
        <w:rPr>
          <w:rFonts w:ascii="Arial" w:cs="Arial" w:eastAsia="Arial" w:hAnsi="Arial"/>
          <w:sz w:val="18"/>
          <w:szCs w:val="18"/>
          <w:b w:val="1"/>
          <w:bCs w:val="1"/>
          <w:i w:val="1"/>
          <w:iCs w:val="1"/>
          <w:u w:val="single" w:color="auto"/>
          <w:color w:val="auto"/>
        </w:rPr>
        <w:t>Dragonfly Energy Holdings Corp.—Post-Effective Amendment to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opinion is furnished to you in connection with that certain Post-Effective Amendment No. 1, relating to the reincorporation by conversion (the “</w:t>
      </w:r>
      <w:r>
        <w:rPr>
          <w:rFonts w:ascii="Arial" w:cs="Arial" w:eastAsia="Arial" w:hAnsi="Arial"/>
          <w:sz w:val="17"/>
          <w:szCs w:val="17"/>
          <w:b w:val="1"/>
          <w:bCs w:val="1"/>
          <w:i w:val="1"/>
          <w:iCs w:val="1"/>
          <w:color w:val="auto"/>
        </w:rPr>
        <w:t>Reincorporation</w:t>
      </w:r>
      <w:r>
        <w:rPr>
          <w:rFonts w:ascii="Arial" w:cs="Arial" w:eastAsia="Arial" w:hAnsi="Arial"/>
          <w:sz w:val="17"/>
          <w:szCs w:val="17"/>
          <w:color w:val="auto"/>
        </w:rPr>
        <w:t>”) on March 31, 2023 of, and to the issuance by Dragonfly Energy Holdings Corp., a Nevada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of up to 21,512,027 shares of common stock, par value $0.0001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that were originally registered by the Company pursuant to a Registration Statement on Form S-1, File No. 333-267983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initially filed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on October 21, 2022 as amended by Amendment No. 1 on December 9, 2022, which was subsequently declared effective by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on December 30, 2022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21,512,027 shares of Common Stock included in the Registration Statement relate to the proposed resale, from time to time in one or more offerings, of up to 21,512,027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Capitalized terms not defined in this letter have the meanings ascribed thereto in the Registration Statement. We have assumed that the Shares were, and will be, offered and sold in the manner described in the Registration Statement and the related prospectus included therein (the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The Shares are being registered on behalf of the selling stockholder named in the Prospectus (the “</w:t>
      </w:r>
      <w:r>
        <w:rPr>
          <w:rFonts w:ascii="Arial" w:cs="Arial" w:eastAsia="Arial" w:hAnsi="Arial"/>
          <w:sz w:val="17"/>
          <w:szCs w:val="17"/>
          <w:b w:val="1"/>
          <w:bCs w:val="1"/>
          <w:i w:val="1"/>
          <w:iCs w:val="1"/>
          <w:color w:val="auto"/>
        </w:rPr>
        <w:t>Selling Stockholder</w:t>
      </w:r>
      <w:r>
        <w:rPr>
          <w:rFonts w:ascii="Arial" w:cs="Arial" w:eastAsia="Arial" w:hAnsi="Arial"/>
          <w:sz w:val="17"/>
          <w:szCs w:val="17"/>
          <w:color w:val="auto"/>
        </w:rPr>
        <w:t>”) pursuant to a purchase agreement, dated as of October 7, 2022, by and among the Company and the Selling Stockholder and the other parties thereto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opinions are limited to the matters stated herein and no opinion is implied or may be inferred beyond the matters expressly stated. As to certain factual matters, we have relied upon a certificate of an officer of the Company, and we have not sought to independently verify such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September 25,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this opinion, we have examined and relied upon: (i) the Registration Statement; (ii) the Prospectus; (iii) the Purchase Agreement; (iv) the Articles of Conversion; (v) the Plan of Conversion; (vi) the Current Report on Form 8-K filed with the SEC of the approval of the Reincorporation by a majority of the outstanding shares of Common Stock; (vii) the Company’s Articles of Incorporation; (viii) the Company’s Bylaws, as currently in effect; (xi) certain resolutions of the Board of Directors of the Company relating to the issuance, sale and registration of the Shares and the Reincorporation; and (x) the originals or copies certified to our satisfaction of such other documents, records, certificates, memoranda and other instruments as in our judgment are necessary or appropriate to enable us to render the opinion expressed below.</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Nevada Revised Statutes and the reported judicial decisions interpreting such law, as currently in effect. We express no opinion with respect to the applicability thereto, or the effect thereon, of the laws of any other jurisdiction or, in the case of Nevada, any other laws, or as to any matters of municipal law or the laws of any local agencies within any state.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this opinion, we have examined and relied upon the representations and warranties as to factual matters contained in and made pursuant to the Registration Statement, and upon such other documents as in our judgment are necessary or appropriate to enable us to render the opinions expressed herein.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knowledge of the Company and its legal and other affairs is limited by the scope of our engagement, which scope includes the delivery of this opinion letter. We do not represent the Company with respect to all legal matters or issues. The Company may employ other independent counsel and, to our knowledge, handles certain matters and issues without the assistance of independent counsel.</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our examination of the foregoing, we have assumed, without independent investigation or verification: (i) the genuineness of all signatures on all agreements, instruments and other documents submitted to us; (ii) the legal capacity and authority of all persons or entities executing all agreements, instruments and other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authentic originals thereof, and that such originals are authentic and complete; (v) the due authorization, execution and delivery of all instruments, agreements, and other documents by the parties thereto; (vi) that the statements contained in the certificates and comparable documents of public officials, officers and representatives of the Company and other persons on which we have relied for the purposes of this letter are true and correct; and (vii) that the officers and directors of the Company have properly exercised their fiduciary duties. We have assumed that the issuance and sale of the Shares by the Company will not, in each case, violate or constitute a default or breach under (A) any agreement or instrument to which the Company is subject, (B) any law, rule or regulation to which the Company is subject, (C) any judicial or regulatory order or decree of any governmental authority, or (D) any consent, approval, license, authorization or validation of, or filing, recording or registration with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September 25, 2023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further assumed that: (i) the Registration Statement and any amendments thereto will have become effective under the Securities Act and comply with all applicable laws at the time the Shares are offered or issued as contemplated by the Registration Statement; (ii) all Shares will be issued and sold in compliance with the applicable provisions of the Securities Act and the securities or Blue Sky Laws of various states and in the manner stated in the Registration Statement and any applicable prospectus supplement; (iii) there has not occurred any change in law or further action by the Company’s board of directors, in any case affecting the validity of such Shares or enforceability of the Purchase Agreement; and (iv) the number of shares of Common Stock offered pursuant to the Registration Statement does not exceed, at the time of issuance, the authorized but unissued shares of Common Stock. We have also assumed that neither the issuance, sale and delivery of such Shares nor the compliance by the Company with the terms of the Purchase Agreement will violate any applicable law or public policy or result in a violation of any provision of any instrument or agreement then binding upon the Company or any restriction imposed by any court or governmental body having jurisdiction over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foregoing and the other matters set forth herein, as of the date hereof, we are of the opinion that: the Shares have been duly authorized for issuance by the Company and, when issued and sold by the Company and delivered by the Company in accordance with the terms of the Purchase Agreement and in the manner described in the Registration Statement, the Shares will be validly issued, fully paid and non-assessable.</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Securities Act. We consent to your filing this opinion as an exhibit to the Registration Statement and to the reference to our firm contained in each of the Prospectus under the heading “Legal Matters.” In giving such consent, we do not thereby admit that we are in the category of persons whose consent is required under Section 7 of the Securities Act or the rules and regulations of the Commission thereunder.</w:t>
      </w:r>
    </w:p>
    <w:p>
      <w:pPr>
        <w:spacing w:after="0" w:line="15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PARSONS BEHLE &amp; LATIMER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Dragonfly Energy Holdings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Reno, Nevada</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use in the Prospectus constituting a part of this Registration Statement of our report dated April 17, 2023, relating to the consolidated financial statements of Dragonfly Energy Holdings Corp., which is contained in that Prospectus. Our report contains an explanatory paragraph regarding the Company’s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Spokane,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lvl w:ilvl="1">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lowerRoman"/>
      <w:start w:val="2"/>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lowerLetter"/>
      <w:start w:val="1"/>
    </w:lvl>
  </w:abstractNum>
  <w:abstractNum w:abstractNumId="39">
    <w:nsid w:val="7E0C57B1"/>
    <w:multiLevelType w:val="hybridMultilevel"/>
    <w:lvl w:ilvl="0">
      <w:lvlJc w:val="left"/>
      <w:lvlText w:val="(%1)"/>
      <w:numFmt w:val="lowerLetter"/>
      <w:start w:val="3"/>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1)"/>
      <w:numFmt w:val="decimal"/>
      <w:start w:val="1"/>
    </w:lvl>
  </w:abstractNum>
  <w:abstractNum w:abstractNumId="43">
    <w:nsid w:val="5FF87E05"/>
    <w:multiLevelType w:val="hybridMultilevel"/>
    <w:lvl w:ilvl="0">
      <w:lvlJc w:val="left"/>
      <w:lvlText w:val="(%1)"/>
      <w:numFmt w:val="lowerRoman"/>
      <w:start w:val="3"/>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lowerRoman"/>
      <w:start w:val="3"/>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2"/>
    </w:lvl>
  </w:abstractNum>
  <w:abstractNum w:abstractNumId="57">
    <w:nsid w:val="6B94764"/>
    <w:multiLevelType w:val="hybridMultilevel"/>
    <w:lvl w:ilvl="0">
      <w:lvlJc w:val="left"/>
      <w:lvlText w:val="(%1)"/>
      <w:numFmt w:val="decimal"/>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
      <w:numFmt w:val="bullet"/>
      <w:start w:val="1"/>
    </w:lvl>
  </w:abstractNum>
  <w:abstractNum w:abstractNumId="77">
    <w:nsid w:val="6A5EE64"/>
    <w:multiLevelType w:val="hybridMultilevel"/>
    <w:lvl w:ilvl="0">
      <w:lvlJc w:val="left"/>
      <w:lvlText w:val="(%1)"/>
      <w:numFmt w:val="decimal"/>
      <w:start w:val="1"/>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lowerLetter"/>
      <w:start w:val="2"/>
    </w:lvl>
  </w:abstractNum>
  <w:abstractNum w:abstractNumId="80">
    <w:nsid w:val="1A27709E"/>
    <w:multiLevelType w:val="hybridMultilevel"/>
    <w:lvl w:ilvl="0">
      <w:lvlJc w:val="left"/>
      <w:lvlText w:val="(%1)"/>
      <w:numFmt w:val="lowerLetter"/>
      <w:start w:val="1"/>
    </w:lvl>
    <w:lvl w:ilvl="1">
      <w:lvlJc w:val="left"/>
      <w:lvlText w:val="(%2)"/>
      <w:numFmt w:val="decimal"/>
      <w:start w:val="1"/>
    </w:lvl>
  </w:abstractNum>
  <w:abstractNum w:abstractNumId="81">
    <w:nsid w:val="71EA1109"/>
    <w:multiLevelType w:val="hybridMultilevel"/>
    <w:lvl w:ilvl="0">
      <w:lvlJc w:val="left"/>
      <w:lvlText w:val="(%1)"/>
      <w:numFmt w:val="lowerRoman"/>
      <w:start w:val="1"/>
    </w:lvl>
  </w:abstractNum>
  <w:abstractNum w:abstractNumId="82">
    <w:nsid w:val="100F59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83">
    <w:nsid w:val="7FB7E0A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4">
    <w:nsid w:val="6EB5BD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68" Type="http://schemas.openxmlformats.org/officeDocument/2006/relationships/image" Target="media/image245.png"/><Relationship Id="rId292" Type="http://schemas.openxmlformats.org/officeDocument/2006/relationships/image" Target="media/image246.png"/><Relationship Id="rId315" Type="http://schemas.openxmlformats.org/officeDocument/2006/relationships/image" Target="media/image247.png"/><Relationship Id="rId316" Type="http://schemas.openxmlformats.org/officeDocument/2006/relationships/image" Target="media/image248.png"/><Relationship Id="rId317" Type="http://schemas.openxmlformats.org/officeDocument/2006/relationships/image" Target="media/image249.png"/><Relationship Id="rId318" Type="http://schemas.openxmlformats.org/officeDocument/2006/relationships/image" Target="media/image250.png"/><Relationship Id="rId319" Type="http://schemas.openxmlformats.org/officeDocument/2006/relationships/image" Target="media/image251.png"/><Relationship Id="rId320" Type="http://schemas.openxmlformats.org/officeDocument/2006/relationships/image" Target="media/image252.png"/><Relationship Id="rId321" Type="http://schemas.openxmlformats.org/officeDocument/2006/relationships/image" Target="media/image253.png"/><Relationship Id="rId252" Type="http://schemas.openxmlformats.org/officeDocument/2006/relationships/hyperlink" Target="https://www.sec.gov/Archives/edgar/data/1847986/000149315223021293/ex1-1.htm" TargetMode="External"/><Relationship Id="rId253" Type="http://schemas.openxmlformats.org/officeDocument/2006/relationships/hyperlink" Target="https://www.sec.gov/Archives/edgar/data/1847986/000110465922081684/cntq-20210630xs4.htm#AnnexA_168524" TargetMode="External"/><Relationship Id="rId254" Type="http://schemas.openxmlformats.org/officeDocument/2006/relationships/hyperlink" Target="https://www.sec.gov/Archives/edgar/data/1847986/000110465922081684/cntq-20210630xex2d1a.htm" TargetMode="External"/><Relationship Id="rId255" Type="http://schemas.openxmlformats.org/officeDocument/2006/relationships/hyperlink" Target="https://www.sec.gov/Archives/edgar/data/1847986/000149315223010262/ex2-1.htm" TargetMode="External"/><Relationship Id="rId256" Type="http://schemas.openxmlformats.org/officeDocument/2006/relationships/hyperlink" Target="https://www.sec.gov/Archives/edgar/data/1847986/000149315223010262/ex3-1.htm" TargetMode="External"/><Relationship Id="rId257" Type="http://schemas.openxmlformats.org/officeDocument/2006/relationships/hyperlink" Target="https://www.sec.gov/Archives/edgar/data/1847986/000149315223010262/ex3-2.htm" TargetMode="External"/><Relationship Id="rId258" Type="http://schemas.openxmlformats.org/officeDocument/2006/relationships/hyperlink" Target="https://www.sec.gov/Archives/edgar/data/1847986/000110465922107212/tm2222125d3_ex4-1.htm" TargetMode="External"/><Relationship Id="rId259" Type="http://schemas.openxmlformats.org/officeDocument/2006/relationships/hyperlink" Target="https://www.sec.gov/Archives/edgar/data/1847986/000110465922107212/tm2222125d3_ex4-2.htm" TargetMode="External"/><Relationship Id="rId260" Type="http://schemas.openxmlformats.org/officeDocument/2006/relationships/hyperlink" Target="https://www.sec.gov/Archives/edgar/data/1847986/000110465922107212/tm2222125d3_ex4-3.htm" TargetMode="External"/><Relationship Id="rId261" Type="http://schemas.openxmlformats.org/officeDocument/2006/relationships/hyperlink" Target="https://www.sec.gov/Archives/edgar/data/1847986/000110465922110688/dfli-20220630xex4d4.htm" TargetMode="External"/><Relationship Id="rId262" Type="http://schemas.openxmlformats.org/officeDocument/2006/relationships/hyperlink" Target="https://www.sec.gov/Archives/edgar/data/1847986/000149315223012533/ex4-5.htm" TargetMode="External"/><Relationship Id="rId263" Type="http://schemas.openxmlformats.org/officeDocument/2006/relationships/hyperlink" Target="https://www.sec.gov/Archives/edgar/data/1847986/000149315223007147/ex4-1.htm" TargetMode="External"/><Relationship Id="rId264" Type="http://schemas.openxmlformats.org/officeDocument/2006/relationships/hyperlink" Target="https://www.sec.gov/Archives/edgar/data/1847986/000149315223012533/ex4-7.htm" TargetMode="External"/><Relationship Id="rId265" Type="http://schemas.openxmlformats.org/officeDocument/2006/relationships/hyperlink" Target="https://www.sec.gov/Archives/edgar/data/1847986/000149315223021293/ex4-8.htm" TargetMode="External"/><Relationship Id="rId266" Type="http://schemas.openxmlformats.org/officeDocument/2006/relationships/hyperlink" Target="https://www.sec.gov/Archives/edgar/data/1847986/000149315223021997/ex4-1.htm" TargetMode="External"/><Relationship Id="rId267" Type="http://schemas.openxmlformats.org/officeDocument/2006/relationships/hyperlink" Target="https://www.sec.gov/Archives/edgar/data/1847986/000110465922100022/tm2218377-26_s4a.htm#tANNE" TargetMode="External"/><Relationship Id="rId269" Type="http://schemas.openxmlformats.org/officeDocument/2006/relationships/hyperlink" Target="https://www.sec.gov/Archives/edgar/data/1847986/000110465922100022/tm2218377-26_s4a.htm#tANNJ" TargetMode="External"/><Relationship Id="rId270" Type="http://schemas.openxmlformats.org/officeDocument/2006/relationships/hyperlink" Target="https://www.sec.gov/Archives/edgar/data/1847986/000110465922100022/tm2218377-26_s4a.htm#tANNK" TargetMode="External"/><Relationship Id="rId271" Type="http://schemas.openxmlformats.org/officeDocument/2006/relationships/hyperlink" Target="https://www.sec.gov/Archives/edgar/data/1847986/000110465922100022/tm2218377-26_s4a.htm#tANNF" TargetMode="External"/><Relationship Id="rId272" Type="http://schemas.openxmlformats.org/officeDocument/2006/relationships/hyperlink" Target="https://www.sec.gov/Archives/edgar/data/1847986/000110465922107212/tm2222125d3_ex10-5.htm" TargetMode="External"/><Relationship Id="rId273" Type="http://schemas.openxmlformats.org/officeDocument/2006/relationships/hyperlink" Target="https://www.sec.gov/Archives/edgar/data/1847986/000110465922107212/tm2222125d3_ex10-6.htm" TargetMode="External"/><Relationship Id="rId274" Type="http://schemas.openxmlformats.org/officeDocument/2006/relationships/hyperlink" Target="https://www.sec.gov/Archives/edgar/data/1847986/000110465922099731/tm2218377d21_ex10-10.htm" TargetMode="External"/><Relationship Id="rId275" Type="http://schemas.openxmlformats.org/officeDocument/2006/relationships/hyperlink" Target="https://www.sec.gov/Archives/edgar/data/1847986/000110465922081684/cntq-20210630xex10d11.htm" TargetMode="External"/><Relationship Id="rId276" Type="http://schemas.openxmlformats.org/officeDocument/2006/relationships/hyperlink" Target="https://www.sec.gov/Archives/edgar/data/1847986/000110465922081684/cntq-20210630xex10d12.htm" TargetMode="External"/><Relationship Id="rId277" Type="http://schemas.openxmlformats.org/officeDocument/2006/relationships/hyperlink" Target="https://www.sec.gov/Archives/edgar/data/1847986/000110465922107212/tm2222125d3_ex10-10.htm" TargetMode="External"/><Relationship Id="rId278" Type="http://schemas.openxmlformats.org/officeDocument/2006/relationships/hyperlink" Target="https://www.sec.gov/Archives/edgar/data/1847986/000110465922107212/tm2222125d3_ex10-11.htm" TargetMode="External"/><Relationship Id="rId279" Type="http://schemas.openxmlformats.org/officeDocument/2006/relationships/hyperlink" Target="https://www.sec.gov/Archives/edgar/data/1847986/000110465922107212/tm2222125d3_ex10-12.htm" TargetMode="External"/><Relationship Id="rId280" Type="http://schemas.openxmlformats.org/officeDocument/2006/relationships/hyperlink" Target="https://www.sec.gov/Archives/edgar/data/1847986/000110465922107212/tm2222125d3_ex10-13.htm" TargetMode="External"/><Relationship Id="rId281" Type="http://schemas.openxmlformats.org/officeDocument/2006/relationships/hyperlink" Target="https://www.sec.gov/Archives/edgar/data/1847986/000110465922107212/tm2222125d3_ex10-14.htm" TargetMode="External"/><Relationship Id="rId282" Type="http://schemas.openxmlformats.org/officeDocument/2006/relationships/hyperlink" Target="https://www.sec.gov/Archives/edgar/data/1847986/000110465922107212/tm2222125d3_ex10-15.htm" TargetMode="External"/><Relationship Id="rId283" Type="http://schemas.openxmlformats.org/officeDocument/2006/relationships/hyperlink" Target="https://www.sec.gov/Archives/edgar/data/1847986/000110465922107212/tm2222125d3_ex10-16.htm" TargetMode="External"/><Relationship Id="rId284" Type="http://schemas.openxmlformats.org/officeDocument/2006/relationships/hyperlink" Target="https://www.sec.gov/Archives/edgar/data/1847986/000110465922107212/tm2222125d3_ex10-17.htm" TargetMode="External"/><Relationship Id="rId285" Type="http://schemas.openxmlformats.org/officeDocument/2006/relationships/hyperlink" Target="https://www.sec.gov/Archives/edgar/data/1847986/000110465922107212/tm2222125d3_ex10-18.htm" TargetMode="External"/><Relationship Id="rId286" Type="http://schemas.openxmlformats.org/officeDocument/2006/relationships/hyperlink" Target="https://www.sec.gov/Archives/edgar/data/1847986/000110465922107212/tm2222125d3_ex10-19.htm" TargetMode="External"/><Relationship Id="rId287" Type="http://schemas.openxmlformats.org/officeDocument/2006/relationships/hyperlink" Target="https://www.sec.gov/Archives/edgar/data/1847986/000110465922107212/tm2222125d3_ex10-20.htm" TargetMode="External"/><Relationship Id="rId288" Type="http://schemas.openxmlformats.org/officeDocument/2006/relationships/hyperlink" Target="https://www.sec.gov/Archives/edgar/data/1847986/000110465922107212/tm2222125d3_ex10-21.htm" TargetMode="External"/><Relationship Id="rId289" Type="http://schemas.openxmlformats.org/officeDocument/2006/relationships/hyperlink" Target="https://www.sec.gov/Archives/edgar/data/1847986/000110465922114961/dfli-20220630xex10d22.htm" TargetMode="External"/><Relationship Id="rId290" Type="http://schemas.openxmlformats.org/officeDocument/2006/relationships/hyperlink" Target="https://www.sec.gov/Archives/edgar/data/1847986/000110465922114961/dfli-20220630xex10d23.htm" TargetMode="External"/><Relationship Id="rId291" Type="http://schemas.openxmlformats.org/officeDocument/2006/relationships/hyperlink" Target="https://www.sec.gov/Archives/edgar/data/1847986/000110465922114961/dfli-20220630xex10d24.htm" TargetMode="External"/><Relationship Id="rId293" Type="http://schemas.openxmlformats.org/officeDocument/2006/relationships/hyperlink" Target="https://www.sec.gov/Archives/edgar/data/1847986/000149315223006564/ex10-1.htm" TargetMode="External"/><Relationship Id="rId294" Type="http://schemas.openxmlformats.org/officeDocument/2006/relationships/hyperlink" Target="https://www.sec.gov/Archives/edgar/data/1847986/000149315223012533/ex10-26.htm" TargetMode="External"/><Relationship Id="rId295" Type="http://schemas.openxmlformats.org/officeDocument/2006/relationships/hyperlink" Target="https://www.sec.gov/Archives/edgar/data/1847986/000149315223012533/ex10-27.htm" TargetMode="External"/><Relationship Id="rId296" Type="http://schemas.openxmlformats.org/officeDocument/2006/relationships/hyperlink" Target="https://www.sec.gov/Archives/edgar/data/1847986/000149315223012533/ex10-28.htm" TargetMode="External"/><Relationship Id="rId297" Type="http://schemas.openxmlformats.org/officeDocument/2006/relationships/hyperlink" Target="https://www.sec.gov/Archives/edgar/data/1847986/000149315223012533/ex10-29.htm" TargetMode="External"/><Relationship Id="rId298" Type="http://schemas.openxmlformats.org/officeDocument/2006/relationships/hyperlink" Target="https://www.sec.gov/Archives/edgar/data/1847986/000149315223012533/ex10-30.htm" TargetMode="External"/><Relationship Id="rId299" Type="http://schemas.openxmlformats.org/officeDocument/2006/relationships/hyperlink" Target="https://www.sec.gov/Archives/edgar/data/1847986/000149315223012533/ex10-31.htm" TargetMode="External"/><Relationship Id="rId300" Type="http://schemas.openxmlformats.org/officeDocument/2006/relationships/hyperlink" Target="https://www.sec.gov/Archives/edgar/data/1847986/000149315223012533/ex10-32.htm" TargetMode="External"/><Relationship Id="rId301" Type="http://schemas.openxmlformats.org/officeDocument/2006/relationships/hyperlink" Target="https://www.sec.gov/Archives/edgar/data/1847986/000149315223012533/ex10-33.htm" TargetMode="External"/><Relationship Id="rId302" Type="http://schemas.openxmlformats.org/officeDocument/2006/relationships/hyperlink" Target="https://www.sec.gov/Archives/edgar/data/1847986/000149315223012533/ex10-34.htm" TargetMode="External"/><Relationship Id="rId303" Type="http://schemas.openxmlformats.org/officeDocument/2006/relationships/hyperlink" Target="https://www.sec.gov/Archives/edgar/data/1847986/000149315223012533/ex10-35.htm" TargetMode="External"/><Relationship Id="rId304" Type="http://schemas.openxmlformats.org/officeDocument/2006/relationships/hyperlink" Target="https://www.sec.gov/Archives/edgar/data/1847986/000149315223012533/ex10-36.htm" TargetMode="External"/><Relationship Id="rId305" Type="http://schemas.openxmlformats.org/officeDocument/2006/relationships/hyperlink" Target="https://www.sec.gov/Archives/edgar/data/1847986/000149315223012533/ex10-37.htm" TargetMode="External"/><Relationship Id="rId306" Type="http://schemas.openxmlformats.org/officeDocument/2006/relationships/hyperlink" Target="https://www.sec.gov/Archives/edgar/data/1847986/000149315223012533/ex10-38.htm" TargetMode="External"/><Relationship Id="rId307" Type="http://schemas.openxmlformats.org/officeDocument/2006/relationships/hyperlink" Target="https://www.sec.gov/Archives/edgar/data/1847986/000149315223009479/ex10-1.htm" TargetMode="External"/><Relationship Id="rId308" Type="http://schemas.openxmlformats.org/officeDocument/2006/relationships/hyperlink" Target="https://www.sec.gov/Archives/edgar/data/1847986/000149315223014966/ex10-1.htm" TargetMode="External"/><Relationship Id="rId309" Type="http://schemas.openxmlformats.org/officeDocument/2006/relationships/hyperlink" Target="https://www.sec.gov/Archives/edgar/data/1847986/000110465922107212/tm2222125d3_ex14-1.htm" TargetMode="External"/><Relationship Id="rId310" Type="http://schemas.openxmlformats.org/officeDocument/2006/relationships/hyperlink" Target="https://www.sec.gov/Archives/edgar/data/1847986/000110465922107212/tm2222125d3_ex14-2.htm" TargetMode="External"/><Relationship Id="rId311" Type="http://schemas.openxmlformats.org/officeDocument/2006/relationships/hyperlink" Target="https://www.sec.gov/Archives/edgar/data/1847986/000110465922107212/tm2222125d3_ex16-1.htm" TargetMode="External"/><Relationship Id="rId312" Type="http://schemas.openxmlformats.org/officeDocument/2006/relationships/hyperlink" Target="https://www.sec.gov/Archives/edgar/data/1847986/000110465922107212/tm2222125d3_ex21-1.htm" TargetMode="External"/><Relationship Id="rId313" Type="http://schemas.openxmlformats.org/officeDocument/2006/relationships/hyperlink" Target="https://www.sec.gov/Archives/edgar/data/1847986/000110465922125957/dfli-20220930xs1a.htm#POWEROFATTORNEY_227775" TargetMode="External"/><Relationship Id="rId314" Type="http://schemas.openxmlformats.org/officeDocument/2006/relationships/hyperlink" Target="https://www.sec.gov/Archives/edgar/data/1847986/000110465922110688/dfli-20220630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2023-09-25T16:43:38Z</dcterms:created>
  <dcterms:modified xsi:type="dcterms:W3CDTF">2023-09-25T16:43:38Z</dcterms:modified>
</cp:coreProperties>
</file>