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333-268185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3 Dated August 1, 2023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142875</wp:posOffset>
            </wp:positionV>
            <wp:extent cx="1414145" cy="951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145" cy="951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35,161,573 Shares of Common Stock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12,266,971 Warrants to Purchase Shares of Common Stock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12,266,971 Shares of Common Stock Underlying Warrants</w:t>
      </w:r>
    </w:p>
    <w:p>
      <w:pPr>
        <w:spacing w:after="0" w:line="211"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Supplement No. 3 supplements the prospectus of Dragonfly Energy Holdings Corp. (the “Company”, “we”, “us”, or “our”) dated May 4, 2023 (as supplemented to date, the “Prospectus”) with the following information. This Prospectus Supplement No. 3 should be read in conjunction with the Prospectus, which is required to be delivered with this Prospectus Supplement No. 3. This Prospectus Supplement No. 3 updates, amends and supplements the information included in the Prospectus. If there is any inconsistency between the information in the Prospectus and this Prospectus Supplement, you should rely on the information in this Prospectus Supplement No. 3.</w:t>
      </w:r>
    </w:p>
    <w:p>
      <w:pPr>
        <w:spacing w:after="0" w:line="188"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Prospectus Supplement No. 3 is not complete without, and may not be delivered or utilized except in connection with, the Prospectus, including any amendments or supplements to it.</w:t>
      </w:r>
    </w:p>
    <w:p>
      <w:pPr>
        <w:spacing w:after="0" w:line="166" w:lineRule="exact"/>
        <w:rPr>
          <w:sz w:val="24"/>
          <w:szCs w:val="24"/>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Investing in our common stock involves a high degree of risk. Before making any investment in our common stock, you should carefully consider the risk factors for our common stock, which are described in the Prospectus, as amended or supplemented.</w:t>
      </w:r>
    </w:p>
    <w:p>
      <w:pPr>
        <w:spacing w:after="0" w:line="140" w:lineRule="exact"/>
        <w:rPr>
          <w:sz w:val="24"/>
          <w:szCs w:val="24"/>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You should rely only on the information contained in the Prospectus, as supplemented or amended by this Prospectus Supplement No. 3 and any other prospectus supplement or amendment thereto. We have not authorized anyone to provide you with different information.</w:t>
      </w:r>
    </w:p>
    <w:p>
      <w:pPr>
        <w:spacing w:after="0" w:line="116" w:lineRule="exact"/>
        <w:rPr>
          <w:sz w:val="24"/>
          <w:szCs w:val="24"/>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No. 3 is August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transfer of an aggregate of 2,026,895 shares of our common stock by Chardan NexTech Investments 2 LLC, which shares of common stock underlying such warrants were originally included in the Prospectus, the information contained in the chart in the section entitled “Selling Securityholders” commencing on page 98 of the Prospectus is hereby supplemented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selling securityholder’s information shall be added to the Selling Securityholders chart,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Securities Beneficially</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8"/>
              </w:rPr>
              <w:t>Securities Beneficially</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Owned After the</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Owned Prior to the</w:t>
            </w:r>
          </w:p>
        </w:tc>
        <w:tc>
          <w:tcPr>
            <w:tcW w:w="28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Securities Being Offered in the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Offered Securities are</w:t>
            </w: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4"/>
              </w:rPr>
              <w:t>Offering</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Offering</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87"/>
              </w:rPr>
              <w:t>Sold</w:t>
            </w: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6"/>
              </w:rPr>
              <w:t>Shares</w:t>
            </w:r>
          </w:p>
        </w:tc>
        <w:tc>
          <w:tcPr>
            <w:tcW w:w="5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Shares of</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of</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of</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Common</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Common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2"/>
              </w:rPr>
              <w:t>Common</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144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Warrants</w:t>
            </w:r>
          </w:p>
        </w:tc>
        <w:tc>
          <w:tcPr>
            <w:tcW w:w="3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32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Warrants</w:t>
            </w:r>
          </w:p>
        </w:tc>
        <w:tc>
          <w:tcPr>
            <w:tcW w:w="5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3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Warrants</w:t>
            </w:r>
          </w:p>
        </w:tc>
        <w:tc>
          <w:tcPr>
            <w:tcW w:w="0" w:type="dxa"/>
            <w:vAlign w:val="bottom"/>
          </w:tcPr>
          <w:p>
            <w:pPr>
              <w:spacing w:after="0"/>
              <w:rPr>
                <w:sz w:val="1"/>
                <w:szCs w:val="1"/>
                <w:color w:val="auto"/>
              </w:rPr>
            </w:pPr>
          </w:p>
        </w:tc>
      </w:tr>
      <w:tr>
        <w:trPr>
          <w:trHeight w:val="27"/>
        </w:trPr>
        <w:tc>
          <w:tcPr>
            <w:tcW w:w="334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3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Alex Weil </w:t>
            </w:r>
            <w:r>
              <w:rPr>
                <w:rFonts w:ascii="Arial" w:cs="Arial" w:eastAsia="Arial" w:hAnsi="Arial"/>
                <w:sz w:val="29"/>
                <w:szCs w:val="29"/>
                <w:color w:val="auto"/>
                <w:vertAlign w:val="superscript"/>
              </w:rPr>
              <w:t>(1)</w:t>
            </w:r>
          </w:p>
        </w:tc>
        <w:tc>
          <w:tcPr>
            <w:tcW w:w="200" w:type="dxa"/>
            <w:vAlign w:val="bottom"/>
            <w:vMerge w:val="continue"/>
            <w:shd w:val="clear" w:color="auto" w:fill="CCEEFF"/>
          </w:tcPr>
          <w:p>
            <w:pPr>
              <w:spacing w:after="0"/>
              <w:rPr>
                <w:sz w:val="22"/>
                <w:szCs w:val="22"/>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142,479</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73,676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142,479</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73,676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Camilo Rico Restrepo</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5,155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7,009</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5,155</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CAPTrading LLC </w:t>
            </w:r>
            <w:r>
              <w:rPr>
                <w:rFonts w:ascii="Arial" w:cs="Arial" w:eastAsia="Arial" w:hAnsi="Arial"/>
                <w:sz w:val="29"/>
                <w:szCs w:val="29"/>
                <w:color w:val="auto"/>
                <w:vertAlign w:val="superscript"/>
              </w:rPr>
              <w:t>(2)</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177,835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324,173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177,835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3"/>
                <w:szCs w:val="23"/>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324,173</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5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Chardan 2021 Vintage LLC </w:t>
            </w:r>
            <w:r>
              <w:rPr>
                <w:rFonts w:ascii="Arial" w:cs="Arial" w:eastAsia="Arial" w:hAnsi="Arial"/>
                <w:sz w:val="29"/>
                <w:szCs w:val="29"/>
                <w:color w:val="auto"/>
                <w:vertAlign w:val="superscript"/>
              </w:rPr>
              <w:t>(3)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77,614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77,614</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Chardan Securities LLC </w:t>
            </w:r>
            <w:r>
              <w:rPr>
                <w:rFonts w:ascii="Arial" w:cs="Arial" w:eastAsia="Arial" w:hAnsi="Arial"/>
                <w:sz w:val="29"/>
                <w:szCs w:val="29"/>
                <w:color w:val="auto"/>
                <w:vertAlign w:val="superscript"/>
              </w:rPr>
              <w:t>(4)</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1,417</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3"/>
                <w:szCs w:val="23"/>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Connor Breisacher</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3,060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1,752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3,060</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David Lederman </w:t>
            </w:r>
            <w:r>
              <w:rPr>
                <w:rFonts w:ascii="Arial" w:cs="Arial" w:eastAsia="Arial" w:hAnsi="Arial"/>
                <w:sz w:val="29"/>
                <w:szCs w:val="29"/>
                <w:color w:val="auto"/>
                <w:vertAlign w:val="superscript"/>
              </w:rPr>
              <w:t>(5)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5,670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5,670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Emily Levine </w:t>
            </w:r>
            <w:r>
              <w:rPr>
                <w:rFonts w:ascii="Arial" w:cs="Arial" w:eastAsia="Arial" w:hAnsi="Arial"/>
                <w:sz w:val="29"/>
                <w:szCs w:val="29"/>
                <w:color w:val="auto"/>
                <w:vertAlign w:val="superscript"/>
              </w:rPr>
              <w:t>(6)</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25,002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26,284</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25,002</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26,284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George Kaufman </w:t>
            </w:r>
            <w:r>
              <w:rPr>
                <w:rFonts w:ascii="Arial" w:cs="Arial" w:eastAsia="Arial" w:hAnsi="Arial"/>
                <w:sz w:val="29"/>
                <w:szCs w:val="29"/>
                <w:color w:val="auto"/>
                <w:vertAlign w:val="superscript"/>
              </w:rPr>
              <w:t>(7)</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216,470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138,061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216,470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138,061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Gbolahan Amusa </w:t>
            </w:r>
            <w:r>
              <w:rPr>
                <w:rFonts w:ascii="Arial" w:cs="Arial" w:eastAsia="Arial" w:hAnsi="Arial"/>
                <w:sz w:val="29"/>
                <w:szCs w:val="29"/>
                <w:color w:val="auto"/>
                <w:vertAlign w:val="superscript"/>
              </w:rPr>
              <w:t>(8)</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71,239</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36,838</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71,239</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36,838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Guy Barudin </w:t>
            </w:r>
            <w:r>
              <w:rPr>
                <w:rFonts w:ascii="Arial" w:cs="Arial" w:eastAsia="Arial" w:hAnsi="Arial"/>
                <w:sz w:val="29"/>
                <w:szCs w:val="29"/>
                <w:color w:val="auto"/>
                <w:vertAlign w:val="superscript"/>
              </w:rPr>
              <w:t>(9)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5,671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5,671</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Harrison Garfinkle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9,022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12,266</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9,002</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Headwaters Capital LLC </w:t>
            </w:r>
            <w:r>
              <w:rPr>
                <w:rFonts w:ascii="Arial" w:cs="Arial" w:eastAsia="Arial" w:hAnsi="Arial"/>
                <w:sz w:val="29"/>
                <w:szCs w:val="29"/>
                <w:color w:val="auto"/>
                <w:vertAlign w:val="superscript"/>
              </w:rPr>
              <w:t>(10)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12,887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17,522</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12,887</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Perry Boyle </w:t>
            </w:r>
            <w:r>
              <w:rPr>
                <w:rFonts w:ascii="Arial" w:cs="Arial" w:eastAsia="Arial" w:hAnsi="Arial"/>
                <w:sz w:val="29"/>
                <w:szCs w:val="29"/>
                <w:color w:val="auto"/>
                <w:vertAlign w:val="superscript"/>
              </w:rPr>
              <w:t>(11)</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42,887</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17,522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12,887</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Illya E. Gnedy </w:t>
            </w:r>
            <w:r>
              <w:rPr>
                <w:rFonts w:ascii="Arial" w:cs="Arial" w:eastAsia="Arial" w:hAnsi="Arial"/>
                <w:sz w:val="29"/>
                <w:szCs w:val="29"/>
                <w:color w:val="auto"/>
                <w:vertAlign w:val="superscript"/>
              </w:rPr>
              <w:t>(12)</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7,410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5,257</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7,410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James O’Day </w:t>
            </w:r>
            <w:r>
              <w:rPr>
                <w:rFonts w:ascii="Arial" w:cs="Arial" w:eastAsia="Arial" w:hAnsi="Arial"/>
                <w:sz w:val="29"/>
                <w:szCs w:val="29"/>
                <w:color w:val="auto"/>
                <w:vertAlign w:val="superscript"/>
              </w:rPr>
              <w:t>(13)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5,670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5,670</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John Klipchirchir Bitok </w:t>
            </w:r>
            <w:r>
              <w:rPr>
                <w:rFonts w:ascii="Arial" w:cs="Arial" w:eastAsia="Arial" w:hAnsi="Arial"/>
                <w:sz w:val="29"/>
                <w:szCs w:val="29"/>
                <w:color w:val="auto"/>
                <w:vertAlign w:val="superscript"/>
              </w:rPr>
              <w:t>(14)</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John Zuschnitt </w:t>
            </w:r>
            <w:r>
              <w:rPr>
                <w:rFonts w:ascii="Arial" w:cs="Arial" w:eastAsia="Arial" w:hAnsi="Arial"/>
                <w:sz w:val="29"/>
                <w:szCs w:val="29"/>
                <w:color w:val="auto"/>
                <w:vertAlign w:val="superscript"/>
              </w:rPr>
              <w:t>(15)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5,864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7,009</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5,864</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7,009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Jonas Grossman </w:t>
            </w:r>
            <w:r>
              <w:rPr>
                <w:rFonts w:ascii="Arial" w:cs="Arial" w:eastAsia="Arial" w:hAnsi="Arial"/>
                <w:sz w:val="29"/>
                <w:szCs w:val="29"/>
                <w:color w:val="auto"/>
                <w:vertAlign w:val="superscript"/>
              </w:rPr>
              <w:t>(16)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603,735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423,472</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603,735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423,472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Jonathan Biele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22,000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17,522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12,887</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Matthew T. Mroznski </w:t>
            </w:r>
            <w:r>
              <w:rPr>
                <w:rFonts w:ascii="Arial" w:cs="Arial" w:eastAsia="Arial" w:hAnsi="Arial"/>
                <w:sz w:val="29"/>
                <w:szCs w:val="29"/>
                <w:color w:val="auto"/>
                <w:vertAlign w:val="superscript"/>
              </w:rPr>
              <w:t>(17)</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14,248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7,368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14,248</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Maxwell Pierce Hewes </w:t>
            </w:r>
            <w:r>
              <w:rPr>
                <w:rFonts w:ascii="Arial" w:cs="Arial" w:eastAsia="Arial" w:hAnsi="Arial"/>
                <w:sz w:val="29"/>
                <w:szCs w:val="29"/>
                <w:color w:val="auto"/>
                <w:vertAlign w:val="superscript"/>
              </w:rPr>
              <w:t>(18)</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1,772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1,772</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Michael Marrus </w:t>
            </w:r>
            <w:r>
              <w:rPr>
                <w:rFonts w:ascii="Arial" w:cs="Arial" w:eastAsia="Arial" w:hAnsi="Arial"/>
                <w:sz w:val="29"/>
                <w:szCs w:val="29"/>
                <w:color w:val="auto"/>
                <w:vertAlign w:val="superscript"/>
              </w:rPr>
              <w:t>(19)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7,153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8,761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7,153</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Murat Omur </w:t>
            </w:r>
            <w:r>
              <w:rPr>
                <w:rFonts w:ascii="Arial" w:cs="Arial" w:eastAsia="Arial" w:hAnsi="Arial"/>
                <w:sz w:val="29"/>
                <w:szCs w:val="29"/>
                <w:color w:val="auto"/>
                <w:vertAlign w:val="superscript"/>
              </w:rPr>
              <w:t>(20)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12,114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8,761</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12,114</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Omar Khalil </w:t>
            </w:r>
            <w:r>
              <w:rPr>
                <w:rFonts w:ascii="Arial" w:cs="Arial" w:eastAsia="Arial" w:hAnsi="Arial"/>
                <w:sz w:val="29"/>
                <w:szCs w:val="29"/>
                <w:color w:val="auto"/>
                <w:vertAlign w:val="superscript"/>
              </w:rPr>
              <w:t>(21)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11,276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10,514</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11,276</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Richard Korhammer </w:t>
            </w:r>
            <w:r>
              <w:rPr>
                <w:rFonts w:ascii="Arial" w:cs="Arial" w:eastAsia="Arial" w:hAnsi="Arial"/>
                <w:sz w:val="29"/>
                <w:szCs w:val="29"/>
                <w:color w:val="auto"/>
                <w:vertAlign w:val="superscript"/>
              </w:rPr>
              <w:t>(22)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5,670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5,670</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Ronald Glickman </w:t>
            </w:r>
            <w:r>
              <w:rPr>
                <w:rFonts w:ascii="Arial" w:cs="Arial" w:eastAsia="Arial" w:hAnsi="Arial"/>
                <w:sz w:val="29"/>
                <w:szCs w:val="29"/>
                <w:color w:val="auto"/>
                <w:vertAlign w:val="superscript"/>
              </w:rPr>
              <w:t>(23)</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5,670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5,670</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line="270" w:lineRule="exact"/>
              <w:rPr>
                <w:sz w:val="20"/>
                <w:szCs w:val="20"/>
                <w:color w:val="auto"/>
              </w:rPr>
            </w:pPr>
            <w:r>
              <w:rPr>
                <w:rFonts w:ascii="Arial" w:cs="Arial" w:eastAsia="Arial" w:hAnsi="Arial"/>
                <w:sz w:val="18"/>
                <w:szCs w:val="18"/>
                <w:color w:val="auto"/>
              </w:rPr>
              <w:t xml:space="preserve">Scott Blakeman </w:t>
            </w:r>
            <w:r>
              <w:rPr>
                <w:rFonts w:ascii="Arial" w:cs="Arial" w:eastAsia="Arial" w:hAnsi="Arial"/>
                <w:sz w:val="29"/>
                <w:szCs w:val="29"/>
                <w:color w:val="auto"/>
                <w:vertAlign w:val="superscript"/>
              </w:rPr>
              <w:t>(24)</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99,735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51,573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99,735</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51,573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5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Sean McGann </w:t>
            </w:r>
            <w:r>
              <w:rPr>
                <w:rFonts w:ascii="Arial" w:cs="Arial" w:eastAsia="Arial" w:hAnsi="Arial"/>
                <w:sz w:val="29"/>
                <w:szCs w:val="29"/>
                <w:color w:val="auto"/>
                <w:vertAlign w:val="superscript"/>
              </w:rPr>
              <w:t>(25)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31,446</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35,045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31,446</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2"/>
                <w:szCs w:val="22"/>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35,045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Shai Gerson </w:t>
            </w:r>
            <w:r>
              <w:rPr>
                <w:rFonts w:ascii="Arial" w:cs="Arial" w:eastAsia="Arial" w:hAnsi="Arial"/>
                <w:sz w:val="29"/>
                <w:szCs w:val="29"/>
                <w:color w:val="auto"/>
                <w:vertAlign w:val="superscript"/>
              </w:rPr>
              <w:t>(26)</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119,212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110,023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119,212</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110,023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Steven Urbach </w:t>
            </w:r>
            <w:r>
              <w:rPr>
                <w:rFonts w:ascii="Arial" w:cs="Arial" w:eastAsia="Arial" w:hAnsi="Arial"/>
                <w:sz w:val="29"/>
                <w:szCs w:val="29"/>
                <w:color w:val="auto"/>
                <w:vertAlign w:val="superscript"/>
              </w:rPr>
              <w:t>(27)</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311,309</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160,978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311,309</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3"/>
                <w:szCs w:val="23"/>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160,978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90"/>
        </w:trPr>
        <w:tc>
          <w:tcPr>
            <w:tcW w:w="3540" w:type="dxa"/>
            <w:vAlign w:val="bottom"/>
            <w:gridSpan w:val="2"/>
          </w:tcPr>
          <w:p>
            <w:pPr>
              <w:spacing w:after="0"/>
              <w:rPr>
                <w:sz w:val="20"/>
                <w:szCs w:val="20"/>
                <w:color w:val="auto"/>
              </w:rPr>
            </w:pPr>
            <w:r>
              <w:rPr>
                <w:rFonts w:ascii="Arial" w:cs="Arial" w:eastAsia="Arial" w:hAnsi="Arial"/>
                <w:sz w:val="18"/>
                <w:szCs w:val="18"/>
                <w:color w:val="auto"/>
              </w:rPr>
              <w:t xml:space="preserve">Yingjie Weng </w:t>
            </w:r>
            <w:r>
              <w:rPr>
                <w:rFonts w:ascii="Arial" w:cs="Arial" w:eastAsia="Arial" w:hAnsi="Arial"/>
                <w:sz w:val="29"/>
                <w:szCs w:val="29"/>
                <w:color w:val="auto"/>
                <w:vertAlign w:val="superscript"/>
              </w:rPr>
              <w:t>(28)</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3,544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3,544</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Each of the above securityholders owns less than 1% of our total outstanding shares as of the date of this Prospectus Supplement No. 3.</w:t>
      </w:r>
    </w:p>
    <w:p>
      <w:pPr>
        <w:spacing w:after="0" w:line="225" w:lineRule="exact"/>
        <w:rPr>
          <w:sz w:val="20"/>
          <w:szCs w:val="20"/>
          <w:color w:val="auto"/>
        </w:rPr>
      </w:pPr>
    </w:p>
    <w:p>
      <w:pPr>
        <w:jc w:val="both"/>
        <w:ind w:left="340" w:hanging="332"/>
        <w:spacing w:after="0" w:line="287"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Mr. Weil previously served as the Chief Financial Officer and a director of CNTQ from August 2022 until he resigned in connection with the Business Combination effective as of October 7, 2022, the closing date of the Business Combination. Mr. Weil is a Managing Director and Co-Head of FinTech Investment Banking at CCM. CCM, an affiliate of the Sponsor, is a registered broker-dealer and a member organization of FINRA.</w:t>
      </w:r>
    </w:p>
    <w:p>
      <w:pPr>
        <w:spacing w:after="0" w:line="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Kerry Propper, the Co-Founder and Executive Chairman of CCM, is the manager of CAPTrading LLC. Due to Mr. Propper’s ownership of CAPTrading LLC, he may be deemed to have sole voting and dispositive control over the shares of our common stock held by CAPTrading LLC. As a result, Mr. Propper may be deemed to beneficially own the shares of our common stock held by CAPTrading LLC. Mr. Propper previously served as the Chairman and a member of the Board of Directors of CNTQ.</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Steven Urbach is the managing member of Chardan 2021 Vintage LLC. As such, Mr. Urbach may be deemed to have beneficial ownership of the common stock held directly by Chardan 2021 Vintage LLC. Mr. Urbach disclaims any beneficial ownership of the reported shares other than to the extent of any pecuniary interest he may have therein, directly or indirectly. Mr. Urbach is a Co-Founder and the CEO of CCM. Certain other employees of CCM or its affiliates have direct or indirect membership interests in Chardan 2021 Vintage LLC, and thus have pecuniary interests in certain of the reported shares. The business address of Chardan 2021 Vintage LLC and Mr. Urbach is 17 State Street, 21st Floor, New York, NY 10004.</w:t>
      </w:r>
    </w:p>
    <w:p>
      <w:pPr>
        <w:spacing w:after="0" w:line="2"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Kerry Propper, Steven Urbach and Jonas Grossman are managing members of Chardan Securities LLC. As such, each of them may be deemed to have beneficial ownership of the common stock held directly by Chardan Securities LLC. Each of them disclaims any beneficial ownership of the reported shares other than to the extent of any pecuniary interest each may have therein, directly or indirectly. Chardan Securities LLC has beneficial ownership of any shares held by CCM.</w:t>
      </w:r>
    </w:p>
    <w:p>
      <w:pPr>
        <w:sectPr>
          <w:pgSz w:w="11900" w:h="16838" w:orient="portrait"/>
          <w:cols w:equalWidth="0" w:num="1">
            <w:col w:w="11240"/>
          </w:cols>
          <w:pgMar w:left="320" w:top="688" w:right="339" w:bottom="0" w:gutter="0" w:footer="0" w:header="0"/>
        </w:sectPr>
      </w:pPr>
    </w:p>
    <w:bookmarkStart w:id="2" w:name="page3"/>
    <w:bookmarkEnd w:id="2"/>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Lederman is an employee of CCM.</w:t>
      </w:r>
    </w:p>
    <w:p>
      <w:pPr>
        <w:spacing w:after="0" w:line="23"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Ms. Levine is an employee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Kaufman is a partner and Head of Investment Banking at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Amusa is a partner and Chief Scientific Officer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Barudin is an employee of CCM.</w:t>
      </w:r>
    </w:p>
    <w:p>
      <w:pPr>
        <w:spacing w:after="0" w:line="9" w:lineRule="exact"/>
        <w:rPr>
          <w:rFonts w:ascii="Arial" w:cs="Arial" w:eastAsia="Arial" w:hAnsi="Arial"/>
          <w:sz w:val="18"/>
          <w:szCs w:val="18"/>
          <w:color w:val="auto"/>
        </w:rPr>
      </w:pPr>
    </w:p>
    <w:p>
      <w:pPr>
        <w:jc w:val="both"/>
        <w:ind w:left="332" w:hanging="332"/>
        <w:spacing w:after="0" w:line="265" w:lineRule="auto"/>
        <w:tabs>
          <w:tab w:leader="none" w:pos="332" w:val="left"/>
        </w:tabs>
        <w:numPr>
          <w:ilvl w:val="0"/>
          <w:numId w:val="2"/>
        </w:numPr>
        <w:rPr>
          <w:rFonts w:ascii="Arial" w:cs="Arial" w:eastAsia="Arial" w:hAnsi="Arial"/>
          <w:sz w:val="17"/>
          <w:szCs w:val="17"/>
          <w:color w:val="auto"/>
        </w:rPr>
      </w:pPr>
      <w:r>
        <w:rPr>
          <w:rFonts w:ascii="Arial" w:cs="Arial" w:eastAsia="Arial" w:hAnsi="Arial"/>
          <w:sz w:val="17"/>
          <w:szCs w:val="17"/>
          <w:color w:val="auto"/>
        </w:rPr>
        <w:t>Todd Thompson is a managing member of Headwaters Capital LLC. As such, Mr. Thompson may be deemed to have beneficial ownership interest of Headwaters Capital LLC. Mr. Thompson disclaims any beneficial ownership interest of Headwaters Capital LLC other than to the extent at any pecuniary interest he may have therein, directly or indirectly. Mr. Thompson previously served as a Director of CNTQ.</w:t>
      </w:r>
    </w:p>
    <w:p>
      <w:pPr>
        <w:ind w:left="332" w:hanging="332"/>
        <w:spacing w:after="0" w:line="250" w:lineRule="auto"/>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Boyle is a current director of the Company. Mr. Boyle previously served as a director of CNTQ from August 2021 until the consummation of the Business Combination.</w:t>
      </w: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Gnedy is an employee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O’Day is an employee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Bitok is an employee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Zuschnitt is an employee of CCM.</w:t>
      </w:r>
    </w:p>
    <w:p>
      <w:pPr>
        <w:spacing w:after="0" w:line="9" w:lineRule="exact"/>
        <w:rPr>
          <w:rFonts w:ascii="Arial" w:cs="Arial" w:eastAsia="Arial" w:hAnsi="Arial"/>
          <w:sz w:val="18"/>
          <w:szCs w:val="18"/>
          <w:color w:val="auto"/>
        </w:rPr>
      </w:pPr>
    </w:p>
    <w:p>
      <w:pPr>
        <w:jc w:val="both"/>
        <w:ind w:left="332" w:hanging="332"/>
        <w:spacing w:after="0" w:line="250" w:lineRule="auto"/>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Grossman served as the Chief Executive Officer, President, Secretary, Treasurer and Director of CNTQ from August 2022 until he resigned in connection with the Business Combination effective as of October 7, 2022, the closing date of the Business Combination. He currently is a managing member of the Sponsor and is the President of CCM.</w:t>
      </w:r>
    </w:p>
    <w:p>
      <w:pPr>
        <w:spacing w:after="0" w:line="1"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Mrozinski is an employee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Hewes is an employee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Marrus is an employee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Omur is an employee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Khalil is an employee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Korhammer is an employee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Glickman is an employee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Blakeman is a partner and Head of Trading at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McGann is an employee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Gerson is a partner and Head of Equity Capital Markets at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Urbach is the Chief Executive Officer of CCM.</w:t>
      </w:r>
    </w:p>
    <w:p>
      <w:pPr>
        <w:spacing w:after="0" w:line="9" w:lineRule="exact"/>
        <w:rPr>
          <w:rFonts w:ascii="Arial" w:cs="Arial" w:eastAsia="Arial" w:hAnsi="Arial"/>
          <w:sz w:val="18"/>
          <w:szCs w:val="18"/>
          <w:color w:val="auto"/>
        </w:rPr>
      </w:pPr>
    </w:p>
    <w:p>
      <w:pPr>
        <w:ind w:left="332" w:hanging="332"/>
        <w:spacing w:after="0"/>
        <w:tabs>
          <w:tab w:leader="none" w:pos="332" w:val="left"/>
        </w:tabs>
        <w:numPr>
          <w:ilvl w:val="0"/>
          <w:numId w:val="2"/>
        </w:numPr>
        <w:rPr>
          <w:rFonts w:ascii="Arial" w:cs="Arial" w:eastAsia="Arial" w:hAnsi="Arial"/>
          <w:sz w:val="18"/>
          <w:szCs w:val="18"/>
          <w:color w:val="auto"/>
        </w:rPr>
      </w:pPr>
      <w:r>
        <w:rPr>
          <w:rFonts w:ascii="Arial" w:cs="Arial" w:eastAsia="Arial" w:hAnsi="Arial"/>
          <w:sz w:val="18"/>
          <w:szCs w:val="18"/>
          <w:color w:val="auto"/>
        </w:rPr>
        <w:t>Ms. Weng is an employee of CCM.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32"/>
      </w:cols>
      <w:pgMar w:left="328"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2023-08-01T15:29:23Z</dcterms:created>
  <dcterms:modified xsi:type="dcterms:W3CDTF">2023-08-01T15:29:23Z</dcterms:modified>
</cp:coreProperties>
</file>