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30331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March 31,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3"/>
      <w:bookmarkEnd w:id="4"/>
      <w:r>
        <w:rPr>
          <w:rFonts w:ascii="Times New Roman;Times;Serif" w:hAnsi="Times New Roman;Times;Serif"/>
          <w:b/>
          <w:i w:val="false"/>
          <w:caps w:val="false"/>
          <w:smallCaps w:val="false"/>
          <w:sz w:val="36"/>
        </w:rPr>
        <w:t>DRAGONFLY ENERGY HOLDINGS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920" w:type="dxa"/>
        <w:jc w:val="left"/>
        <w:tblInd w:w="0" w:type="dxa"/>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B_edei--EntityFileNumber_c20230331"/>
            <w:bookmarkEnd w:id="6"/>
            <w:r>
              <w:rPr>
                <w:rFonts w:ascii="Times New Roman;Times;Serif" w:hAnsi="Times New Roman;Times;Serif"/>
                <w:b/>
                <w:i w:val="false"/>
                <w:caps w:val="false"/>
                <w:smallCaps w:val="false"/>
                <w:sz w:val="20"/>
              </w:rPr>
              <w:t>001-40730</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jc w:val="center"/>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1190 Trademark Drive #108</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Reno, </w:t>
            </w:r>
            <w:bookmarkStart w:id="10" w:name="xdx_90E_edei--EntityAddressStateOrProvin"/>
            <w:bookmarkEnd w:id="10"/>
            <w:r>
              <w:rPr>
                <w:rFonts w:ascii="Times New Roman;Times;Serif" w:hAnsi="Times New Roman;Times;Serif"/>
                <w:b/>
                <w:i w:val="false"/>
                <w:caps w:val="false"/>
                <w:smallCaps w:val="false"/>
                <w:sz w:val="20"/>
              </w:rPr>
              <w:t xml:space="preserve">Nevada </w:t>
            </w:r>
            <w:bookmarkStart w:id="11" w:name="xdx_909_edei--EntityAddressPostalZipCode"/>
            <w:bookmarkEnd w:id="11"/>
            <w:r>
              <w:rPr>
                <w:rFonts w:ascii="Times New Roman;Times;Serif" w:hAnsi="Times New Roman;Times;Serif"/>
                <w:b/>
                <w:i w:val="false"/>
                <w:caps w:val="false"/>
                <w:smallCaps w:val="false"/>
                <w:sz w:val="20"/>
              </w:rPr>
              <w:t>89521</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bottom w:val="single" w:sz="12"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89521</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30331__20"/>
      <w:bookmarkEnd w:id="13"/>
      <w:r>
        <w:rPr>
          <w:rFonts w:ascii="Times New Roman;Times;Serif" w:hAnsi="Times New Roman;Times;Serif"/>
          <w:b/>
          <w:i w:val="false"/>
          <w:caps w:val="false"/>
          <w:smallCaps w:val="false"/>
          <w:sz w:val="20"/>
        </w:rPr>
        <w:t xml:space="preserve">(775) </w:t>
      </w:r>
      <w:bookmarkStart w:id="14" w:name="xdx_90E_edei--LocalPhoneNumber_c20230331"/>
      <w:bookmarkEnd w:id="14"/>
      <w:r>
        <w:rPr>
          <w:rFonts w:ascii="Times New Roman;Times;Serif" w:hAnsi="Times New Roman;Times;Serif"/>
          <w:b/>
          <w:i w:val="false"/>
          <w:caps w:val="false"/>
          <w:smallCaps w:val="false"/>
          <w:sz w:val="20"/>
        </w:rPr>
        <w:t>622-3448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5" w:name="xdx_902_edei--WrittenCommunications_c202"/>
            <w:bookmarkEnd w:id="1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6" w:name="xdx_909_edei--SolicitingMaterial_c202303"/>
            <w:bookmarkEnd w:id="1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7" w:name="xdx_90F_edei--PreCommencementTenderOffer"/>
            <w:bookmarkEnd w:id="1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8" w:name="xdx_902_edei--PreCommencementIssuerTende"/>
            <w:bookmarkEnd w:id="18"/>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bookmarkStart w:id="19" w:name="xdx_90D_edei--Security12bTitle_c20230331"/>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3"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bookmarkStart w:id="20" w:name="xdx_90D_edei--TradingSymbol_c20230331__2"/>
            <w:bookmarkEnd w:id="20"/>
            <w:r>
              <w:rPr>
                <w:rFonts w:ascii="Times New Roman;Times;Serif" w:hAnsi="Times New Roman;Times;Serif"/>
                <w:b w:val="false"/>
                <w:i w:val="false"/>
                <w:caps w:val="false"/>
                <w:smallCaps w:val="false"/>
                <w:sz w:val="20"/>
              </w:rPr>
              <w:t>DFLI</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3"/>
            <w:bookmarkEnd w:id="21"/>
            <w:r>
              <w:rPr>
                <w:rFonts w:ascii="Times New Roman;Times;Serif" w:hAnsi="Times New Roman;Times;Serif"/>
                <w:b w:val="false"/>
                <w:i w:val="false"/>
                <w:caps w:val="false"/>
                <w:smallCaps w:val="false"/>
                <w:sz w:val="20"/>
              </w:rPr>
              <w:t>Nasdaq Global Market</w:t>
            </w:r>
          </w:p>
        </w:tc>
      </w:tr>
      <w:tr>
        <w:trPr/>
        <w:tc>
          <w:tcPr>
            <w:tcW w:w="6268"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2" w:name="xdx_901_edei--Security12bTitle_c20230331"/>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3" w:name="xdx_904_edei--TradingSymbol_c20230331__2"/>
            <w:bookmarkEnd w:id="23"/>
            <w:r>
              <w:rPr>
                <w:rFonts w:ascii="Times New Roman;Times;Serif" w:hAnsi="Times New Roman;Times;Serif"/>
                <w:b w:val="false"/>
                <w:i w:val="false"/>
                <w:caps w:val="false"/>
                <w:smallCaps w:val="false"/>
                <w:sz w:val="20"/>
              </w:rPr>
              <w:t>DFLIW</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7_edei--SecurityExchangeName_c2023"/>
            <w:bookmarkEnd w:id="24"/>
            <w:r>
              <w:rPr>
                <w:rFonts w:ascii="Times New Roman;Times;Serif" w:hAnsi="Times New Roman;Times;Serif"/>
                <w:b w:val="false"/>
                <w:i w:val="false"/>
                <w:caps w:val="false"/>
                <w:smallCaps w:val="false"/>
                <w:sz w:val="20"/>
              </w:rPr>
              <w:t>Nasdaq Capital Market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0_edei--EntityExTransitionPeriod_c"/>
      <w:bookmarkEnd w:id="26"/>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20" w:type="dxa"/>
        <w:jc w:val="left"/>
        <w:tblInd w:w="0" w:type="dxa"/>
        <w:tblCellMar>
          <w:top w:w="0" w:type="dxa"/>
          <w:left w:w="0" w:type="dxa"/>
          <w:bottom w:w="0" w:type="dxa"/>
          <w:right w:w="0" w:type="dxa"/>
        </w:tblCellMar>
      </w:tblPr>
      <w:tblGrid>
        <w:gridCol w:w="875"/>
        <w:gridCol w:w="4145"/>
      </w:tblGrid>
      <w:tr>
        <w:trPr/>
        <w:tc>
          <w:tcPr>
            <w:tcW w:w="8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w:t>
            </w:r>
          </w:p>
        </w:tc>
        <w:tc>
          <w:tcPr>
            <w:tcW w:w="414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 to Rights of Shareholders.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at a special meeting of the stockholders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on February 28, 2023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the Company’s stockholders approved the proposed reincorporation of the Company from Delaware to Nevada (the “</w:t>
      </w:r>
      <w:r>
        <w:rPr>
          <w:rFonts w:ascii="Times New Roman;Times;Serif" w:hAnsi="Times New Roman;Times;Serif"/>
          <w:b/>
          <w:i w:val="false"/>
          <w:caps w:val="false"/>
          <w:smallCaps w:val="false"/>
          <w:sz w:val="20"/>
        </w:rPr>
        <w:t>Reincorporation</w:t>
      </w:r>
      <w:r>
        <w:rPr>
          <w:rFonts w:ascii="Times New Roman;Times;Serif" w:hAnsi="Times New Roman;Times;Serif"/>
          <w:b w:val="false"/>
          <w:i w:val="false"/>
          <w:caps w:val="false"/>
          <w:smallCaps w:val="false"/>
          <w:sz w:val="20"/>
        </w:rPr>
        <w:t>”) by means of a plan of conversion (the “</w:t>
      </w:r>
      <w:r>
        <w:rPr>
          <w:rFonts w:ascii="Times New Roman;Times;Serif" w:hAnsi="Times New Roman;Times;Serif"/>
          <w:b/>
          <w:i w:val="false"/>
          <w:caps w:val="false"/>
          <w:smallCaps w:val="false"/>
          <w:sz w:val="20"/>
        </w:rPr>
        <w:t>Plan of Conversion</w:t>
      </w:r>
      <w:r>
        <w:rPr>
          <w:rFonts w:ascii="Times New Roman;Times;Serif" w:hAnsi="Times New Roman;Times;Serif"/>
          <w:b w:val="false"/>
          <w:i w:val="false"/>
          <w:caps w:val="false"/>
          <w:smallCaps w:val="false"/>
          <w:sz w:val="20"/>
        </w:rPr>
        <w:t>”), as described in the Company’s definitive proxy statement on Schedule 14A for the Special Meeting filed with the Securities and Exchange Commission on January 23, 2023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Pursuant to the Plan of Conversion, the Company effected the Reincorporation at 4:01 p.m. (EST) on March 31, 2023 by filing: (i) a certificate of conversion with the Secretary of State of the State of Delaware (the “</w:t>
      </w:r>
      <w:r>
        <w:rPr>
          <w:rFonts w:ascii="Times New Roman;Times;Serif" w:hAnsi="Times New Roman;Times;Serif"/>
          <w:b/>
          <w:i w:val="false"/>
          <w:caps w:val="false"/>
          <w:smallCaps w:val="false"/>
          <w:sz w:val="20"/>
        </w:rPr>
        <w:t>Delaware Certificate of Conversion</w:t>
      </w:r>
      <w:r>
        <w:rPr>
          <w:rFonts w:ascii="Times New Roman;Times;Serif" w:hAnsi="Times New Roman;Times;Serif"/>
          <w:b w:val="false"/>
          <w:i w:val="false"/>
          <w:caps w:val="false"/>
          <w:smallCaps w:val="false"/>
          <w:sz w:val="20"/>
        </w:rPr>
        <w:t>”); (ii) articles of conversion with the Secretary of State of the State of Nevada (the “</w:t>
      </w:r>
      <w:r>
        <w:rPr>
          <w:rFonts w:ascii="Times New Roman;Times;Serif" w:hAnsi="Times New Roman;Times;Serif"/>
          <w:b/>
          <w:i w:val="false"/>
          <w:caps w:val="false"/>
          <w:smallCaps w:val="false"/>
          <w:sz w:val="20"/>
        </w:rPr>
        <w:t>Nevada Articles of Conversion</w:t>
      </w:r>
      <w:r>
        <w:rPr>
          <w:rFonts w:ascii="Times New Roman;Times;Serif" w:hAnsi="Times New Roman;Times;Serif"/>
          <w:b w:val="false"/>
          <w:i w:val="false"/>
          <w:caps w:val="false"/>
          <w:smallCaps w:val="false"/>
          <w:sz w:val="20"/>
        </w:rPr>
        <w:t>”); and (iii) articles of incorporation with the Secretary of State of the State of Nevada (the “</w:t>
      </w:r>
      <w:r>
        <w:rPr>
          <w:rFonts w:ascii="Times New Roman;Times;Serif" w:hAnsi="Times New Roman;Times;Serif"/>
          <w:b/>
          <w:i w:val="false"/>
          <w:caps w:val="false"/>
          <w:smallCaps w:val="false"/>
          <w:sz w:val="20"/>
        </w:rPr>
        <w:t>Nevada Articles of Incorporation</w:t>
      </w:r>
      <w:r>
        <w:rPr>
          <w:rFonts w:ascii="Times New Roman;Times;Serif" w:hAnsi="Times New Roman;Times;Serif"/>
          <w:b w:val="false"/>
          <w:i w:val="false"/>
          <w:caps w:val="false"/>
          <w:smallCaps w:val="false"/>
          <w:sz w:val="20"/>
        </w:rPr>
        <w:t>”). Pursuant to the Plan of Conversion, the Company also adopted new Bylaws (the “</w:t>
      </w:r>
      <w:r>
        <w:rPr>
          <w:rFonts w:ascii="Times New Roman;Times;Serif" w:hAnsi="Times New Roman;Times;Serif"/>
          <w:b/>
          <w:i w:val="false"/>
          <w:caps w:val="false"/>
          <w:smallCaps w:val="false"/>
          <w:sz w:val="20"/>
        </w:rPr>
        <w:t>Nevada Bylaws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Reincorporation:</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affairs of the Company ceased to be governed by the General Corporation Law of the State of Delaware, the Company’s existing certificate of incorporation and bylaws, and instead became governed by the Nevada Revised Statutes, the Nevada Articles of Incorporation and the Nevada Bylaws.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domicile changed from the State of Delaware to the State of Nevada.</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continued to be the same entity and continues with all of the same rights, privileges and powers.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continued to have the same name, possesses all of the same properties, continued with all of debts, liabilities and obligations, and continued with the same officers and directors as immediately prior to the Reincorporation.</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the common stock and warrants to purchase shares of common stock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of the Company previously incorporated in Delaware (“</w:t>
            </w:r>
            <w:r>
              <w:rPr>
                <w:rFonts w:ascii="Times New Roman;Times;Serif" w:hAnsi="Times New Roman;Times;Serif"/>
                <w:b/>
                <w:i w:val="false"/>
                <w:caps w:val="false"/>
                <w:smallCaps w:val="false"/>
                <w:sz w:val="20"/>
              </w:rPr>
              <w:t>Dragonfly Delaware</w:t>
            </w:r>
            <w:r>
              <w:rPr>
                <w:rFonts w:ascii="Times New Roman;Times;Serif" w:hAnsi="Times New Roman;Times;Serif"/>
                <w:b w:val="false"/>
                <w:i w:val="false"/>
                <w:caps w:val="false"/>
                <w:smallCaps w:val="false"/>
                <w:sz w:val="20"/>
              </w:rPr>
              <w:t>”) automatically converted into one share of common stock and one Warrant of the Company reincorporated in Nevada (“</w:t>
            </w:r>
            <w:r>
              <w:rPr>
                <w:rFonts w:ascii="Times New Roman;Times;Serif" w:hAnsi="Times New Roman;Times;Serif"/>
                <w:b/>
                <w:i w:val="false"/>
                <w:caps w:val="false"/>
                <w:smallCaps w:val="false"/>
                <w:sz w:val="20"/>
              </w:rPr>
              <w:t>Dragonfly Nevada</w:t>
            </w:r>
            <w:r>
              <w:rPr>
                <w:rFonts w:ascii="Times New Roman;Times;Serif" w:hAnsi="Times New Roman;Times;Serif"/>
                <w:b w:val="false"/>
                <w:i w:val="false"/>
                <w:caps w:val="false"/>
                <w:smallCaps w:val="false"/>
                <w:sz w:val="20"/>
              </w:rPr>
              <w:t>”), and certificates issued for shares of Dragonfly Delaware’s common stock and Dragonfly Delaware’s Warrants prior to the Reincorporation automatically came to represent shares of Dragonfly Nevada’s common stock and Dragonfly Nevada’s Warrants upon completion of the Reincorporation.</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employee benefit and incentive plans continued, and each option, equity award or other right of Dragonfly Delaware issued under such plans automatically converted into an option, equity award or right to purchase or receive the same number of shares of common stock of Dragonfly Nevada, at the same price per share, upon the same terms and subject to the same conditions as before the Reincorporation. In addition, the Company’s employment agreements and other employee benefit arrangements continued upon the terms and subject to the conditions in effect at the time of the Reincorporation.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Reincorporation did not result in any change in the business, physical location, management, assets, liabilities or net worth of the Company, nor did it result in any change in location of the Company’s current employees, including management. The Reincorporation did not affect any of the Company’s material contracts with any third parties, and the Company’s rights and obligations under those material contractual arrangements and will continue to be the rights and obligations of the Company after the Reincorporation. The daily business operations of the Company will continue as they were conducted prior to the Reincorporation. The consolidated financial condition and results of operations of the Company immediately after consummation of the Reincorporation remain the same as immediately before the Reincorporation.</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Company’s stockholders were changed as a result of the Reincorporation. A more detailed description of the Plan of Conversion, Nevada Articles of Incorporation, Nevada Bylaws, Nevada Articles of Conversion and Delaware Certificate of Conversion, and the effects of the Reincorporation, is set forth in Proposal 1 of the Proxy Statement, the description contained therein is incorporated herein by reference. Copies of the Plan of Conversion, Nevada Articles of Incorporation, Nevada Bylaws, Nevada Articles of Conversion and Delaware Certificate of Conversion are filed as Exhibits 2.1, 3.1, 3.2, 99.1 and 99.2, respectively, to this Current Report on Form 8-K and incorporated herein by reference.</w:t>
      </w:r>
    </w:p>
    <w:p>
      <w:pPr>
        <w:pStyle w:val="TextBody"/>
        <w:spacing w:before="0" w:after="0"/>
        <w:ind w:left="0" w:right="0" w:hanging="0"/>
        <w:jc w:val="both"/>
        <w:rPr>
          <w:caps w:val="false"/>
          <w:smallCaps w:val="false"/>
        </w:rPr>
      </w:pPr>
      <w:r>
        <w:rPr>
          <w:caps w:val="false"/>
          <w:smallCaps w:val="false"/>
        </w:rPr>
        <w:t> </w:t>
      </w:r>
    </w:p>
    <w:tbl>
      <w:tblPr>
        <w:tblW w:w="7300" w:type="dxa"/>
        <w:jc w:val="left"/>
        <w:tblInd w:w="0" w:type="dxa"/>
        <w:tblCellMar>
          <w:top w:w="0" w:type="dxa"/>
          <w:left w:w="0" w:type="dxa"/>
          <w:bottom w:w="0" w:type="dxa"/>
          <w:right w:w="0" w:type="dxa"/>
        </w:tblCellMar>
      </w:tblPr>
      <w:tblGrid>
        <w:gridCol w:w="875"/>
        <w:gridCol w:w="6425"/>
      </w:tblGrid>
      <w:tr>
        <w:trPr/>
        <w:tc>
          <w:tcPr>
            <w:tcW w:w="8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w:t>
            </w:r>
          </w:p>
        </w:tc>
        <w:tc>
          <w:tcPr>
            <w:tcW w:w="642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Articles of Incorporation or Bylaws; Change in Fiscal Year.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3.03 of this Current Report on Form 8-K is incorporated herein by reference</w:t>
      </w:r>
    </w:p>
    <w:p>
      <w:pPr>
        <w:pStyle w:val="TextBody"/>
        <w:shd w:fill="FFFFFF" w:val="clear"/>
        <w:spacing w:before="0" w:after="0"/>
        <w:ind w:left="0" w:right="0" w:hanging="0"/>
        <w:jc w:val="both"/>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875"/>
        <w:gridCol w:w="2960"/>
      </w:tblGrid>
      <w:tr>
        <w:trPr/>
        <w:tc>
          <w:tcPr>
            <w:tcW w:w="8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9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9325" w:type="dxa"/>
        <w:jc w:val="left"/>
        <w:tblInd w:w="0" w:type="dxa"/>
        <w:tblCellMar>
          <w:top w:w="0" w:type="dxa"/>
          <w:left w:w="0" w:type="dxa"/>
          <w:bottom w:w="28" w:type="dxa"/>
          <w:right w:w="0" w:type="dxa"/>
        </w:tblCellMar>
      </w:tblPr>
      <w:tblGrid>
        <w:gridCol w:w="740"/>
        <w:gridCol w:w="60"/>
        <w:gridCol w:w="8525"/>
      </w:tblGrid>
      <w:tr>
        <w:trPr/>
        <w:tc>
          <w:tcPr>
            <w:tcW w:w="74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pPr>
            <w:hyperlink w:anchor="ex2-1.htm">
              <w:r>
                <w:rPr>
                  <w:rStyle w:val="InternetLink"/>
                  <w:rFonts w:ascii="Times New Roman;Times;Serif" w:hAnsi="Times New Roman;Times;Serif"/>
                  <w:b w:val="false"/>
                  <w:i w:val="false"/>
                  <w:caps w:val="false"/>
                  <w:smallCaps w:val="false"/>
                  <w:sz w:val="20"/>
                </w:rPr>
                <w:t>Plan of Conversion, dated March 30,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pPr>
            <w:hyperlink w:anchor="ex3-1.htm">
              <w:r>
                <w:rPr>
                  <w:rStyle w:val="InternetLink"/>
                  <w:rFonts w:ascii="Times New Roman;Times;Serif" w:hAnsi="Times New Roman;Times;Serif"/>
                  <w:b w:val="false"/>
                  <w:i w:val="false"/>
                  <w:caps w:val="false"/>
                  <w:smallCaps w:val="false"/>
                  <w:sz w:val="20"/>
                </w:rPr>
                <w:t>Articles of Incorporation, as filed with the Secretary of State of the State of Nevada on March 30,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pPr>
            <w:hyperlink w:anchor="ex3-2.htm">
              <w:r>
                <w:rPr>
                  <w:rStyle w:val="InternetLink"/>
                  <w:rFonts w:ascii="Times New Roman;Times;Serif" w:hAnsi="Times New Roman;Times;Serif"/>
                  <w:b w:val="false"/>
                  <w:i w:val="false"/>
                  <w:caps w:val="false"/>
                  <w:smallCaps w:val="false"/>
                  <w:sz w:val="20"/>
                </w:rPr>
                <w:t>Bylaws, dated March 31,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pPr>
            <w:hyperlink w:anchor="ex99-1.htm">
              <w:r>
                <w:rPr>
                  <w:rStyle w:val="InternetLink"/>
                  <w:rFonts w:ascii="Times New Roman;Times;Serif" w:hAnsi="Times New Roman;Times;Serif"/>
                  <w:b w:val="false"/>
                  <w:i w:val="false"/>
                  <w:caps w:val="false"/>
                  <w:smallCaps w:val="false"/>
                  <w:sz w:val="20"/>
                </w:rPr>
                <w:t>Articles of Conversion, as filed with the Secretary of State of the State of Nevada on March 30,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pPr>
            <w:hyperlink w:anchor="ex99-2.htm">
              <w:r>
                <w:rPr>
                  <w:rStyle w:val="InternetLink"/>
                  <w:rFonts w:ascii="Times New Roman;Times;Serif" w:hAnsi="Times New Roman;Times;Serif"/>
                  <w:b w:val="false"/>
                  <w:i w:val="false"/>
                  <w:caps w:val="false"/>
                  <w:smallCaps w:val="false"/>
                  <w:sz w:val="20"/>
                </w:rPr>
                <w:t>Certificate of Conversion, as filed with the Secretary of State of the State of Delaware on March 30,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52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(embedded within the Inline XBRL document)</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649" w:type="dxa"/>
        <w:jc w:val="left"/>
        <w:tblInd w:w="0" w:type="dxa"/>
        <w:tblCellMar>
          <w:top w:w="0" w:type="dxa"/>
          <w:left w:w="0" w:type="dxa"/>
          <w:bottom w:w="0" w:type="dxa"/>
          <w:right w:w="0" w:type="dxa"/>
        </w:tblCellMar>
      </w:tblPr>
      <w:tblGrid>
        <w:gridCol w:w="1805"/>
        <w:gridCol w:w="575"/>
        <w:gridCol w:w="3269"/>
      </w:tblGrid>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1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2023</w:t>
            </w:r>
          </w:p>
        </w:tc>
        <w:tc>
          <w:tcPr>
            <w:tcW w:w="5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69"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5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6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5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6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center"/>
        <w:rPr>
          <w:caps w:val="false"/>
          <w:smallCaps w:val="false"/>
        </w:rPr>
      </w:pPr>
      <w:bookmarkStart w:id="27" w:name="ex2-1.htm"/>
      <w:bookmarkStart w:id="28" w:name="ksex21"/>
      <w:bookmarkEnd w:id="27"/>
      <w:bookmarkEnd w:id="28"/>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(this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sets forth certain terms of the conversion of Dragonfly Energy Holdings Corp. (f/k/a Chardan NexTech Acquisition 2 Corp., f/k/a Chardan Global Acquisition 3 Corp.), a Delaware corporation (the “</w:t>
      </w:r>
      <w:r>
        <w:rPr>
          <w:rFonts w:ascii="Times New Roman;Times;Serif" w:hAnsi="Times New Roman;Times;Serif"/>
          <w:b w:val="false"/>
          <w:i w:val="false"/>
          <w:caps w:val="false"/>
          <w:smallCaps w:val="false"/>
          <w:sz w:val="20"/>
          <w:u w:val="single"/>
        </w:rPr>
        <w:t>Delaware Corporation</w:t>
      </w:r>
      <w:r>
        <w:rPr>
          <w:rFonts w:ascii="Times New Roman;Times;Serif" w:hAnsi="Times New Roman;Times;Serif"/>
          <w:b w:val="false"/>
          <w:i w:val="false"/>
          <w:caps w:val="false"/>
          <w:smallCaps w:val="false"/>
          <w:sz w:val="20"/>
        </w:rPr>
        <w:t>”), to a Nevada corporation (the “</w:t>
      </w:r>
      <w:r>
        <w:rPr>
          <w:rFonts w:ascii="Times New Roman;Times;Serif" w:hAnsi="Times New Roman;Times;Serif"/>
          <w:b w:val="false"/>
          <w:i w:val="false"/>
          <w:caps w:val="false"/>
          <w:smallCaps w:val="false"/>
          <w:sz w:val="20"/>
          <w:u w:val="single"/>
        </w:rPr>
        <w:t>Nevada Corporation</w:t>
      </w:r>
      <w:r>
        <w:rPr>
          <w:rFonts w:ascii="Times New Roman;Times;Serif" w:hAnsi="Times New Roman;Times;Serif"/>
          <w:b w:val="false"/>
          <w:i w:val="false"/>
          <w:caps w:val="false"/>
          <w:smallCaps w:val="false"/>
          <w:sz w:val="20"/>
        </w:rPr>
        <w:t>”), pursuant to the terms of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Nevada Revised Statutes (as amended, the “</w:t>
      </w:r>
      <w:r>
        <w:rPr>
          <w:rFonts w:ascii="Times New Roman;Times;Serif" w:hAnsi="Times New Roman;Times;Serif"/>
          <w:b w:val="false"/>
          <w:i w:val="false"/>
          <w:caps w:val="false"/>
          <w:smallCaps w:val="false"/>
          <w:sz w:val="20"/>
          <w:u w:val="single"/>
        </w:rPr>
        <w:t>NRS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Delaware Corporation was incorporated on June 23, 2020;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set forth in this Plan, and in accordance with Section 266 of the DGCL and Section 92A.105 of the NRS, the Delaware Corporation will be converted to a Nevada 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Delaware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unanimously (i) determined that the Conversion (as defined below) is advisable and in the best interests of the Delaware Corporation and its stockholders and (ii) approved and adopted this Plan, the Conversion, and the other documents and transactions contemplated by this Plan, including the Articles of Incorporation and the Bylaws of the Nevada Corporation, the Delaware Certificate of Conversion and the Nevada Articles of Conversion (as each is defined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stockholders of the Delaware Corporation have approved and adopted this Plan, the Conversion, and the other documents and transactions contemplated by this Plan, including the Articles of Incorporation and the Bylaws of the Nevada Corporation, the Delaware Certificate of Conversion and the Nevada Articles of Conversion;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Conversion, at the Effective Time (as hereinafter defined), each share of Common stock, par value $0.0001 per share (the “</w:t>
      </w:r>
      <w:r>
        <w:rPr>
          <w:rFonts w:ascii="Times New Roman;Times;Serif" w:hAnsi="Times New Roman;Times;Serif"/>
          <w:b w:val="false"/>
          <w:i w:val="false"/>
          <w:caps w:val="false"/>
          <w:smallCaps w:val="false"/>
          <w:sz w:val="20"/>
          <w:u w:val="single"/>
        </w:rPr>
        <w:t>Delaware Common Stock</w:t>
      </w:r>
      <w:r>
        <w:rPr>
          <w:rFonts w:ascii="Times New Roman;Times;Serif" w:hAnsi="Times New Roman;Times;Serif"/>
          <w:b w:val="false"/>
          <w:i w:val="false"/>
          <w:caps w:val="false"/>
          <w:smallCaps w:val="false"/>
          <w:sz w:val="20"/>
        </w:rPr>
        <w:t>”), of the Delaware Corporation issued and outstanding immediately prior to the Effective Time shall be cancelled and converted into one share of Common stock, par value $0.0001 per share (the “</w:t>
      </w:r>
      <w:r>
        <w:rPr>
          <w:rFonts w:ascii="Times New Roman;Times;Serif" w:hAnsi="Times New Roman;Times;Serif"/>
          <w:b w:val="false"/>
          <w:i w:val="false"/>
          <w:caps w:val="false"/>
          <w:smallCaps w:val="false"/>
          <w:sz w:val="20"/>
          <w:u w:val="single"/>
        </w:rPr>
        <w:t>Nevada Common Stock</w:t>
      </w:r>
      <w:r>
        <w:rPr>
          <w:rFonts w:ascii="Times New Roman;Times;Serif" w:hAnsi="Times New Roman;Times;Serif"/>
          <w:b w:val="false"/>
          <w:i w:val="false"/>
          <w:caps w:val="false"/>
          <w:smallCaps w:val="false"/>
          <w:sz w:val="20"/>
        </w:rPr>
        <w:t>”), of the Nevada 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 of carrying out the Conversion into effect shall be as described in this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9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spacing w:before="0" w:after="0"/>
        <w:ind w:left="9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CONVERSION</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At the Effective Time (as hereinafter defined), the Delaware Corporation will be converted to the Nevada Corporation, pursuant to, and in accordance with, Section 266 of the DGCL and Section 92A.105 of the NRS (the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Articles of Incorporation and Bylaws of the Nevada Corporation, the Delaware Certificate of Conversion and the Nevada Articles of Conversion.</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Certificate of Conversion</w:t>
      </w:r>
      <w:r>
        <w:rPr>
          <w:rFonts w:ascii="Times New Roman;Times;Serif" w:hAnsi="Times New Roman;Times;Serif"/>
          <w:b w:val="false"/>
          <w:i w:val="false"/>
          <w:caps w:val="false"/>
          <w:smallCaps w:val="false"/>
          <w:sz w:val="20"/>
        </w:rPr>
        <w:t xml:space="preserve">. The Delaware Corporation shall file a certificate of conversion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Delaware Certificate of Conversion</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 of State</w:t>
      </w:r>
      <w:r>
        <w:rPr>
          <w:rFonts w:ascii="Times New Roman;Times;Serif" w:hAnsi="Times New Roman;Times;Serif"/>
          <w:b w:val="false"/>
          <w:i w:val="false"/>
          <w:caps w:val="false"/>
          <w:smallCaps w:val="false"/>
          <w:sz w:val="20"/>
        </w:rPr>
        <w:t xml:space="preserve">”) and shall file articles of conversion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Nevada Articles of Conversion</w:t>
      </w:r>
      <w:r>
        <w:rPr>
          <w:rFonts w:ascii="Times New Roman;Times;Serif" w:hAnsi="Times New Roman;Times;Serif"/>
          <w:b w:val="false"/>
          <w:i w:val="false"/>
          <w:caps w:val="false"/>
          <w:smallCaps w:val="false"/>
          <w:sz w:val="20"/>
        </w:rPr>
        <w:t>”) with the Secretary of State of the State of Nevada, and the Delaware Corporation or the Nevada Corporation, as applicable, shall make all other filings or recordings required by the DGCL or the NRS in connection with the Conversion.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The Conversion will become effective upon the filing of the Delaware Certificate of Conversion with the Delaware Secretary of State and the Nevada Articles of Conversion filed with the Nevada Secretary of State or at such later time as specified in the Delaware Certificate of Conversion and the Nevada Articles of Conversion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ORGANIZATION</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Nevada Governing Documents</w:t>
      </w:r>
      <w:r>
        <w:rPr>
          <w:rFonts w:ascii="Times New Roman;Times;Serif" w:hAnsi="Times New Roman;Times;Serif"/>
          <w:b w:val="false"/>
          <w:i w:val="false"/>
          <w:caps w:val="false"/>
          <w:smallCaps w:val="false"/>
          <w:sz w:val="20"/>
        </w:rPr>
        <w:t xml:space="preserve">. At the Effective Time, the Articles of Incorporation and Bylaws of the Nevada Corporation, in the form attached hereto as </w:t>
      </w:r>
      <w:r>
        <w:rPr>
          <w:rFonts w:ascii="Times New Roman;Times;Serif" w:hAnsi="Times New Roman;Times;Serif"/>
          <w:b w:val="false"/>
          <w:i w:val="false"/>
          <w:caps w:val="false"/>
          <w:smallCaps w:val="false"/>
          <w:sz w:val="20"/>
          <w:u w:val="single"/>
        </w:rPr>
        <w:t>Exhibits C and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Nevada Governing Documents</w:t>
      </w:r>
      <w:r>
        <w:rPr>
          <w:rFonts w:ascii="Times New Roman;Times;Serif" w:hAnsi="Times New Roman;Times;Serif"/>
          <w:b w:val="false"/>
          <w:i w:val="false"/>
          <w:caps w:val="false"/>
          <w:smallCaps w:val="false"/>
          <w:sz w:val="20"/>
        </w:rPr>
        <w:t>”), shall govern the Nevada Corporation until amended and/or restated in accordance with the Nevada Governing Documents and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by virtue of the Conversion and without any further action on the part of the Delaware Corporation or its stockholders, the members of the Board and the officers of the Delaware Corporation holding their respective offices in the Delaware Corporation existing immediately prior to the Effective Time shall continue in their respective offices as members of the Board and officers of the Nevada 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EFFECT OF THE CONVERSION</w:t>
      </w:r>
    </w:p>
    <w:p>
      <w:pPr>
        <w:pStyle w:val="TextBody"/>
        <w:spacing w:before="0" w:after="0"/>
        <w:ind w:left="0" w:right="0" w:hanging="0"/>
        <w:jc w:val="center"/>
        <w:rPr>
          <w:caps/>
        </w:rPr>
      </w:pPr>
      <w:r>
        <w:rPr>
          <w:caps/>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At the Effective Time, the effect of the Conversion will be as provided by this Plan and by the applicable provisions of the DGCL and the NRS. Without limitation of the foregoing, for all purposes of the laws of the State of Delaware, all of the rights, privileges and powers of the Delaware Corporation, and all property, real, personal and mixed, and all debts due to the Delaware Corporation, as well as all other things and causes of action belonging to the Delaware Corporation, shall remain vested in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pStyle w:val="TextBody"/>
        <w:spacing w:before="0" w:after="0"/>
        <w:ind w:left="0" w:right="0" w:firstLine="144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of Shares</w:t>
      </w:r>
      <w:r>
        <w:rPr>
          <w:rFonts w:ascii="Times New Roman;Times;Serif" w:hAnsi="Times New Roman;Times;Serif"/>
          <w:b w:val="false"/>
          <w:i w:val="false"/>
          <w:caps w:val="false"/>
          <w:smallCaps w:val="false"/>
          <w:sz w:val="20"/>
        </w:rPr>
        <w:t>. At the Effective Time, by virtue of the Conversion and without any further action on the part of the Delaware Corporation or the stockholders, each share of Delaware Common Stock issued and outstanding immediately prior to the Effective Time shall be cancelled and converted into one share of Nevada Common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5760" w:right="0" w:hanging="576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spacing w:before="0" w:after="0"/>
        <w:ind w:left="5760" w:right="0" w:hanging="576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Abandonment or Amendment</w:t>
      </w:r>
      <w:r>
        <w:rPr>
          <w:rFonts w:ascii="Times New Roman;Times;Serif" w:hAnsi="Times New Roman;Times;Serif"/>
          <w:b w:val="false"/>
          <w:i w:val="false"/>
          <w:caps w:val="false"/>
          <w:smallCaps w:val="false"/>
          <w:sz w:val="20"/>
        </w:rPr>
        <w:t>. At any time prior to the filing of the Certificate of Conversion with the Delaware Secretary of State, the Board may abandon the proposed Conversion and terminate this Plan to the extent permitted by law or may amend this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The captions in this Plan are for convenience only and shall not be considered a part, or to affect the construction or interpretation, of any provision of this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Tax Reporting</w:t>
      </w:r>
      <w:r>
        <w:rPr>
          <w:rFonts w:ascii="Times New Roman;Times;Serif" w:hAnsi="Times New Roman;Times;Serif"/>
          <w:b w:val="false"/>
          <w:i w:val="false"/>
          <w:caps w:val="false"/>
          <w:smallCaps w:val="false"/>
          <w:sz w:val="20"/>
        </w:rPr>
        <w:t>. The Conversion is intended to be a “reorganization” for purposes of Section 368(a) of the Internal Revenue Code of 1986, as amended (the “Code”), and this Plan of Conversion is hereby adopted as a “plan of reorganization” for purposes of the Section 368(a)(1)(F)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Plan shall be governed by, and construed and interpreted in accordance with, the laws of the State of Delaware.</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Conversion</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Articles of Conversion</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Articles of Incorporation</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Bylaws</w:t>
      </w:r>
    </w:p>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r>
        <w:br w:type="page"/>
      </w:r>
    </w:p>
    <w:p>
      <w:pPr>
        <w:pStyle w:val="TextBody"/>
        <w:spacing w:before="0" w:after="0"/>
        <w:ind w:left="0" w:right="0" w:hanging="0"/>
        <w:jc w:val="center"/>
        <w:rPr>
          <w:caps/>
        </w:rPr>
      </w:pPr>
      <w:bookmarkStart w:id="29" w:name="ex3-1.htm"/>
      <w:bookmarkStart w:id="30" w:name="ksex31"/>
      <w:bookmarkEnd w:id="29"/>
      <w:bookmarkEnd w:id="30"/>
      <w:r>
        <w:rPr>
          <w:caps/>
        </w:rPr>
        <w:t> </w:t>
      </w:r>
    </w:p>
    <w:p>
      <w:pPr>
        <w:pStyle w:val="TextBody"/>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3.1</w:t>
      </w:r>
    </w:p>
    <w:p>
      <w:pPr>
        <w:pStyle w:val="TextBody"/>
        <w:spacing w:before="0" w:after="0"/>
        <w:ind w:left="0" w:right="0" w:hanging="0"/>
        <w:jc w:val="right"/>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INCORPORATION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Dragonfly Energy Holdings Corp.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Nevada is 1190 Trademark Drive #108, Reno, NV 89521. The General Counsel of the Corporation, located at 1190 Trademark Drive #108, Reno, NV 89521, shall act as the registered agent.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Powers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a corporation may be organized under the Nevada Revised Statutes (“</w:t>
      </w:r>
      <w:r>
        <w:rPr>
          <w:rFonts w:ascii="Times New Roman;Times;Serif" w:hAnsi="Times New Roman;Times;Serif"/>
          <w:b w:val="false"/>
          <w:i w:val="false"/>
          <w:caps w:val="false"/>
          <w:smallCaps w:val="false"/>
          <w:sz w:val="20"/>
          <w:u w:val="single"/>
        </w:rPr>
        <w:t>NRS</w:t>
      </w:r>
      <w:r>
        <w:rPr>
          <w:rFonts w:ascii="Times New Roman;Times;Serif" w:hAnsi="Times New Roman;Times;Serif"/>
          <w:b w:val="false"/>
          <w:i w:val="false"/>
          <w:caps w:val="false"/>
          <w:smallCaps w:val="false"/>
          <w:sz w:val="20"/>
        </w:rPr>
        <w:t>”) Chapter 78 of the State of Nevada,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as the same exists or may hereafter be amended.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Authorized Capital Stock.</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capital stock which the Corporation shall have authority to issue is one hundred seventy-five million (175,000,000) shares of capital stock, consisting of (i) one hundred seventy million (170,000,000) shares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(ii) five million (5,000,000) shares of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the rights and preferences of the Common Stock shall at all times be subject to the rights and preferences of the Preferred Stock as may be set forth in the Articles of Incorporation or one or more certificates of designations filed with the Secretary of State of the State of Nevada from time to time in accordance with the ACT and these Articles of Incorporation. The number of authorized shares of Common Stock or Preferred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NRS 78.2055 (or any successor provision thereto), and no vote of the holders of the Common Stock or the Preferred Stock voting separately as a class or series shall be required therefor unless a vote of any such holder is required pursuant to these Articles of Incorporation (including any certificate of designation relating to any series of Preferred Stock).</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Common Stock.</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powers, designations, preferences and relative, participating, optional or other special rights and such qualifications, limitations or restrictions of the Common Stock, in addition to those set forth elsewhere herein, are as follows: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3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holder of shares of Common Stock shall be entitled to vote at all meetings of the stockholders and to cast one vote for each outstanding share of Common Stock held by such holder on all matters on which stockholders are entitled to vote generally. Notwithstanding the foregoing, except as otherwise required by law, holders of Common Stock shall not be entitled to vote on any amendment to these Articles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these Articles of Incorporation (including any certificate of designation relating to any series of Preferred Stock) or pursuant to the ACT.</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6"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4"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3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and Distributions</w:t>
            </w:r>
            <w:r>
              <w:rPr>
                <w:rFonts w:ascii="Times New Roman;Times;Serif" w:hAnsi="Times New Roman;Times;Serif"/>
                <w:b w:val="false"/>
                <w:i w:val="false"/>
                <w:caps w:val="false"/>
                <w:smallCaps w:val="false"/>
                <w:sz w:val="20"/>
              </w:rPr>
              <w:t>. Subject to the prior rights of the holders of all series of Preferred Stock at the time outstanding having prior rights or preferences as to dividends or other distributions, the holders of 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6"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34"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9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3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Subject to the prior rights of creditors of the Corporation, including without limitation the payment of expenses relating to any liquidation, dissolution or winding up of the Corporation, and the holders 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tc>
      </w:tr>
    </w:tbl>
    <w:p>
      <w:pPr>
        <w:pStyle w:val="TextBody"/>
        <w:spacing w:before="0" w:after="0"/>
        <w:ind w:left="1440" w:right="0" w:hanging="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Preferred Stock.</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hereby expressly authorized, without any action or vote by the Corporation’s stockholders (except as may otherwise be provided by the terms of any series of Preferred Stock then outstanding), to provide for the issuance of all or any shares of the Preferred Stock in one or more series of Preferred Stock, and to fix for each such series the voting powers, if any, designations, preferences and relative, participating, optional or other rights and qualifications, limitations or restrictions thereof, if any, as shall be stated and expressed in the resolution or resolutions adopted by the Board of Directors providing for the issuance of such series and the number of shares constituting each such series, and to increase or decrease the number of shares of any such series to the extent permitted by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Powers of the Board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ACT, the business and affairs of the Corporation shall be managed by or under the direction of the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of the holders of Preferred Stock to elect directors, the Board of Directors shall consist of one or more members, the exact number of which shall be fixed by, or in the manner provided in, the Corporation’s Bylaws (as may be amended, restated, modified or supplemented from time to time,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Classification of the Board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Corporation (other than those directors elected by the holders of any series or class of Preferred Stock provided for or fixed pursuant to the provisions of Article IV hereof (the “</w:t>
      </w:r>
      <w:r>
        <w:rPr>
          <w:rFonts w:ascii="Times New Roman;Times;Serif" w:hAnsi="Times New Roman;Times;Serif"/>
          <w:b w:val="false"/>
          <w:i w:val="false"/>
          <w:caps w:val="false"/>
          <w:smallCaps w:val="false"/>
          <w:sz w:val="20"/>
          <w:u w:val="single"/>
        </w:rPr>
        <w:t>Preferred Stock Directors</w:t>
      </w:r>
      <w:r>
        <w:rPr>
          <w:rFonts w:ascii="Times New Roman;Times;Serif" w:hAnsi="Times New Roman;Times;Serif"/>
          <w:b w:val="false"/>
          <w:i w:val="false"/>
          <w:caps w:val="false"/>
          <w:smallCaps w:val="false"/>
          <w:sz w:val="20"/>
        </w:rPr>
        <w:t>”)) shall be and are divided into three (3) classes, designated Class A, Class B and Class C. Each class shall consist, as nearly as may be possible, of one-third (1/3) of the total number of directors constituting the entire Board of Directors. The Board of Directors have been assigned to such classes as of the effectiveness of the filing of the Articles of Incorporation with the Secretary of State of the State of Nevada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Subject to the rights of holders of any series or class of Preferred Stock to elect directors, each then serving director as of the Effective Date and each director thereafter elected shall serve for a term ending on the date of the third annual meeting of stockholders following the annual meeting of stockholders at which such director was elected; provided that each director initially assigned to Class A shall serve for a term expiring at the Corporation’s first annual meeting of stockholders held after such director’s initial election; each director initially assigned to Class B shall serve for a term expiring at the Corporation’s second annual meeting of stockholders held after such director’s initial election; and each director initially assigned to Class C shall serve for a term expiring at the Corporation’s third annual meeting of stockholders held after such director’s initial election;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pStyle w:val="TextBody"/>
        <w:spacing w:before="0" w:after="0"/>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Removal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Preferred Stock Director, any director or the entire Board of Directors may be removed from office at any time, but only for cause and only by the affirmative vote of the holders of at least sixty-six and two-thirds percent (66 2/3%) of the total voting power of the outstanding shares of capital stock entitled to vote in the election of directors, voting together as a single class.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Vacancies.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Preferred Stock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when the holders of any series of Preferred Stock have the right to elect Preferred Stock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of Directors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pStyle w:val="TextBody"/>
        <w:spacing w:before="0" w:after="0"/>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Powers and Authority.</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ACT and these Articles of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Election of Directors.</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Elections of directors need not be by written ballot except and to the extent provided in the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Advance Notice.</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of nominations for the election of directors or proposals or other business to be considered by stockholders, which are made by any stockholder of the Corporation, shall be given in the manner and to the extent provided in the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Stockholder Action by Written Consent.</w:t>
      </w:r>
    </w:p>
    <w:p>
      <w:pPr>
        <w:pStyle w:val="TextBody"/>
        <w:spacing w:before="0" w:after="0"/>
        <w:ind w:left="72" w:right="0" w:firstLine="648"/>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 Subject to the special rights of the holders of any series of Preferred Stock, and to the requirements of applicable law, special meetings of the stockholders of the Corporation may be called for any purpose or purposes, at any time only by a resolution adopted by any three or more directors, and shall not be called by any other person or persons. Any such special meeting so called may be postponed, rescheduled or cancelled by the Board of Directors. The ability of the stockholders to call a special meeting of the stockholders of the Corporation is hereby specifically denied.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pStyle w:val="TextBody"/>
        <w:spacing w:before="0" w:after="0"/>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Director Liability; Indemnification</w:t>
      </w:r>
    </w:p>
    <w:p>
      <w:pPr>
        <w:pStyle w:val="TextBody"/>
        <w:spacing w:before="0" w:after="0"/>
        <w:ind w:left="72" w:right="0" w:firstLine="648"/>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director of the Corporation shall be personally liable to the Corporation or to any of its stockholders for monetary damages for breach of fiduciary duty as a director, except to the extent such elimination from liability or limitation thereof is not permitted under the ACT as the same exists or may hereafter be amended. If the ACT is amended hereafter to authorize the further elimination or limitation of the liability of directors, then the liability of a director of the Corporation shall be eliminated or limited to the fullest extent authorized by the ACT, as so amended. Any repeal or modification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because of amendments or modifications of the ACT or otherwise, shall not adversely affect any right or protection of a director of the Corporation existing at the time of such repeal or modification with respect to acts or omissions occurring prior to the effective date of such repeal or modification.</w:t>
      </w:r>
    </w:p>
    <w:p>
      <w:pPr>
        <w:pStyle w:val="TextBody"/>
        <w:spacing w:before="0" w:after="0"/>
        <w:ind w:left="72" w:right="0" w:firstLine="648"/>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 under this </w:t>
      </w:r>
      <w:r>
        <w:rPr>
          <w:rFonts w:ascii="Times New Roman;Times;Serif" w:hAnsi="Times New Roman;Times;Serif"/>
          <w:b w:val="false"/>
          <w:i w:val="false"/>
          <w:caps w:val="false"/>
          <w:smallCaps w:val="false"/>
          <w:sz w:val="20"/>
          <w:u w:val="single"/>
        </w:rPr>
        <w:t>Section VII(B)</w:t>
      </w:r>
      <w:r>
        <w:rPr>
          <w:rFonts w:ascii="Times New Roman;Times;Serif" w:hAnsi="Times New Roman;Times;Serif"/>
          <w:b w:val="false"/>
          <w:i w:val="false"/>
          <w:caps w:val="false"/>
          <w:smallCaps w:val="false"/>
          <w:sz w:val="20"/>
        </w:rPr>
        <w:t xml:space="preserve"> or otherwise. An indemnitee’s right to advanced payment pursuant to this </w:t>
      </w:r>
      <w:r>
        <w:rPr>
          <w:rFonts w:ascii="Times New Roman;Times;Serif" w:hAnsi="Times New Roman;Times;Serif"/>
          <w:b w:val="false"/>
          <w:i w:val="false"/>
          <w:caps w:val="false"/>
          <w:smallCaps w:val="false"/>
          <w:sz w:val="20"/>
          <w:u w:val="single"/>
        </w:rPr>
        <w:t>Section VII(B)</w:t>
      </w:r>
      <w:r>
        <w:rPr>
          <w:rFonts w:ascii="Times New Roman;Times;Serif" w:hAnsi="Times New Roman;Times;Serif"/>
          <w:b w:val="false"/>
          <w:i w:val="false"/>
          <w:caps w:val="false"/>
          <w:smallCaps w:val="false"/>
          <w:sz w:val="20"/>
        </w:rPr>
        <w:t xml:space="preserve"> is not subject to the satisfaction of any standard of conduct and is not conditioned upon any prior determination that the indemnitee is entitled to indemnification under </w:t>
      </w:r>
      <w:r>
        <w:rPr>
          <w:rFonts w:ascii="Times New Roman;Times;Serif" w:hAnsi="Times New Roman;Times;Serif"/>
          <w:b w:val="false"/>
          <w:i w:val="false"/>
          <w:caps w:val="false"/>
          <w:smallCaps w:val="false"/>
          <w:sz w:val="20"/>
          <w:u w:val="single"/>
        </w:rPr>
        <w:t>Section VII(A)</w:t>
      </w:r>
      <w:r>
        <w:rPr>
          <w:rFonts w:ascii="Times New Roman;Times;Serif" w:hAnsi="Times New Roman;Times;Serif"/>
          <w:b w:val="false"/>
          <w:i w:val="false"/>
          <w:caps w:val="false"/>
          <w:smallCaps w:val="false"/>
          <w:sz w:val="20"/>
        </w:rPr>
        <w:t xml:space="preserve"> above with respect to the related Proceeding or the absence of any prior determination to the contrary. The rights to indemnification and advancement of expenses conferred by this </w:t>
      </w:r>
      <w:r>
        <w:rPr>
          <w:rFonts w:ascii="Times New Roman;Times;Serif" w:hAnsi="Times New Roman;Times;Serif"/>
          <w:b w:val="false"/>
          <w:i w:val="false"/>
          <w:caps w:val="false"/>
          <w:smallCaps w:val="false"/>
          <w:sz w:val="20"/>
          <w:u w:val="single"/>
        </w:rPr>
        <w:t>Section VII(B)</w:t>
      </w:r>
      <w:r>
        <w:rPr>
          <w:rFonts w:ascii="Times New Roman;Times;Serif" w:hAnsi="Times New Roman;Times;Serif"/>
          <w:b w:val="false"/>
          <w:i w:val="false"/>
          <w:caps w:val="false"/>
          <w:smallCaps w:val="false"/>
          <w:sz w:val="20"/>
        </w:rPr>
        <w:t xml:space="preserve"> shall be contract rights and such rights shall continue as to an indemnitee who has ceased to be a director, officer, employee or agent and shall inure to the benefit of his or her heirs, executors and administrators.</w:t>
      </w:r>
    </w:p>
    <w:p>
      <w:pPr>
        <w:pStyle w:val="TextBody"/>
        <w:spacing w:before="0" w:after="0"/>
        <w:ind w:left="72" w:right="0" w:firstLine="648"/>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upon it by the laws of the State of Nevada, the Board of Directors shall have the power to adopt, amend, alter or repeal the Bylaws by the affirmative vote of a majority of the entire Board of Directors (assuming no vacancies on the Board of Directors). The Bylaws may also be adopted, amended, altered or repealed by the affirmative vote of at least sixty-six and two-thirds percent (66 2/3%) of the total voting power of the Corporation’s issued and outstanding shares of capital stock entitled to vote generally in the election of directors, voting together as a single class.</w:t>
      </w:r>
    </w:p>
    <w:p>
      <w:pPr>
        <w:pStyle w:val="TextBody"/>
        <w:spacing w:before="0" w:after="0"/>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Articles of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reserves the right to amend, alter, change or repeal any provision contained in these Articles of Incorporation in the manner now or hereafter prescribed in these Articles of Incorporation or the ACT, and all rights herein conferred upon stockholders are granted subject to such reservation;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 other provision of these Articles of Incorporation (and in addition to any other vote that may be required by law), the affirmative vote of the holders of at least sixty-six and two-thirds percent (66 2/3%) of the voting power of the Corporation’s issued and outstanding shares of capital stock entitled to vote generally in the election of directors, voting together as a single class, shall be required to amend, alter, change or repeal or to adopt any provision of these Articles of Incorporation inconsistent with any provision of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Opportunity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Times New Roman;Times;Serif" w:hAnsi="Times New Roman;Times;Serif"/>
          <w:b w:val="false"/>
          <w:i w:val="false"/>
          <w:caps w:val="false"/>
          <w:smallCaps w:val="false"/>
          <w:sz w:val="20"/>
          <w:u w:val="single"/>
        </w:rPr>
        <w:t>Corporate Opportunity</w:t>
      </w:r>
      <w:r>
        <w:rPr>
          <w:rFonts w:ascii="Times New Roman;Times;Serif" w:hAnsi="Times New Roman;Times;Serif"/>
          <w:b w:val="false"/>
          <w:i w:val="false"/>
          <w:caps w:val="false"/>
          <w:smallCaps w:val="false"/>
          <w:sz w:val="20"/>
        </w:rPr>
        <w:t>”), then the Corporation to the maximum extent permitted from time to time under the ACT (including NRS 78.070): (a) renounces any expectancy that such Covered Person offer an opportunity to participate in such Corporate Opportunity to the Corporation; and (b) 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ACT, these Articles of Incorporation or the Bylaws (as either may be amended or restated) or as to which the ACT confers jurisdiction on the Second Judicial District Court, in and for the State of Nevada, located in Washoe County, Nevada or (iv) any action asserting a claim governed by the internal affairs doctrine of the law of the State of Nevada shall, to the fullest extent permitted by law, be exclusively brought in the Second Judicial District Court, in and for the State of Nevada, located in Washoe County, Nevada or, if such court does not have subject matter jurisdiction thereof, the federal district court of the State of Nevada;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spacing w:before="0" w:after="0"/>
        <w:ind w:left="0" w:right="0" w:hanging="0"/>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these Articles of Incorporation to be executed on its behalf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2023.</w:t>
      </w:r>
    </w:p>
    <w:p>
      <w:pPr>
        <w:pStyle w:val="TextBody"/>
        <w:spacing w:before="0" w:after="0"/>
        <w:ind w:left="0" w:right="0" w:firstLine="720"/>
        <w:jc w:val="both"/>
        <w:rPr>
          <w:caps w:val="false"/>
          <w:smallCaps w:val="false"/>
        </w:rPr>
      </w:pPr>
      <w:r>
        <w:rPr>
          <w:caps w:val="false"/>
          <w:smallCaps w:val="false"/>
        </w:rPr>
        <w:t> </w:t>
      </w:r>
    </w:p>
    <w:tbl>
      <w:tblPr>
        <w:tblW w:w="3919" w:type="dxa"/>
        <w:jc w:val="left"/>
        <w:tblInd w:w="0" w:type="dxa"/>
        <w:tblCellMar>
          <w:top w:w="0" w:type="dxa"/>
          <w:left w:w="0" w:type="dxa"/>
          <w:bottom w:w="0" w:type="dxa"/>
          <w:right w:w="0" w:type="dxa"/>
        </w:tblCellMar>
      </w:tblPr>
      <w:tblGrid>
        <w:gridCol w:w="75"/>
        <w:gridCol w:w="891"/>
        <w:gridCol w:w="2953"/>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2953"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53"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9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8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95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p>
      <w:pPr>
        <w:pStyle w:val="TextBody"/>
        <w:spacing w:before="0" w:after="0"/>
        <w:ind w:left="0" w:right="0" w:hanging="0"/>
        <w:jc w:val="left"/>
        <w:rPr>
          <w:caps w:val="false"/>
          <w:smallCaps w:val="false"/>
        </w:rPr>
      </w:pPr>
      <w:r>
        <w:rPr>
          <w:caps w:val="false"/>
          <w:smallCaps w:val="false"/>
        </w:rPr>
        <w:t> </w:t>
      </w:r>
      <w:r>
        <w:br w:type="page"/>
      </w:r>
    </w:p>
    <w:p>
      <w:pPr>
        <w:pStyle w:val="TextBody"/>
        <w:spacing w:before="0" w:after="0"/>
        <w:jc w:val="center"/>
        <w:rPr>
          <w:caps w:val="false"/>
          <w:smallCaps w:val="false"/>
        </w:rPr>
      </w:pPr>
      <w:bookmarkStart w:id="31" w:name="ex3-2.htm"/>
      <w:bookmarkStart w:id="32" w:name="ksex32"/>
      <w:bookmarkEnd w:id="31"/>
      <w:bookmarkEnd w:id="32"/>
      <w:r>
        <w:rPr>
          <w:caps w:val="false"/>
          <w:smallCaps w:val="false"/>
        </w:rPr>
        <w:t> </w:t>
      </w:r>
    </w:p>
    <w:p>
      <w:pPr>
        <w:pStyle w:val="TextBody"/>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Nevada Corporation</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March 31, 2023</w:t>
      </w:r>
    </w:p>
    <w:p>
      <w:pPr>
        <w:pStyle w:val="TextBody"/>
        <w:spacing w:before="0" w:after="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spacing w:before="0" w:after="0"/>
        <w:jc w:val="center"/>
        <w:rPr>
          <w:caps/>
        </w:rPr>
      </w:pPr>
      <w:r>
        <w:rPr>
          <w:caps/>
        </w:rPr>
        <w:t> </w:t>
      </w:r>
    </w:p>
    <w:tbl>
      <w:tblPr>
        <w:tblW w:w="6360" w:type="dxa"/>
        <w:jc w:val="left"/>
        <w:tblInd w:w="0" w:type="dxa"/>
        <w:tblCellMar>
          <w:top w:w="0" w:type="dxa"/>
          <w:left w:w="0" w:type="dxa"/>
          <w:bottom w:w="0" w:type="dxa"/>
          <w:right w:w="0" w:type="dxa"/>
        </w:tblCellMar>
      </w:tblPr>
      <w:tblGrid>
        <w:gridCol w:w="75"/>
        <w:gridCol w:w="380"/>
        <w:gridCol w:w="5480"/>
        <w:gridCol w:w="425"/>
      </w:tblGrid>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auto" w:val="clear"/>
            <w:vAlign w:val="center"/>
          </w:tcPr>
          <w:p>
            <w:pPr>
              <w:pStyle w:val="TableContents"/>
              <w:spacing w:before="0" w:after="283"/>
              <w:jc w:val="right"/>
              <w:rPr>
                <w:caps w:val="false"/>
                <w:smallCaps w:val="false"/>
              </w:rPr>
            </w:pPr>
            <w:r>
              <w:rPr>
                <w:caps w:val="false"/>
                <w:smallCaps w:val="false"/>
              </w:rPr>
              <w:t> </w:t>
            </w:r>
          </w:p>
        </w:tc>
      </w:tr>
      <w:tr>
        <w:trPr/>
        <w:tc>
          <w:tcPr>
            <w:tcW w:w="5935"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OFFICES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Offices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5935"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STOCKHOLDERS’ MEETINGS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of Meetings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Meetings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at Stockholder Meetings by Remote Communications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Action by Written Consent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List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Meetings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of Stockholder Business and Director Nominations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5935"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DIRECTORS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Duties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 Qualifications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4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4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Classified Board of Directors</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rPr/>
      </w:pPr>
      <w:r>
        <w:rPr/>
        <w:t> </w:t>
      </w:r>
    </w:p>
    <w:tbl>
      <w:tblPr>
        <w:tblW w:w="110" w:type="dxa"/>
        <w:jc w:val="left"/>
        <w:tblInd w:w="0" w:type="dxa"/>
        <w:tblCellMar>
          <w:top w:w="0" w:type="dxa"/>
          <w:left w:w="0" w:type="dxa"/>
          <w:bottom w:w="0" w:type="dxa"/>
          <w:right w:w="0" w:type="dxa"/>
        </w:tblCellMar>
      </w:tblPr>
      <w:tblGrid>
        <w:gridCol w:w="110"/>
      </w:tblGrid>
      <w:tr>
        <w:trPr/>
        <w:tc>
          <w:tcPr>
            <w:tcW w:w="110" w:type="dxa"/>
            <w:tcBorders/>
            <w:shd w:fill="auto" w:val="clear"/>
            <w:vAlign w:val="center"/>
          </w:tcPr>
          <w:p>
            <w:pPr>
              <w:pStyle w:val="TableContents"/>
              <w:spacing w:before="0" w:after="283"/>
              <w:jc w:val="center"/>
              <w:rPr/>
            </w:pPr>
            <w:r>
              <w:rPr/>
              <w:t>i</w:t>
            </w:r>
          </w:p>
        </w:tc>
      </w:tr>
    </w:tbl>
    <w:p>
      <w:pPr>
        <w:pStyle w:val="TextBody"/>
        <w:spacing w:before="120" w:after="283"/>
        <w:rPr/>
      </w:pPr>
      <w:r>
        <w:rPr/>
        <w:t> </w:t>
      </w:r>
    </w:p>
    <w:p>
      <w:pPr>
        <w:pStyle w:val="TextBody"/>
        <w:rPr/>
      </w:pPr>
      <w:r>
        <w:rPr/>
        <w:t> </w:t>
      </w:r>
    </w:p>
    <w:tbl>
      <w:tblPr>
        <w:tblW w:w="4305" w:type="dxa"/>
        <w:jc w:val="left"/>
        <w:tblInd w:w="0" w:type="dxa"/>
        <w:tblCellMar>
          <w:top w:w="0" w:type="dxa"/>
          <w:left w:w="0" w:type="dxa"/>
          <w:bottom w:w="0" w:type="dxa"/>
          <w:right w:w="0" w:type="dxa"/>
        </w:tblCellMar>
      </w:tblPr>
      <w:tblGrid>
        <w:gridCol w:w="75"/>
        <w:gridCol w:w="380"/>
        <w:gridCol w:w="3605"/>
        <w:gridCol w:w="245"/>
      </w:tblGrid>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 and Removals of Directors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of the Board by Written Consent</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Reimbursement and Compensation</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Vice Chairman of the Board</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Telephonic Meetings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4060"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OFFICERS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Term</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and Duties of Officers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4060"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STOCK</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Lost Stolen, or Destroyed Certificates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Owners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4060"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NOTICES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6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36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of Notice</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rPr/>
      </w:pPr>
      <w:r>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ii</w:t>
            </w:r>
          </w:p>
        </w:tc>
      </w:tr>
    </w:tbl>
    <w:p>
      <w:pPr>
        <w:pStyle w:val="TextBody"/>
        <w:spacing w:before="120" w:after="283"/>
        <w:rPr/>
      </w:pPr>
      <w:r>
        <w:rPr/>
        <w:t> </w:t>
      </w:r>
    </w:p>
    <w:p>
      <w:pPr>
        <w:pStyle w:val="TextBody"/>
        <w:rPr/>
      </w:pPr>
      <w:r>
        <w:rPr/>
        <w:t> </w:t>
      </w:r>
    </w:p>
    <w:tbl>
      <w:tblPr>
        <w:tblW w:w="6413" w:type="dxa"/>
        <w:jc w:val="left"/>
        <w:tblInd w:w="0" w:type="dxa"/>
        <w:tblCellMar>
          <w:top w:w="0" w:type="dxa"/>
          <w:left w:w="0" w:type="dxa"/>
          <w:bottom w:w="0" w:type="dxa"/>
          <w:right w:w="0" w:type="dxa"/>
        </w:tblCellMar>
      </w:tblPr>
      <w:tblGrid>
        <w:gridCol w:w="99"/>
        <w:gridCol w:w="506"/>
        <w:gridCol w:w="5563"/>
        <w:gridCol w:w="245"/>
      </w:tblGrid>
      <w:tr>
        <w:trPr/>
        <w:tc>
          <w:tcPr>
            <w:tcW w:w="6168"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INDEMNIFICATION AND ADVANCEMENT OF EXPENSES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45" w:type="dxa"/>
            <w:tcBorders/>
            <w:shd w:fill="CCEE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and Insurance.</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6168"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GENERAL PROVISIONS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Seal</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Inspection of Records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Upon Books. Reports and Records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 Governs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with Respect to Securities of Other Entities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6168"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LOCK-UP</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6168" w:type="dxa"/>
            <w:gridSpan w:val="3"/>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AMENDMENTS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5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556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tc>
        <w:tc>
          <w:tcPr>
            <w:tcW w:w="2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spacing w:before="0" w:after="0"/>
        <w:ind w:left="0" w:right="0" w:hanging="0"/>
        <w:jc w:val="both"/>
        <w:rPr>
          <w:caps w:val="false"/>
          <w:smallCaps w:val="false"/>
        </w:rPr>
      </w:pPr>
      <w:r>
        <w:rPr>
          <w:caps w:val="false"/>
          <w:smallCaps w:val="false"/>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jc w:val="center"/>
              <w:rPr/>
            </w:pPr>
            <w:r>
              <w:rPr/>
              <w:t>iii</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BYLAWS</w:t>
        <w:br/>
        <w:t>OF</w:t>
        <w:br/>
        <w:t>DRAGONFLY ENERGY HOLDINGS CORP.</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OFFICES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Principal Executive Office</w:t>
      </w:r>
      <w:r>
        <w:rPr>
          <w:rFonts w:ascii="Times New Roman;Times;Serif" w:hAnsi="Times New Roman;Times;Serif"/>
          <w:b w:val="false"/>
          <w:i w:val="false"/>
          <w:caps w:val="false"/>
          <w:smallCaps w:val="false"/>
          <w:sz w:val="20"/>
        </w:rPr>
        <w:t>. The principal executive office of Dragonfly Energy Holdings Corp.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shall be at such place established by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 its discretion. The Board shall have full power and authority to change the location of the principal executive office.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registered office of the Corporation shall be as set forth in the Corporation’s Nevada Articles of Incorporation (as may be amended, restated, modified or supplemented from time to time, the “</w:t>
      </w:r>
      <w:r>
        <w:rPr>
          <w:rFonts w:ascii="Times New Roman;Times;Serif" w:hAnsi="Times New Roman;Times;Serif"/>
          <w:b w:val="false"/>
          <w:i w:val="false"/>
          <w:caps w:val="false"/>
          <w:smallCaps w:val="false"/>
          <w:sz w:val="20"/>
          <w:u w:val="single"/>
        </w:rPr>
        <w:t>Articles of Incorporation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also have offices at such other places, both within and outside of the State of Nevada, as the Board may from time to time determine.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STOCKHOLDERS’ MEETINGS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Meetings of stockholders of the Corporation shall be held at such place, if any, either within or outside of the State of Nevada, as shall be designated from time to time by the Board, the Chief Executive Officer or the chairman of the Board of Directors (the “Chairman”) and specified in the notice of the meeting. In the absence of such designation, stockholders’ meetings shall be held at the principal executive office of the 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annual meeting of stockholders for the election of directors and for the transaction of such other business as may properly come before the meeting shall be held at such time and date as shall be designated from time to time by the Board, the Chief Executive Officer or the chairman of the Board of Directors (the “</w:t>
      </w:r>
      <w:r>
        <w:rPr>
          <w:rFonts w:ascii="Times New Roman;Times;Serif" w:hAnsi="Times New Roman;Times;Serif"/>
          <w:b w:val="false"/>
          <w:i w:val="false"/>
          <w:caps w:val="false"/>
          <w:smallCaps w:val="false"/>
          <w:sz w:val="20"/>
          <w:u w:val="single"/>
        </w:rPr>
        <w:t>Chairman</w:t>
      </w:r>
      <w:r>
        <w:rPr>
          <w:rFonts w:ascii="Times New Roman;Times;Serif" w:hAnsi="Times New Roman;Times;Serif"/>
          <w:b w:val="false"/>
          <w:i w:val="false"/>
          <w:caps w:val="false"/>
          <w:smallCaps w:val="false"/>
          <w:sz w:val="20"/>
        </w:rPr>
        <w:t>”) and stated in the Corporation’s notice of the meeting. The Board, the Chief Executive Officer, or the Chairman may postpone, reschedule or cancel any previously scheduled annual meeting of stockholders, before or after the notice for such meeting has been sent to the stockholders.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Bylaws (as may be further amended, restated, modified or supplemented from time to time, these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ACT, as defined below) by the stockholder to whom the notice is given. If notice is given by mail, such notice will be deemed given when deposited in the United States mail, postage prepaid, directed to the stockholder at such stockholder’s address as it appears on the records of the Corporation. If notice is given by electronic transmission, such notice will be deemed given at the time specified in NRS 78.370.</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Adjournments</w:t>
      </w:r>
      <w:r>
        <w:rPr>
          <w:rFonts w:ascii="Times New Roman;Times;Serif" w:hAnsi="Times New Roman;Times;Serif"/>
          <w:b w:val="false"/>
          <w:i w:val="false"/>
          <w:caps w:val="false"/>
          <w:smallCaps w:val="false"/>
          <w:sz w:val="20"/>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Notwithstanding the provisions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date of any adjourned meeting is more than thirty (30) days after the date for which the meeting was originally called or a new record date is fixed for the adjourned meeting, notice of the adjourned meeting shall be given in conformity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At such adjourned meeting, any business may be transacted that might have been transacted at the original meeting if such meeting had been held as originally called.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Unless otherwise required by applicable law or the Articles of Incorporation, the holders of one-third of the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Section 2.5 hereof, until a quorum shall be present or represented. A quorum, once established, shall not be broken by the withdrawal of enough stockholders to leave less than a quorum.</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Voting.</w:t>
      </w:r>
    </w:p>
    <w:p>
      <w:pPr>
        <w:pStyle w:val="TextBody"/>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required by law or the Articles of Incorporation, each stockholder entitled to vote at any meeting of stockholders shall be entitled to one (1) vote for each share of stock held by such stockholder which has voting power on all matters submitted to a vote of stockholders of the 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required by law, the Articles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voting as a single class, and (ii) 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Articles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Participation at Stockholder Meetings by Remote Communications</w:t>
      </w:r>
      <w:r>
        <w:rPr>
          <w:rFonts w:ascii="Times New Roman;Times;Serif" w:hAnsi="Times New Roman;Times;Serif"/>
          <w:b w:val="false"/>
          <w:i w:val="false"/>
          <w:caps w:val="false"/>
          <w:smallCaps w:val="false"/>
          <w:sz w:val="20"/>
        </w:rPr>
        <w:t>. The Board may, in its sole discretion, determine that a meeting of stockholders shall not be held at any place, but may instead be held solely by means of remote communication in accordance with Nevada Revised Statutes (“</w:t>
      </w:r>
      <w:r>
        <w:rPr>
          <w:rFonts w:ascii="Times New Roman;Times;Serif" w:hAnsi="Times New Roman;Times;Serif"/>
          <w:b w:val="false"/>
          <w:i w:val="false"/>
          <w:caps w:val="false"/>
          <w:smallCaps w:val="false"/>
          <w:sz w:val="20"/>
          <w:u w:val="single"/>
        </w:rPr>
        <w:t>NRS</w:t>
      </w:r>
      <w:r>
        <w:rPr>
          <w:rFonts w:ascii="Times New Roman;Times;Serif" w:hAnsi="Times New Roman;Times;Serif"/>
          <w:b w:val="false"/>
          <w:i w:val="false"/>
          <w:caps w:val="false"/>
          <w:smallCaps w:val="false"/>
          <w:sz w:val="20"/>
        </w:rPr>
        <w:t>”) 78.320(4) and any applicable part of NRS Chapter 78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No Stockholder Action by Written Consent</w:t>
      </w:r>
      <w:r>
        <w:rPr>
          <w:rFonts w:ascii="Times New Roman;Times;Serif" w:hAnsi="Times New Roman;Times;Serif"/>
          <w:b w:val="false"/>
          <w:i w:val="false"/>
          <w:caps w:val="false"/>
          <w:smallCaps w:val="false"/>
          <w:sz w:val="20"/>
        </w:rPr>
        <w:t>.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the ACT and may not be taken by written consent of stockholders without a meeting.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may fix a new record date for determination of stockholders entitled to notice of or to vote at the adjourned meeting.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Stockholders’ List</w:t>
      </w:r>
      <w:r>
        <w:rPr>
          <w:rFonts w:ascii="Times New Roman;Times;Serif" w:hAnsi="Times New Roman;Times;Serif"/>
          <w:b w:val="false"/>
          <w:i w:val="false"/>
          <w:caps w:val="false"/>
          <w:smallCaps w:val="false"/>
          <w:sz w:val="20"/>
        </w:rPr>
        <w:t>. A complete list of the stockholders entitled to vote at any meeting of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the information required to gain access to such list is provided with the notice of the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or to vote in person or by proxy at any meeting of stockholders.</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Conduct of Meetings</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Secretary will act as secretary of the meeting, but in the Secretary’s absence the chairman of the meeting may appoint any person to act as secretary of the meeting.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may adopt by resolution such rules, regulations and procedures for the conduct of any meeting of stockholders of the Corporation as it deems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will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will be determined; (iv) restrictions on entry to the meeting after the time fixed for the commencement thereof; and (v) limitations on the time allotted to questions or comments by participants. The chairman of any meeting, in addition to making any other determinations that may be appropriate to the conduct of the meeting, will, if the facts warrant, determine and declare to the meeting that a matter or business was not properly brought before the meeting and, if the chairman should so determine, the chairman will so declare to the meeting and any such matter or business not properly brought before the meeting will not be transacted or considered. Unless and to the extent determined by the Board or the chairman of the meeting, meetings of stockholders will not be required to be held in accordance with the rules of parliamentary procedure.</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chairman of the meeting will announce at the meeting when the polls for each matter to be voted upon at the meeting will be opened and closed. After the polls close, no ballots, proxies or votes or any revocations or changes thereto may be accepted.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advance of any meeting of stockholders, the Board will appoint one or more inspectors of election to act at the meeting or any adjournment thereof and make a written report thereof. One or more other persons may be designated as alternate inspectors to replace any inspector who fails to act. If no inspector or alternate is present, ready and willing to act at a meeting of stockholders, the chairman of the meeting will appoint one or more inspectors to act at the meeting. Unless otherwise required by law, inspectors may be officers, employees or agents of the Corporation. No person who is a candidate for an office at an election may serve as an inspector at such election.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Advance Notice of Stockholder Business and Director Nominations</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Annual Meetings of Stockholders</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Nominations of persons for election to the Board and the proposal of other business to be considered by the stockholders may be made at an annual meeting of stockholders only (i) pursuant to the Corporation’s notice of meeting (or any supplement thereto) delivered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Times New Roman;Times;Serif" w:hAnsi="Times New Roman;Times;Serif"/>
          <w:b w:val="false"/>
          <w:i w:val="false"/>
          <w:caps w:val="false"/>
          <w:smallCaps w:val="false"/>
          <w:sz w:val="20"/>
          <w:u w:val="single"/>
        </w:rPr>
        <w:t>Section 2.14(a)(2)</w:t>
      </w:r>
      <w:r>
        <w:rPr>
          <w:rFonts w:ascii="Times New Roman;Times;Serif" w:hAnsi="Times New Roman;Times;Serif"/>
          <w:b w:val="false"/>
          <w:i w:val="false"/>
          <w:caps w:val="false"/>
          <w:smallCaps w:val="false"/>
          <w:sz w:val="20"/>
        </w:rPr>
        <w:t xml:space="preserve"> to the Secretary of the Corporation and at the time of the annual meeting, (y) who is entitled to vote at the meeting and upon such election, and (z) who complies with the notice procedures set forth in </w:t>
      </w:r>
      <w:r>
        <w:rPr>
          <w:rFonts w:ascii="Times New Roman;Times;Serif" w:hAnsi="Times New Roman;Times;Serif"/>
          <w:b w:val="false"/>
          <w:i w:val="false"/>
          <w:caps w:val="false"/>
          <w:smallCaps w:val="false"/>
          <w:sz w:val="20"/>
          <w:u w:val="single"/>
        </w:rPr>
        <w:t>Section 2.14(a)(2)</w:t>
      </w:r>
      <w:r>
        <w:rPr>
          <w:rFonts w:ascii="Times New Roman;Times;Serif" w:hAnsi="Times New Roman;Times;Serif"/>
          <w:b w:val="false"/>
          <w:i w:val="false"/>
          <w:caps w:val="false"/>
          <w:smallCaps w:val="false"/>
          <w:sz w:val="20"/>
        </w:rPr>
        <w:t>; clause (iii) shall be the exclusive means for a stockholder to make nominations or submit other business (other than matters properly brought under Rule 14a-8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Without qualification, for any nominations or other business to be properly brought before an annual meeting of stockholders by a stockholder pursuant to clause (iii) of </w:t>
      </w:r>
      <w:r>
        <w:rPr>
          <w:rFonts w:ascii="Times New Roman;Times;Serif" w:hAnsi="Times New Roman;Times;Serif"/>
          <w:b w:val="false"/>
          <w:i w:val="false"/>
          <w:caps w:val="false"/>
          <w:smallCaps w:val="false"/>
          <w:sz w:val="20"/>
          <w:u w:val="single"/>
        </w:rPr>
        <w:t>Section 2.14(a)(1)</w:t>
      </w:r>
      <w:r>
        <w:rPr>
          <w:rFonts w:ascii="Times New Roman;Times;Serif" w:hAnsi="Times New Roman;Times;Serif"/>
          <w:b w:val="false"/>
          <w:i w:val="false"/>
          <w:caps w:val="false"/>
          <w:smallCaps w:val="false"/>
          <w:sz w:val="20"/>
        </w:rPr>
        <w:t xml:space="preserve">. the stockholder must have given timely notice thereof, in proper written form as provided in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to the Secretary of the Corporation and any such proposed business (other than nominations of persons for the election to the Board) must constitute a proper matter for stockholder action under the ACT.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(which date shall, for purposes of the Corporation’s annual meeting of stockholders in the year of the closing of the merger contemplated by that certain Merger Agreement, entered into by and among the Corporation, Dragonfly Energy Corp. and Bronco Merger Sub, Inc., dated as of May 15, 2022, as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xml:space="preserve">”) be deemed to have occurred on October 7 of such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xml:space="preserve">. Only such business shall be conducted at a special meeting of stockholders as shall have been brought before the meeting pursuant to the Corporation’s notice of meeting delivered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to the Secretary of the Corporation and at the time of the special meeting, (y) who is entitled to vote at the meeting and upon such election, and (z) who complies with the notice procedures set forth in this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In the rent the 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Section </w:t>
      </w:r>
      <w:r>
        <w:rPr>
          <w:rFonts w:ascii="Times New Roman;Times;Serif" w:hAnsi="Times New Roman;Times;Serif"/>
          <w:b w:val="false"/>
          <w:i w:val="false"/>
          <w:caps w:val="false"/>
          <w:smallCaps w:val="false"/>
          <w:sz w:val="20"/>
          <w:u w:val="single"/>
        </w:rPr>
        <w:t>2.14(c)</w:t>
      </w:r>
      <w:r>
        <w:rPr>
          <w:rFonts w:ascii="Times New Roman;Times;Serif" w:hAnsi="Times New Roman;Times;Serif"/>
          <w:b w:val="false"/>
          <w:i w:val="false"/>
          <w:caps w:val="false"/>
          <w:smallCaps w:val="false"/>
          <w:sz w:val="20"/>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Form of Notice</w:t>
      </w:r>
      <w:r>
        <w:rPr>
          <w:rFonts w:ascii="Times New Roman;Times;Serif" w:hAnsi="Times New Roman;Times;Serif"/>
          <w:b w:val="false"/>
          <w:i w:val="false"/>
          <w:caps w:val="false"/>
          <w:smallCaps w:val="false"/>
          <w:sz w:val="20"/>
        </w:rPr>
        <w:t xml:space="preserve">. To be in proper written form, such stockholder’s notice to the Secretary (whether pursuant to </w:t>
      </w:r>
      <w:r>
        <w:rPr>
          <w:rFonts w:ascii="Times New Roman;Times;Serif" w:hAnsi="Times New Roman;Times;Serif"/>
          <w:b w:val="false"/>
          <w:i w:val="false"/>
          <w:caps w:val="false"/>
          <w:smallCaps w:val="false"/>
          <w:sz w:val="20"/>
          <w:u w:val="single"/>
        </w:rPr>
        <w:t xml:space="preserve">clauses (a)(2)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must set forth:</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 (iii)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 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 (viii) such other information relating to any proposed item of business as the Corporation may reasonably require to determine whether such proposed item of business is a proper matter for stockholder action.</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notice requirements of this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requested by the Corporation, the information required under clauses </w:t>
      </w:r>
      <w:r>
        <w:rPr>
          <w:rFonts w:ascii="Times New Roman;Times;Serif" w:hAnsi="Times New Roman;Times;Serif"/>
          <w:b w:val="false"/>
          <w:i w:val="false"/>
          <w:caps w:val="false"/>
          <w:smallCaps w:val="false"/>
          <w:sz w:val="20"/>
          <w:u w:val="single"/>
        </w:rPr>
        <w:t>(c)(3)(ii)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supplemented by such stockholder and any such beneficial owner not later than ten (10) days after the record date for the meeting to disclose such information as of the record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Corporation may require any proposed nominee for election or re-election as a director to furnish such other information, in addition to the information set forth in the stockholder’s notice delivered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Except as otherwise expressly provided in any applicable rule or regulation promulgated under the Exchange Act, only such persons who are nominated in accordance with the procedures set forth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Times New Roman;Times;Serif" w:hAnsi="Times New Roman;Times;Serif"/>
          <w:b w:val="false"/>
          <w:i w:val="false"/>
          <w:caps w:val="false"/>
          <w:smallCaps w:val="false"/>
          <w:sz w:val="20"/>
          <w:u w:val="single"/>
        </w:rPr>
        <w:t xml:space="preserve">Section 2.14 </w:t>
      </w:r>
      <w:r>
        <w:rPr>
          <w:rFonts w:ascii="Times New Roman;Times;Serif" w:hAnsi="Times New Roman;Times;Serif"/>
          <w:b w:val="false"/>
          <w:i w:val="false"/>
          <w:caps w:val="false"/>
          <w:smallCaps w:val="false"/>
          <w:sz w:val="20"/>
        </w:rPr>
        <w:t xml:space="preserve">(including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Times New Roman;Times;Serif" w:hAnsi="Times New Roman;Times;Serif"/>
          <w:b w:val="false"/>
          <w:i w:val="false"/>
          <w:caps w:val="false"/>
          <w:smallCaps w:val="false"/>
          <w:sz w:val="20"/>
          <w:u w:val="single"/>
        </w:rPr>
        <w:t>Section 2.14(c)(3)(vi)</w:t>
      </w:r>
      <w:r>
        <w:rPr>
          <w:rFonts w:ascii="Times New Roman;Times;Serif" w:hAnsi="Times New Roman;Times;Serif"/>
          <w:b w:val="false"/>
          <w:i w:val="false"/>
          <w:caps w:val="false"/>
          <w:smallCaps w:val="false"/>
          <w:sz w:val="20"/>
        </w:rPr>
        <w:t xml:space="preserve">, and, (ii) if any proposed nomination or business was not made or proposed in compliance with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to declare that such nomination shall be disregarded or that such proposed business shall not be transacted. Notwithstanding the foregoing provisions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otherwise required by law, if the stockholder who has delivered a notice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pStyle w:val="TextBody"/>
        <w:spacing w:before="0" w:after="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Notwithstanding the foregoing provisions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stockholders shall also comply with all applicable requirements of the Exchange Act and the rules and regulations thereunder with respect to the matters set forth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references in these Bylaws to the Exchange Act or the rules promulgated thereunder are not intended to and shall not limit the requirements applicable to nominations or proposals as to any other business to be considered pursuant to clause (a)(l)(iii) or (b)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Articles of Incorporation.</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Submission of Questionnaire, Representation and Agreement</w:t>
      </w:r>
      <w:r>
        <w:rPr>
          <w:rFonts w:ascii="Times New Roman;Times;Serif" w:hAnsi="Times New Roman;Times;Serif"/>
          <w:b w:val="false"/>
          <w:i w:val="false"/>
          <w:caps w:val="false"/>
          <w:smallCaps w:val="false"/>
          <w:sz w:val="20"/>
        </w:rPr>
        <w:t xml:space="preserve">. To be eligible to be a nominee for election or re-election as a director of the Corporation nominated by a stockholder pursuant to </w:t>
      </w:r>
      <w:r>
        <w:rPr>
          <w:rFonts w:ascii="Times New Roman;Times;Serif" w:hAnsi="Times New Roman;Times;Serif"/>
          <w:b w:val="false"/>
          <w:i w:val="false"/>
          <w:caps w:val="false"/>
          <w:smallCaps w:val="false"/>
          <w:sz w:val="20"/>
          <w:u w:val="single"/>
        </w:rPr>
        <w:t>Section 2.14(a)(1)(iii)</w:t>
      </w:r>
      <w:r>
        <w:rPr>
          <w:rFonts w:ascii="Times New Roman;Times;Serif" w:hAnsi="Times New Roman;Times;Serif"/>
          <w:b w:val="false"/>
          <w:i w:val="false"/>
          <w:caps w:val="false"/>
          <w:smallCaps w:val="false"/>
          <w:sz w:val="20"/>
        </w:rPr>
        <w:t xml:space="preserve">, the candidate for nomination must deliver (in accordance with the time periods prescribed for delivery of notice under clauses (a)(2) or (b)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(y)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DIRECTORS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Powers and Duties</w:t>
      </w:r>
      <w:r>
        <w:rPr>
          <w:rFonts w:ascii="Times New Roman;Times;Serif" w:hAnsi="Times New Roman;Times;Serif"/>
          <w:b w:val="false"/>
          <w:i w:val="false"/>
          <w:caps w:val="false"/>
          <w:smallCaps w:val="false"/>
          <w:sz w:val="20"/>
        </w:rPr>
        <w:t>. Subject to the provisions of the ACT and to any limitations in the Articles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provided that the business and affairs of the Corporation shall remain under the ultimate direction and control of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Number and Qualifications</w:t>
      </w:r>
      <w:r>
        <w:rPr>
          <w:rFonts w:ascii="Times New Roman;Times;Serif" w:hAnsi="Times New Roman;Times;Serif"/>
          <w:b w:val="false"/>
          <w:i w:val="false"/>
          <w:caps w:val="false"/>
          <w:smallCaps w:val="false"/>
          <w:sz w:val="20"/>
        </w:rPr>
        <w:t>. The Board shall consist of one (1) or more members, the exact number of which shall be fixed from time to time by resolution of the Board, all of whom must be natural persons who are at least 18 years of age. Unless otherwise required by law or by the Articles of Incorporation, directors need not be stockholders of the Corporation or residents of the State of Nevada. No reduction of the authorized number of directors shall have the effect of removing any director before that director’s term of office expires.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Classified Board of Directors</w:t>
      </w:r>
      <w:r>
        <w:rPr>
          <w:rFonts w:ascii="Times New Roman;Times;Serif" w:hAnsi="Times New Roman;Times;Serif"/>
          <w:b w:val="false"/>
          <w:i w:val="false"/>
          <w:caps w:val="false"/>
          <w:smallCaps w:val="false"/>
          <w:sz w:val="20"/>
        </w:rPr>
        <w:t>. The Board shall be divided into classes, with each such class serving for a term, as set forth in the Articles of Incorporation.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Resignations and Removals of Directors</w:t>
      </w:r>
      <w:r>
        <w:rPr>
          <w:rFonts w:ascii="Times New Roman;Times;Serif" w:hAnsi="Times New Roman;Times;Serif"/>
          <w:b w:val="false"/>
          <w:i w:val="false"/>
          <w:caps w:val="false"/>
          <w:smallCaps w:val="false"/>
          <w:sz w:val="20"/>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Articles of Incorporation and except for any director elected by the holders of any series or class of preferred stock provided for or fixed pursuant to the provisions of Article V of the Articles of Incorporation, any director or the entire Board may be removed from office at any time, but only for cause, and only by the affirmative vote of the holders of at least sixty-six and two-thirds percent (66 2/3%) of 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Except as otherwise required by law or the Articles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 meetings of the Board shall be held at such place or places, within or without the State of Nevada, on such date or dates and at such time or times, as shall have been established by the Board and publicized among all directors. A notice of each regular meeting shall not be required.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for any purpose or purposes may be called at any time by the Chairman of the Board, the Chief Executive Officer, if any, the President or any two (2) 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Except as otherwise required by law, these Bylaws or the Articles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Action of the Board by Written Consent</w:t>
      </w:r>
      <w:r>
        <w:rPr>
          <w:rFonts w:ascii="Times New Roman;Times;Serif" w:hAnsi="Times New Roman;Times;Serif"/>
          <w:b w:val="false"/>
          <w:i w:val="false"/>
          <w:caps w:val="false"/>
          <w:smallCaps w:val="false"/>
          <w:sz w:val="20"/>
        </w:rPr>
        <w:t>. Unless otherwise provided in the Articles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 After an action is taken, the consent or consents relating thereto shall be filed with the minutes of proceedings of the Board or such committee.</w:t>
      </w:r>
    </w:p>
    <w:p>
      <w:pPr>
        <w:pStyle w:val="TextBody"/>
        <w:spacing w:before="0" w:after="0"/>
        <w:ind w:left="0" w:right="0" w:firstLine="144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Expense Reimbursement and Compensation</w:t>
      </w:r>
      <w:r>
        <w:rPr>
          <w:rFonts w:ascii="Times New Roman;Times;Serif" w:hAnsi="Times New Roman;Times;Serif"/>
          <w:b w:val="false"/>
          <w:i w:val="false"/>
          <w:caps w:val="false"/>
          <w:smallCaps w:val="false"/>
          <w:sz w:val="20"/>
        </w:rPr>
        <w:t xml:space="preserve">. Directors and members of committees may receive such compensation, if any, for their services and such reimbursement of expenses as may be fixed or determined by resolution of the Board.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shall not be construed to preclude any director from serving the Corporation in any other capacity as an officer, agent, employee or otherwise and receiving compensation for those services.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Chairman and Vice Chairman of the Board</w:t>
      </w:r>
      <w:r>
        <w:rPr>
          <w:rFonts w:ascii="Times New Roman;Times;Serif" w:hAnsi="Times New Roman;Times;Serif"/>
          <w:b w:val="false"/>
          <w:i w:val="false"/>
          <w:caps w:val="false"/>
          <w:smallCaps w:val="false"/>
          <w:sz w:val="20"/>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no such committee shall have the power or authority in reference to the following matters: (i) approving or adopting, or recommending to the stockholders, any action or matter (other than the election or removal of directors) expressly required by the ACT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committee of the Board may adopt such rules and regulations not inconsistent with the provisions of law, the Articles of Incorporation or these Bylaws for the conduct of its meetings as such committee may deem proper.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Telephonic Meetings</w:t>
      </w:r>
      <w:r>
        <w:rPr>
          <w:rFonts w:ascii="Times New Roman;Times;Serif" w:hAnsi="Times New Roman;Times;Serif"/>
          <w:b w:val="false"/>
          <w:i w:val="false"/>
          <w:caps w:val="false"/>
          <w:smallCaps w:val="false"/>
          <w:sz w:val="20"/>
        </w:rPr>
        <w:t>. Unless otherwise restricted by the Articles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OFFICERS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The officers of the Corporation shall be chosen by the Board and shall include a President, a Chief Executive Officer, a Treasurer, and a Secretary. The Board, in its discretion, may also appoint such additional officers as the Board may deem necessary or desirable, including a Chief Financial Officer, one (1) or more Vice Presidents, one (1) or more Assistant Vice Presidents, one (1) or more Assistant Secretaries,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Any number of offices may be held by the same person, unless otherwise provided by the Articles of Incorporation or these Bylaws.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Appointment and Term</w:t>
      </w:r>
      <w:r>
        <w:rPr>
          <w:rFonts w:ascii="Times New Roman;Times;Serif" w:hAnsi="Times New Roman;Times;Serif"/>
          <w:b w:val="false"/>
          <w:i w:val="false"/>
          <w:caps w:val="false"/>
          <w:smallCaps w:val="false"/>
          <w:sz w:val="20"/>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 An officer may resign from his or her position at any time, by giving notice in writing or electronic transmission to the Corporation. Such resignation shall be without prejudice to any rights, if any, the Corporation may have under any contract to 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 vacancy in any office because of death, resignation, removal, disqualification or otherwise shall be filled by the Board in the manner prescribed in these Bylaws for election or appointment to such office.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to fix the compensation of such officers.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Authority and Duties of Officers</w:t>
      </w:r>
      <w:r>
        <w:rPr>
          <w:rFonts w:ascii="Times New Roman;Times;Serif" w:hAnsi="Times New Roman;Times;Serif"/>
          <w:b w:val="false"/>
          <w:i w:val="false"/>
          <w:caps w:val="false"/>
          <w:smallCaps w:val="false"/>
          <w:sz w:val="20"/>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STOCK</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The shares of the Corporation shall be represented by certificates,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Record Owners</w:t>
      </w:r>
      <w:r>
        <w:rPr>
          <w:rFonts w:ascii="Times New Roman;Times;Serif" w:hAnsi="Times New Roman;Times;Serif"/>
          <w:b w:val="false"/>
          <w:i w:val="false"/>
          <w:caps w:val="false"/>
          <w:smallCaps w:val="false"/>
          <w:sz w:val="20"/>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NOTICES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notice is required by law, the Articles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ACT, the Articles of Incorporation or these Bylaws shall be effective if given by a form of electronic transmission consented to by the stockholder to whom the notice is given.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shall be deemed to have consented to receiving such single written notice.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Waivers of Notice</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Whenever any notice is required by applicable law, the Articles of Incorporation or these Bylaws, to be given to any director, member of a committee or stockholder, a waiver thereof in writing, signed by the person or persons entitled to notice, or a waiver thereof given by electronic 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Articles of Incorporation or these Bylaws.</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INDEMNIFICATION AND ADVANCEMENT OF EXPENSES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Indemnification and Insurance.</w:t>
      </w:r>
    </w:p>
    <w:p>
      <w:pPr>
        <w:pStyle w:val="TextBody"/>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Indemnification of Directors and Officers.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Article, (A) “Indemnitee” means each director, officer, agent or employee of the Corporation who was or is a party to, or is threatened to be made a party to, or is otherwise involved in, any Proceeding (as defined below), by reason of the fact that he or she is or was a director, officer, agent or employee of the Corporation or is or was serving at the request of the Corporation as a director, officer or employee of, or in any other capacity for, another corporation, partnership, joint venture, limited liability company, trust, or other enterprise; and (B) “Proceeding” means any threatened, pending, or completed action, suit or proceeding (including, without limitation, an action, suit or proceeding by or in the right of the Corporation), whether civil, criminal, administrative, or investigative.</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Indemnification pursuant to this Section shall continue as to an Indemnitee who has ceased to be a director, officer, agent or employee of the Corporation or member, manager or managing member of a predecessor limited liability company or affiliate of such limited liability 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p>
      <w:pPr>
        <w:pStyle w:val="TextBody"/>
        <w:spacing w:before="120" w:after="283"/>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pStyle w:val="TextBody"/>
        <w:spacing w:before="0" w:after="0"/>
        <w:ind w:left="0" w:right="0" w:firstLine="216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Indemnification of Employees and Other Persons. The Corporation may, by action of the Board of Directors and to the extent provided in such action, indemnify employees, agents and other persons as though they were Indemnitees.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Non-Exclusivity of Rights.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Insurance. The Corporation may purchase and maintain insurance or make other financial arrangements on behalf of any Indemnitee for any liability asserted against him or her and liability and expenses incurred by him or her in his or her capacity as a director, officer or employee, or arising out of his or her status as such, whether or not the Corporation has the authority to indemnify him or her against such liability and expenses.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Financial Arrangements. The other financial arrangements which may be made by the Corporation may include, but are not limited to,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Matters Relating to Insurance or Financial Arrangements.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Amendment. Notwithstanding any other provision of these Bylaws relating to their amendment generally, any repeal or amendment of this Article VII which is adverse to any Indemnitee shall apply to such Indemnitee only on a prospective basis, and shall not limit the rights of an Indemnitee to indemnification with respect to any action or failure to act occurring prior to the time of such repeal or amendment.</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fixed by resolution of the Board.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 The Corporation may adopt and may subsequently alter the corporate seal and it may use the same by causing it or a facsimile thereof to be impressed or affixed or reproduced or otherwise.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Maintenance and Inspection of Records</w:t>
      </w:r>
      <w:r>
        <w:rPr>
          <w:rFonts w:ascii="Times New Roman;Times;Serif" w:hAnsi="Times New Roman;Times;Serif"/>
          <w:b w:val="false"/>
          <w:i w:val="false"/>
          <w:caps w:val="false"/>
          <w:smallCaps w:val="false"/>
          <w:sz w:val="20"/>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Reliance Upon Books. Reports and Records</w:t>
      </w:r>
      <w:r>
        <w:rPr>
          <w:rFonts w:ascii="Times New Roman;Times;Serif" w:hAnsi="Times New Roman;Times;Serif"/>
          <w:b w:val="false"/>
          <w:i w:val="false"/>
          <w:caps w:val="false"/>
          <w:smallCaps w:val="false"/>
          <w:sz w:val="20"/>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xml:space="preserve">. Subject to the requirements of the ACT and the provisions of the Articles of Incorporation, dividends on the capital stock of the Corporation may be declared by the Board at any regular or special meeting of the Board (or any action by written consent in lieu thereof in accordance with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the Board may fix a record date in order that the Corporation may determine the stockholders entitled to receive payment of any dividend, which record date shall be fixed in accordance with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Articles of Incorporation Governs</w:t>
      </w:r>
      <w:r>
        <w:rPr>
          <w:rFonts w:ascii="Times New Roman;Times;Serif" w:hAnsi="Times New Roman;Times;Serif"/>
          <w:b w:val="false"/>
          <w:i w:val="false"/>
          <w:caps w:val="false"/>
          <w:smallCaps w:val="false"/>
          <w:sz w:val="20"/>
        </w:rPr>
        <w:t>. In the event of any conflict between the provisions of the Articles of Incorporation and these Bylaws, the provisions of the Articles of Incorporation shall govern.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determination that any provision of these Bylaws is for any reason inapplicable, illegal or ineffective shall not affect or invalidate any other provision of these Bylaws.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Actions with Respect to Securities of Other Entities</w:t>
      </w:r>
      <w:r>
        <w:rPr>
          <w:rFonts w:ascii="Times New Roman;Times;Serif" w:hAnsi="Times New Roman;Times;Serif"/>
          <w:b w:val="false"/>
          <w:i w:val="false"/>
          <w:caps w:val="false"/>
          <w:smallCaps w:val="false"/>
          <w:sz w:val="20"/>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p>
      <w:pPr>
        <w:pStyle w:val="TextBody"/>
        <w:spacing w:before="120" w:after="283"/>
        <w:rPr/>
      </w:pPr>
      <w:r>
        <w:rPr/>
        <w:t> </w:t>
      </w:r>
    </w:p>
    <w:p>
      <w:pPr>
        <w:pStyle w:val="TextBody"/>
        <w:spacing w:before="0" w:after="0"/>
        <w:ind w:left="0" w:right="0" w:hanging="0"/>
        <w:jc w:val="left"/>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LOCK-UP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Subject to Section 2 of this Article IX, the holders (the “</w:t>
      </w:r>
      <w:r>
        <w:rPr>
          <w:rFonts w:ascii="Times New Roman;Times;Serif" w:hAnsi="Times New Roman;Times;Serif"/>
          <w:b w:val="false"/>
          <w:i w:val="false"/>
          <w:caps w:val="false"/>
          <w:smallCaps w:val="false"/>
          <w:sz w:val="20"/>
          <w:u w:val="single"/>
        </w:rPr>
        <w:t>Lock-up Holders</w:t>
      </w:r>
      <w:r>
        <w:rPr>
          <w:rFonts w:ascii="Times New Roman;Times;Serif" w:hAnsi="Times New Roman;Times;Serif"/>
          <w:b w:val="false"/>
          <w:i w:val="false"/>
          <w:caps w:val="false"/>
          <w:smallCaps w:val="false"/>
          <w:sz w:val="20"/>
        </w:rPr>
        <w:t>”) of common stock of the Corporation issued (a) as consideration pursuant to the merger of Bronco Merger Sub, Inc., a Delaware corporation, with and into Dragonfly Energy Corp., a Nevada corporation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or (b) to directors, officers and employees of the Corporation upon the settlement or exercise of stock options or other equity awards outstanding as of immediately following the closing of the Merger in respect of awards of Dragonfly Energy Corp. outstanding immediately prior to the closing of the Merger (excluding, for the avoidance of doubt, the Acquiror Warrants (as defined in the Merger Agreement)) (the “</w:t>
      </w:r>
      <w:r>
        <w:rPr>
          <w:rFonts w:ascii="Times New Roman;Times;Serif" w:hAnsi="Times New Roman;Times;Serif"/>
          <w:b w:val="false"/>
          <w:i w:val="false"/>
          <w:caps w:val="false"/>
          <w:smallCaps w:val="false"/>
          <w:sz w:val="20"/>
          <w:u w:val="single"/>
        </w:rPr>
        <w:t>Dragonfly Equity Award Shares</w:t>
      </w:r>
      <w:r>
        <w:rPr>
          <w:rFonts w:ascii="Times New Roman;Times;Serif" w:hAnsi="Times New Roman;Times;Serif"/>
          <w:b w:val="false"/>
          <w:i w:val="false"/>
          <w:caps w:val="false"/>
          <w:smallCaps w:val="false"/>
          <w:sz w:val="20"/>
        </w:rPr>
        <w:t>”), may not Transfer any Lock-up Shares until the end of the Lock-up Period (the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Notwithstanding the provisions set forth in Section 1 of this Article IX, the Lock-up Holders or their respective Permitted Transferees may Transfer the Lock-up Shares during the Lock-up Period (a) to (i) the Corporation’s officers or directors, (ii) any affiliates or family members of the Corporation’s officers or directors, (iii) any direct or indirect partners, members or equity holders of such Lock-up Holder, or any related investment funds or vehicles controlled or managed by such persons or entities or their respective affiliates, or (iv)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Holder by virtue of the Lock-up Holder’s organizational documents, as amended, upon dissolution of the Lock-up Holder; (f) in connection with any bona fide mortgage, encumbrance or pledge to a financial institution in connection with any bona fide loan or debt transaction or enforcement thereunder, including foreclosure thereof; (g) to the Corporation; or (h)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of the Merger.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Notwithstanding the other provisions set forth in this Article IX or these Bylaws (including Article X), the Board of Directors may, in its sole discretion, determine to waive, amend, or repeal the Lock-up obligations set forth in this Article;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of the Merger Agreement, or if no such person is then serving as a director of the Coloration, one of their respective successors.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For purposes of this Article IX:</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means the period beginning on the closing date of the Merger and ending on the date that is 180 days after the closing date of the Merger;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means the shares of common stock held by the Lock-up Holders immediately following the closing of the Merger (other than shares of common stock acquired in the public market or pursuant to a transaction exempt from registration under the Securities Act of 1933, as amended, pursuant to a subscription agreement where the issuance of common stock occurs on or after the closing of the Merger) and the Dragonfly Equity Awards Shares; provided, that, for clarity, shares of common stock issued in connection with the Domestication (as defined in the Merger Agreement) or the PIPE Investment (as defined in the Merger Agreement) shall not constitute Lock-up Shares;</w:t>
      </w:r>
    </w:p>
    <w:p>
      <w:pPr>
        <w:pStyle w:val="TextBody"/>
        <w:spacing w:before="0" w:after="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w:t>
      </w:r>
      <w:r>
        <w:rPr>
          <w:rFonts w:ascii="Times New Roman;Times;Serif" w:hAnsi="Times New Roman;Times;Serif"/>
          <w:b w:val="false"/>
          <w:i w:val="false"/>
          <w:caps w:val="false"/>
          <w:smallCaps w:val="false"/>
          <w:sz w:val="20"/>
          <w:u w:val="single"/>
        </w:rPr>
        <w:t>Permitted Transferees</w:t>
      </w:r>
      <w:r>
        <w:rPr>
          <w:rFonts w:ascii="Times New Roman;Times;Serif" w:hAnsi="Times New Roman;Times;Serif"/>
          <w:b w:val="false"/>
          <w:i w:val="false"/>
          <w:caps w:val="false"/>
          <w:smallCaps w:val="false"/>
          <w:sz w:val="20"/>
        </w:rPr>
        <w:t>” means, prior to the expiration of the Lock-up Period, any person or entity to whom such Lock-up Holder is permitted to transfer such shares of common stock prior to the expiration of the Lock-up Period pursuant to Section 2 of this Article IX;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public announcement of any intention to effect any transaction specified in clause (i) or (i) of this subparagraph.</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provisions of this Article IX shall continue in effect during the Lock-up Period, and shall thereafter terminate and be of no further force or effect.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spacing w:before="0" w:after="0"/>
        <w:jc w:val="center"/>
        <w:rPr>
          <w:caps/>
        </w:rPr>
      </w:pPr>
      <w:r>
        <w:rPr>
          <w:caps/>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AMENDMENTS</w:t>
      </w:r>
    </w:p>
    <w:p>
      <w:pPr>
        <w:pStyle w:val="TextBody"/>
        <w:spacing w:before="0" w:after="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These Bylaws may be altered, amended or repealed, in whole or in part, or new Bylaws may be adopted by the Board or by the stockholders as expressly provided in the Articles of Incorporation.</w:t>
      </w:r>
    </w:p>
    <w:p>
      <w:pPr>
        <w:pStyle w:val="TextBody"/>
        <w:spacing w:before="0" w:after="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p>
      <w:pPr>
        <w:pStyle w:val="TextBody"/>
        <w:spacing w:before="0" w:after="0"/>
        <w:jc w:val="both"/>
        <w:rPr>
          <w:caps w:val="false"/>
          <w:smallCaps w:val="false"/>
        </w:rPr>
      </w:pPr>
      <w:r>
        <w:rPr>
          <w:caps w:val="false"/>
          <w:smallCaps w:val="false"/>
        </w:rPr>
        <w:t> </w:t>
      </w:r>
      <w:r>
        <w:br w:type="page"/>
      </w:r>
    </w:p>
    <w:p>
      <w:pPr>
        <w:pStyle w:val="TextBody"/>
        <w:rPr/>
      </w:pPr>
      <w:bookmarkStart w:id="33" w:name="ex99-1.htm"/>
      <w:bookmarkStart w:id="34" w:name="ksex991"/>
      <w:bookmarkEnd w:id="33"/>
      <w:bookmarkEnd w:id="34"/>
      <w:r>
        <w:rPr/>
        <w:t> </w:t>
      </w:r>
    </w:p>
    <w:p>
      <w:pPr>
        <w:pStyle w:val="TextBody"/>
        <w:jc w:val="right"/>
        <w:rPr>
          <w:b/>
        </w:rPr>
      </w:pPr>
      <w:r>
        <w:rPr>
          <w:b/>
        </w:rPr>
        <w:t>Exhibit 99.1</w:t>
      </w:r>
    </w:p>
    <w:p>
      <w:pPr>
        <w:pStyle w:val="TextBody"/>
        <w:jc w:val="center"/>
        <w:rPr/>
      </w:pPr>
      <w:r>
        <w:rPr/>
        <w:t> </w:t>
      </w:r>
    </w:p>
    <w:p>
      <w:pPr>
        <w:pStyle w:val="TextBody"/>
        <w:jc w:val="center"/>
        <w:rPr/>
      </w:pPr>
      <w:r>
        <w:rPr/>
        <w:drawing>
          <wp:inline distT="0" distB="0" distL="0" distR="0">
            <wp:extent cx="776605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66050" cy="1005840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jc w:val="center"/>
        <w:rPr/>
      </w:pPr>
      <w:r>
        <w:rPr/>
        <w:t> </w:t>
      </w:r>
    </w:p>
    <w:p>
      <w:pPr>
        <w:pStyle w:val="TextBody"/>
        <w:jc w:val="center"/>
        <w:rPr/>
      </w:pPr>
      <w:r>
        <w:rPr/>
        <w:drawing>
          <wp:inline distT="0" distB="0" distL="0" distR="0">
            <wp:extent cx="776605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66050" cy="1005840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jc w:val="center"/>
        <w:rPr/>
      </w:pPr>
      <w:r>
        <w:rPr/>
        <w:t> </w:t>
      </w:r>
    </w:p>
    <w:p>
      <w:pPr>
        <w:pStyle w:val="TextBody"/>
        <w:jc w:val="center"/>
        <w:rPr/>
      </w:pPr>
      <w:r>
        <w:rPr/>
        <w:drawing>
          <wp:inline distT="0" distB="0" distL="0" distR="0">
            <wp:extent cx="776605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66050" cy="1005840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jc w:val="center"/>
        <w:rPr/>
      </w:pPr>
      <w:r>
        <w:rPr/>
        <w:t> </w:t>
      </w:r>
    </w:p>
    <w:p>
      <w:pPr>
        <w:pStyle w:val="TextBody"/>
        <w:jc w:val="center"/>
        <w:rPr/>
      </w:pPr>
      <w:r>
        <w:rPr/>
        <w:drawing>
          <wp:inline distT="0" distB="0" distL="0" distR="0">
            <wp:extent cx="776605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66050" cy="1005840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center"/>
        <w:rPr/>
      </w:pPr>
      <w:r>
        <w:rPr/>
        <w:t> </w:t>
      </w:r>
      <w:r>
        <w:br w:type="page"/>
      </w:r>
    </w:p>
    <w:p>
      <w:pPr>
        <w:pStyle w:val="TextBody"/>
        <w:jc w:val="center"/>
        <w:rPr/>
      </w:pPr>
      <w:bookmarkStart w:id="35" w:name="ex99-2.htm"/>
      <w:bookmarkStart w:id="36" w:name="ksex992"/>
      <w:bookmarkEnd w:id="35"/>
      <w:bookmarkEnd w:id="36"/>
      <w:r>
        <w:rPr/>
        <w:t> </w:t>
      </w:r>
    </w:p>
    <w:p>
      <w:pPr>
        <w:pStyle w:val="TextBody"/>
        <w:jc w:val="right"/>
        <w:rPr>
          <w:b/>
        </w:rPr>
      </w:pPr>
      <w:r>
        <w:rPr>
          <w:b/>
        </w:rPr>
        <w:t>Exhibit 99.2</w:t>
      </w:r>
    </w:p>
    <w:p>
      <w:pPr>
        <w:pStyle w:val="TextBody"/>
        <w:jc w:val="center"/>
        <w:rPr/>
      </w:pPr>
      <w:r>
        <w:rPr/>
        <w:t> </w:t>
      </w:r>
    </w:p>
    <w:p>
      <w:pPr>
        <w:pStyle w:val="TextBody"/>
        <w:jc w:val="center"/>
        <w:rPr/>
      </w:pPr>
      <w:r>
        <w:rPr/>
        <w:drawing>
          <wp:inline distT="0" distB="0" distL="0" distR="0">
            <wp:extent cx="6381750" cy="9029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81750" cy="9029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pPr>
      <w:r>
        <w:rPr/>
        <w:t> </w:t>
      </w:r>
    </w:p>
    <w:p>
      <w:pPr>
        <w:pStyle w:val="TextBody"/>
        <w:jc w:val="center"/>
        <w:rPr/>
      </w:pPr>
      <w:r>
        <w:rPr/>
        <w:t> </w:t>
      </w:r>
    </w:p>
    <w:p>
      <w:pPr>
        <w:pStyle w:val="TextBody"/>
        <w:jc w:val="center"/>
        <w:rPr/>
      </w:pPr>
      <w:r>
        <w:rPr/>
        <w:drawing>
          <wp:inline distT="0" distB="0" distL="0" distR="0">
            <wp:extent cx="6381750" cy="825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81750" cy="8258175"/>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pPr>
      <w:r>
        <w:rPr/>
        <w:t> </w:t>
      </w:r>
    </w:p>
    <w:p>
      <w:pPr>
        <w:pStyle w:val="TextBody"/>
        <w:jc w:val="center"/>
        <w:rPr/>
      </w:pPr>
      <w:r>
        <w:rPr/>
        <w:t> </w:t>
      </w:r>
    </w:p>
    <w:p>
      <w:pPr>
        <w:pStyle w:val="TextBody"/>
        <w:jc w:val="center"/>
        <w:rPr/>
      </w:pPr>
      <w:r>
        <w:rPr/>
        <w:drawing>
          <wp:inline distT="0" distB="0" distL="0" distR="0">
            <wp:extent cx="6381750" cy="825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81750" cy="8258175"/>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19204</Words>
  <CharactersWithSpaces>116960</CharactersWithSpaces>
  <Paragraphs>1324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