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420"/>
        <w:spacing w:after="0"/>
        <w:rPr>
          <w:sz w:val="20"/>
          <w:szCs w:val="20"/>
          <w:color w:val="auto"/>
        </w:rPr>
      </w:pPr>
      <w:r>
        <w:rPr>
          <w:rFonts w:ascii="Arial" w:cs="Arial" w:eastAsia="Arial" w:hAnsi="Arial"/>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EXCHANGE ACT OF 1934</w:t>
      </w:r>
    </w:p>
    <w:p>
      <w:pPr>
        <w:spacing w:after="0" w:line="1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(Name(s) of Person(s) Filing Proxy Statement, if other than the Registrant)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computer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FF0000"/>
        </w:rPr>
        <w:t>PRELIMINARY PROXY STATEMENT</w:t>
      </w:r>
      <w:r>
        <w:rPr>
          <w:rFonts w:ascii="Arial" w:cs="Arial" w:eastAsia="Arial" w:hAnsi="Arial"/>
          <w:sz w:val="18"/>
          <w:szCs w:val="18"/>
          <w:color w:val="FF0000"/>
        </w:rPr>
        <w:t>—</w:t>
      </w:r>
      <w:r>
        <w:rPr>
          <w:rFonts w:ascii="Arial" w:cs="Arial" w:eastAsia="Arial" w:hAnsi="Arial"/>
          <w:sz w:val="18"/>
          <w:szCs w:val="18"/>
          <w:b w:val="1"/>
          <w:bCs w:val="1"/>
          <w:color w:val="FF0000"/>
        </w:rPr>
        <w:t>SUBJECT TO COMPLETION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DATED OCTOBER 17,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Reno, Nevada 89521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November 29,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You are cordially invited to attend the 2023 Annual Meeting of Stockholders of Dragonfly Energy Holdings Corp., or the Annual Meeting, which will be held on Wednesday, November 29, 2023, at 9:00 a.m., Pacific time. This year’s Annual Meeting will be held via the Internet. Stockholders will be able to listen to the meeting live, submit questions and vote online regardless of location via the Internet at </w:t>
      </w:r>
      <w:r>
        <w:rPr>
          <w:rFonts w:ascii="Arial" w:cs="Arial" w:eastAsia="Arial" w:hAnsi="Arial"/>
          <w:sz w:val="16"/>
          <w:szCs w:val="16"/>
          <w:i w:val="1"/>
          <w:iCs w:val="1"/>
          <w:color w:val="auto"/>
        </w:rPr>
        <w:t>http://www.viewproxy.com/DFLI/2023AM.</w:t>
      </w:r>
      <w:r>
        <w:rPr>
          <w:rFonts w:ascii="Arial" w:cs="Arial" w:eastAsia="Arial" w:hAnsi="Arial"/>
          <w:sz w:val="16"/>
          <w:szCs w:val="16"/>
          <w:color w:val="auto"/>
        </w:rPr>
        <w:t xml:space="preserve"> You will be able to attend the Annual Meeting by first registering at </w:t>
      </w:r>
      <w:r>
        <w:rPr>
          <w:rFonts w:ascii="Arial" w:cs="Arial" w:eastAsia="Arial" w:hAnsi="Arial"/>
          <w:sz w:val="16"/>
          <w:szCs w:val="16"/>
          <w:i w:val="1"/>
          <w:iCs w:val="1"/>
          <w:color w:val="auto"/>
        </w:rPr>
        <w:t>http://www.viewproxy.com/DFLI/2023AM.</w:t>
      </w:r>
      <w:r>
        <w:rPr>
          <w:rFonts w:ascii="Arial" w:cs="Arial" w:eastAsia="Arial" w:hAnsi="Arial"/>
          <w:sz w:val="16"/>
          <w:szCs w:val="16"/>
          <w:color w:val="auto"/>
        </w:rPr>
        <w:t xml:space="preserve"> You will receive a meeting invitation by e-mail with your unique join link along with a password prior to the meeting date. </w:t>
      </w:r>
      <w:r>
        <w:rPr>
          <w:rFonts w:ascii="Arial" w:cs="Arial" w:eastAsia="Arial" w:hAnsi="Arial"/>
          <w:sz w:val="16"/>
          <w:szCs w:val="16"/>
          <w:b w:val="1"/>
          <w:bCs w:val="1"/>
          <w:color w:val="auto"/>
        </w:rPr>
        <w:t>You will not be able to attend the Annual Meeting in person.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Annual Meeting is being held for the following purposes: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directors to the Board of Directors to hold office until the 2026 annual meeting of stockholders;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our Articles of Incorporation to increase the number of shares of common stock authorized for issuance thereunder from 170,000,000 to 250,000,000 (“</w:t>
      </w:r>
      <w:r>
        <w:rPr>
          <w:rFonts w:ascii="Arial" w:cs="Arial" w:eastAsia="Arial" w:hAnsi="Arial"/>
          <w:sz w:val="18"/>
          <w:szCs w:val="18"/>
          <w:b w:val="1"/>
          <w:bCs w:val="1"/>
          <w:color w:val="auto"/>
        </w:rPr>
        <w:t>Proposal 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adjournment of the Annual Meeting in the event that the number of shares of common stock present or represented by proxy at the Annual Meeting and voting “FOR” the adoption of Proposal 2 are insufficient;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BDO USA, P.C. as our independent registered public accounting firm for our fiscal year ending December 31, 2023;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Please complete, sign and return the proxy card whether or not you plan to attend the Annual Meeting. Alternatively, you may vote online at </w:t>
      </w:r>
      <w:r>
        <w:rPr>
          <w:rFonts w:ascii="Arial" w:cs="Arial" w:eastAsia="Arial" w:hAnsi="Arial"/>
          <w:sz w:val="18"/>
          <w:szCs w:val="18"/>
          <w:i w:val="1"/>
          <w:iCs w:val="1"/>
          <w:color w:val="auto"/>
        </w:rPr>
        <w:t xml:space="preserve">http://www.viewproxy.com/DFLI/2023AM. </w:t>
      </w:r>
      <w:r>
        <w:rPr>
          <w:rFonts w:ascii="Arial" w:cs="Arial" w:eastAsia="Arial" w:hAnsi="Arial"/>
          <w:sz w:val="18"/>
          <w:szCs w:val="18"/>
          <w:b w:val="1"/>
          <w:bCs w:val="1"/>
          <w:color w:val="auto"/>
        </w:rPr>
        <w:t>Your vote is important regardless of the number of shares you own. Voting by proxy will not prevent you</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from voting at the virtual Annual Meeting (provided you follow the revocation procedures described in the accompanying proxy statement) but will assure that your vote is counted if you cannot attend.</w:t>
      </w:r>
    </w:p>
    <w:p>
      <w:pPr>
        <w:spacing w:after="0" w:line="187" w:lineRule="exact"/>
        <w:rPr>
          <w:sz w:val="20"/>
          <w:szCs w:val="20"/>
          <w:color w:val="auto"/>
        </w:rPr>
      </w:pPr>
    </w:p>
    <w:p>
      <w:pPr>
        <w:jc w:val="both"/>
        <w:ind w:right="20" w:firstLine="847"/>
        <w:spacing w:after="0" w:line="277" w:lineRule="auto"/>
        <w:rPr>
          <w:sz w:val="20"/>
          <w:szCs w:val="20"/>
          <w:color w:val="auto"/>
        </w:rPr>
      </w:pPr>
      <w:r>
        <w:rPr>
          <w:rFonts w:ascii="Arial" w:cs="Arial" w:eastAsia="Arial" w:hAnsi="Arial"/>
          <w:sz w:val="18"/>
          <w:szCs w:val="18"/>
          <w:color w:val="auto"/>
        </w:rPr>
        <w:t>On behalf of the Board of Directors and the employees of Dragonfly Energy Holdings Corp., we thank you for your continued support and look forward to speaking with you at the Annual Meeting.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President, Chief Executive Officer, Interim Chief Financial Officer, and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require any assistance in voting your shares, please call:</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Alliance Advisors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 Broadacres Drive, 3rd Floor, Bloomfield, NJ 07003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FF0000"/>
        </w:rPr>
        <w:t>PRELIMINARY PROXY STATEMENT</w:t>
      </w:r>
      <w:r>
        <w:rPr>
          <w:rFonts w:ascii="Arial" w:cs="Arial" w:eastAsia="Arial" w:hAnsi="Arial"/>
          <w:sz w:val="18"/>
          <w:szCs w:val="18"/>
          <w:color w:val="FF0000"/>
        </w:rPr>
        <w:t>—</w:t>
      </w:r>
      <w:r>
        <w:rPr>
          <w:rFonts w:ascii="Arial" w:cs="Arial" w:eastAsia="Arial" w:hAnsi="Arial"/>
          <w:sz w:val="18"/>
          <w:szCs w:val="18"/>
          <w:b w:val="1"/>
          <w:bCs w:val="1"/>
          <w:color w:val="FF0000"/>
        </w:rPr>
        <w:t>SUBJECT TO COMPLETION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DATED OCTOBER 17,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Date:</w:t>
        <w:tab/>
        <w:t>November 29, 2023</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6"/>
          <w:szCs w:val="16"/>
          <w:b w:val="1"/>
          <w:bCs w:val="1"/>
          <w:color w:val="auto"/>
        </w:rPr>
        <w:t>9:00 a.m., Pacific Time</w:t>
      </w:r>
    </w:p>
    <w:p>
      <w:pPr>
        <w:spacing w:after="0" w:line="225" w:lineRule="exact"/>
        <w:rPr>
          <w:sz w:val="20"/>
          <w:szCs w:val="20"/>
          <w:color w:val="auto"/>
        </w:rPr>
      </w:pPr>
    </w:p>
    <w:p>
      <w:pPr>
        <w:jc w:val="both"/>
        <w:ind w:left="640" w:hanging="639"/>
        <w:spacing w:after="0" w:line="261" w:lineRule="auto"/>
        <w:tabs>
          <w:tab w:leader="none" w:pos="620" w:val="left"/>
        </w:tabs>
        <w:rPr>
          <w:sz w:val="20"/>
          <w:szCs w:val="20"/>
          <w:color w:val="auto"/>
        </w:rPr>
      </w:pPr>
      <w:r>
        <w:rPr>
          <w:rFonts w:ascii="Arial" w:cs="Arial" w:eastAsia="Arial" w:hAnsi="Arial"/>
          <w:sz w:val="18"/>
          <w:szCs w:val="18"/>
          <w:b w:val="1"/>
          <w:bCs w:val="1"/>
          <w:color w:val="auto"/>
        </w:rPr>
        <w:t>Place:</w:t>
        <w:tab/>
        <w:t xml:space="preserve">This year’s Annual Meeting will be held via the Internet. Stockholders will be able to listen, vote and submit questions regardless of location via the Internet at </w:t>
      </w:r>
      <w:r>
        <w:rPr>
          <w:rFonts w:ascii="Arial" w:cs="Arial" w:eastAsia="Arial" w:hAnsi="Arial"/>
          <w:sz w:val="18"/>
          <w:szCs w:val="18"/>
          <w:i w:val="1"/>
          <w:iCs w:val="1"/>
          <w:color w:val="auto"/>
        </w:rPr>
        <w:t>http://www.viewproxy.com/DFLI/2023AM.</w:t>
      </w:r>
      <w:r>
        <w:rPr>
          <w:rFonts w:ascii="Arial" w:cs="Arial" w:eastAsia="Arial" w:hAnsi="Arial"/>
          <w:sz w:val="18"/>
          <w:szCs w:val="18"/>
          <w:b w:val="1"/>
          <w:bCs w:val="1"/>
          <w:color w:val="auto"/>
        </w:rPr>
        <w:t xml:space="preserve"> You will be able to attend the Annual Meeting by first registering at </w:t>
      </w:r>
      <w:r>
        <w:rPr>
          <w:rFonts w:ascii="Arial" w:cs="Arial" w:eastAsia="Arial" w:hAnsi="Arial"/>
          <w:sz w:val="18"/>
          <w:szCs w:val="18"/>
          <w:i w:val="1"/>
          <w:iCs w:val="1"/>
          <w:color w:val="auto"/>
        </w:rPr>
        <w:t>http://www.viewproxy.com/DFLI/2023AM</w:t>
      </w:r>
      <w:r>
        <w:rPr>
          <w:rFonts w:ascii="Arial" w:cs="Arial" w:eastAsia="Arial" w:hAnsi="Arial"/>
          <w:sz w:val="18"/>
          <w:szCs w:val="18"/>
          <w:b w:val="1"/>
          <w:bCs w:val="1"/>
          <w:color w:val="auto"/>
        </w:rPr>
        <w:t>. You will receive a meeting invitation by e-mail with your unique join link along with a password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prior to the meeting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our 2023 Annual Meeting, we will ask you:</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to the Board of Directors to hold office until the 2026 annual meeting of stockholders;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Articles of Incorporation to increase the number of shares of common stock authorized for issuance thereunder from 170,000,000 to 250,000,000;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adjournment of the Annual Meeting in the event that the number of shares of common stock present or represented by proxy at the Annual Meeting and voting “FOR” the adoption of Proposal 2 are insufficient;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BDO USA, P.C. as our independent registered public accounting firm for our fiscal year ending December 31, 2023;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meeting or any adjournment or postponement thereof.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may vote at the Annual Meeting (or any adjournment or postponement of the Annual Meeting) if you were a stockholder of Dragonfly Energy Holdings Corp. at the close of business on October 20, 2023, or the Record Date. Only stockholders of record at the close of business on the Record Date are entitled to notice of, and to vote at, the Annual Meeting.</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President, Chief  Executive  Officer,  Interim  Chief  Financial  Officer,  and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October</w:t>
        <w:tab/>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1950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1950085"/>
                    </a:xfrm>
                    <a:prstGeom prst="rect">
                      <a:avLst/>
                    </a:prstGeom>
                    <a:noFill/>
                  </pic:spPr>
                </pic:pic>
              </a:graphicData>
            </a:graphic>
          </wp:anchor>
        </w:drawing>
        <w:t xml:space="preserve">IMPORTANT NOTICE REGARDING THE AVAILABILITY OF PROXY MATERIALS FOR THE 2023 ANNUAL MEETING OF STOCKHOLDERS TO BE HELD ON NOVEMBER 29, 2023: Our Proxy Statement for the 2023 Annual Meeting of Stockholders and the Annual Report to Stockholders on Form 10-K for the fiscal year ended December 31, 2022 are available at </w:t>
      </w:r>
      <w:r>
        <w:rPr>
          <w:rFonts w:ascii="Arial" w:cs="Arial" w:eastAsia="Arial" w:hAnsi="Arial"/>
          <w:sz w:val="18"/>
          <w:szCs w:val="18"/>
          <w:b w:val="1"/>
          <w:bCs w:val="1"/>
          <w:i w:val="1"/>
          <w:iCs w:val="1"/>
          <w:color w:val="auto"/>
        </w:rPr>
        <w:t>http://www.viewproxy.com/DFLI/2023AM</w:t>
      </w:r>
      <w:r>
        <w:rPr>
          <w:rFonts w:ascii="Arial" w:cs="Arial" w:eastAsia="Arial" w:hAnsi="Arial"/>
          <w:sz w:val="18"/>
          <w:szCs w:val="18"/>
          <w:i w:val="1"/>
          <w:iCs w:val="1"/>
          <w:color w:val="auto"/>
        </w:rPr>
        <w:t>.</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You are cordially invited to attend the Annual Meeting via live webcast by visiting </w:t>
      </w:r>
      <w:r>
        <w:rPr>
          <w:rFonts w:ascii="Arial" w:cs="Arial" w:eastAsia="Arial" w:hAnsi="Arial"/>
          <w:sz w:val="17"/>
          <w:szCs w:val="17"/>
          <w:b w:val="1"/>
          <w:bCs w:val="1"/>
          <w:i w:val="1"/>
          <w:iCs w:val="1"/>
          <w:color w:val="auto"/>
        </w:rPr>
        <w:t>http://www.viewproxy.com/DFLI/2023AM.</w:t>
      </w:r>
      <w:r>
        <w:rPr>
          <w:rFonts w:ascii="Arial" w:cs="Arial" w:eastAsia="Arial" w:hAnsi="Arial"/>
          <w:sz w:val="17"/>
          <w:szCs w:val="17"/>
          <w:b w:val="1"/>
          <w:bCs w:val="1"/>
          <w:color w:val="auto"/>
        </w:rPr>
        <w:t xml:space="preserve"> To be sure your vote is counted and assure a quorum is present, it is important that you vote your shares regardless of the number of shares you own. The Board of Directors urges you to vote over the Internet by going to </w:t>
      </w:r>
      <w:r>
        <w:rPr>
          <w:rFonts w:ascii="Arial" w:cs="Arial" w:eastAsia="Arial" w:hAnsi="Arial"/>
          <w:sz w:val="17"/>
          <w:szCs w:val="17"/>
          <w:b w:val="1"/>
          <w:bCs w:val="1"/>
          <w:i w:val="1"/>
          <w:iCs w:val="1"/>
          <w:color w:val="auto"/>
        </w:rPr>
        <w:t>http://www.viewproxy.com/DFLI/2023AM</w:t>
      </w:r>
      <w:r>
        <w:rPr>
          <w:rFonts w:ascii="Arial" w:cs="Arial" w:eastAsia="Arial" w:hAnsi="Arial"/>
          <w:sz w:val="17"/>
          <w:szCs w:val="17"/>
          <w:b w:val="1"/>
          <w:bCs w:val="1"/>
          <w:color w:val="auto"/>
        </w:rPr>
        <w:t xml:space="preserve"> or by telephone by calling Alliance Advisors at (866) 612-8937 or to sign, date and mark the proxy card promptly and return it to Dragonfly Energy Holdings Corp. Voting over the Internet or by telephone or by returning the proxy card will not prevent you from voting at the virtual Annual Meeting. </w:t>
      </w:r>
      <w:r>
        <w:rPr>
          <w:rFonts w:ascii="Arial" w:cs="Arial" w:eastAsia="Arial" w:hAnsi="Arial"/>
          <w:sz w:val="17"/>
          <w:szCs w:val="17"/>
          <w:b w:val="1"/>
          <w:bCs w:val="1"/>
          <w:i w:val="1"/>
          <w:iCs w:val="1"/>
          <w:color w:val="auto"/>
        </w:rPr>
        <w:t>Under Securities</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and Exchange Commission rules, we are providing access to our proxy materials both 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412115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Dragonfly Energy Holdings Corp., or Dragonfly, is a Nevada corporation. As used in this proxy statement, “we,” “us,” “our” and the “Company” refer to Dragonfly Energy Holdings Corp. The term “Annual Meeting” as used in this proxy statement refers to the 2023 Annual Meeting of Stockholders and includes any adjournment or postponement of the Annual Meeting.</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xml:space="preserve">”) rules, we are providing access to our proxy materials both by sending you this full set of proxy materials, and by notifying you of the availability of our proxy materials online at </w:t>
      </w:r>
      <w:r>
        <w:rPr>
          <w:rFonts w:ascii="Arial" w:cs="Arial" w:eastAsia="Arial" w:hAnsi="Arial"/>
          <w:sz w:val="17"/>
          <w:szCs w:val="17"/>
          <w:i w:val="1"/>
          <w:iCs w:val="1"/>
          <w:color w:val="auto"/>
        </w:rPr>
        <w:t>http://www.viewproxy.com/DFLI/2023AM</w:t>
      </w:r>
      <w:r>
        <w:rPr>
          <w:rFonts w:ascii="Arial" w:cs="Arial" w:eastAsia="Arial" w:hAnsi="Arial"/>
          <w:sz w:val="17"/>
          <w:szCs w:val="17"/>
          <w:color w:val="auto"/>
        </w:rPr>
        <w:t>, where you can access this proxy statement for the 2023 Annual Meeting, our Annual Report on Form 10-K for the fiscal year ended December 31, 2022 (the “</w:t>
      </w:r>
      <w:r>
        <w:rPr>
          <w:rFonts w:ascii="Arial" w:cs="Arial" w:eastAsia="Arial" w:hAnsi="Arial"/>
          <w:sz w:val="17"/>
          <w:szCs w:val="17"/>
          <w:b w:val="1"/>
          <w:bCs w:val="1"/>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color w:val="auto"/>
        </w:rPr>
        <w:t>Report</w:t>
      </w:r>
      <w:r>
        <w:rPr>
          <w:rFonts w:ascii="Arial" w:cs="Arial" w:eastAsia="Arial" w:hAnsi="Arial"/>
          <w:sz w:val="17"/>
          <w:szCs w:val="17"/>
          <w:color w:val="auto"/>
        </w:rPr>
        <w:t>”), and our proxy card. In addition, our proxy materials provide instructions on how you may request to receive, at no charge, all future proxy</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is soliciting your proxy to vote at the Annual Meeting. This proxy statement summarizes the information you will need to know to cast an informed vote at the Annual Meeting. You do not need to attend the Annual Meeting to vote your shares. You may simply complete, sign and return the proxy card and your votes will be cast for you at the Annual Meeting or you may vote online at </w:t>
      </w:r>
      <w:r>
        <w:rPr>
          <w:rFonts w:ascii="Arial" w:cs="Arial" w:eastAsia="Arial" w:hAnsi="Arial"/>
          <w:sz w:val="18"/>
          <w:szCs w:val="18"/>
          <w:i w:val="1"/>
          <w:iCs w:val="1"/>
          <w:color w:val="auto"/>
        </w:rPr>
        <w:t xml:space="preserve">http://www.viewproxy.com/DFLI/2023AM. </w:t>
      </w:r>
      <w:r>
        <w:rPr>
          <w:rFonts w:ascii="Arial" w:cs="Arial" w:eastAsia="Arial" w:hAnsi="Arial"/>
          <w:sz w:val="18"/>
          <w:szCs w:val="18"/>
          <w:color w:val="auto"/>
        </w:rPr>
        <w:t>This process is described below in the section entitled “Voting Rights.”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proxy statement and the Notice of Annual Meeting are dated October , 2023. If you owned shares of common stock of Dragonfly at the close of business on October 20, 2023 (the “</w:t>
      </w:r>
      <w:r>
        <w:rPr>
          <w:rFonts w:ascii="Arial" w:cs="Arial" w:eastAsia="Arial" w:hAnsi="Arial"/>
          <w:sz w:val="16"/>
          <w:szCs w:val="16"/>
          <w:b w:val="1"/>
          <w:bCs w:val="1"/>
          <w:color w:val="auto"/>
        </w:rPr>
        <w:t>Record Date</w:t>
      </w:r>
      <w:r>
        <w:rPr>
          <w:rFonts w:ascii="Arial" w:cs="Arial" w:eastAsia="Arial" w:hAnsi="Arial"/>
          <w:sz w:val="16"/>
          <w:szCs w:val="16"/>
          <w:color w:val="auto"/>
        </w:rPr>
        <w:t>”), you are entitled to vote at the Annual Meeting, as set out below. Each share of common stock</w:t>
      </w:r>
    </w:p>
    <w:p>
      <w:pPr>
        <w:spacing w:after="0"/>
        <w:tabs>
          <w:tab w:leader="none" w:pos="5420" w:val="left"/>
        </w:tabs>
        <w:rPr>
          <w:sz w:val="20"/>
          <w:szCs w:val="20"/>
          <w:color w:val="auto"/>
        </w:rPr>
      </w:pPr>
      <w:r>
        <w:rPr>
          <w:rFonts w:ascii="Arial" w:cs="Arial" w:eastAsia="Arial" w:hAnsi="Arial"/>
          <w:sz w:val="18"/>
          <w:szCs w:val="18"/>
          <w:color w:val="auto"/>
        </w:rPr>
        <w:t>is entitled to one vote per share. On the Record Date, there were</w:t>
      </w:r>
      <w:r>
        <w:rPr>
          <w:sz w:val="20"/>
          <w:szCs w:val="20"/>
          <w:color w:val="auto"/>
        </w:rPr>
        <w:tab/>
      </w:r>
      <w:r>
        <w:rPr>
          <w:rFonts w:ascii="Arial" w:cs="Arial" w:eastAsia="Arial" w:hAnsi="Arial"/>
          <w:sz w:val="16"/>
          <w:szCs w:val="16"/>
          <w:color w:val="auto"/>
        </w:rPr>
        <w:t>shares of common stock outstanding.</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This year’s Annual Meeting will be held in a virtual meeting format only. The Annual Meeting will convene on November 29, 2023, at 9:00 a.m. Pacific time. In order to participate in the Annual Meeting live via the Internet, you must register at </w:t>
      </w:r>
      <w:r>
        <w:rPr>
          <w:rFonts w:ascii="Arial" w:cs="Arial" w:eastAsia="Arial" w:hAnsi="Arial"/>
          <w:sz w:val="16"/>
          <w:szCs w:val="16"/>
          <w:i w:val="1"/>
          <w:iCs w:val="1"/>
          <w:color w:val="auto"/>
        </w:rPr>
        <w:t>http://www.viewproxy.com/DFLI/2023AM</w:t>
      </w:r>
      <w:r>
        <w:rPr>
          <w:rFonts w:ascii="Arial" w:cs="Arial" w:eastAsia="Arial" w:hAnsi="Arial"/>
          <w:sz w:val="16"/>
          <w:szCs w:val="16"/>
          <w:color w:val="auto"/>
        </w:rPr>
        <w:t xml:space="preserve"> by 11:59 p.m. Eastern Time by November 28, 2023.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2023 Annual Meeting (but will not be able to vote your shares) so long as you demonstrate proof of stock ownership. Instructions on how to connect and participate via the Internet, including how to demonstrate proof of stock ownership, are posted at </w:t>
      </w:r>
      <w:r>
        <w:rPr>
          <w:rFonts w:ascii="Arial" w:cs="Arial" w:eastAsia="Arial" w:hAnsi="Arial"/>
          <w:sz w:val="16"/>
          <w:szCs w:val="16"/>
          <w:i w:val="1"/>
          <w:iCs w:val="1"/>
          <w:color w:val="auto"/>
        </w:rPr>
        <w:t>http://www.viewproxy.com/DFLI/2023AM</w:t>
      </w:r>
      <w:r>
        <w:rPr>
          <w:rFonts w:ascii="Arial" w:cs="Arial" w:eastAsia="Arial" w:hAnsi="Arial"/>
          <w:sz w:val="16"/>
          <w:szCs w:val="16"/>
          <w:color w:val="auto"/>
        </w:rPr>
        <w:t>.</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On the day of the Annual Meeting, if you have properly registered, you may enter the Annual Meeting by logging in using the event password you received via email in your registration confirmation at </w:t>
      </w:r>
      <w:r>
        <w:rPr>
          <w:rFonts w:ascii="Arial" w:cs="Arial" w:eastAsia="Arial" w:hAnsi="Arial"/>
          <w:sz w:val="18"/>
          <w:szCs w:val="18"/>
          <w:i w:val="1"/>
          <w:iCs w:val="1"/>
          <w:color w:val="auto"/>
        </w:rPr>
        <w:t>http://www.viewproxy.com/DFLI/2023AM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Annual Meeting can be accessed by visiting </w:t>
      </w:r>
      <w:r>
        <w:rPr>
          <w:rFonts w:ascii="Arial" w:cs="Arial" w:eastAsia="Arial" w:hAnsi="Arial"/>
          <w:sz w:val="18"/>
          <w:szCs w:val="18"/>
          <w:i w:val="1"/>
          <w:iCs w:val="1"/>
          <w:color w:val="auto"/>
        </w:rPr>
        <w:t>http://www.viewproxy.com/DFLI/2023AM</w:t>
      </w:r>
      <w:r>
        <w:rPr>
          <w:rFonts w:ascii="Arial" w:cs="Arial" w:eastAsia="Arial" w:hAnsi="Arial"/>
          <w:sz w:val="18"/>
          <w:szCs w:val="18"/>
          <w:color w:val="auto"/>
        </w:rPr>
        <w:t>, where you will be able to listen to the meeting live, submit questions and vote online. You will need the virtual control number. As part of the Annual Meeting, we will hold a live question and answer session, during which we intend to answer questions submitted in writing during the meeting in accordance with the Annual Meeting procedures which are pertinent to the Company and the meeting matters, as time permits. Questions and answers will be grouped by topic and substantially similar questions will be grouped and answered once.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 encounter any technical difficulties accessing the Annual Meeting live audio webcast during the meeting time, there will be technicians ready to assist you with any technical difficulties you may have accessing the annual meeting live audio webcast. Please be sure to check in by 8:45 a.m. Pacific time on November 29, 2023, the day of the Annual Meeting, so that any technical difficulties may be addressed before the Annual Meeting live audio webcast begins. If you encounter any difficulties accessing the webcast during the check-in or meeting time, please email VirtualMeeting@viewproxy.com or call (866) 612-8937.</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 if you plan to attend the live webcast of the Annual Meeting, we encourage you to vote in advance by Internet, telephone or mail so that your vote will be counted even if you later decide not to attend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Purpose Of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you will be asked to vote:</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directors to the Board to hold office until the 2026 annual meeting of stockholders;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Incorporation to increase the number of shares of common stock authorized for issuance thereunder from 170,000,000 to 250,000,000;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adjournment of the Annual Meeting in the event that the number of shares of common stock present or represented by proxy at the Annual Meeting and voting “FOR” the adoption of Proposal 2 are insufficient;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BDO USA, P.C. as the Company’s independent registered public accounting firm for our fiscal year ending December 31, 2023;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meeting or any adjournment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quorum of stockholders is necessary to hold a valid meeting. The holders of one-third of the voting power of the outstanding shares of capital stock entitled to vote at the Annual Meeting as of the Record Date, represented in person or by proxy, will constitute a quorum for the transaction of business at the Annual Meeting. We will include proxies marked as abstentions, withheld votes, and broker non-votes to determine the number of shares present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Holders of our common stock are entitled to one vote at the Annual Meeting for each share of the common stock that he or she owned as of the Record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may vote your shares at the Annual Meeting via live webcast, by phone, over the Internet or by proxy. If you wish to vote your shares electronically at the Annual Meeting, there will be a live link provided during the Annual Meeting (you will need the virtual control number assigned to you).</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To vote over the Internet, you must go to </w:t>
      </w:r>
      <w:r>
        <w:rPr>
          <w:rFonts w:ascii="Arial" w:cs="Arial" w:eastAsia="Arial" w:hAnsi="Arial"/>
          <w:sz w:val="17"/>
          <w:szCs w:val="17"/>
          <w:i w:val="1"/>
          <w:iCs w:val="1"/>
          <w:color w:val="auto"/>
        </w:rPr>
        <w:t>http://www.viewproxy.com/DFLI/2023AM</w:t>
      </w:r>
      <w:r>
        <w:rPr>
          <w:rFonts w:ascii="Arial" w:cs="Arial" w:eastAsia="Arial" w:hAnsi="Arial"/>
          <w:sz w:val="17"/>
          <w:szCs w:val="17"/>
          <w:color w:val="auto"/>
        </w:rPr>
        <w:t xml:space="preserve">. To vote by phone, please call (866) 612-8937.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Arial" w:cs="Arial" w:eastAsia="Arial" w:hAnsi="Arial"/>
          <w:sz w:val="17"/>
          <w:szCs w:val="17"/>
          <w:b w:val="1"/>
          <w:bCs w:val="1"/>
          <w:color w:val="auto"/>
        </w:rPr>
        <w:t>If you are a stockholder of record and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you return a properly executed proxy card or vote by proxy over the Internet but do not mark the boxes showing how you wish to vote, your proxy will vote your shares “FOR” the Board’s nominees for director; “FOR” the amendment to the Company’s Articles of Incorporation to increase the number of shares authorized for issuance thereunder; “FOR” the adjournment of the Annual meeting in the event of insufficient proxies at the Annual Meeting to approve Proposal 2; and “FOR” the ratification of the appointment of our independent registered public accounting firm and, in the discretion of the proxy holders, on any other matters that properly come before the meeting. </w:t>
      </w:r>
      <w:r>
        <w:rPr>
          <w:rFonts w:ascii="Arial" w:cs="Arial" w:eastAsia="Arial" w:hAnsi="Arial"/>
          <w:sz w:val="17"/>
          <w:szCs w:val="17"/>
          <w:color w:val="auto"/>
        </w:rPr>
        <w:t>If any other matter is</w:t>
      </w:r>
      <w:r>
        <w:rPr>
          <w:rFonts w:ascii="Arial" w:cs="Arial" w:eastAsia="Arial" w:hAnsi="Arial"/>
          <w:sz w:val="17"/>
          <w:szCs w:val="17"/>
          <w:b w:val="1"/>
          <w:bCs w:val="1"/>
          <w:color w:val="auto"/>
        </w:rPr>
        <w:t xml:space="preserve"> </w:t>
      </w:r>
      <w:r>
        <w:rPr>
          <w:rFonts w:ascii="Arial" w:cs="Arial" w:eastAsia="Arial" w:hAnsi="Arial"/>
          <w:sz w:val="17"/>
          <w:szCs w:val="17"/>
          <w:color w:val="auto"/>
        </w:rPr>
        <w:t>presented, your proxy will vote your shares as a majority of the Board determines. As of the date of this proxy statement, we know of no other matters that may be presented at the Annual Meeting, other than those listed in the Notice of the Annual Meeting.</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hold your shares through a bank, brokerage firm or other nominee, you should vote your shares in accordance with the steps required by such bank, brokerage firm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Assuming that a quorum is present, the following votes will be required to approve each proposal:</w:t>
      </w:r>
    </w:p>
    <w:p>
      <w:pPr>
        <w:spacing w:after="0" w:line="225" w:lineRule="exact"/>
        <w:rPr>
          <w:sz w:val="20"/>
          <w:szCs w:val="20"/>
          <w:color w:val="auto"/>
        </w:rPr>
      </w:pPr>
    </w:p>
    <w:p>
      <w:pPr>
        <w:jc w:val="both"/>
        <w:ind w:left="34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first proposal (election of directors), directors are elected by a plurality of the votes present in person or represented by proxy and entitled to vote on the election of directors. The director nominees who receive the greatest number of votes at the Annual Meeting (up to the total number of directors to be elected) will be elected. As a result, withheld votes and “broker non-votes” (see below), if any, will not affect the outcome of the vote on Proposal 1. Consequently, only shares that are voted in favor of a particular nominee will be counted toward such nominee’s achievement of a plurality. You may not vote your shares cumulatively for the election of directors.</w:t>
      </w:r>
    </w:p>
    <w:p>
      <w:pPr>
        <w:spacing w:after="0" w:line="214"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With respect to the second proposal to approve an amendment to the Company’s Articles of Incorporation to increase the number of shares of common stock authorized for issuance thereunder from 170,000,000 to 250,000,000 requires the affirmative vote of holders of a majority of the voting power of the issued and outstanding shares as of the Record Date and entitled to vote at the Annual Meeting will be required to approve the third proposal. As a result, abstentions and “broker non-votes” (see below), if any, will have the effect of a vote “AGAINST” Proposal 2. Accordingly, it is particularly important that beneficial owners instruct their brokers how they wish to vote their shares.</w:t>
      </w:r>
    </w:p>
    <w:p>
      <w:pPr>
        <w:spacing w:after="0" w:line="203" w:lineRule="exact"/>
        <w:rPr>
          <w:rFonts w:ascii="Arial" w:cs="Arial" w:eastAsia="Arial" w:hAnsi="Arial"/>
          <w:sz w:val="17"/>
          <w:szCs w:val="17"/>
          <w:color w:val="auto"/>
        </w:rPr>
      </w:pPr>
    </w:p>
    <w:p>
      <w:pPr>
        <w:jc w:val="both"/>
        <w:ind w:left="340" w:hanging="332"/>
        <w:spacing w:after="0" w:line="275"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With respect to the third proposal to approve the adjournment of the Annual Meeting to the extent there are insufficient proxies at the Annual Meeting to approve Proposal 2, as well as the fourth proposal to ratify the appointment of BDO USA, P.C. for the fiscal year ending December 31, 2023, as well as, the approval of any other matter that may properly come before the Annual Meeting, the affirmative vote of a majority of the voting power of the total votes cast is required to approve these proposals. As a result, abstentions, broker non-votes, if any, and any other failure to submit a proxy or vote in person at the meeting, will not affect the outcome of the vote of Proposals 3 and 4.</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will not have any dissenters’ rights of appraisal in connection with any of the matters to be voted on at the meeting.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Board has determined that a vote in favor of the foregoing proposals is in the best interests of Dragonfly and our stockholders and unanimously recommends a vote </w:t>
      </w:r>
      <w:r>
        <w:rPr>
          <w:rFonts w:ascii="Arial" w:cs="Arial" w:eastAsia="Arial" w:hAnsi="Arial"/>
          <w:sz w:val="18"/>
          <w:szCs w:val="18"/>
          <w:b w:val="1"/>
          <w:bCs w:val="1"/>
          <w:color w:val="auto"/>
        </w:rPr>
        <w:t>“FOR” the Board’s nominees for director; “FOR” the amendment to the Articles of Incorporation; “FOR” the</w:t>
      </w:r>
      <w:r>
        <w:rPr>
          <w:rFonts w:ascii="Arial" w:cs="Arial" w:eastAsia="Arial" w:hAnsi="Arial"/>
          <w:sz w:val="18"/>
          <w:szCs w:val="18"/>
          <w:color w:val="auto"/>
        </w:rPr>
        <w:t xml:space="preserve"> </w:t>
      </w:r>
      <w:r>
        <w:rPr>
          <w:rFonts w:ascii="Arial" w:cs="Arial" w:eastAsia="Arial" w:hAnsi="Arial"/>
          <w:sz w:val="18"/>
          <w:szCs w:val="18"/>
          <w:b w:val="1"/>
          <w:bCs w:val="1"/>
          <w:color w:val="auto"/>
        </w:rPr>
        <w:t>adjournment of the Annual Meeting in the event of insufficient proxies at the Annual Meeting to approve Proposal 2; and “FOR” the ratification of the appointment of our independent registered public accounting firm and, in the discretion of the proxy holders, on any other matters that properly come before the meeting.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648"/>
        <w:spacing w:after="0" w:line="286" w:lineRule="auto"/>
        <w:rPr>
          <w:sz w:val="20"/>
          <w:szCs w:val="20"/>
          <w:color w:val="auto"/>
        </w:rPr>
      </w:pPr>
      <w:r>
        <w:rPr>
          <w:rFonts w:ascii="Arial" w:cs="Arial" w:eastAsia="Arial" w:hAnsi="Arial"/>
          <w:sz w:val="16"/>
          <w:szCs w:val="16"/>
          <w:color w:val="auto"/>
        </w:rPr>
        <w:t>Under the applicable rules governing such brokers, we believe Proposal 2 to approve an amendment to our Articles of Incorporation to increase the number of shares of common stock authorized for issuance thereunder, Proposal 3 to approve the adjournment of the Annual Meeting to the extent there are insufficient proxies at the Annual Meeting to approve Proposal 2, and Proposal 4 to ratify the appointment of BDO USA, P.C. as our independent registered public accounting firm are likely to be considered “routine” items. This means that brokers may vote using their discretion on such proposals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such uninstructed shares. We believe Proposal 1 to elect directors is likely to be considered “non-routine”, which means that brokers cannot vote your uninstructed shares when they do not receive voting instructions from you. Furthermore, if approvals of Proposals 2, 3 or 4 are deemed by the New York Stock Exchange to be “non-routine” matters, brokers will not be permitted to vote on Proposals 2, 3 or 4 if the broker has not received instructions from the beneficial owner. In addition, if the New York Stock Exchange determines Proposal 2 to be “non-routine,” failure to vote on Proposal 2, which requires the affirmative vote of at least a majority in voting power of our issued and outstanding voting securities, or to instruct your broker how to vote any shares held for you in your broker’s names, will have the same effect as a vote against such proposal. Accordingly, it is particularly important that beneficial owners instruct their brokers how they wish to vote their shares for these proposals.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Your Vote after Voting over the Internet or Revoking Your Proxy</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You may change your vote by attending the Annual Meeting and voting online even if you previously voted over the Internet. Alternatively, you may change your vote by contacting Alliance Advisors LLC by phone at (866) 612-8937, or re-voting over the Internet following the instructions provided.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is exercised by:</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letter with our Secretary revoking the proxy;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another signed proxy with a later date;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Annual Meeting and voting online, provided you file a written revocation with the Secretary of the Annual Meeting prior to the voting of such proxy.</w:t>
      </w:r>
    </w:p>
    <w:p>
      <w:pPr>
        <w:spacing w:after="0" w:line="166"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8"/>
          <w:szCs w:val="18"/>
          <w:b w:val="1"/>
          <w:bCs w:val="1"/>
          <w:color w:val="auto"/>
        </w:rPr>
        <w:t xml:space="preserve">If your shares are not registered in your own name, you will need appropriate documentation from your stockholder of record to vote at the Annual Meeting. </w:t>
      </w:r>
      <w:r>
        <w:rPr>
          <w:rFonts w:ascii="Arial" w:cs="Arial" w:eastAsia="Arial" w:hAnsi="Arial"/>
          <w:sz w:val="18"/>
          <w:szCs w:val="18"/>
          <w:color w:val="auto"/>
        </w:rPr>
        <w:t>Examples of such documentation include a broker’s statement, letter or other document that will confirm your ownership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Dragonfly.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pay the costs of soliciting proxies from our stockholders, directors, officers or employees of Dragonfly may solicit proxies by mail, telephone or other forms of communication. We will also reimburse banks, brokers, nominees and other fiduciaries for the expenses they incur in forwarding the proxy materials to you.</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$24,670, and we will reimburse their out-of-pocket expenses. We have also agreed to indemnify Alliance Advisors LLC against certain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431800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t>PROPOSAL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currently consists of three classes and a total of seven directors, two of whom are being nominated for reelection at this Annual Meeting. Vacancies on the Board may be filled only by persons elected by a majority of the remaining directors, even if less than a quorum, or by the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two nominees listed below are incumbent directors. If elected at the Annual Meeting, each of these nominees would serve until the 2026 annual meeting of stockholders and until his or her successor has been duly elected and qualified, or, if sooner, until the director’s death, resignation or removal. Because the number of nominees properly nominated for the Annual Meeting is the same as the number of directors to be elected, the election of directors at this Annual Meeting is uncontested.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Directors are elected by a plurality of the votes of the holders of shares present in person or represented by proxy and entitled to vote on the election of directors. In accordance with our Bylaws (the “</w:t>
      </w:r>
      <w:r>
        <w:rPr>
          <w:rFonts w:ascii="Arial" w:cs="Arial" w:eastAsia="Arial" w:hAnsi="Arial"/>
          <w:sz w:val="17"/>
          <w:szCs w:val="17"/>
          <w:b w:val="1"/>
          <w:bCs w:val="1"/>
          <w:color w:val="auto"/>
        </w:rPr>
        <w:t>Bylaws</w:t>
      </w:r>
      <w:r>
        <w:rPr>
          <w:rFonts w:ascii="Arial" w:cs="Arial" w:eastAsia="Arial" w:hAnsi="Arial"/>
          <w:sz w:val="17"/>
          <w:szCs w:val="17"/>
          <w:color w:val="auto"/>
        </w:rPr>
        <w:t>”) and Nevada law, a stockholder entitled to vote for the election of directors may withhold authority to vote for certain nominees for directors or may withhold authority to vote for all nominees for directors. Withheld votes and broker non-votes will not be treated as a vote for or against any particular director nominee and will not affect the outcome of the election. Stockholders may not vote, or submit a proxy, for a greater number of nominees than the four nominees named below. The director nominees receiving the highest number of affirmative votes will be elected. Shares represented by executed proxies will be voted, if authority to do so is not withheld, for the election of the four director nominees named below. If any director nominee becomes unavailable for election as a result of an unexpected occurrence, shares that would have been voted for that nominee will instead be voted for the election of a substitute nominee proposed by our Board. Each person nominated for election has agreed to serve if elected. Our management has no reason to believe that any nominee will be unable to serve.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A Directors at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name, age, position and tenure of each of the nominees for the 2023 Annual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Position(s) Held With</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68"/>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Dragonfly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r>
      <w:tr>
        <w:trPr>
          <w:trHeight w:val="202"/>
        </w:trPr>
        <w:tc>
          <w:tcPr>
            <w:tcW w:w="2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Rick Parod</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7"/>
                <w:szCs w:val="17"/>
                <w:color w:val="auto"/>
              </w:rPr>
            </w:pPr>
          </w:p>
        </w:tc>
        <w:tc>
          <w:tcPr>
            <w:tcW w:w="5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2022</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Karina Montilla Edmonds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20"/>
                <w:szCs w:val="20"/>
                <w:color w:val="auto"/>
              </w:rPr>
            </w:pPr>
          </w:p>
        </w:tc>
        <w:tc>
          <w:tcPr>
            <w:tcW w:w="6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includes a brief biography of each of the nominees standing for election to the Board at the Annual Meeting, based on information furnished to us by each director nominee, with each biography including information regarding the experiences, qualifications, attributes or skills that caused the Nominating and Corporate Governance Committee and the Board to determine that the applicable nominee should serve as a member of our Board.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Rick Parod </w:t>
      </w:r>
      <w:r>
        <w:rPr>
          <w:rFonts w:ascii="Arial" w:cs="Arial" w:eastAsia="Arial" w:hAnsi="Arial"/>
          <w:sz w:val="17"/>
          <w:szCs w:val="17"/>
          <w:color w:val="auto"/>
        </w:rPr>
        <w:t>has served as a member of our Board since October 2022. Mr. Parod currently serves as the CEO of AdeptAg, a company that serves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Karina Montilla Edmonds, Ph.D</w:t>
      </w:r>
      <w:r>
        <w:rPr>
          <w:rFonts w:ascii="Arial" w:cs="Arial" w:eastAsia="Arial" w:hAnsi="Arial"/>
          <w:sz w:val="17"/>
          <w:szCs w:val="17"/>
          <w:color w:val="auto"/>
        </w:rPr>
        <w:t>. has served as a member of our Board since October 2022. Dr. Edmonds currently serves as the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Membership Diversity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Board Diversity Rules (Rule 5605(f) and Rule 5606) promulgated by The Nasdaq Stock Market LLC (“</w:t>
      </w:r>
      <w:r>
        <w:rPr>
          <w:rFonts w:ascii="Arial" w:cs="Arial" w:eastAsia="Arial" w:hAnsi="Arial"/>
          <w:sz w:val="16"/>
          <w:szCs w:val="16"/>
          <w:b w:val="1"/>
          <w:bCs w:val="1"/>
          <w:color w:val="auto"/>
        </w:rPr>
        <w:t>Nasdaq</w:t>
      </w:r>
      <w:r>
        <w:rPr>
          <w:rFonts w:ascii="Arial" w:cs="Arial" w:eastAsia="Arial" w:hAnsi="Arial"/>
          <w:sz w:val="16"/>
          <w:szCs w:val="16"/>
          <w:color w:val="auto"/>
        </w:rPr>
        <w:t>”), the following Board Diversity Matrix presents our Board diversity statistics. The minimum diversity objective for smaller reporting companies listed on The Nasdaq Global Market after August 6, 2021 must have (i) at least one diverse director within one year from the initial date of listing or December 31, 2023, whichever is later, and (ii) two diverse directors within two years of the initial date of listing or December 31, 2025, whichever is later, who self-identifies as either female, an underrepresented minority or LGBTQ+. “Underrepresented Minority” means an individual who self-identifies as one or more of the following: Black or African American, Hispanic or Latinx, Asian, Native American or Alaska Native, Native Hawaiian or Pacific Islander, or Two or More Races or Ethnicities. “Two or More Races or Ethnicities” means a person who identifies with more than one of the following categories: White (not of Hispanic or Latinx origin), Black or African American, Hispanic or Latinx, Asian, Native American or Alaska Native, Native Hawaiian or Pacific Islander.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October 20, 2023)</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08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8"/>
                <w:szCs w:val="18"/>
                <w:b w:val="1"/>
                <w:bCs w:val="1"/>
                <w:color w:val="auto"/>
              </w:rPr>
              <w:t>Total Number of Directors</w:t>
            </w:r>
          </w:p>
        </w:tc>
        <w:tc>
          <w:tcPr>
            <w:tcW w:w="1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w:t>
            </w:r>
          </w:p>
        </w:tc>
        <w:tc>
          <w:tcPr>
            <w:tcW w:w="27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080" w:type="dxa"/>
            <w:vAlign w:val="bottom"/>
            <w:tcBorders>
              <w:left w:val="single" w:sz="8" w:color="auto"/>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Female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Male</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Non-Binary</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Did Not Disclose Gender</w:t>
            </w:r>
          </w:p>
        </w:tc>
      </w:tr>
      <w:tr>
        <w:trPr>
          <w:trHeight w:val="209"/>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Part I: Gender Identity</w:t>
            </w: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Directors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Part 2: Demographic Background</w:t>
            </w: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African American or Black</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09"/>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Alaskan Native or Native American</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Asian</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Hispanic or Latinx</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Native Hawaiian or Pacific Islander</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09"/>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Two or More Races or Ethnicities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LGBTQ+</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w:t>
            </w: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1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w:t>
            </w: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A VOTE “FOR” ALL OF THE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Operations and Meetings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Board currently consists of three classes of a total of seven directors. Our directors each serve staggered three-year terms with one class being elected at each year’s annual meeting of stockholders, as follows:</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 A, which consists of Rick Parod and Karina Montilla Edmonds, whose terms will expire at this Annual Meeting;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 B, which consists of Brian Nelson and Jonathan Bellows, whose terms will expire at the 2024 Annual Meeting;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 C, which consists of Denis Phares, Luisa Ingargiola and Perry Boyle, whose terms will expire at the 2025 Annual Meeting.</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formal policy regarding board diversity. Our priority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oversees our business and monitors the performance of our management. In accordance with our corporate governance procedures, the Board does not involve itself in the day-to-day operations of Dragonfly.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following table sets forth our current directors, as of the date of this proxy statement, including two of our current directors who are nominated for election at the 2023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Class A Directors (Terms to Expire at the 2023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who are Class A Directors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Karina Montilla Edmonds</w:t>
      </w:r>
      <w:r>
        <w:rPr>
          <w:rFonts w:ascii="Arial" w:cs="Arial" w:eastAsia="Arial" w:hAnsi="Arial"/>
          <w:sz w:val="18"/>
          <w:szCs w:val="18"/>
          <w:color w:val="auto"/>
        </w:rPr>
        <w:t>, see Ms. Edmond’s biography in “Proposal 1”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Rick Parod</w:t>
      </w:r>
      <w:r>
        <w:rPr>
          <w:rFonts w:ascii="Arial" w:cs="Arial" w:eastAsia="Arial" w:hAnsi="Arial"/>
          <w:sz w:val="18"/>
          <w:szCs w:val="18"/>
          <w:color w:val="auto"/>
        </w:rPr>
        <w:t>, see Mr. Parod’s biography in “Proposal 1”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Class B Directors (Terms to Expire at the 2024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who are Class B Directors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Position(s) Held With</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255"/>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Dragonfly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r>
      <w:tr>
        <w:trPr>
          <w:trHeight w:val="202"/>
        </w:trPr>
        <w:tc>
          <w:tcPr>
            <w:tcW w:w="2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Brian Nelson</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7"/>
                <w:szCs w:val="17"/>
                <w:color w:val="auto"/>
              </w:rPr>
            </w:pPr>
          </w:p>
        </w:tc>
        <w:tc>
          <w:tcPr>
            <w:tcW w:w="5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2022</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Jonathan Bellows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Pr>
          <w:p>
            <w:pPr>
              <w:spacing w:after="0"/>
              <w:rPr>
                <w:sz w:val="20"/>
                <w:szCs w:val="20"/>
                <w:color w:val="auto"/>
              </w:rPr>
            </w:pPr>
          </w:p>
        </w:tc>
        <w:tc>
          <w:tcPr>
            <w:tcW w:w="6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Brian Nelson </w:t>
      </w:r>
      <w:r>
        <w:rPr>
          <w:rFonts w:ascii="Arial" w:cs="Arial" w:eastAsia="Arial" w:hAnsi="Arial"/>
          <w:sz w:val="18"/>
          <w:szCs w:val="18"/>
          <w:color w:val="auto"/>
        </w:rPr>
        <w:t>has served as a member of our Board since October 2022. Prior to the Business Combination (as defined herein), Mr. Nelson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board of directors of Dragonfly Energy Corp., a wholly owned subsidiary of Dragonfly (“</w:t>
      </w:r>
      <w:r>
        <w:rPr>
          <w:rFonts w:ascii="Arial" w:cs="Arial" w:eastAsia="Arial" w:hAnsi="Arial"/>
          <w:sz w:val="18"/>
          <w:szCs w:val="18"/>
          <w:b w:val="1"/>
          <w:bCs w:val="1"/>
          <w:color w:val="auto"/>
        </w:rPr>
        <w:t>Legacy Dragonfly</w:t>
      </w:r>
      <w:r>
        <w:rPr>
          <w:rFonts w:ascii="Arial" w:cs="Arial" w:eastAsia="Arial" w:hAnsi="Arial"/>
          <w:sz w:val="18"/>
          <w:szCs w:val="18"/>
          <w:color w:val="auto"/>
        </w:rPr>
        <w:t>”),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441"/>
        <w:spacing w:after="0" w:line="271" w:lineRule="auto"/>
        <w:rPr>
          <w:sz w:val="20"/>
          <w:szCs w:val="20"/>
          <w:color w:val="auto"/>
        </w:rPr>
      </w:pPr>
      <w:r>
        <w:rPr>
          <w:rFonts w:ascii="Arial" w:cs="Arial" w:eastAsia="Arial" w:hAnsi="Arial"/>
          <w:sz w:val="17"/>
          <w:szCs w:val="17"/>
          <w:b w:val="1"/>
          <w:bCs w:val="1"/>
          <w:i w:val="1"/>
          <w:iCs w:val="1"/>
          <w:color w:val="auto"/>
        </w:rPr>
        <w:t xml:space="preserve">Jonathan Bellows </w:t>
      </w:r>
      <w:r>
        <w:rPr>
          <w:rFonts w:ascii="Arial" w:cs="Arial" w:eastAsia="Arial" w:hAnsi="Arial"/>
          <w:sz w:val="17"/>
          <w:szCs w:val="17"/>
          <w:color w:val="auto"/>
        </w:rPr>
        <w:t>has served as a member of our Board since October 2022. Mr. Bellows currently serves as President of KORE Power,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Class C Directors (Terms to Expire at the 2025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who are Class C Directors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60" w:type="dxa"/>
            <w:vAlign w:val="bottom"/>
            <w:gridSpan w:val="2"/>
          </w:tcPr>
          <w:p>
            <w:pPr>
              <w:ind w:left="2120"/>
              <w:spacing w:after="0"/>
              <w:rPr>
                <w:sz w:val="20"/>
                <w:szCs w:val="20"/>
                <w:color w:val="auto"/>
              </w:rPr>
            </w:pPr>
            <w:r>
              <w:rPr>
                <w:rFonts w:ascii="Arial" w:cs="Arial" w:eastAsia="Arial" w:hAnsi="Arial"/>
                <w:sz w:val="18"/>
                <w:szCs w:val="18"/>
                <w:b w:val="1"/>
                <w:bCs w:val="1"/>
                <w:color w:val="auto"/>
              </w:rPr>
              <w:t>Position(s) Held With</w:t>
            </w: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Director</w:t>
            </w:r>
          </w:p>
        </w:tc>
      </w:tr>
      <w:tr>
        <w:trPr>
          <w:trHeight w:val="241"/>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Dragonfly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3"/>
              </w:rPr>
              <w:t>Since</w:t>
            </w:r>
          </w:p>
        </w:tc>
      </w:tr>
      <w:tr>
        <w:trPr>
          <w:trHeight w:val="202"/>
        </w:trPr>
        <w:tc>
          <w:tcPr>
            <w:tcW w:w="2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Denis Phares</w:t>
            </w:r>
          </w:p>
        </w:tc>
        <w:tc>
          <w:tcPr>
            <w:tcW w:w="220" w:type="dxa"/>
            <w:vAlign w:val="bottom"/>
          </w:tcPr>
          <w:p>
            <w:pPr>
              <w:spacing w:after="0"/>
              <w:rPr>
                <w:sz w:val="17"/>
                <w:szCs w:val="17"/>
                <w:color w:val="auto"/>
              </w:rPr>
            </w:pP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7"/>
                <w:szCs w:val="17"/>
                <w:color w:val="auto"/>
              </w:rPr>
            </w:pPr>
          </w:p>
        </w:tc>
        <w:tc>
          <w:tcPr>
            <w:tcW w:w="5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President, Chief Executive Officer, Interim Chief Financial Officer and Chairman</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2022</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Luisa Ingargiola</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8"/>
                <w:szCs w:val="18"/>
                <w:color w:val="auto"/>
              </w:rPr>
            </w:pPr>
          </w:p>
        </w:tc>
        <w:tc>
          <w:tcPr>
            <w:tcW w:w="6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Lead Independent 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tcPr>
          <w:p>
            <w:pPr>
              <w:spacing w:after="0"/>
              <w:rPr>
                <w:sz w:val="20"/>
                <w:szCs w:val="20"/>
                <w:color w:val="auto"/>
              </w:rPr>
            </w:pPr>
          </w:p>
        </w:tc>
        <w:tc>
          <w:tcPr>
            <w:tcW w:w="6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r>
    </w:tbl>
    <w:p>
      <w:pPr>
        <w:spacing w:after="0" w:line="202"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b w:val="1"/>
          <w:bCs w:val="1"/>
          <w:i w:val="1"/>
          <w:iCs w:val="1"/>
          <w:color w:val="auto"/>
        </w:rPr>
        <w:t xml:space="preserve">Dr. Denis Phares </w:t>
      </w:r>
      <w:r>
        <w:rPr>
          <w:rFonts w:ascii="Arial" w:cs="Arial" w:eastAsia="Arial" w:hAnsi="Arial"/>
          <w:sz w:val="18"/>
          <w:szCs w:val="18"/>
          <w:color w:val="auto"/>
        </w:rPr>
        <w:t>has served as our Chief Executive Officer and Chairman of our Board since October 2022 and as our Interim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August 2023.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Luisa Ingargiola </w:t>
      </w:r>
      <w:r>
        <w:rPr>
          <w:rFonts w:ascii="Arial" w:cs="Arial" w:eastAsia="Arial" w:hAnsi="Arial"/>
          <w:sz w:val="17"/>
          <w:szCs w:val="17"/>
          <w:color w:val="auto"/>
        </w:rPr>
        <w:t>has served as a member of our Board since October 2022. Prior to the Business Combination, Ms. Ingargiola served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has served as a member of our Board since October 2022. Prior to the Business Combination, he served on the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Chardan NexTech Acquisition 2 Corporation (“</w:t>
      </w:r>
      <w:r>
        <w:rPr>
          <w:rFonts w:ascii="Arial" w:cs="Arial" w:eastAsia="Arial" w:hAnsi="Arial"/>
          <w:sz w:val="17"/>
          <w:szCs w:val="17"/>
          <w:b w:val="1"/>
          <w:bCs w:val="1"/>
          <w:color w:val="auto"/>
        </w:rPr>
        <w:t>CNTQ</w:t>
      </w:r>
      <w:r>
        <w:rPr>
          <w:rFonts w:ascii="Arial" w:cs="Arial" w:eastAsia="Arial" w:hAnsi="Arial"/>
          <w:sz w:val="17"/>
          <w:szCs w:val="17"/>
          <w:color w:val="auto"/>
        </w:rPr>
        <w:t>”)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has determined that Luisa Ingargiola, Rick Parod, Karina Montilla Edmonds, Brian Nelson, Jonathan Bellows are qualified to serve as independent directors. The standards relied on by the Board in affirmatively determining whether a director is “independent,” in compliance with Nasdaq’s rules, are comprised of those objective standards set forth in the rules promulgated by Nasdaq. The Board is responsible for ensuring that independent directors do not have a relationship that, in the opinion of the Board, would interfere with the exercise of independent judgment in carrying out the responsibilities of a director.</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Nasdaq’s rules, as well as SEC rules, impose additional independence requirements for all members of the Audit Committee. Specifically, in addition to the “independence” requirements discussed above, “independent” audit committee members must: (1) not accept, directly or indirectly, any consulting, advisory, or other compensatory fees from Dragonfly or any subsidiary of Dragonfly other than in the member’s capacity as a member of the Board and any Board committee; (2) not be an affiliated person of Dragonfly or any subsidiary of Dragonfly; and (3) not have participated in the preparation of the financial statements of Dragonfly or any current subsidiary of Dragonfly at any time during the past three years. In addition, Nasdaq’s rules require that all audit committee members be able to read and understand fundamental financial statements, including Dragonfly’s balance sheet, income statement, and cash flow statement. The Board believes that the current members of the Audit Committee meet these additional standards.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Arial" w:cs="Arial" w:eastAsia="Arial" w:hAnsi="Arial"/>
          <w:sz w:val="16"/>
          <w:szCs w:val="16"/>
          <w:i w:val="1"/>
          <w:iCs w:val="1"/>
          <w:u w:val="single" w:color="auto"/>
          <w:color w:val="auto"/>
        </w:rPr>
        <w:t>https://dragonflyenergy.com/</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is our first Annual Meeting of Stockholders since the consummation of the Business Combination. Since October 7, 2022 through December 31, 2022, (i) our Board met two (2) times; (ii) our audit committee of the Board (the “</w:t>
      </w:r>
      <w:r>
        <w:rPr>
          <w:rFonts w:ascii="Arial" w:cs="Arial" w:eastAsia="Arial" w:hAnsi="Arial"/>
          <w:sz w:val="16"/>
          <w:szCs w:val="16"/>
          <w:b w:val="1"/>
          <w:bCs w:val="1"/>
          <w:color w:val="auto"/>
        </w:rPr>
        <w:t>Audit Committee</w:t>
      </w:r>
      <w:r>
        <w:rPr>
          <w:rFonts w:ascii="Arial" w:cs="Arial" w:eastAsia="Arial" w:hAnsi="Arial"/>
          <w:sz w:val="16"/>
          <w:szCs w:val="16"/>
          <w:color w:val="auto"/>
        </w:rPr>
        <w:t>”) met one (1) time; (iii) our compensation committee of the Board (the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met one (1) time; and (iv) our nominating and corporate governance committee of the Board (the “</w:t>
      </w:r>
      <w:r>
        <w:rPr>
          <w:rFonts w:ascii="Arial" w:cs="Arial" w:eastAsia="Arial" w:hAnsi="Arial"/>
          <w:sz w:val="16"/>
          <w:szCs w:val="16"/>
          <w:b w:val="1"/>
          <w:bCs w:val="1"/>
          <w:color w:val="auto"/>
        </w:rPr>
        <w:t>Nominating and Corporate Governance Committee</w:t>
      </w:r>
      <w:r>
        <w:rPr>
          <w:rFonts w:ascii="Arial" w:cs="Arial" w:eastAsia="Arial" w:hAnsi="Arial"/>
          <w:sz w:val="16"/>
          <w:szCs w:val="16"/>
          <w:color w:val="auto"/>
        </w:rPr>
        <w:t>”) did not meet. Each director attended at least 75% of the aggregate of (i) the total number of meetings of our Board (held during the period for which such director served on the Board and inclusive of any such special meetings of the Board) and</w:t>
      </w:r>
    </w:p>
    <w:p>
      <w:pPr>
        <w:spacing w:after="0" w:line="2" w:lineRule="exact"/>
        <w:rPr>
          <w:sz w:val="20"/>
          <w:szCs w:val="20"/>
          <w:color w:val="auto"/>
        </w:rPr>
      </w:pPr>
    </w:p>
    <w:p>
      <w:pPr>
        <w:ind w:firstLine="8"/>
        <w:spacing w:after="0" w:line="260" w:lineRule="auto"/>
        <w:tabs>
          <w:tab w:leader="none" w:pos="2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meetings of all committees of our Board on which such director served (during the periods for which the director served on such committee or committees).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Luisa Ingargiola qualifies as an Audit Committee financial expert within the meaning of SEC regulations and the Nasdaq Marketplace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648"/>
        <w:spacing w:after="0" w:line="275" w:lineRule="auto"/>
        <w:rPr>
          <w:sz w:val="20"/>
          <w:szCs w:val="20"/>
          <w:color w:val="auto"/>
        </w:rPr>
      </w:pPr>
      <w:r>
        <w:rPr>
          <w:rFonts w:ascii="Arial" w:cs="Arial" w:eastAsia="Arial" w:hAnsi="Arial"/>
          <w:sz w:val="17"/>
          <w:szCs w:val="17"/>
          <w:color w:val="auto"/>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 The functions of the Audit Committee include, among other things:</w:t>
      </w:r>
    </w:p>
    <w:p>
      <w:pPr>
        <w:spacing w:after="0" w:line="176"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compensating, oversight, and evaluating the performance, independence and qualifications of our independent auditors and determining whether to retain our existing independent auditors or engage new independent auditors;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financial reporting processes and disclosure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and approving the engagement of our independent auditors to perform audit services and any permissible non-audit services;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with the independent auditors the annual audit plan, including the scope of audit activities and all critical accounting policies and practices to be used by 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reviewing at least annually a report by our independent auditors describing the independent auditors’ internal quality control procedures and any issues raised by the most recent internal quality-control review;</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the rotation of the lead auditor of our independent auditors and consider regular rotation of the accounting firm serving as our independent auditors;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annually, reviewing relationships or services that may impact the objectivity and independence of the auditors;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annual and financial statements and reports and discussing the statements and reports with our independent auditors and management;</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financial controls, accounting, auditing or other matters;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significant risk exposures;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Audit Committee and the Audit Committee charter.</w:t>
      </w:r>
    </w:p>
    <w:p>
      <w:pPr>
        <w:spacing w:after="0" w:line="3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composition and function of the Audit Committee complies with all applicable requirements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xml:space="preserve">”) and all applicable SEC rules and regulations. We will comply with future requirements to the extent they become applicable to us. A copy of the Audit Committee Charter is posted under the “Investors” tab on our website, which is located at </w:t>
      </w:r>
      <w:r>
        <w:rPr>
          <w:rFonts w:ascii="Arial" w:cs="Arial" w:eastAsia="Arial" w:hAnsi="Arial"/>
          <w:sz w:val="17"/>
          <w:szCs w:val="17"/>
          <w:i w:val="1"/>
          <w:iCs w:val="1"/>
          <w:color w:val="auto"/>
        </w:rPr>
        <w:t>https://dragonflyenergy.com/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formed a Compensation Committee which consists of Luisa Ingargiola, Brian Nelson, and Rick Parod, all of whom are independent (as that term is defined under the Nasdaq Marketplace Rules).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Compensation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corporate goals and objectives that pertain to the determination of executive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executive officers;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performance goals and objectives relevant to the compensation of our Chief Executive Officer and assessing the Chief Executive Officer’s performance against these goals and objectives;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recommendations to our Board regarding the adoption, termination, amendment of equity and cash incentive plans and approving amendments to such plans to the extent authorized by our Board;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terms of any employment agreements, severance arrangements or plans, including any benefits to be provided in connection with a change in control, for the Chief Executive Officer and other executives;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an annual report on executive compensation that the SEC requires in our annual proxy statement;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to our Board for executive officer development and retention and corporate succession plans.</w:t>
      </w:r>
    </w:p>
    <w:p>
      <w:pPr>
        <w:spacing w:after="0" w:line="33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Board has adopted a written charter for the Compensation Committee. A copy of the Compensation Committee Charter is posted under the “Investors” tab on our website, which is located at </w:t>
      </w:r>
      <w:r>
        <w:rPr>
          <w:rFonts w:ascii="Arial" w:cs="Arial" w:eastAsia="Arial" w:hAnsi="Arial"/>
          <w:sz w:val="18"/>
          <w:szCs w:val="18"/>
          <w:i w:val="1"/>
          <w:iCs w:val="1"/>
          <w:color w:val="auto"/>
        </w:rPr>
        <w:t>https://dragonflyenergy.com/</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has engaged Compensia, Inc. as our independent compensation consultant. In 2022,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has formed a Nominating and Corporate Governance Committee, which currently consists of Karina Montilla Edmonds, Brian Nelson and Jonathan Bellows. The Nominating and Corporate Governance Committee assesses potential candidates to fill perceived needs on the Board for required, skills, expertise, independence and other factors.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Nominating and Corporate Governance Committee are expected to include,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reviewing and making recommendations of candidates to serve on our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establishing a process for recommendation of director candidates by stockholders and publishing such process annually in our proxy statement;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considering nominations by stockholders of candidates for election to our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annually reviewing the composition and organization of our Board’s committees and making recommendations to our Board for approval;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developing a set of corporate governance policies and principles and recommending to our Board any changes to such policies and principles;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annually the Nominating and Corporate Governance committee charter.</w:t>
      </w:r>
    </w:p>
    <w:p>
      <w:pPr>
        <w:spacing w:after="0" w:line="3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composition and function of the Nominating and Corporate Governance Committee comply with all applicable requirements of the Sarbanes-Oxley Act and all applicable SEC and Nasdaq’s rules and regulations. We will comply with future requirements to the extent they become applicable to us.</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Board has adopted a written charter for the Nominating and Corporate Governance Committee. A copy of the Nominating and Corporate Governance Committee Charter is posted under the “Investors” tab on our website, which is located at </w:t>
      </w:r>
      <w:r>
        <w:rPr>
          <w:rFonts w:ascii="Arial" w:cs="Arial" w:eastAsia="Arial" w:hAnsi="Arial"/>
          <w:sz w:val="17"/>
          <w:szCs w:val="17"/>
          <w:i w:val="1"/>
          <w:iCs w:val="1"/>
          <w:color w:val="auto"/>
        </w:rPr>
        <w:t>https://dragonflyenergy.com/</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Nominating and Corporate Governance Committee of the Board assesses potential candidates to fill the perceived needs on our Board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Mr. Hoffman, as our President, Chief Executive Officer and Chairman, has extensive knowledge of all aspects of Dragonfly and our business. We have no policy requiring the combination or separation of leadership roles and our governing documents do not mandate a particular structure. This has allowed, and will continue to allow, our Board the flexibility to establish the most appropriate structure for the Company at any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ind w:firstLine="648"/>
        <w:spacing w:after="0" w:line="255" w:lineRule="auto"/>
        <w:rPr>
          <w:sz w:val="20"/>
          <w:szCs w:val="20"/>
          <w:color w:val="auto"/>
        </w:rPr>
      </w:pPr>
      <w:r>
        <w:rPr>
          <w:rFonts w:ascii="Arial" w:cs="Arial" w:eastAsia="Arial" w:hAnsi="Arial"/>
          <w:sz w:val="18"/>
          <w:szCs w:val="18"/>
          <w:color w:val="auto"/>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Position(s) Held with Dragonfly</w:t>
            </w:r>
          </w:p>
        </w:tc>
        <w:tc>
          <w:tcPr>
            <w:tcW w:w="2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Officer Since:</w:t>
            </w:r>
          </w:p>
        </w:tc>
        <w:tc>
          <w:tcPr>
            <w:tcW w:w="0" w:type="dxa"/>
            <w:vAlign w:val="bottom"/>
          </w:tcPr>
          <w:p>
            <w:pPr>
              <w:spacing w:after="0"/>
              <w:rPr>
                <w:sz w:val="1"/>
                <w:szCs w:val="1"/>
                <w:color w:val="auto"/>
              </w:rPr>
            </w:pPr>
          </w:p>
        </w:tc>
      </w:tr>
      <w:tr>
        <w:trPr>
          <w:trHeight w:val="202"/>
        </w:trPr>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Dr. Denis Phares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w w:val="93"/>
              </w:rPr>
              <w:t>Chief Executive Officer, Interim Chief Financial Officer and Chairman</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of the Board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Tyler Bourns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Chief Marketing Officer</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Wade Seaburg</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Chief Revenue Officer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Dr. Denis Phares</w:t>
      </w:r>
      <w:r>
        <w:rPr>
          <w:rFonts w:ascii="Arial" w:cs="Arial" w:eastAsia="Arial" w:hAnsi="Arial"/>
          <w:sz w:val="18"/>
          <w:szCs w:val="18"/>
          <w:color w:val="auto"/>
        </w:rPr>
        <w:t>, see Dr. Phares’ biography under “</w:t>
      </w:r>
      <w:r>
        <w:rPr>
          <w:rFonts w:ascii="Arial" w:cs="Arial" w:eastAsia="Arial" w:hAnsi="Arial"/>
          <w:sz w:val="18"/>
          <w:szCs w:val="18"/>
          <w:b w:val="1"/>
          <w:bCs w:val="1"/>
          <w:i w:val="1"/>
          <w:iCs w:val="1"/>
          <w:color w:val="auto"/>
        </w:rPr>
        <w:t>Current Class C Directors</w:t>
      </w:r>
      <w:r>
        <w:rPr>
          <w:rFonts w:ascii="Arial" w:cs="Arial" w:eastAsia="Arial" w:hAnsi="Arial"/>
          <w:sz w:val="18"/>
          <w:szCs w:val="18"/>
          <w:color w:val="auto"/>
        </w:rPr>
        <w:t>” above.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Tyler Bourns </w:t>
      </w:r>
      <w:r>
        <w:rPr>
          <w:rFonts w:ascii="Arial" w:cs="Arial" w:eastAsia="Arial" w:hAnsi="Arial"/>
          <w:sz w:val="17"/>
          <w:szCs w:val="17"/>
          <w:color w:val="auto"/>
        </w:rPr>
        <w:t>has served as our Chief Marketing Officer since November 2022. Prior to the Business Combination, Mr. Bourns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Wade Seaburg </w:t>
      </w:r>
      <w:r>
        <w:rPr>
          <w:rFonts w:ascii="Arial" w:cs="Arial" w:eastAsia="Arial" w:hAnsi="Arial"/>
          <w:sz w:val="16"/>
          <w:szCs w:val="16"/>
          <w:color w:val="auto"/>
        </w:rPr>
        <w:t>has served as our Chief Revenue Officer since November 2022. Prior to the Business Combination, Mr. Seaburg served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Arial" w:cs="Arial" w:eastAsia="Arial" w:hAnsi="Arial"/>
          <w:sz w:val="16"/>
          <w:szCs w:val="16"/>
          <w:b w:val="1"/>
          <w:bCs w:val="1"/>
          <w:color w:val="auto"/>
        </w:rPr>
        <w:t>WESCO</w:t>
      </w:r>
      <w:r>
        <w:rPr>
          <w:rFonts w:ascii="Arial" w:cs="Arial" w:eastAsia="Arial" w:hAnsi="Arial"/>
          <w:sz w:val="16"/>
          <w:szCs w:val="16"/>
          <w:color w:val="auto"/>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compensation arrangements for our named executive officers and directors, which are described in the section entitled “Executive Compensation,” we have had the following transactions or series of similar transactions, since January 1, 2021, to which we were a party or will be a party, in which:</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Agreements with Directors and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John Marchetti</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an inducement to hire Mr. John Marchetti as our Chief Financial Officer in September 2021, we loaned Mr. Marchetti $350,000 to repay amounts owed by him to his former employer and entered into a related promissory note with a maturity of March 1, 2026 (the “</w:t>
      </w:r>
      <w:r>
        <w:rPr>
          <w:rFonts w:ascii="Arial" w:cs="Arial" w:eastAsia="Arial" w:hAnsi="Arial"/>
          <w:sz w:val="18"/>
          <w:szCs w:val="18"/>
          <w:b w:val="1"/>
          <w:bCs w:val="1"/>
          <w:color w:val="auto"/>
        </w:rPr>
        <w:t>2021 Note</w:t>
      </w:r>
      <w:r>
        <w:rPr>
          <w:rFonts w:ascii="Arial" w:cs="Arial" w:eastAsia="Arial" w:hAnsi="Arial"/>
          <w:sz w:val="18"/>
          <w:szCs w:val="18"/>
          <w:color w:val="auto"/>
        </w:rPr>
        <w:t>”). In consideration of the Business Combination and our obligations as a publicly traded company, we forgave all amounts owed under the 2021 Note effective March 2022. On August 20, 2023, upon mutual agreement between the Company and Mr. Marchetti, Mr. Marchetti resigned from his position as our Chief Financial Officer. Mr. Marchetti has continued in the role of Senior Vice President, Operations. In connection with Mr. Marchetti’s resignation, on August 20, 2023, our Board appointed Denis Phares, our President, Chief Executive Officer, and Chairman of our Board, to succeed Mr. Marchetti as the our Interim 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7"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On April 26, 2023, we entered into a separation and release of claims agreement with our Chief Legal Officer Nicole Harvey. As consideration for her execution of the agreement, we agreed to pay her wages and benefits across 24 monthly payments commencing on June 1, 2023, and all outstanding equity-based compensation awards to become fully vested and exercisable. She had three months from her termination date to exercise the outstanding options. The three-month period ended on July 26, 2023 in which the options were not exercised and the options were forfeited as a result.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with Brian Nelson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March 5, 2023, we issued the unsecured promissory note (the “</w:t>
      </w:r>
      <w:r>
        <w:rPr>
          <w:rFonts w:ascii="Arial" w:cs="Arial" w:eastAsia="Arial" w:hAnsi="Arial"/>
          <w:sz w:val="18"/>
          <w:szCs w:val="18"/>
          <w:b w:val="1"/>
          <w:bCs w:val="1"/>
          <w:color w:val="auto"/>
        </w:rPr>
        <w:t>2023 Note</w:t>
      </w:r>
      <w:r>
        <w:rPr>
          <w:rFonts w:ascii="Arial" w:cs="Arial" w:eastAsia="Arial" w:hAnsi="Arial"/>
          <w:sz w:val="18"/>
          <w:szCs w:val="18"/>
          <w:color w:val="auto"/>
        </w:rPr>
        <w:t>”) in the principal amount of $1.0 million to Brian Nelson, one of our directors, in a private placement in exchange for cash in an equal amount. The 2023 Note became due and payable in full on April 1, 2023. We were also obligated to pay a Loan Fee of $100,000 to Mr. Nelson on April 4, 2023. We paid the Principal Amount and the Loan Fee in full on April 1, 2023 and April 4, 2023,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separate indemnification agreements with our directors and executive officers, in addition to the indemnification provided for in our Articles of Incorporation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or “</w:t>
      </w:r>
      <w:r>
        <w:rPr>
          <w:rFonts w:ascii="Arial" w:cs="Arial" w:eastAsia="Arial" w:hAnsi="Arial"/>
          <w:sz w:val="18"/>
          <w:szCs w:val="18"/>
          <w:b w:val="1"/>
          <w:bCs w:val="1"/>
          <w:color w:val="auto"/>
        </w:rPr>
        <w:t>Charter</w:t>
      </w:r>
      <w:r>
        <w:rPr>
          <w:rFonts w:ascii="Arial" w:cs="Arial" w:eastAsia="Arial" w:hAnsi="Arial"/>
          <w:sz w:val="18"/>
          <w:szCs w:val="18"/>
          <w:color w:val="auto"/>
        </w:rPr>
        <w:t>”)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Agreements</w:t>
      </w:r>
    </w:p>
    <w:p>
      <w:pPr>
        <w:spacing w:after="0" w:line="22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On October 7, 2022 (the “</w:t>
      </w:r>
      <w:r>
        <w:rPr>
          <w:rFonts w:ascii="Arial" w:cs="Arial" w:eastAsia="Arial" w:hAnsi="Arial"/>
          <w:sz w:val="17"/>
          <w:szCs w:val="17"/>
          <w:b w:val="1"/>
          <w:bCs w:val="1"/>
          <w:color w:val="auto"/>
        </w:rPr>
        <w:t>Closing Date</w:t>
      </w:r>
      <w:r>
        <w:rPr>
          <w:rFonts w:ascii="Arial" w:cs="Arial" w:eastAsia="Arial" w:hAnsi="Arial"/>
          <w:sz w:val="17"/>
          <w:szCs w:val="17"/>
          <w:color w:val="auto"/>
        </w:rPr>
        <w:t>”), CNTQ and Legacy Dragonfly consummated the merger (the “</w:t>
      </w:r>
      <w:r>
        <w:rPr>
          <w:rFonts w:ascii="Arial" w:cs="Arial" w:eastAsia="Arial" w:hAnsi="Arial"/>
          <w:sz w:val="17"/>
          <w:szCs w:val="17"/>
          <w:b w:val="1"/>
          <w:bCs w:val="1"/>
          <w:color w:val="auto"/>
        </w:rPr>
        <w:t>Closing</w:t>
      </w:r>
      <w:r>
        <w:rPr>
          <w:rFonts w:ascii="Arial" w:cs="Arial" w:eastAsia="Arial" w:hAnsi="Arial"/>
          <w:sz w:val="17"/>
          <w:szCs w:val="17"/>
          <w:color w:val="auto"/>
        </w:rPr>
        <w:t>”) pursuant to the Agreement and Plan of Merger, dated as of May 15, 2022 (as amended,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by and among CNTQ, Bronco Merger Sub, Inc., a Delaware corporation and wholly-owned subsidiary of CNTQ (“</w:t>
      </w:r>
      <w:r>
        <w:rPr>
          <w:rFonts w:ascii="Arial" w:cs="Arial" w:eastAsia="Arial" w:hAnsi="Arial"/>
          <w:sz w:val="17"/>
          <w:szCs w:val="17"/>
          <w:b w:val="1"/>
          <w:bCs w:val="1"/>
          <w:color w:val="auto"/>
        </w:rPr>
        <w:t>Merger Sub</w:t>
      </w:r>
      <w:r>
        <w:rPr>
          <w:rFonts w:ascii="Arial" w:cs="Arial" w:eastAsia="Arial" w:hAnsi="Arial"/>
          <w:sz w:val="17"/>
          <w:szCs w:val="17"/>
          <w:color w:val="auto"/>
        </w:rPr>
        <w:t>”), and Legacy Dragonfly. Pursuant to the Business Combination Agreement, Merger Sub merged with and into Legacy Dragonfly (the “</w:t>
      </w:r>
      <w:r>
        <w:rPr>
          <w:rFonts w:ascii="Arial" w:cs="Arial" w:eastAsia="Arial" w:hAnsi="Arial"/>
          <w:sz w:val="17"/>
          <w:szCs w:val="17"/>
          <w:b w:val="1"/>
          <w:bCs w:val="1"/>
          <w:color w:val="auto"/>
        </w:rPr>
        <w:t>Merger</w:t>
      </w:r>
      <w:r>
        <w:rPr>
          <w:rFonts w:ascii="Arial" w:cs="Arial" w:eastAsia="Arial" w:hAnsi="Arial"/>
          <w:sz w:val="17"/>
          <w:szCs w:val="17"/>
          <w:color w:val="auto"/>
        </w:rPr>
        <w:t>” and, together with the other transactions contemplated by the Business Combination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with Legacy Dragonfly continuing as the surviving corporation in the Merger and as our wholly owned subsidiary. In connection with the Business Combination, CNTQ changed its name to Dragonfly Energy Holdings Corp.</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section describes the material provisions of certain additional agreements entered into pursuant to Business Combination, but does not purport to describe all of the terms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Registration Rights Agreement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connection with the Closing, CNTQ, the Sponsor and certain other CNTQ shareholders parties thereto (collectively, the “</w:t>
      </w:r>
      <w:r>
        <w:rPr>
          <w:rFonts w:ascii="Arial" w:cs="Arial" w:eastAsia="Arial" w:hAnsi="Arial"/>
          <w:sz w:val="18"/>
          <w:szCs w:val="18"/>
          <w:b w:val="1"/>
          <w:bCs w:val="1"/>
          <w:color w:val="auto"/>
        </w:rPr>
        <w:t>Insiders</w:t>
      </w:r>
      <w:r>
        <w:rPr>
          <w:rFonts w:ascii="Arial" w:cs="Arial" w:eastAsia="Arial" w:hAnsi="Arial"/>
          <w:sz w:val="18"/>
          <w:szCs w:val="18"/>
          <w:color w:val="auto"/>
        </w:rPr>
        <w:t>”), Legacy Dragonfly, and certain Legacy Dragonfly stockholders entered into an Amended and Restated Registration Rights Agreement (the “</w:t>
      </w:r>
      <w:r>
        <w:rPr>
          <w:rFonts w:ascii="Arial" w:cs="Arial" w:eastAsia="Arial" w:hAnsi="Arial"/>
          <w:sz w:val="18"/>
          <w:szCs w:val="18"/>
          <w:b w:val="1"/>
          <w:bCs w:val="1"/>
          <w:color w:val="auto"/>
        </w:rPr>
        <w:t>Amended 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Rights Agreement</w:t>
      </w:r>
      <w:r>
        <w:rPr>
          <w:rFonts w:ascii="Arial" w:cs="Arial" w:eastAsia="Arial" w:hAnsi="Arial"/>
          <w:sz w:val="18"/>
          <w:szCs w:val="18"/>
          <w:color w:val="auto"/>
        </w:rPr>
        <w:t>”). Pursuant to the Amended Registration Rights Agreement, the Insiders and the undersigned parties listed thereto were provided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demand registrations, piggy-back registrations and shelf registrations with respect to Registrable Securities (as defined in the Amended Registration Rights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Pursuant to the subscription agreement, dated as of May 15, 2022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by and between Chardan and the Sponsor, the Sponsor agreed to purchase, and Chardan agreed to sell to the Sponsor, an aggregate of 500,000 shares of CNTQ common stock (“</w:t>
      </w:r>
      <w:r>
        <w:rPr>
          <w:rFonts w:ascii="Arial" w:cs="Arial" w:eastAsia="Arial" w:hAnsi="Arial"/>
          <w:sz w:val="17"/>
          <w:szCs w:val="17"/>
          <w:b w:val="1"/>
          <w:bCs w:val="1"/>
          <w:color w:val="auto"/>
        </w:rPr>
        <w:t>CNTQ 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for gross proceeds Chardan to Chardan of $5 million in a private placement. On September 28, 2022, the Sponsor and Chardan Capital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LLC, a New York limited liability company (“</w:t>
      </w:r>
      <w:r>
        <w:rPr>
          <w:rFonts w:ascii="Arial" w:cs="Arial" w:eastAsia="Arial" w:hAnsi="Arial"/>
          <w:sz w:val="17"/>
          <w:szCs w:val="17"/>
          <w:b w:val="1"/>
          <w:bCs w:val="1"/>
          <w:color w:val="auto"/>
        </w:rPr>
        <w:t>CCM</w:t>
      </w:r>
      <w:r>
        <w:rPr>
          <w:rFonts w:ascii="Arial" w:cs="Arial" w:eastAsia="Arial" w:hAnsi="Arial"/>
          <w:sz w:val="17"/>
          <w:szCs w:val="17"/>
          <w:color w:val="auto"/>
        </w:rPr>
        <w:t>”), entered into an assignment, assumption and joinder agreement, pursuant to which the Sponsor assigned all of the Sponsor’s rights, benefits and obligations under the Subscription Agreement to CCM.</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Arial" w:cs="Arial" w:eastAsia="Arial" w:hAnsi="Arial"/>
          <w:sz w:val="16"/>
          <w:szCs w:val="16"/>
          <w:b w:val="1"/>
          <w:bCs w:val="1"/>
          <w:color w:val="auto"/>
        </w:rPr>
        <w:t>Purchased Shares</w:t>
      </w:r>
      <w:r>
        <w:rPr>
          <w:rFonts w:ascii="Arial" w:cs="Arial" w:eastAsia="Arial" w:hAnsi="Arial"/>
          <w:sz w:val="16"/>
          <w:szCs w:val="16"/>
          <w:color w:val="auto"/>
        </w:rPr>
        <w:t>”). In accordance with the Offset (as defined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Debt Financing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2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Consistent with the commitment letter (the “</w:t>
      </w:r>
      <w:r>
        <w:rPr>
          <w:rFonts w:ascii="Arial" w:cs="Arial" w:eastAsia="Arial" w:hAnsi="Arial"/>
          <w:sz w:val="18"/>
          <w:szCs w:val="18"/>
          <w:b w:val="1"/>
          <w:bCs w:val="1"/>
          <w:color w:val="auto"/>
        </w:rPr>
        <w:t>Debt Commitment Letter</w:t>
      </w:r>
      <w:r>
        <w:rPr>
          <w:rFonts w:ascii="Arial" w:cs="Arial" w:eastAsia="Arial" w:hAnsi="Arial"/>
          <w:sz w:val="18"/>
          <w:szCs w:val="18"/>
          <w:color w:val="auto"/>
        </w:rPr>
        <w:t>”) dated May 15, 2022 by and between Chardan and Legacy Dragonfly, CCM Investments 5 LLC, an affiliate of CCM LLC (“</w:t>
      </w:r>
      <w:r>
        <w:rPr>
          <w:rFonts w:ascii="Arial" w:cs="Arial" w:eastAsia="Arial" w:hAnsi="Arial"/>
          <w:sz w:val="18"/>
          <w:szCs w:val="18"/>
          <w:b w:val="1"/>
          <w:bCs w:val="1"/>
          <w:color w:val="auto"/>
        </w:rPr>
        <w:t>CCM 5</w:t>
      </w:r>
      <w:r>
        <w:rPr>
          <w:rFonts w:ascii="Arial" w:cs="Arial" w:eastAsia="Arial" w:hAnsi="Arial"/>
          <w:sz w:val="18"/>
          <w:szCs w:val="18"/>
          <w:color w:val="auto"/>
        </w:rPr>
        <w:t>”, and in connection with the Term Loan, the “</w:t>
      </w:r>
      <w:r>
        <w:rPr>
          <w:rFonts w:ascii="Arial" w:cs="Arial" w:eastAsia="Arial" w:hAnsi="Arial"/>
          <w:sz w:val="18"/>
          <w:szCs w:val="18"/>
          <w:b w:val="1"/>
          <w:bCs w:val="1"/>
          <w:color w:val="auto"/>
        </w:rPr>
        <w:t>Chardan Lender</w:t>
      </w:r>
      <w:r>
        <w:rPr>
          <w:rFonts w:ascii="Arial" w:cs="Arial" w:eastAsia="Arial" w:hAnsi="Arial"/>
          <w:sz w:val="18"/>
          <w:szCs w:val="18"/>
          <w:color w:val="auto"/>
        </w:rPr>
        <w:t>”), and EICF Agent LLC (“</w:t>
      </w:r>
      <w:r>
        <w:rPr>
          <w:rFonts w:ascii="Arial" w:cs="Arial" w:eastAsia="Arial" w:hAnsi="Arial"/>
          <w:sz w:val="18"/>
          <w:szCs w:val="18"/>
          <w:b w:val="1"/>
          <w:bCs w:val="1"/>
          <w:color w:val="auto"/>
        </w:rPr>
        <w:t>EIP</w:t>
      </w:r>
      <w:r>
        <w:rPr>
          <w:rFonts w:ascii="Arial" w:cs="Arial" w:eastAsia="Arial" w:hAnsi="Arial"/>
          <w:sz w:val="18"/>
          <w:szCs w:val="18"/>
          <w:color w:val="auto"/>
        </w:rPr>
        <w:t>” and, collectively with the Chardan Lender, the “</w:t>
      </w:r>
      <w:r>
        <w:rPr>
          <w:rFonts w:ascii="Arial" w:cs="Arial" w:eastAsia="Arial" w:hAnsi="Arial"/>
          <w:sz w:val="18"/>
          <w:szCs w:val="18"/>
          <w:b w:val="1"/>
          <w:bCs w:val="1"/>
          <w:color w:val="auto"/>
        </w:rPr>
        <w:t>Initial Term Loan Lenders</w:t>
      </w:r>
      <w:r>
        <w:rPr>
          <w:rFonts w:ascii="Arial" w:cs="Arial" w:eastAsia="Arial" w:hAnsi="Arial"/>
          <w:sz w:val="18"/>
          <w:szCs w:val="18"/>
          <w:color w:val="auto"/>
        </w:rPr>
        <w:t>”), in connection with the Closing, Chardan, Legacy Dragonfly and the Initial Term Loan Lenders entered into the Term Loan, Guarantee and Security Agreement (the “</w:t>
      </w:r>
      <w:r>
        <w:rPr>
          <w:rFonts w:ascii="Arial" w:cs="Arial" w:eastAsia="Arial" w:hAnsi="Arial"/>
          <w:sz w:val="18"/>
          <w:szCs w:val="18"/>
          <w:b w:val="1"/>
          <w:bCs w:val="1"/>
          <w:color w:val="auto"/>
        </w:rPr>
        <w:t>Term Loan Agreement</w:t>
      </w:r>
      <w:r>
        <w:rPr>
          <w:rFonts w:ascii="Arial" w:cs="Arial" w:eastAsia="Arial" w:hAnsi="Arial"/>
          <w:sz w:val="18"/>
          <w:szCs w:val="18"/>
          <w:color w:val="auto"/>
        </w:rPr>
        <w:t>”) setting forth the terms of a senior secured term loan facility in an aggregate principal amount of $75 million (the “</w:t>
      </w:r>
      <w:r>
        <w:rPr>
          <w:rFonts w:ascii="Arial" w:cs="Arial" w:eastAsia="Arial" w:hAnsi="Arial"/>
          <w:sz w:val="18"/>
          <w:szCs w:val="18"/>
          <w:b w:val="1"/>
          <w:bCs w:val="1"/>
          <w:color w:val="auto"/>
        </w:rPr>
        <w:t>Term Loan</w:t>
      </w:r>
      <w:r>
        <w:rPr>
          <w:rFonts w:ascii="Arial" w:cs="Arial" w:eastAsia="Arial" w:hAnsi="Arial"/>
          <w:sz w:val="18"/>
          <w:szCs w:val="18"/>
          <w:color w:val="auto"/>
        </w:rPr>
        <w:t>”). The Chardan Lender backstopped its commitment under the Debt Commitment Letter by entering into a backstop commitment letter, dated as of May 20, 2022 with a certain third-party financing source the (“</w:t>
      </w:r>
      <w:r>
        <w:rPr>
          <w:rFonts w:ascii="Arial" w:cs="Arial" w:eastAsia="Arial" w:hAnsi="Arial"/>
          <w:sz w:val="18"/>
          <w:szCs w:val="18"/>
          <w:b w:val="1"/>
          <w:bCs w:val="1"/>
          <w:color w:val="auto"/>
        </w:rPr>
        <w:t>Backstop Lender</w:t>
      </w:r>
      <w:r>
        <w:rPr>
          <w:rFonts w:ascii="Arial" w:cs="Arial" w:eastAsia="Arial" w:hAnsi="Arial"/>
          <w:sz w:val="18"/>
          <w:szCs w:val="18"/>
          <w:color w:val="auto"/>
        </w:rPr>
        <w:t>” and collectively with EIP, the “</w:t>
      </w:r>
      <w:r>
        <w:rPr>
          <w:rFonts w:ascii="Arial" w:cs="Arial" w:eastAsia="Arial" w:hAnsi="Arial"/>
          <w:sz w:val="18"/>
          <w:szCs w:val="18"/>
          <w:b w:val="1"/>
          <w:bCs w:val="1"/>
          <w:color w:val="auto"/>
        </w:rPr>
        <w:t>Term Loan Lenders</w:t>
      </w:r>
      <w:r>
        <w:rPr>
          <w:rFonts w:ascii="Arial" w:cs="Arial" w:eastAsia="Arial" w:hAnsi="Arial"/>
          <w:sz w:val="18"/>
          <w:szCs w:val="18"/>
          <w:color w:val="auto"/>
        </w:rPr>
        <w:t>”), pursuant to which the Backstop Lender committed to purchase from the Chardan Lender the aggregate amount of the Term Loan held by the Chardan Lender (the “</w:t>
      </w:r>
      <w:r>
        <w:rPr>
          <w:rFonts w:ascii="Arial" w:cs="Arial" w:eastAsia="Arial" w:hAnsi="Arial"/>
          <w:sz w:val="18"/>
          <w:szCs w:val="18"/>
          <w:b w:val="1"/>
          <w:bCs w:val="1"/>
          <w:color w:val="auto"/>
        </w:rPr>
        <w:t>Backstopped Loans</w:t>
      </w:r>
      <w:r>
        <w:rPr>
          <w:rFonts w:ascii="Arial" w:cs="Arial" w:eastAsia="Arial" w:hAnsi="Arial"/>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Term Loan amortizes in the amount of 5% per annum beginning 24 months after the Closing Date and matures on the fourth anniversary of the Closing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secured Overnight Financing Rate (“</w:t>
      </w:r>
      <w:r>
        <w:rPr>
          <w:rFonts w:ascii="Arial" w:cs="Arial" w:eastAsia="Arial" w:hAnsi="Arial"/>
          <w:sz w:val="16"/>
          <w:szCs w:val="16"/>
          <w:b w:val="1"/>
          <w:bCs w:val="1"/>
          <w:color w:val="auto"/>
        </w:rPr>
        <w:t>SOFR</w:t>
      </w:r>
      <w:r>
        <w:rPr>
          <w:rFonts w:ascii="Arial" w:cs="Arial" w:eastAsia="Arial" w:hAnsi="Arial"/>
          <w:sz w:val="16"/>
          <w:szCs w:val="16"/>
          <w:color w:val="auto"/>
        </w:rPr>
        <w:t>”) will be no less than 1%.</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Term Loan Agreement, the obligations of Legacy Dragonfly are guaranteed by us and will be guaranteed by any of Legacy Dragonfly’s subsidiaries that are party thereto from time to time as guarantors. In addition, we entered into a pledge agreement pursuant to which we pledged to Alter Domus (US) LLC, as administrative agent for the lenders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our equity interests in Legacy Dragonfly as further collateral security for the obligations under the Term Loan Agreement (the “</w:t>
      </w:r>
      <w:r>
        <w:rPr>
          <w:rFonts w:ascii="Arial" w:cs="Arial" w:eastAsia="Arial" w:hAnsi="Arial"/>
          <w:sz w:val="18"/>
          <w:szCs w:val="18"/>
          <w:b w:val="1"/>
          <w:bCs w:val="1"/>
          <w:color w:val="auto"/>
        </w:rPr>
        <w:t>Pledge Agreement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29, 2023 and September 29, 2023, we obtained waivers from our Administrative Agent and Term Loan Lenders of our failures to satisfy the fixed charge coverage ratio and maximum senior leverage ratio with respect to the minimum cash requirements under the Term Loan during the quarters ended March 31, 2023 and September 30,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Warrant Agreements</w:t>
      </w:r>
    </w:p>
    <w:p>
      <w:pPr>
        <w:spacing w:after="0" w:line="225" w:lineRule="exact"/>
        <w:rPr>
          <w:sz w:val="20"/>
          <w:szCs w:val="20"/>
          <w:color w:val="auto"/>
        </w:rPr>
      </w:pPr>
    </w:p>
    <w:p>
      <w:pPr>
        <w:jc w:val="both"/>
        <w:ind w:firstLine="729"/>
        <w:spacing w:after="0" w:line="254"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Arial" w:cs="Arial" w:eastAsia="Arial" w:hAnsi="Arial"/>
          <w:sz w:val="18"/>
          <w:szCs w:val="18"/>
          <w:b w:val="1"/>
          <w:bCs w:val="1"/>
          <w:color w:val="auto"/>
        </w:rPr>
        <w:t>Penny Warrants</w:t>
      </w:r>
      <w:r>
        <w:rPr>
          <w:rFonts w:ascii="Arial" w:cs="Arial" w:eastAsia="Arial" w:hAnsi="Arial"/>
          <w:sz w:val="18"/>
          <w:szCs w:val="18"/>
          <w:color w:val="auto"/>
        </w:rPr>
        <w:t>”) and (ii) warrants to the Term Loan Lenders under the Term Loan exercisable to purchase 1,600,000 shares of our common stock at an exercise price of $10.00 per share (the “$</w:t>
      </w:r>
      <w:r>
        <w:rPr>
          <w:rFonts w:ascii="Arial" w:cs="Arial" w:eastAsia="Arial" w:hAnsi="Arial"/>
          <w:sz w:val="18"/>
          <w:szCs w:val="18"/>
          <w:b w:val="1"/>
          <w:bCs w:val="1"/>
          <w:color w:val="auto"/>
        </w:rPr>
        <w:t>10 Warrants</w:t>
      </w:r>
      <w:r>
        <w:rPr>
          <w:rFonts w:ascii="Arial" w:cs="Arial" w:eastAsia="Arial" w:hAnsi="Arial"/>
          <w:sz w:val="18"/>
          <w:szCs w:val="18"/>
          <w:color w:val="auto"/>
        </w:rPr>
        <w:t>”).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spacing w:after="0" w:line="19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(as defined herein) (or replacement</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thereof) sold at a per share price above $5.00. As of October , 2023, there were shares of our common stock issuable upon the exercise of the Penny Warrants.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Consistent with the equity facility letter agreement between Legacy Dragonfly and CCM 5, we and CCM we entered into a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 a Registration Rights Agreement with CCM in connection with the Closing. In addition, we appointed LifeSci Capital, LLC as “qualified independent underwriter” with respect to the transactions contemplated by the Purchase Agreement.</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term of the equity facility (the “</w:t>
      </w:r>
      <w:r>
        <w:rPr>
          <w:rFonts w:ascii="Arial" w:cs="Arial" w:eastAsia="Arial" w:hAnsi="Arial"/>
          <w:sz w:val="18"/>
          <w:szCs w:val="18"/>
          <w:b w:val="1"/>
          <w:bCs w:val="1"/>
          <w:color w:val="auto"/>
        </w:rPr>
        <w:t>ChEF Equity Facility</w:t>
      </w:r>
      <w:r>
        <w:rPr>
          <w:rFonts w:ascii="Arial" w:cs="Arial" w:eastAsia="Arial" w:hAnsi="Arial"/>
          <w:sz w:val="18"/>
          <w:szCs w:val="18"/>
          <w:color w:val="auto"/>
        </w:rPr>
        <w:t>”). As of October 20, 2023, we have sold shares under the ChEF Equity Facility for aggregate net proceeds to us of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1"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On June 20, 2023, we entered into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Roth Capital Partners, LLC, as representative of the several underwriters (the “</w:t>
      </w:r>
      <w:r>
        <w:rPr>
          <w:rFonts w:ascii="Arial" w:cs="Arial" w:eastAsia="Arial" w:hAnsi="Arial"/>
          <w:sz w:val="16"/>
          <w:szCs w:val="16"/>
          <w:b w:val="1"/>
          <w:bCs w:val="1"/>
          <w:color w:val="auto"/>
        </w:rPr>
        <w:t>Underwriters</w:t>
      </w:r>
      <w:r>
        <w:rPr>
          <w:rFonts w:ascii="Arial" w:cs="Arial" w:eastAsia="Arial" w:hAnsi="Arial"/>
          <w:sz w:val="16"/>
          <w:szCs w:val="16"/>
          <w:color w:val="auto"/>
        </w:rPr>
        <w:t>”) and CCM, as an additional bookrunner, pursuant to which we sold to the Underwriters, in a firm commitment underwritten public offering (the “</w:t>
      </w:r>
      <w:r>
        <w:rPr>
          <w:rFonts w:ascii="Arial" w:cs="Arial" w:eastAsia="Arial" w:hAnsi="Arial"/>
          <w:sz w:val="16"/>
          <w:szCs w:val="16"/>
          <w:b w:val="1"/>
          <w:bCs w:val="1"/>
          <w:color w:val="auto"/>
        </w:rPr>
        <w:t>June 2023 Offering</w:t>
      </w:r>
      <w:r>
        <w:rPr>
          <w:rFonts w:ascii="Arial" w:cs="Arial" w:eastAsia="Arial" w:hAnsi="Arial"/>
          <w:sz w:val="16"/>
          <w:szCs w:val="16"/>
          <w:color w:val="auto"/>
        </w:rPr>
        <w:t>”), an aggregate of (i) 10,000,000 shares of our common stock, par value $0.0001, and</w:t>
      </w:r>
    </w:p>
    <w:p>
      <w:pPr>
        <w:spacing w:after="0" w:line="2" w:lineRule="exact"/>
        <w:rPr>
          <w:sz w:val="20"/>
          <w:szCs w:val="20"/>
          <w:color w:val="auto"/>
        </w:rPr>
      </w:pPr>
    </w:p>
    <w:p>
      <w:pPr>
        <w:jc w:val="both"/>
        <w:ind w:firstLine="8"/>
        <w:spacing w:after="0" w:line="253" w:lineRule="auto"/>
        <w:tabs>
          <w:tab w:leader="none" w:pos="2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accompanying warrants to purchase up to 10,000,000 shares of common stock (the “</w:t>
      </w:r>
      <w:r>
        <w:rPr>
          <w:rFonts w:ascii="Arial" w:cs="Arial" w:eastAsia="Arial" w:hAnsi="Arial"/>
          <w:sz w:val="18"/>
          <w:szCs w:val="18"/>
          <w:b w:val="1"/>
          <w:bCs w:val="1"/>
          <w:color w:val="auto"/>
        </w:rPr>
        <w:t>Investor Warrants</w:t>
      </w:r>
      <w:r>
        <w:rPr>
          <w:rFonts w:ascii="Arial" w:cs="Arial" w:eastAsia="Arial" w:hAnsi="Arial"/>
          <w:sz w:val="18"/>
          <w:szCs w:val="18"/>
          <w:color w:val="auto"/>
        </w:rPr>
        <w:t>”), at the combined public offering price of $2.00 per share and accompanying Investor Warrant, less underwriting discounts and commissions, and (iii) warrants to purchase up to an aggregate of 570,250 shares of common stock (the “</w:t>
      </w:r>
      <w:r>
        <w:rPr>
          <w:rFonts w:ascii="Arial" w:cs="Arial" w:eastAsia="Arial" w:hAnsi="Arial"/>
          <w:sz w:val="18"/>
          <w:szCs w:val="18"/>
          <w:b w:val="1"/>
          <w:bCs w:val="1"/>
          <w:color w:val="auto"/>
        </w:rPr>
        <w:t>Underwriters’ Warrants</w:t>
      </w:r>
      <w:r>
        <w:rPr>
          <w:rFonts w:ascii="Arial" w:cs="Arial" w:eastAsia="Arial" w:hAnsi="Arial"/>
          <w:sz w:val="18"/>
          <w:szCs w:val="18"/>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91"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Arial" w:cs="Arial" w:eastAsia="Arial" w:hAnsi="Arial"/>
          <w:sz w:val="18"/>
          <w:szCs w:val="18"/>
          <w:i w:val="1"/>
          <w:iCs w:val="1"/>
          <w:color w:val="auto"/>
        </w:rPr>
        <w:t>https://dragonflyenergy.com/.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Board adopted a written Related Person Transactions Policy on October 7, 2022 (the “</w:t>
      </w:r>
      <w:r>
        <w:rPr>
          <w:rFonts w:ascii="Arial" w:cs="Arial" w:eastAsia="Arial" w:hAnsi="Arial"/>
          <w:sz w:val="18"/>
          <w:szCs w:val="18"/>
          <w:b w:val="1"/>
          <w:bCs w:val="1"/>
          <w:color w:val="auto"/>
        </w:rPr>
        <w:t>Policy</w:t>
      </w:r>
      <w:r>
        <w:rPr>
          <w:rFonts w:ascii="Arial" w:cs="Arial" w:eastAsia="Arial" w:hAnsi="Arial"/>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7"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8" w:lineRule="exact"/>
        <w:rPr>
          <w:sz w:val="20"/>
          <w:szCs w:val="20"/>
          <w:color w:val="auto"/>
        </w:rPr>
      </w:pPr>
    </w:p>
    <w:p>
      <w:pPr>
        <w:ind w:left="680" w:hanging="335"/>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680" w:hanging="335"/>
        <w:spacing w:after="0" w:line="250"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ind w:left="680" w:hanging="335"/>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transactions entered into since the adoption of the Policy have been approved by our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 of Directors and Attendance at Annual Meetings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maintains a process for stockholders to communicate with the Board and its committees. Stockholders of Dragonfly and other interested persons may communicate with the Board or the chair of the Audit Committee, Compensation Committee, and the Nominating and Corporate Governance Committee by writing to the Secretary of Dragonfly at 1190 Trademark Drive, #108, Reno Nevada 89521. All communications that relate to matters that are within the scope of the responsibilities of the Board will be presented to the Board no later than the next regularly scheduled meeting. Communications that relate to matters that are within the responsibility of one of the Board committees will be forwarded to the chair of the appropriate committee. Communications that relate to ordinary business matters that are not within the scope of the Board’s responsibilities will be forwarded to the appropriate officer. Solicitations, junk mail and obviously frivolous or inappropriate communications will not be forwarded, but will be made available to any director who wishes to review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Section 16(a) of the Exchange Act requires our directors, officers and person who own more than 10% of a registered class of our equity securities to file reports of ownership and changes in ownership with the SEC. On August 30, 2023, Karina Montilla Edmonds filed a Form 4 reporting purchases of common stock of the Company from the open market that occurred on October 25, 2022 and February 23, 2023. Based solely upon a review of the Forms 3, 4 and 5 (and amendments thereto) filed electronically with the SEC by our executive officers and directors owning more than 10% of our common stock and upon any written representations received from the executive officers and directors, other than as described above, to our knowledge we believe that all other Section 16(a) filing requirements were met timely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table presents information regarding the total compensation awarded to, earned by, or paid to each person serving as our Chief Executive Officer during the fiscal year ended December 31, 2022, the two most highly-compensated executive officers (other than the Chief Executive Officer) who were serving as executive officers during the fiscal years ended December 31, 2022 and December 31, 2021, and up to two additional individuals for whom disclosure would have been provided but for the fact that such individuals were not serving as an executive officer as of December 31, 2022 for services rendered in all capacities to us for the fiscal year ended December 31, 2022. These individuals are our named executive officers for the fiscal year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Non-Qualified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Plan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840" w:type="dxa"/>
            <w:vAlign w:val="bottom"/>
          </w:tcPr>
          <w:p>
            <w:pPr>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Salary</w:t>
            </w: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Bonus</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9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41"/>
        </w:trPr>
        <w:tc>
          <w:tcPr>
            <w:tcW w:w="18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4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16"/>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682,000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806,207</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1,531,545</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3,019,752</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1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Chief Executive</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579,593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362,137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22,234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963,964</w:t>
            </w: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Sean Nichols (5)</w:t>
            </w:r>
          </w:p>
        </w:tc>
        <w:tc>
          <w:tcPr>
            <w:tcW w:w="8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2022</w:t>
            </w: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598,462</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8"/>
              </w:rPr>
              <w:t>655,587</w:t>
            </w: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157,693</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9"/>
              </w:rPr>
              <w:t>1,411,742</w:t>
            </w: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Former Chief</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Operating Officer</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579,593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362,137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20,244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961,974</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John Marchetti (6)</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316,153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769,366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645,998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11,057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1,742,574</w:t>
            </w:r>
          </w:p>
        </w:tc>
      </w:tr>
      <w:tr>
        <w:trPr>
          <w:trHeight w:val="202"/>
        </w:trPr>
        <w:tc>
          <w:tcPr>
            <w:tcW w:w="1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Former Chief</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Financial Officer</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91,154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399,999</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283,249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856,402</w:t>
            </w: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Nicole Harvey (7)</w:t>
            </w:r>
          </w:p>
        </w:tc>
        <w:tc>
          <w:tcPr>
            <w:tcW w:w="84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2022</w:t>
            </w: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242,461</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80,000</w:t>
            </w: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561,000</w:t>
            </w: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9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883,461</w:t>
            </w: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Former Chief Legal</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Officer</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66,346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341,621</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432,967</w:t>
            </w:r>
          </w:p>
        </w:tc>
      </w:tr>
    </w:tbl>
    <w:p>
      <w:pPr>
        <w:spacing w:after="0" w:line="202"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reported in this column represent discretionary bonuses awarded to each executive for performance during the fiscal years ended December 31, 2022 and December 31, 2021.</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amounts reported in this column reflect the grant date fair value of restricted stock awards granted to the NEOs for performance during the fiscal year ended December 31, 2022 under the 2022 Plan (as defined below) and are accounted for in accordance with FASB ASC Topic 718. Please see the section titled “</w:t>
      </w:r>
      <w:r>
        <w:rPr>
          <w:rFonts w:ascii="Arial" w:cs="Arial" w:eastAsia="Arial" w:hAnsi="Arial"/>
          <w:sz w:val="17"/>
          <w:szCs w:val="17"/>
          <w:i w:val="1"/>
          <w:iCs w:val="1"/>
          <w:color w:val="auto"/>
        </w:rPr>
        <w:t>Stock-Based Compensation</w:t>
      </w:r>
      <w:r>
        <w:rPr>
          <w:rFonts w:ascii="Arial" w:cs="Arial" w:eastAsia="Arial" w:hAnsi="Arial"/>
          <w:sz w:val="17"/>
          <w:szCs w:val="17"/>
          <w:color w:val="auto"/>
        </w:rPr>
        <w:t>” beginning on page F-11 of our Notes to Consolidated Financial Statements included in our fiscal year ended 2022 10-K for a discussion of the relevant assumptions used in calculating these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Arial" w:cs="Arial" w:eastAsia="Arial" w:hAnsi="Arial"/>
          <w:sz w:val="18"/>
          <w:szCs w:val="18"/>
          <w:i w:val="1"/>
          <w:iCs w:val="1"/>
          <w:color w:val="auto"/>
        </w:rPr>
        <w:t>Stock-Based Compensation</w:t>
      </w:r>
      <w:r>
        <w:rPr>
          <w:rFonts w:ascii="Arial" w:cs="Arial" w:eastAsia="Arial" w:hAnsi="Arial"/>
          <w:sz w:val="18"/>
          <w:szCs w:val="18"/>
          <w:color w:val="auto"/>
        </w:rPr>
        <w:t>” beginning on page F-11 of our Notes to Consolidated Financial Statements included in our fiscal year ended 2022 10-K for a discussion of the relevant assumptions used in calculating these amounts.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amount reflects our matching contribution to the executive’s account under our 401(k)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November 4, 2022, we announced that Mr. Nichols would be stepping down as our Chief Operating Officer on November 7, 2022.</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Marchetti commenced employment as our Chief Financial Officer on September 6, 2021. On August 20, 2023, Mr. Marchetti resigned as our Chief Financial Officer and is continuing with us as the Senior Vice President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Harvey’s employment with us ended on April 26,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w:t>
      </w:r>
    </w:p>
    <w:p>
      <w:pPr>
        <w:jc w:val="both"/>
        <w:ind w:firstLine="8"/>
        <w:spacing w:after="0" w:line="252" w:lineRule="auto"/>
        <w:tabs>
          <w:tab w:leader="none" w:pos="2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ind w:firstLine="648"/>
        <w:spacing w:after="0" w:line="290" w:lineRule="auto"/>
        <w:rPr>
          <w:sz w:val="20"/>
          <w:szCs w:val="20"/>
          <w:color w:val="auto"/>
        </w:rPr>
      </w:pPr>
      <w:r>
        <w:rPr>
          <w:rFonts w:ascii="Arial" w:cs="Arial" w:eastAsia="Arial" w:hAnsi="Arial"/>
          <w:sz w:val="16"/>
          <w:szCs w:val="16"/>
          <w:color w:val="auto"/>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each case, the executive’s right to receive the severance benefits described above is subject to his or her providing a release of claims to us and his or her continued compliance with the restrictive covenants in favor of us in the agreement.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Arial" w:cs="Arial" w:eastAsia="Arial" w:hAnsi="Arial"/>
          <w:sz w:val="17"/>
          <w:szCs w:val="17"/>
          <w:b w:val="1"/>
          <w:bCs w:val="1"/>
          <w:color w:val="auto"/>
        </w:rPr>
        <w:t>Separation Agreement</w:t>
      </w:r>
      <w:r>
        <w:rPr>
          <w:rFonts w:ascii="Arial" w:cs="Arial" w:eastAsia="Arial" w:hAnsi="Arial"/>
          <w:sz w:val="17"/>
          <w:szCs w:val="17"/>
          <w:color w:val="auto"/>
        </w:rPr>
        <w: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April 26, 2023, Ms. Harvey’s employment with us ended and her employment agreement was deemed terminated as of that date by us without cause for purposes of determining severance thereunder. As a result, Ms. Harvey is entitled to receive (i) cash severance equal to 2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 Ms. Harvey had three months from her date of termination to exercise her outstanding options. The three-month period ended on July 26, 2023 in which the options were not exercised and the options were forfeited as a result.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20, 2023, upon mutual agreement between us and Mr. Marchetti, Mr. Marchetti resigned from his position as our Chief Financial Officer. Mr. Marchetti will continue in the role of Senior Vice President, Operations. In connection with Mr. Marchetti’s resignation, on August 20, 2023, the Board appointed Denis Phares, our President, Chief Executive Officer, and Chairman of the Board, to succeed Mr. Marchetti as our Interim Chief Financial Officer. Dr. Phares will continue his duties as President, Chief Executive Officer, and Chairman of the Board. We intend to commence a search for a full time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4940" w:type="dxa"/>
            <w:vAlign w:val="bottom"/>
            <w:gridSpan w:val="4"/>
          </w:tcPr>
          <w:p>
            <w:pPr>
              <w:spacing w:after="0"/>
              <w:rPr>
                <w:sz w:val="20"/>
                <w:szCs w:val="20"/>
                <w:color w:val="auto"/>
              </w:rPr>
            </w:pPr>
            <w:r>
              <w:rPr>
                <w:rFonts w:ascii="Arial" w:cs="Arial" w:eastAsia="Arial" w:hAnsi="Arial"/>
                <w:sz w:val="18"/>
                <w:szCs w:val="18"/>
                <w:b w:val="1"/>
                <w:bCs w:val="1"/>
                <w:color w:val="auto"/>
              </w:rPr>
              <w:t>Outstanding Equity Awards at Fiscal Year-End</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32"/>
        </w:trPr>
        <w:tc>
          <w:tcPr>
            <w:tcW w:w="9020" w:type="dxa"/>
            <w:vAlign w:val="bottom"/>
            <w:gridSpan w:val="10"/>
          </w:tcPr>
          <w:p>
            <w:pPr>
              <w:ind w:left="660"/>
              <w:spacing w:after="0"/>
              <w:rPr>
                <w:sz w:val="20"/>
                <w:szCs w:val="20"/>
                <w:color w:val="auto"/>
              </w:rPr>
            </w:pPr>
            <w:r>
              <w:rPr>
                <w:rFonts w:ascii="Arial" w:cs="Arial" w:eastAsia="Arial" w:hAnsi="Arial"/>
                <w:sz w:val="18"/>
                <w:szCs w:val="18"/>
                <w:color w:val="auto"/>
                <w:w w:val="91"/>
              </w:rPr>
              <w:t>The following table sets forth outstanding equity awards to our named executive officers as of December 31, 2022.</w:t>
            </w:r>
          </w:p>
        </w:tc>
        <w:tc>
          <w:tcPr>
            <w:tcW w:w="2220" w:type="dxa"/>
            <w:vAlign w:val="bottom"/>
          </w:tcPr>
          <w:p>
            <w:pPr>
              <w:spacing w:after="0"/>
              <w:rPr>
                <w:sz w:val="24"/>
                <w:szCs w:val="24"/>
                <w:color w:val="auto"/>
              </w:rPr>
            </w:pPr>
          </w:p>
        </w:tc>
      </w:tr>
      <w:tr>
        <w:trPr>
          <w:trHeight w:val="466"/>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Option Awards</w:t>
            </w:r>
          </w:p>
        </w:tc>
        <w:tc>
          <w:tcPr>
            <w:tcW w:w="2220" w:type="dxa"/>
            <w:vAlign w:val="bottom"/>
            <w:tcBorders>
              <w:bottom w:val="single" w:sz="8" w:color="auto"/>
            </w:tcBorders>
          </w:tcPr>
          <w:p>
            <w:pPr>
              <w:spacing w:after="0"/>
              <w:rPr>
                <w:sz w:val="24"/>
                <w:szCs w:val="24"/>
                <w:color w:val="auto"/>
              </w:rPr>
            </w:pPr>
          </w:p>
        </w:tc>
      </w:tr>
      <w:tr>
        <w:trPr>
          <w:trHeight w:val="198"/>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4"/>
              </w:rPr>
              <w:t>Equity</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incentive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plan</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awards: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number of</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securities</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securities</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underlying</w:t>
            </w: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unexercised</w:t>
            </w: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unexercised</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22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unexercised</w:t>
            </w: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options (#)</w:t>
            </w: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unearned</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exercise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options (#)</w:t>
            </w: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options</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price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r>
      <w:tr>
        <w:trPr>
          <w:trHeight w:val="241"/>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4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34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r>
      <w:tr>
        <w:trPr>
          <w:trHeight w:val="216"/>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Denis Phares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59,108(1)</w:t>
            </w: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0.32</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5, 2029</w:t>
            </w:r>
          </w:p>
        </w:tc>
      </w:tr>
      <w:tr>
        <w:trPr>
          <w:trHeight w:val="216"/>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Sean Nichols</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250,000(1)</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700"/>
              <w:spacing w:after="0"/>
              <w:rPr>
                <w:sz w:val="20"/>
                <w:szCs w:val="20"/>
                <w:color w:val="auto"/>
              </w:rPr>
            </w:pPr>
            <w:r>
              <w:rPr>
                <w:rFonts w:ascii="Arial" w:cs="Arial" w:eastAsia="Arial" w:hAnsi="Arial"/>
                <w:sz w:val="18"/>
                <w:szCs w:val="18"/>
                <w:color w:val="auto"/>
              </w:rPr>
              <w:t>0.32</w:t>
            </w:r>
          </w:p>
        </w:tc>
        <w:tc>
          <w:tcPr>
            <w:tcW w:w="2220" w:type="dxa"/>
            <w:vAlign w:val="bottom"/>
          </w:tcPr>
          <w:p>
            <w:pPr>
              <w:jc w:val="right"/>
              <w:spacing w:after="0"/>
              <w:rPr>
                <w:sz w:val="20"/>
                <w:szCs w:val="20"/>
                <w:color w:val="auto"/>
              </w:rPr>
            </w:pPr>
            <w:r>
              <w:rPr>
                <w:rFonts w:ascii="Arial" w:cs="Arial" w:eastAsia="Arial" w:hAnsi="Arial"/>
                <w:sz w:val="18"/>
                <w:szCs w:val="18"/>
                <w:color w:val="auto"/>
              </w:rPr>
              <w:t>November 7, 2023</w:t>
            </w:r>
          </w:p>
        </w:tc>
      </w:tr>
      <w:tr>
        <w:trPr>
          <w:trHeight w:val="21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Marchetti</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93,587(2)</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142,831</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2.89</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13, 2031</w:t>
            </w: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Nicole Harvey</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51,497</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57,257</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ind w:left="700"/>
              <w:spacing w:after="0"/>
              <w:rPr>
                <w:sz w:val="20"/>
                <w:szCs w:val="20"/>
                <w:color w:val="auto"/>
              </w:rPr>
            </w:pPr>
            <w:r>
              <w:rPr>
                <w:rFonts w:ascii="Arial" w:cs="Arial" w:eastAsia="Arial" w:hAnsi="Arial"/>
                <w:sz w:val="18"/>
                <w:szCs w:val="18"/>
                <w:color w:val="auto"/>
              </w:rPr>
              <w:t>2.89</w:t>
            </w:r>
          </w:p>
        </w:tc>
        <w:tc>
          <w:tcPr>
            <w:tcW w:w="2220" w:type="dxa"/>
            <w:vAlign w:val="bottom"/>
          </w:tcPr>
          <w:p>
            <w:pPr>
              <w:jc w:val="right"/>
              <w:spacing w:after="0"/>
              <w:rPr>
                <w:sz w:val="20"/>
                <w:szCs w:val="20"/>
                <w:color w:val="auto"/>
              </w:rPr>
            </w:pPr>
            <w:r>
              <w:rPr>
                <w:rFonts w:ascii="Arial" w:cs="Arial" w:eastAsia="Arial" w:hAnsi="Arial"/>
                <w:sz w:val="18"/>
                <w:szCs w:val="18"/>
                <w:color w:val="auto"/>
              </w:rPr>
              <w:t>October 22, 2031</w:t>
            </w:r>
          </w:p>
        </w:tc>
      </w:tr>
    </w:tbl>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unvested portion of this option vests in 20 monthly installments from January 12, 2022 and August 12, 2023.</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unvested portion of this option vests as to 25% of the option on September 10, 2022 and as to 75% of the option in 36 monthly installments from October 10, 2022 through September 10, 2025.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During 2021,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for the option and as to the remaining 75% of the option in monthly installments over the three-year period thereafter, subject to Mr. Marchetti’s continued service with us through the applicable vesting date.</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For services performed during the year ended December 31, 2022, on February 10, 2023, Dr. Phares was granted 204,266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Mr. Marchetti was granted 86,133 RSUs, and Ms. Harvey was granted 74,800 RSUs. Each grant vested in full on the date of grant.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and the Dragonfly Energy Corp. 2021 Stock Incentive Plan (the “</w:t>
      </w:r>
      <w:r>
        <w:rPr>
          <w:rFonts w:ascii="Arial" w:cs="Arial" w:eastAsia="Arial" w:hAnsi="Arial"/>
          <w:sz w:val="18"/>
          <w:szCs w:val="18"/>
          <w:b w:val="1"/>
          <w:bCs w:val="1"/>
          <w:color w:val="auto"/>
        </w:rPr>
        <w:t>2021 Plan</w:t>
      </w:r>
      <w:r>
        <w:rPr>
          <w:rFonts w:ascii="Arial" w:cs="Arial" w:eastAsia="Arial" w:hAnsi="Arial"/>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441"/>
        <w:spacing w:after="0" w:line="279" w:lineRule="auto"/>
        <w:rPr>
          <w:sz w:val="20"/>
          <w:szCs w:val="20"/>
          <w:color w:val="auto"/>
        </w:rPr>
      </w:pPr>
      <w:r>
        <w:rPr>
          <w:rFonts w:ascii="Arial" w:cs="Arial" w:eastAsia="Arial" w:hAnsi="Arial"/>
          <w:sz w:val="17"/>
          <w:szCs w:val="17"/>
          <w:color w:val="auto"/>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Plan and 2021 Plan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relevant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Our Board may amend or terminate the 2019 Plan and the 2021 Plan at any time. The 2019 Plan and the 2021 Plan require that certain amendments as specified in each respective plan be submitted to stockholders for their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221"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We maintain the 2022 Equity Incentive Plan (the “</w:t>
      </w:r>
      <w:r>
        <w:rPr>
          <w:rFonts w:ascii="Arial" w:cs="Arial" w:eastAsia="Arial" w:hAnsi="Arial"/>
          <w:sz w:val="18"/>
          <w:szCs w:val="18"/>
          <w:b w:val="1"/>
          <w:bCs w:val="1"/>
          <w:color w:val="auto"/>
        </w:rPr>
        <w:t>2022 Plan</w:t>
      </w:r>
      <w:r>
        <w:rPr>
          <w:rFonts w:ascii="Arial" w:cs="Arial" w:eastAsia="Arial" w:hAnsi="Arial"/>
          <w:sz w:val="18"/>
          <w:szCs w:val="18"/>
          <w:color w:val="auto"/>
        </w:rPr>
        <w:t>”) for purposes of granting equity-based awards to attract, motivate, retain and reward selected employees and other eligible persons. Our Board administers the 2022 Plan. The 2022 Plan administrator has broad authority to (without limitation):</w:t>
      </w:r>
    </w:p>
    <w:p>
      <w:pPr>
        <w:spacing w:after="0" w:line="18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 participants and determine the types of awards that they are to receive;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cancel, modify or waive our rights with respect to, or modify, discontinue, suspend or terminate any or all outstanding awards, subject to any required consents;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construe and interpret the terms of the 2022 Plan and any agreements relating to the 2022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accelerate or extend the vesting or exercisability or extend the term of any or all outstanding awards subject to any required consent;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other provisions of the 2022 Plan, make certain adjustments to an outstanding award and authorize the termination, conversion, substitution or succession of an award; and</w:t>
      </w:r>
    </w:p>
    <w:p>
      <w:pPr>
        <w:jc w:val="both"/>
        <w:ind w:left="66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The total number of shares that may be issued pursuant to incentive stock options granted under the 2022 Plan is 6,571,800 shares. Any shares subject to awards that are not paid, delivered or exercised before they expire or are</w:t>
      </w:r>
    </w:p>
    <w:tbl>
      <w:tblPr>
        <w:tblLayout w:type="fixed"/>
        <w:tblInd w:w="0" w:type="dxa"/>
        <w:tblCellMar>
          <w:top w:w="0" w:type="dxa"/>
          <w:left w:w="0" w:type="dxa"/>
          <w:bottom w:w="0" w:type="dxa"/>
          <w:right w:w="0" w:type="dxa"/>
        </w:tblCellMar>
      </w:tblPr>
      <w:tr>
        <w:trPr>
          <w:trHeight w:val="206"/>
        </w:trPr>
        <w:tc>
          <w:tcPr>
            <w:tcW w:w="9640" w:type="dxa"/>
            <w:vAlign w:val="bottom"/>
            <w:gridSpan w:val="2"/>
          </w:tcPr>
          <w:p>
            <w:pPr>
              <w:spacing w:after="0" w:line="206" w:lineRule="exact"/>
              <w:rPr>
                <w:sz w:val="20"/>
                <w:szCs w:val="20"/>
                <w:color w:val="auto"/>
              </w:rPr>
            </w:pPr>
            <w:r>
              <w:rPr>
                <w:rFonts w:ascii="Arial" w:cs="Arial" w:eastAsia="Arial" w:hAnsi="Arial"/>
                <w:sz w:val="18"/>
                <w:szCs w:val="18"/>
                <w:color w:val="auto"/>
                <w:w w:val="93"/>
              </w:rPr>
              <w:t>canceled or terminated, or otherwise fail to vest, will become available for other award grants under the 2022 Plan. As of October</w:t>
            </w:r>
          </w:p>
        </w:tc>
        <w:tc>
          <w:tcPr>
            <w:tcW w:w="880" w:type="dxa"/>
            <w:vAlign w:val="bottom"/>
          </w:tcPr>
          <w:p>
            <w:pPr>
              <w:jc w:val="right"/>
              <w:ind w:right="110"/>
              <w:spacing w:after="0" w:line="206" w:lineRule="exact"/>
              <w:rPr>
                <w:sz w:val="20"/>
                <w:szCs w:val="20"/>
                <w:color w:val="auto"/>
              </w:rPr>
            </w:pPr>
            <w:r>
              <w:rPr>
                <w:rFonts w:ascii="Arial" w:cs="Arial" w:eastAsia="Arial" w:hAnsi="Arial"/>
                <w:sz w:val="18"/>
                <w:szCs w:val="18"/>
                <w:color w:val="auto"/>
              </w:rPr>
              <w:t>, 2023,</w:t>
            </w:r>
          </w:p>
        </w:tc>
        <w:tc>
          <w:tcPr>
            <w:tcW w:w="720" w:type="dxa"/>
            <w:vAlign w:val="bottom"/>
          </w:tcPr>
          <w:p>
            <w:pPr>
              <w:ind w:left="200"/>
              <w:spacing w:after="0" w:line="206" w:lineRule="exact"/>
              <w:rPr>
                <w:sz w:val="20"/>
                <w:szCs w:val="20"/>
                <w:color w:val="auto"/>
              </w:rPr>
            </w:pPr>
            <w:r>
              <w:rPr>
                <w:rFonts w:ascii="Arial" w:cs="Arial" w:eastAsia="Arial" w:hAnsi="Arial"/>
                <w:sz w:val="18"/>
                <w:szCs w:val="18"/>
                <w:color w:val="auto"/>
                <w:w w:val="86"/>
              </w:rPr>
              <w:t>awards</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w w:val="91"/>
              </w:rPr>
              <w:t>have been granted under the 2022 Plan, and</w:t>
            </w:r>
          </w:p>
        </w:tc>
        <w:tc>
          <w:tcPr>
            <w:tcW w:w="6340" w:type="dxa"/>
            <w:vAlign w:val="bottom"/>
          </w:tcPr>
          <w:p>
            <w:pPr>
              <w:ind w:left="120"/>
              <w:spacing w:after="0"/>
              <w:rPr>
                <w:sz w:val="20"/>
                <w:szCs w:val="20"/>
                <w:color w:val="auto"/>
              </w:rPr>
            </w:pPr>
            <w:r>
              <w:rPr>
                <w:rFonts w:ascii="Arial" w:cs="Arial" w:eastAsia="Arial" w:hAnsi="Arial"/>
                <w:sz w:val="18"/>
                <w:szCs w:val="18"/>
                <w:color w:val="auto"/>
              </w:rPr>
              <w:t>shares authorized under the 2022 Plan are available for award purposes.</w:t>
            </w: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9"/>
        </w:trPr>
        <w:tc>
          <w:tcPr>
            <w:tcW w:w="33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7" w:name="page28"/>
    <w:bookmarkEnd w:id="27"/>
    <w:p>
      <w:pPr>
        <w:jc w:val="both"/>
        <w:ind w:firstLine="648"/>
        <w:spacing w:after="0" w:line="263" w:lineRule="auto"/>
        <w:rPr>
          <w:sz w:val="20"/>
          <w:szCs w:val="20"/>
          <w:color w:val="auto"/>
        </w:rPr>
      </w:pPr>
      <w:r>
        <w:rPr>
          <w:rFonts w:ascii="Arial" w:cs="Arial" w:eastAsia="Arial" w:hAnsi="Arial"/>
          <w:sz w:val="18"/>
          <w:szCs w:val="18"/>
          <w:color w:val="auto"/>
        </w:rPr>
        <w:t>Awards under the 2022 Plan may be in the form of incentive or nonqualified stock options, stock appreciation rights, stock bonuses, restricted stock, stock units and other forms of awards including cash awards. Awards under the 2022 Plan generally will not be transferable other than by will or the laws of descent and distribution, except that the 2022 Plan administrator may authorize certain transfers.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2022 Plan is 10 years. These and other awards may also be issued solely or in part for services. Awards are generally paid in cash or shares of our common stock. The 2022 Plan administrator may provide for the deferred payment of awards and may determine the terms applicable to deferrals.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2022 Plan administrator provides for the assumption, substitution or other continuation of the award. The 2022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and Compensation Committee may grant stock and performance incentives or other compensation, in stock or cash, under other plans or authority.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2022 Plan will terminate on May 13, 2032. However, the 2022 Plan administrator will retain its authority until all outstanding awards are exercised or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maintain the Employee Stock Purchase Plan (the “</w:t>
      </w:r>
      <w:r>
        <w:rPr>
          <w:rFonts w:ascii="Arial" w:cs="Arial" w:eastAsia="Arial" w:hAnsi="Arial"/>
          <w:sz w:val="18"/>
          <w:szCs w:val="18"/>
          <w:b w:val="1"/>
          <w:bCs w:val="1"/>
          <w:color w:val="auto"/>
        </w:rPr>
        <w:t>ESPP</w:t>
      </w:r>
      <w:r>
        <w:rPr>
          <w:rFonts w:ascii="Arial" w:cs="Arial" w:eastAsia="Arial" w:hAnsi="Arial"/>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 total of 2,464,400 shares of our common stock have been initially authorized for issuance under the ESPP. The share limit will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increase on the first trading day in January of each year by an amount equal to lesser of (1) 1% of the total number of outstanding shares of our common stock on December 31 in the prior year, (2) 1,500,000 shares, and (3) such number as determined by our Board.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The initial offering period for the ESPP commenced on September 1, 2023. We currently expect that the ESPP will have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successive six-month offering 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Eligible Employees</w:t>
      </w:r>
      <w:r>
        <w:rPr>
          <w:rFonts w:ascii="Arial" w:cs="Arial" w:eastAsia="Arial" w:hAnsi="Arial"/>
          <w:sz w:val="16"/>
          <w:szCs w:val="16"/>
          <w:color w:val="auto"/>
        </w:rPr>
        <w:t>. Individuals, other than the Company’s executive officers, scheduled to work more than 20 hours per week for more than five</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months per year may join an offering period on the start date of that period. Employees may participate in only one offering period at a time.</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A participant may contribute up to 15% of his or her cash earnings through payroll deductions, and the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(as defined in the ESPP).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Other plan provisions</w:t>
      </w:r>
      <w:r>
        <w:rPr>
          <w:rFonts w:ascii="Arial" w:cs="Arial" w:eastAsia="Arial" w:hAnsi="Arial"/>
          <w:sz w:val="18"/>
          <w:szCs w:val="18"/>
          <w:color w:val="auto"/>
        </w:rPr>
        <w:t>. No new offering periods will commence on or after May 13, 2032. The Board may at any time amend,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 the ESPP. However, certain amendments may require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Director compensation is intended to provide an appropriate level of remuneration considering the responsibilities, time requirements, and accountability of the directors.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director compensation for the fiscal year ended December 31, 2022 paid by us (excluding compensation to our named executive officers set forth in the summary compensation table above).</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Earned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or Paid</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Option</w:t>
            </w: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 Cash</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Awards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4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 ($)</w:t>
            </w:r>
          </w:p>
        </w:tc>
        <w:tc>
          <w:tcPr>
            <w:tcW w:w="100" w:type="dxa"/>
            <w:vAlign w:val="bottom"/>
            <w:tcBorders>
              <w:bottom w:val="single" w:sz="8" w:color="CCEEFF"/>
            </w:tcBorders>
          </w:tcPr>
          <w:p>
            <w:pPr>
              <w:spacing w:after="0"/>
              <w:rPr>
                <w:sz w:val="20"/>
                <w:szCs w:val="20"/>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Luisa Ingargiola</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23,089</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443,089</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Brian Nelson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17,247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420,000</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245,401(4)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682,648</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Parod</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13,741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420,000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433,741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Karina Montilla Edmonds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16,078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420,000</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436,078</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Perry Boyle</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13,741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420,000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433,741</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Jonathan Bellows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13,741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420,000</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433,741</w:t>
            </w:r>
          </w:p>
        </w:tc>
      </w:tr>
    </w:tbl>
    <w:p>
      <w:pPr>
        <w:spacing w:after="0" w:line="187"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our fiscal year ended December 31, 2022, our directors were paid a $13,741 annual retainer, an additional $4,674 annual retainer for chairing a committee, and an additional retainer of $4,674 for the lead independent director.</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Arial" w:cs="Arial" w:eastAsia="Arial" w:hAnsi="Arial"/>
          <w:sz w:val="17"/>
          <w:szCs w:val="17"/>
          <w:i w:val="1"/>
          <w:iCs w:val="1"/>
          <w:color w:val="auto"/>
        </w:rPr>
        <w:t>Stock-Based Compensation</w:t>
      </w:r>
      <w:r>
        <w:rPr>
          <w:rFonts w:ascii="Arial" w:cs="Arial" w:eastAsia="Arial" w:hAnsi="Arial"/>
          <w:sz w:val="17"/>
          <w:szCs w:val="17"/>
          <w:color w:val="auto"/>
        </w:rPr>
        <w:t>” beginning on page F-11 of our Notes to Consolidated Financial Statements included in our Annual Report. As of December 31, 2022, each Non-Employee Director held 30,000 unvested RSUs.</w:t>
      </w:r>
    </w:p>
    <w:p>
      <w:pPr>
        <w:spacing w:after="0" w:line="17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of common stock underlying stock options and unvested RSUs outstanding as of December 31, 2022 held by Ms. Ingargiola was 127,521.</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stock option awards to purchase 70,925 shares of our common stock were granted to Mr. Nelson on May 9, 2022 and vest in 36 equal monthly installments beginning on May 15,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connection with the Closing, we adopted a director compensation policy that provides for cash and equity compensation for members of our Board who are not employed by us or any of our subsidiaries (our “</w:t>
      </w:r>
      <w:r>
        <w:rPr>
          <w:rFonts w:ascii="Arial" w:cs="Arial" w:eastAsia="Arial" w:hAnsi="Arial"/>
          <w:sz w:val="18"/>
          <w:szCs w:val="18"/>
          <w:b w:val="1"/>
          <w:bCs w:val="1"/>
          <w:color w:val="auto"/>
        </w:rPr>
        <w:t>Non-Employee Directors</w:t>
      </w:r>
      <w:r>
        <w:rPr>
          <w:rFonts w:ascii="Arial" w:cs="Arial" w:eastAsia="Arial" w:hAnsi="Arial"/>
          <w:sz w:val="18"/>
          <w:szCs w:val="18"/>
          <w:color w:val="auto"/>
        </w:rPr>
        <w:t>”). The director compensation policy provides that each Non-Employee Director is entitled to receive the following cash compensation for board service, as applicable:</w:t>
      </w:r>
    </w:p>
    <w:p>
      <w:pPr>
        <w:spacing w:after="0" w:line="18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$58,800 annual retainer for service as a member of the Board;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$20,000 additional annual retainer for service as Lead Independent Director; and</w:t>
      </w:r>
    </w:p>
    <w:p>
      <w:pPr>
        <w:spacing w:after="0" w:line="9"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9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Under the director compensation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7"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Our Board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our Board and an award of options or restricted stock units with a value of $100,000 on an annual basis thereafter. For each award, our Board will determine at the time of grant the methodology for converting the foregoing dollar amounts to shares and the vesting schedule. Our Board may approve other grants of equity-based awards to Non-Employee Directors from time to time, on such terms as the Board may determine and subject to the applicable provisions of our equity compensation plan then in effect.</w:t>
      </w:r>
    </w:p>
    <w:p>
      <w:pPr>
        <w:spacing w:after="0" w:line="16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Under the director compensation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may change the terms of our director compensation policy from time to time.</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members of the Audit Committee of the Board of Directors of Dragonfly Energy Holdings Corp. submit this report in connection with the Audit Committee’s review of the financial reports for the fiscal year ended December 31, 2022 as follows:</w:t>
      </w:r>
    </w:p>
    <w:p>
      <w:pPr>
        <w:spacing w:after="0" w:line="170" w:lineRule="exact"/>
        <w:rPr>
          <w:sz w:val="20"/>
          <w:szCs w:val="20"/>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Audit Committee has reviewed and discussed with management the audited financial statements for the Company for the fiscal year ended December 31, 2022.</w:t>
      </w:r>
    </w:p>
    <w:p>
      <w:pPr>
        <w:spacing w:after="0" w:line="19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Audit Committee has discussed with representatives of BDO USA, P.C., the independent public accounting firm, the matters which are required to be discussed with them under the provisions of Auditing Standard No. 61, as amended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Audit Committee has discussed with BDO USA, P.C., the independent public accounting firm, the auditors’ independence from management and the Company has received the written disclosures and the letter from the independent auditors required by applicable requirements of the Public Company Accounting Oversight Board.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2022 for filing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of Dragonfly Energy Holdings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Luisa Ingargiola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Rick Parod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Perry Boyle</w:t>
      </w:r>
    </w:p>
    <w:p>
      <w:pPr>
        <w:spacing w:after="0" w:line="211" w:lineRule="exact"/>
        <w:rPr>
          <w:sz w:val="20"/>
          <w:szCs w:val="20"/>
          <w:color w:val="auto"/>
        </w:rPr>
      </w:pPr>
    </w:p>
    <w:p>
      <w:pPr>
        <w:jc w:val="both"/>
        <w:ind w:left="340" w:hanging="332"/>
        <w:spacing w:after="0" w:line="279"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certain information, as of October 20, 2023,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Number of Shares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6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Beneficially</w:t>
            </w:r>
          </w:p>
        </w:tc>
        <w:tc>
          <w:tcPr>
            <w:tcW w:w="20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Percentage</w:t>
            </w:r>
          </w:p>
        </w:tc>
      </w:tr>
      <w:tr>
        <w:trPr>
          <w:trHeight w:val="278"/>
        </w:trPr>
        <w:tc>
          <w:tcPr>
            <w:tcW w:w="694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 xml:space="preserve">Name of Beneficial Owner </w:t>
            </w:r>
            <w:r>
              <w:rPr>
                <w:rFonts w:ascii="Arial" w:cs="Arial" w:eastAsia="Arial" w:hAnsi="Arial"/>
                <w:sz w:val="29"/>
                <w:szCs w:val="29"/>
                <w:b w:val="1"/>
                <w:bCs w:val="1"/>
                <w:color w:val="auto"/>
                <w:vertAlign w:val="superscript"/>
              </w:rPr>
              <w:t>(1)</w:t>
            </w:r>
          </w:p>
        </w:tc>
        <w:tc>
          <w:tcPr>
            <w:tcW w:w="2240" w:type="dxa"/>
            <w:vAlign w:val="bottom"/>
            <w:gridSpan w:val="2"/>
          </w:tcPr>
          <w:p>
            <w:pPr>
              <w:jc w:val="center"/>
              <w:ind w:right="320"/>
              <w:spacing w:after="0" w:line="271" w:lineRule="exact"/>
              <w:rPr>
                <w:sz w:val="20"/>
                <w:szCs w:val="20"/>
                <w:color w:val="auto"/>
              </w:rPr>
            </w:pPr>
            <w:r>
              <w:rPr>
                <w:rFonts w:ascii="Arial" w:cs="Arial" w:eastAsia="Arial" w:hAnsi="Arial"/>
                <w:sz w:val="18"/>
                <w:szCs w:val="18"/>
                <w:b w:val="1"/>
                <w:bCs w:val="1"/>
                <w:color w:val="auto"/>
                <w:w w:val="85"/>
              </w:rPr>
              <w:t xml:space="preserve">Owned </w:t>
            </w:r>
            <w:r>
              <w:rPr>
                <w:rFonts w:ascii="Arial" w:cs="Arial" w:eastAsia="Arial" w:hAnsi="Arial"/>
                <w:sz w:val="29"/>
                <w:szCs w:val="29"/>
                <w:b w:val="1"/>
                <w:bCs w:val="1"/>
                <w:color w:val="auto"/>
                <w:w w:val="85"/>
                <w:vertAlign w:val="superscript"/>
              </w:rPr>
              <w:t>(2)</w:t>
            </w:r>
          </w:p>
        </w:tc>
        <w:tc>
          <w:tcPr>
            <w:tcW w:w="2060" w:type="dxa"/>
            <w:vAlign w:val="bottom"/>
            <w:gridSpan w:val="2"/>
          </w:tcPr>
          <w:p>
            <w:pPr>
              <w:jc w:val="right"/>
              <w:ind w:right="230"/>
              <w:spacing w:after="0" w:line="271" w:lineRule="exact"/>
              <w:rPr>
                <w:sz w:val="20"/>
                <w:szCs w:val="20"/>
                <w:color w:val="auto"/>
              </w:rPr>
            </w:pPr>
            <w:r>
              <w:rPr>
                <w:rFonts w:ascii="Arial" w:cs="Arial" w:eastAsia="Arial" w:hAnsi="Arial"/>
                <w:sz w:val="18"/>
                <w:szCs w:val="18"/>
                <w:b w:val="1"/>
                <w:bCs w:val="1"/>
                <w:color w:val="auto"/>
                <w:w w:val="94"/>
              </w:rPr>
              <w:t xml:space="preserve">of Common Stock </w:t>
            </w:r>
            <w:r>
              <w:rPr>
                <w:rFonts w:ascii="Arial" w:cs="Arial" w:eastAsia="Arial" w:hAnsi="Arial"/>
                <w:sz w:val="29"/>
                <w:szCs w:val="29"/>
                <w:b w:val="1"/>
                <w:bCs w:val="1"/>
                <w:color w:val="auto"/>
                <w:w w:val="94"/>
                <w:vertAlign w:val="superscript"/>
              </w:rPr>
              <w:t>(3)</w:t>
            </w:r>
          </w:p>
        </w:tc>
      </w:tr>
      <w:tr>
        <w:trPr>
          <w:trHeight w:val="216"/>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Holders: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Dynavolt Technology (HK) Ltd. </w:t>
            </w:r>
            <w:r>
              <w:rPr>
                <w:rFonts w:ascii="Arial" w:cs="Arial" w:eastAsia="Arial" w:hAnsi="Arial"/>
                <w:sz w:val="29"/>
                <w:szCs w:val="29"/>
                <w:color w:val="auto"/>
                <w:vertAlign w:val="superscript"/>
              </w:rPr>
              <w:t>(4)</w:t>
            </w:r>
          </w:p>
        </w:tc>
        <w:tc>
          <w:tcPr>
            <w:tcW w:w="1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Li Gong </w:t>
            </w:r>
            <w:r>
              <w:rPr>
                <w:rFonts w:ascii="Arial" w:cs="Arial" w:eastAsia="Arial" w:hAnsi="Arial"/>
                <w:sz w:val="29"/>
                <w:szCs w:val="29"/>
                <w:color w:val="auto"/>
                <w:vertAlign w:val="superscript"/>
              </w:rPr>
              <w:t>(5)</w:t>
            </w:r>
          </w:p>
        </w:tc>
        <w:tc>
          <w:tcPr>
            <w:tcW w:w="1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9"/>
        </w:trPr>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0"/>
        </w:trPr>
        <w:tc>
          <w:tcPr>
            <w:tcW w:w="6940" w:type="dxa"/>
            <w:vAlign w:val="bottom"/>
            <w:gridSpan w:val="2"/>
          </w:tcPr>
          <w:p>
            <w:pPr>
              <w:spacing w:after="0" w:line="230" w:lineRule="exact"/>
              <w:rPr>
                <w:sz w:val="20"/>
                <w:szCs w:val="20"/>
                <w:color w:val="auto"/>
              </w:rPr>
            </w:pPr>
            <w:r>
              <w:rPr>
                <w:rFonts w:ascii="Arial" w:cs="Arial" w:eastAsia="Arial" w:hAnsi="Arial"/>
                <w:sz w:val="16"/>
                <w:szCs w:val="16"/>
                <w:color w:val="auto"/>
              </w:rPr>
              <w:t xml:space="preserve">Denis Phares </w:t>
            </w:r>
            <w:r>
              <w:rPr>
                <w:rFonts w:ascii="Arial" w:cs="Arial" w:eastAsia="Arial" w:hAnsi="Arial"/>
                <w:sz w:val="26"/>
                <w:szCs w:val="26"/>
                <w:color w:val="auto"/>
                <w:vertAlign w:val="superscript"/>
              </w:rPr>
              <w:t>(6)(7)</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Sean Nichols </w:t>
            </w:r>
            <w:r>
              <w:rPr>
                <w:rFonts w:ascii="Arial" w:cs="Arial" w:eastAsia="Arial" w:hAnsi="Arial"/>
                <w:sz w:val="29"/>
                <w:szCs w:val="29"/>
                <w:color w:val="auto"/>
                <w:vertAlign w:val="superscript"/>
              </w:rPr>
              <w:t>(6)(8)</w:t>
            </w:r>
          </w:p>
        </w:tc>
        <w:tc>
          <w:tcPr>
            <w:tcW w:w="1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Nicole Harvey </w:t>
            </w:r>
            <w:r>
              <w:rPr>
                <w:rFonts w:ascii="Arial" w:cs="Arial" w:eastAsia="Arial" w:hAnsi="Arial"/>
                <w:sz w:val="29"/>
                <w:szCs w:val="29"/>
                <w:color w:val="auto"/>
                <w:vertAlign w:val="superscript"/>
              </w:rPr>
              <w:t>(9)</w:t>
            </w:r>
          </w:p>
        </w:tc>
        <w:tc>
          <w:tcPr>
            <w:tcW w:w="1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John Marchetti </w:t>
            </w:r>
            <w:r>
              <w:rPr>
                <w:rFonts w:ascii="Arial" w:cs="Arial" w:eastAsia="Arial" w:hAnsi="Arial"/>
                <w:sz w:val="29"/>
                <w:szCs w:val="29"/>
                <w:color w:val="auto"/>
                <w:vertAlign w:val="superscript"/>
              </w:rPr>
              <w:t>(10)</w:t>
            </w:r>
          </w:p>
        </w:tc>
        <w:tc>
          <w:tcPr>
            <w:tcW w:w="1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Luisa Ingargiola </w:t>
            </w:r>
            <w:r>
              <w:rPr>
                <w:rFonts w:ascii="Arial" w:cs="Arial" w:eastAsia="Arial" w:hAnsi="Arial"/>
                <w:sz w:val="29"/>
                <w:szCs w:val="29"/>
                <w:color w:val="auto"/>
                <w:vertAlign w:val="superscript"/>
              </w:rPr>
              <w:t>(11)</w:t>
            </w:r>
          </w:p>
        </w:tc>
        <w:tc>
          <w:tcPr>
            <w:tcW w:w="1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Brian Nelson </w:t>
            </w:r>
            <w:r>
              <w:rPr>
                <w:rFonts w:ascii="Arial" w:cs="Arial" w:eastAsia="Arial" w:hAnsi="Arial"/>
                <w:sz w:val="29"/>
                <w:szCs w:val="29"/>
                <w:color w:val="auto"/>
                <w:vertAlign w:val="superscript"/>
              </w:rPr>
              <w:t>(12)</w:t>
            </w:r>
          </w:p>
        </w:tc>
        <w:tc>
          <w:tcPr>
            <w:tcW w:w="1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Rick Parod</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Karina Montilla Edmonds</w:t>
            </w:r>
          </w:p>
        </w:tc>
        <w:tc>
          <w:tcPr>
            <w:tcW w:w="1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All executive officers and directors as a group (9 persons)</w:t>
            </w:r>
          </w:p>
        </w:tc>
        <w:tc>
          <w:tcPr>
            <w:tcW w:w="19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432"/>
        </w:trPr>
        <w:tc>
          <w:tcPr>
            <w:tcW w:w="694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otherwise indicated, the address of each beneficial owner is c/o Dragonfly Energy Holdings Corp., 1190 Trademark Drive, #108, Reno, Nevada 89521.</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determined beneficial ownership in accordance with Rule 13d-3 under the Securities Exchange Act of 1934, as amended, which is generally determined by voting power and/or dispositive power with respect to securities. Unless otherwise noted, the shares of common stock listed above are owned as of the Record Date and are owned of record by each individual named as beneficial owner and such individual has sole voting and dispositive power with respect to the shares of common stock owned by each of them.</w:t>
      </w:r>
    </w:p>
    <w:p>
      <w:pPr>
        <w:spacing w:after="0" w:line="214" w:lineRule="exact"/>
        <w:rPr>
          <w:sz w:val="20"/>
          <w:szCs w:val="20"/>
          <w:color w:val="auto"/>
        </w:rPr>
      </w:pPr>
    </w:p>
    <w:p>
      <w:pPr>
        <w:jc w:val="both"/>
        <w:ind w:left="340" w:hanging="339"/>
        <w:spacing w:after="0" w:line="255" w:lineRule="auto"/>
        <w:tabs>
          <w:tab w:leader="none" w:pos="320" w:val="left"/>
        </w:tabs>
        <w:rPr>
          <w:sz w:val="20"/>
          <w:szCs w:val="20"/>
          <w:color w:val="auto"/>
        </w:rPr>
      </w:pPr>
      <w:r>
        <w:rPr>
          <w:rFonts w:ascii="Arial" w:cs="Arial" w:eastAsia="Arial" w:hAnsi="Arial"/>
          <w:sz w:val="18"/>
          <w:szCs w:val="18"/>
          <w:color w:val="auto"/>
        </w:rPr>
        <w:t>(3)</w:t>
        <w:tab/>
        <w:t>Applicable percentage ownership is based on shares of common stock outstanding as of October 20, 2023, together with securities exercisable or convertible into shares of common stock within 60 days of October 20, 2023, for each stockholder. Beneficial ownership is determined in accordance with the rules of the SEC and generally includes voting or investment power with respect to securities. Shares of common stock that are currently exercisable or exercisable within 60 days of October 20, 2023,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15" w:lineRule="exact"/>
        <w:rPr>
          <w:sz w:val="20"/>
          <w:szCs w:val="20"/>
          <w:color w:val="auto"/>
        </w:rPr>
      </w:pPr>
    </w:p>
    <w:p>
      <w:pPr>
        <w:ind w:left="340" w:hanging="332"/>
        <w:spacing w:after="0" w:line="28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the Schedule 13D filed by Dynavolt Technology (HK) Ltd. (“</w:t>
      </w:r>
      <w:r>
        <w:rPr>
          <w:rFonts w:ascii="Arial" w:cs="Arial" w:eastAsia="Arial" w:hAnsi="Arial"/>
          <w:sz w:val="18"/>
          <w:szCs w:val="18"/>
          <w:b w:val="1"/>
          <w:bCs w:val="1"/>
          <w:color w:val="auto"/>
        </w:rPr>
        <w:t>Dynavolt</w:t>
      </w:r>
      <w:r>
        <w:rPr>
          <w:rFonts w:ascii="Arial" w:cs="Arial" w:eastAsia="Arial" w:hAnsi="Arial"/>
          <w:sz w:val="18"/>
          <w:szCs w:val="18"/>
          <w:color w:val="auto"/>
        </w:rPr>
        <w:t>”) on October 12, 2022. The business address of Dynavolt is Flat/Room 02-03 26/F, Bea Tower Millennium City 5, 418 Kwun Tong Road, Kwun Tong, Hong Kong.</w:t>
      </w:r>
    </w:p>
    <w:p>
      <w:pPr>
        <w:spacing w:after="0" w:line="193" w:lineRule="exact"/>
        <w:rPr>
          <w:sz w:val="20"/>
          <w:szCs w:val="20"/>
          <w:color w:val="auto"/>
        </w:rPr>
      </w:pPr>
    </w:p>
    <w:p>
      <w:pPr>
        <w:jc w:val="both"/>
        <w:ind w:left="340" w:hanging="339"/>
        <w:spacing w:after="0" w:line="287" w:lineRule="auto"/>
        <w:tabs>
          <w:tab w:leader="none" w:pos="320" w:val="left"/>
        </w:tabs>
        <w:rPr>
          <w:sz w:val="20"/>
          <w:szCs w:val="20"/>
          <w:color w:val="auto"/>
        </w:rPr>
      </w:pPr>
      <w:r>
        <w:rPr>
          <w:rFonts w:ascii="Arial" w:cs="Arial" w:eastAsia="Arial" w:hAnsi="Arial"/>
          <w:sz w:val="16"/>
          <w:szCs w:val="16"/>
          <w:color w:val="auto"/>
        </w:rPr>
        <w:t>(5)</w:t>
        <w:tab/>
        <w:t>Based on the Schedule 13D filed by Li Gong on October 12, 2022. Includes (i) shares of common stock held on behalf of the SAKURA GRAT, dated February 11, 2021, of which Mr. Gong is a trustee, (ii) shares of common stock on behalf of the LML Family Trust, dated January 14, 2019, of which Mr. Gong is a trustee and (iii) shares of common stock issuable upon exercise of outstanding stock options exercisable within 60 days of</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20, 2023. The business address of Mr. Gong is 930 Tahoe Blvd. Suite 802, PMB 860, Incline Village, Nevada 89451.</w:t>
      </w:r>
    </w:p>
    <w:p>
      <w:pPr>
        <w:spacing w:after="0" w:line="238" w:lineRule="exact"/>
        <w:rPr>
          <w:sz w:val="20"/>
          <w:szCs w:val="20"/>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40,000,000 shares of common stock not yet payable as the earnout contingencies have not yet been met and will not be met within 60 days of October 20,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spacing w:after="0"/>
              <w:rPr>
                <w:sz w:val="20"/>
                <w:szCs w:val="20"/>
                <w:color w:val="auto"/>
              </w:rPr>
            </w:pPr>
            <w:r>
              <w:rPr>
                <w:rFonts w:ascii="Arial" w:cs="Arial" w:eastAsia="Arial" w:hAnsi="Arial"/>
                <w:sz w:val="18"/>
                <w:szCs w:val="18"/>
                <w:color w:val="auto"/>
                <w:w w:val="90"/>
              </w:rPr>
              <w:t>(7)</w:t>
            </w:r>
          </w:p>
        </w:tc>
        <w:tc>
          <w:tcPr>
            <w:tcW w:w="1060" w:type="dxa"/>
            <w:vAlign w:val="bottom"/>
          </w:tcPr>
          <w:p>
            <w:pPr>
              <w:ind w:left="60"/>
              <w:spacing w:after="0"/>
              <w:rPr>
                <w:sz w:val="20"/>
                <w:szCs w:val="20"/>
                <w:color w:val="auto"/>
              </w:rPr>
            </w:pPr>
            <w:r>
              <w:rPr>
                <w:rFonts w:ascii="Arial" w:cs="Arial" w:eastAsia="Arial" w:hAnsi="Arial"/>
                <w:sz w:val="18"/>
                <w:szCs w:val="18"/>
                <w:color w:val="auto"/>
              </w:rPr>
              <w:t>Includes (i)</w:t>
            </w:r>
          </w:p>
        </w:tc>
        <w:tc>
          <w:tcPr>
            <w:tcW w:w="8360" w:type="dxa"/>
            <w:vAlign w:val="bottom"/>
            <w:gridSpan w:val="3"/>
          </w:tcPr>
          <w:p>
            <w:pPr>
              <w:ind w:left="160"/>
              <w:spacing w:after="0"/>
              <w:rPr>
                <w:sz w:val="20"/>
                <w:szCs w:val="20"/>
                <w:color w:val="auto"/>
              </w:rPr>
            </w:pPr>
            <w:r>
              <w:rPr>
                <w:rFonts w:ascii="Arial" w:cs="Arial" w:eastAsia="Arial" w:hAnsi="Arial"/>
                <w:sz w:val="18"/>
                <w:szCs w:val="18"/>
                <w:color w:val="auto"/>
                <w:w w:val="93"/>
              </w:rPr>
              <w:t>shares held on behalf of the Phares 2021 GRAT dated July 9, 2021, of which Dr. Phares is the trustee, and (ii)</w:t>
            </w:r>
          </w:p>
        </w:tc>
        <w:tc>
          <w:tcPr>
            <w:tcW w:w="1540" w:type="dxa"/>
            <w:vAlign w:val="bottom"/>
          </w:tcPr>
          <w:p>
            <w:pPr>
              <w:jc w:val="right"/>
              <w:spacing w:after="0"/>
              <w:rPr>
                <w:sz w:val="20"/>
                <w:szCs w:val="20"/>
                <w:color w:val="auto"/>
              </w:rPr>
            </w:pPr>
            <w:r>
              <w:rPr>
                <w:rFonts w:ascii="Arial" w:cs="Arial" w:eastAsia="Arial" w:hAnsi="Arial"/>
                <w:sz w:val="18"/>
                <w:szCs w:val="18"/>
                <w:color w:val="auto"/>
              </w:rPr>
              <w:t>shares of common</w:t>
            </w:r>
          </w:p>
        </w:tc>
      </w:tr>
      <w:tr>
        <w:trPr>
          <w:trHeight w:val="230"/>
        </w:trPr>
        <w:tc>
          <w:tcPr>
            <w:tcW w:w="280" w:type="dxa"/>
            <w:vAlign w:val="bottom"/>
          </w:tcPr>
          <w:p>
            <w:pPr>
              <w:spacing w:after="0"/>
              <w:rPr>
                <w:sz w:val="20"/>
                <w:szCs w:val="20"/>
                <w:color w:val="auto"/>
              </w:rPr>
            </w:pPr>
          </w:p>
        </w:tc>
        <w:tc>
          <w:tcPr>
            <w:tcW w:w="9420" w:type="dxa"/>
            <w:vAlign w:val="bottom"/>
            <w:gridSpan w:val="4"/>
          </w:tcPr>
          <w:p>
            <w:pPr>
              <w:ind w:left="60"/>
              <w:spacing w:after="0"/>
              <w:rPr>
                <w:sz w:val="20"/>
                <w:szCs w:val="20"/>
                <w:color w:val="auto"/>
              </w:rPr>
            </w:pPr>
            <w:r>
              <w:rPr>
                <w:rFonts w:ascii="Arial" w:cs="Arial" w:eastAsia="Arial" w:hAnsi="Arial"/>
                <w:sz w:val="18"/>
                <w:szCs w:val="18"/>
                <w:color w:val="auto"/>
              </w:rPr>
              <w:t>stock issuable upon exercise of outstanding stock options exercisable within 60 days of October 20, 2023.</w:t>
            </w:r>
          </w:p>
        </w:tc>
        <w:tc>
          <w:tcPr>
            <w:tcW w:w="1540" w:type="dxa"/>
            <w:vAlign w:val="bottom"/>
          </w:tcPr>
          <w:p>
            <w:pPr>
              <w:spacing w:after="0"/>
              <w:rPr>
                <w:sz w:val="20"/>
                <w:szCs w:val="20"/>
                <w:color w:val="auto"/>
              </w:rPr>
            </w:pPr>
          </w:p>
        </w:tc>
      </w:tr>
      <w:tr>
        <w:trPr>
          <w:trHeight w:val="445"/>
        </w:trPr>
        <w:tc>
          <w:tcPr>
            <w:tcW w:w="280" w:type="dxa"/>
            <w:vAlign w:val="bottom"/>
          </w:tcPr>
          <w:p>
            <w:pPr>
              <w:jc w:val="right"/>
              <w:spacing w:after="0"/>
              <w:rPr>
                <w:sz w:val="20"/>
                <w:szCs w:val="20"/>
                <w:color w:val="auto"/>
              </w:rPr>
            </w:pPr>
            <w:r>
              <w:rPr>
                <w:rFonts w:ascii="Arial" w:cs="Arial" w:eastAsia="Arial" w:hAnsi="Arial"/>
                <w:sz w:val="18"/>
                <w:szCs w:val="18"/>
                <w:color w:val="auto"/>
                <w:w w:val="90"/>
              </w:rPr>
              <w:t>(8)</w:t>
            </w:r>
          </w:p>
        </w:tc>
        <w:tc>
          <w:tcPr>
            <w:tcW w:w="10960" w:type="dxa"/>
            <w:vAlign w:val="bottom"/>
            <w:gridSpan w:val="5"/>
          </w:tcPr>
          <w:p>
            <w:pPr>
              <w:ind w:left="60"/>
              <w:spacing w:after="0"/>
              <w:rPr>
                <w:sz w:val="20"/>
                <w:szCs w:val="20"/>
                <w:color w:val="auto"/>
              </w:rPr>
            </w:pPr>
            <w:r>
              <w:rPr>
                <w:rFonts w:ascii="Arial" w:cs="Arial" w:eastAsia="Arial" w:hAnsi="Arial"/>
                <w:sz w:val="18"/>
                <w:szCs w:val="18"/>
                <w:color w:val="auto"/>
                <w:w w:val="92"/>
              </w:rPr>
              <w:t>Based on the Schedule 13D filed by Sean Nichols, our former Chief Operating Officer, on October 12, 2022 and information available to us. Includes</w:t>
            </w:r>
          </w:p>
        </w:tc>
      </w:tr>
      <w:tr>
        <w:trPr>
          <w:trHeight w:val="216"/>
        </w:trPr>
        <w:tc>
          <w:tcPr>
            <w:tcW w:w="280" w:type="dxa"/>
            <w:vAlign w:val="bottom"/>
          </w:tcPr>
          <w:p>
            <w:pPr>
              <w:spacing w:after="0"/>
              <w:rPr>
                <w:sz w:val="18"/>
                <w:szCs w:val="18"/>
                <w:color w:val="auto"/>
              </w:rPr>
            </w:pPr>
          </w:p>
        </w:tc>
        <w:tc>
          <w:tcPr>
            <w:tcW w:w="6880" w:type="dxa"/>
            <w:vAlign w:val="bottom"/>
            <w:gridSpan w:val="3"/>
          </w:tcPr>
          <w:p>
            <w:pPr>
              <w:ind w:left="340"/>
              <w:spacing w:after="0"/>
              <w:rPr>
                <w:sz w:val="20"/>
                <w:szCs w:val="20"/>
                <w:color w:val="auto"/>
              </w:rPr>
            </w:pPr>
            <w:r>
              <w:rPr>
                <w:rFonts w:ascii="Arial" w:cs="Arial" w:eastAsia="Arial" w:hAnsi="Arial"/>
                <w:sz w:val="18"/>
                <w:szCs w:val="18"/>
                <w:color w:val="auto"/>
                <w:w w:val="92"/>
              </w:rPr>
              <w:t>shares of common stock held on behalf of the Nichols GRAT I dated June 14, 2021, and</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w w:val="94"/>
              </w:rPr>
              <w:t>shares of common stock held on behalf of the Nichols</w:t>
            </w:r>
          </w:p>
        </w:tc>
      </w:tr>
      <w:tr>
        <w:trPr>
          <w:trHeight w:val="216"/>
        </w:trPr>
        <w:tc>
          <w:tcPr>
            <w:tcW w:w="280" w:type="dxa"/>
            <w:vAlign w:val="bottom"/>
          </w:tcPr>
          <w:p>
            <w:pPr>
              <w:spacing w:after="0"/>
              <w:rPr>
                <w:sz w:val="18"/>
                <w:szCs w:val="18"/>
                <w:color w:val="auto"/>
              </w:rPr>
            </w:pPr>
          </w:p>
        </w:tc>
        <w:tc>
          <w:tcPr>
            <w:tcW w:w="10960" w:type="dxa"/>
            <w:vAlign w:val="bottom"/>
            <w:gridSpan w:val="5"/>
          </w:tcPr>
          <w:p>
            <w:pPr>
              <w:ind w:left="60"/>
              <w:spacing w:after="0"/>
              <w:rPr>
                <w:sz w:val="20"/>
                <w:szCs w:val="20"/>
                <w:color w:val="auto"/>
              </w:rPr>
            </w:pPr>
            <w:r>
              <w:rPr>
                <w:rFonts w:ascii="Arial" w:cs="Arial" w:eastAsia="Arial" w:hAnsi="Arial"/>
                <w:sz w:val="18"/>
                <w:szCs w:val="18"/>
                <w:color w:val="auto"/>
                <w:w w:val="95"/>
              </w:rPr>
              <w:t>Living Trust 2015, each of which Mr. Nichols is the trustee. On November 7, 2022, Mr. Nichols resigned from his position as our Chief Operating</w:t>
            </w:r>
          </w:p>
        </w:tc>
      </w:tr>
      <w:tr>
        <w:trPr>
          <w:trHeight w:val="216"/>
        </w:trPr>
        <w:tc>
          <w:tcPr>
            <w:tcW w:w="280" w:type="dxa"/>
            <w:vAlign w:val="bottom"/>
          </w:tcPr>
          <w:p>
            <w:pPr>
              <w:spacing w:after="0"/>
              <w:rPr>
                <w:sz w:val="18"/>
                <w:szCs w:val="18"/>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color w:val="auto"/>
              </w:rPr>
              <w:t>Officer. Also includes</w:t>
            </w:r>
          </w:p>
        </w:tc>
        <w:tc>
          <w:tcPr>
            <w:tcW w:w="9040" w:type="dxa"/>
            <w:vAlign w:val="bottom"/>
            <w:gridSpan w:val="3"/>
          </w:tcPr>
          <w:p>
            <w:pPr>
              <w:jc w:val="right"/>
              <w:spacing w:after="0"/>
              <w:rPr>
                <w:sz w:val="20"/>
                <w:szCs w:val="20"/>
                <w:color w:val="auto"/>
              </w:rPr>
            </w:pPr>
            <w:r>
              <w:rPr>
                <w:rFonts w:ascii="Arial" w:cs="Arial" w:eastAsia="Arial" w:hAnsi="Arial"/>
                <w:sz w:val="18"/>
                <w:szCs w:val="18"/>
                <w:color w:val="auto"/>
                <w:w w:val="95"/>
              </w:rPr>
              <w:t>shares of common stock issuable upon exercise of outstanding stock options exercisable within 60 days of October 20,</w:t>
            </w:r>
          </w:p>
        </w:tc>
      </w:tr>
      <w:tr>
        <w:trPr>
          <w:trHeight w:val="230"/>
        </w:trPr>
        <w:tc>
          <w:tcPr>
            <w:tcW w:w="280" w:type="dxa"/>
            <w:vAlign w:val="bottom"/>
          </w:tcPr>
          <w:p>
            <w:pPr>
              <w:spacing w:after="0"/>
              <w:rPr>
                <w:sz w:val="20"/>
                <w:szCs w:val="20"/>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April 26, 2023, Ms. Harvey’s employment with us ended. Pursuant to her employment agreement with us, she had until July 26, 2023 to exercise all her options. Her outstanding options were not exercised and as a result were forfeited.</w:t>
      </w:r>
    </w:p>
    <w:p>
      <w:pPr>
        <w:spacing w:after="0" w:line="197" w:lineRule="exact"/>
        <w:rPr>
          <w:sz w:val="20"/>
          <w:szCs w:val="20"/>
          <w:color w:val="auto"/>
        </w:rPr>
      </w:pPr>
    </w:p>
    <w:p>
      <w:pPr>
        <w:ind w:left="340" w:hanging="323"/>
        <w:spacing w:after="0" w:line="277" w:lineRule="auto"/>
        <w:rPr>
          <w:sz w:val="20"/>
          <w:szCs w:val="20"/>
          <w:color w:val="auto"/>
        </w:rPr>
      </w:pPr>
      <w:r>
        <w:rPr>
          <w:rFonts w:ascii="Arial" w:cs="Arial" w:eastAsia="Arial" w:hAnsi="Arial"/>
          <w:sz w:val="18"/>
          <w:szCs w:val="18"/>
          <w:color w:val="auto"/>
        </w:rPr>
        <w:t>(10) Includes</w:t>
      </w:r>
      <w:r>
        <w:rPr>
          <w:sz w:val="20"/>
          <w:szCs w:val="20"/>
          <w:color w:val="auto"/>
        </w:rPr>
        <w:t xml:space="preserve"> </w:t>
      </w:r>
      <w:r>
        <w:rPr>
          <w:rFonts w:ascii="Arial" w:cs="Arial" w:eastAsia="Arial" w:hAnsi="Arial"/>
          <w:sz w:val="18"/>
          <w:szCs w:val="18"/>
          <w:color w:val="auto"/>
        </w:rPr>
        <w:t>shares of common stock issuable upon the exercise of outstanding stock options exercisable within 60 days of October 20, 2023. On August 20, 2023, Mr. Marchetti resigned as Chief Financial Officer and is continuing with us as Senior Vice President, Operations.</w:t>
      </w:r>
    </w:p>
    <w:p>
      <w:pPr>
        <w:sectPr>
          <w:pgSz w:w="11900" w:h="16838" w:orient="portrait"/>
          <w:cols w:equalWidth="0" w:num="1">
            <w:col w:w="11240"/>
          </w:cols>
          <w:pgMar w:left="320" w:top="661" w:right="3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(11) Includes</w:t>
            </w:r>
          </w:p>
        </w:tc>
        <w:tc>
          <w:tcPr>
            <w:tcW w:w="10120" w:type="dxa"/>
            <w:vAlign w:val="bottom"/>
          </w:tcPr>
          <w:p>
            <w:pPr>
              <w:ind w:left="180"/>
              <w:spacing w:after="0"/>
              <w:rPr>
                <w:sz w:val="20"/>
                <w:szCs w:val="20"/>
                <w:color w:val="auto"/>
              </w:rPr>
            </w:pPr>
            <w:r>
              <w:rPr>
                <w:rFonts w:ascii="Arial" w:cs="Arial" w:eastAsia="Arial" w:hAnsi="Arial"/>
                <w:sz w:val="18"/>
                <w:szCs w:val="18"/>
                <w:color w:val="auto"/>
                <w:w w:val="99"/>
              </w:rPr>
              <w:t>shares of common stock issuable upon exercise of outstanding stock options exercisable within 60 days of October 20, 2023.</w:t>
            </w:r>
          </w:p>
        </w:tc>
      </w:tr>
      <w:tr>
        <w:trPr>
          <w:trHeight w:val="459"/>
        </w:trPr>
        <w:tc>
          <w:tcPr>
            <w:tcW w:w="1120" w:type="dxa"/>
            <w:vAlign w:val="bottom"/>
          </w:tcPr>
          <w:p>
            <w:pPr>
              <w:spacing w:after="0"/>
              <w:rPr>
                <w:sz w:val="20"/>
                <w:szCs w:val="20"/>
                <w:color w:val="auto"/>
              </w:rPr>
            </w:pPr>
            <w:r>
              <w:rPr>
                <w:rFonts w:ascii="Arial" w:cs="Arial" w:eastAsia="Arial" w:hAnsi="Arial"/>
                <w:sz w:val="18"/>
                <w:szCs w:val="18"/>
                <w:color w:val="auto"/>
              </w:rPr>
              <w:t>(12) Includes</w:t>
            </w:r>
          </w:p>
        </w:tc>
        <w:tc>
          <w:tcPr>
            <w:tcW w:w="10120" w:type="dxa"/>
            <w:vAlign w:val="bottom"/>
          </w:tcPr>
          <w:p>
            <w:pPr>
              <w:ind w:left="220"/>
              <w:spacing w:after="0"/>
              <w:rPr>
                <w:sz w:val="20"/>
                <w:szCs w:val="20"/>
                <w:color w:val="auto"/>
              </w:rPr>
            </w:pPr>
            <w:r>
              <w:rPr>
                <w:rFonts w:ascii="Arial" w:cs="Arial" w:eastAsia="Arial" w:hAnsi="Arial"/>
                <w:sz w:val="18"/>
                <w:szCs w:val="18"/>
                <w:color w:val="auto"/>
                <w:w w:val="99"/>
              </w:rPr>
              <w:t>shares of common stock issuable upon exercise of outstanding stock options exercisable within 60 days of October 20, 2023.</w:t>
            </w:r>
          </w:p>
        </w:tc>
      </w:tr>
      <w:tr>
        <w:trPr>
          <w:trHeight w:val="439"/>
        </w:trPr>
        <w:tc>
          <w:tcPr>
            <w:tcW w:w="1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431800</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t>PROPOSAL 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APPROVAL OF AN AMENDMENT TO THE COMPANY’S ARTICLES OF INCORPORATION TO INCREASE THE NUMBER OF SHARES OF COMMON STOCK AUTHORIZED THEREUNDER FROM 170,000,000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Board believes that it is in the best interests of the Company and our stockholders to amend our Articles of Incorporation to increase the number of authorized shares of common stock. Upon consultation with our management, our Board unanimously approved, and unanimously recommends for stockholder approval, the proposal to adopt a Certificate of Amendment to our Articles of Incorporation (the “</w:t>
      </w:r>
      <w:r>
        <w:rPr>
          <w:rFonts w:ascii="Arial" w:cs="Arial" w:eastAsia="Arial" w:hAnsi="Arial"/>
          <w:sz w:val="16"/>
          <w:szCs w:val="16"/>
          <w:b w:val="1"/>
          <w:bCs w:val="1"/>
          <w:color w:val="auto"/>
        </w:rPr>
        <w:t>Certificate of Amendment</w:t>
      </w:r>
      <w:r>
        <w:rPr>
          <w:rFonts w:ascii="Arial" w:cs="Arial" w:eastAsia="Arial" w:hAnsi="Arial"/>
          <w:sz w:val="16"/>
          <w:szCs w:val="16"/>
          <w:color w:val="auto"/>
        </w:rPr>
        <w:t xml:space="preserve">”), to increase the number of authorized shares of common stock from 170,000,000 shares to 250,000,000 shares, each share of common stock having a par value of $0.0001. The form of the text of the amendment (which would be filed with the Nevada Secretary of State on its then prescribed form of Certificate of Amendment) is set forth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(subject to any changes required by applicable law). As of the Record Date, there were:</w:t>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 shares of common stock outstanding; (ii) shares of common stock issuable upon the exercise of stock options outstanding; (iii) shares of common stock issuable upon the exercise of the private placement warrants that were originally issued in a private placement at the time of the initial public offering by CNTQ, which closed on August 13, 2021 (the “</w:t>
      </w:r>
      <w:r>
        <w:rPr>
          <w:rFonts w:ascii="Arial" w:cs="Arial" w:eastAsia="Arial" w:hAnsi="Arial"/>
          <w:sz w:val="17"/>
          <w:szCs w:val="17"/>
          <w:b w:val="1"/>
          <w:bCs w:val="1"/>
          <w:color w:val="auto"/>
        </w:rPr>
        <w:t>CNTQ IPO</w:t>
      </w:r>
      <w:r>
        <w:rPr>
          <w:rFonts w:ascii="Arial" w:cs="Arial" w:eastAsia="Arial" w:hAnsi="Arial"/>
          <w:sz w:val="17"/>
          <w:szCs w:val="17"/>
          <w:color w:val="auto"/>
        </w:rPr>
        <w:t>”); (iv) shares of common stock issuable upon exercise of the public warrants sold as part of the units in the CNTQ IPO; (v) shares of common stock currently issuable upon the exercise of the Penny Warrants; (vi) shares of common stock issuable upon the exercise of the Investor Warrants; (vii) shares of common stock issuable upon the exercise of the Underwriters’ Warrants; (viii) 40,000,000 shares of common stock reserved for future issuance as Earnout Shares; (ix) shares available for future issuance as awards under the 2022 Plan and the ESPP (and together with the 2022 Plan, the “</w:t>
      </w:r>
      <w:r>
        <w:rPr>
          <w:rFonts w:ascii="Arial" w:cs="Arial" w:eastAsia="Arial" w:hAnsi="Arial"/>
          <w:sz w:val="17"/>
          <w:szCs w:val="17"/>
          <w:b w:val="1"/>
          <w:bCs w:val="1"/>
          <w:color w:val="auto"/>
        </w:rPr>
        <w:t>Plans</w:t>
      </w:r>
      <w:r>
        <w:rPr>
          <w:rFonts w:ascii="Arial" w:cs="Arial" w:eastAsia="Arial" w:hAnsi="Arial"/>
          <w:sz w:val="17"/>
          <w:szCs w:val="17"/>
          <w:color w:val="auto"/>
        </w:rPr>
        <w:t>”); and (x) shares of common stock reserved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future issuance under the ChEF Equity Facility. The additional shares of common stock to be authorized by adoption of the amendment would have rights identical to the currently outstanding shares of common stock. Adoption of the amendment would not affect the rights of the holders of currently outstanding common stock, except, to the extent the additional authorized shares are issued, for effects incidental to increasing the number of shares of common stock outstanding, such as dilution of earnings per share and voting rights of current holders of common stock. If the amendment is adopted, it will become effective upon the filing of the Certificate of Amendment to the Company’s Articles of Incorporation with the Secretary of State of the State of Nevada.</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description of the Certificate of Amendment should be read in conjunction with and is qualified in its entirety by reference to the text of the proposed Certificate of Amendment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Proposal</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approval of the Certificate of Amendment is important for our ongoing business. Our Board believes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or exercisable for shares of common stock; (ii) expanding our business through potential strategic transactions, including mergers, acquisitions, licensing transactions and other business combinations or acquisitions of new product candidates or products; (iii) establishing strategic relationships with other companies; (iv) exchanges of common stock or securities that are convertible into or exercisable for shares of common stock for other outstanding securities; (v) providing equity incentives pursuant to the Plans, or another plan we may adopt in the future, to attract and retain employees, officers or directors; (vi) utilizing the ChEF Equity Facility; and (vii) other general corporate purposes. We intend to use the additional shares of common stock that will be available to undertake any such issuances described above. As is the case with the shares of common stock which are currently authorized but unissued, if the Certificate of Amendment is adopted by the stockholders, the Board will only have authority to issue the additional shares of common stock from time to time without further action on the part of stockholders to the extent not prohibited by applicable law or by the rules of any stock exchange or market on which our securities may then be listed or authorized for quotation. Because it is anticipated that our directors and executive officers will be granted additional equity awards under the Plan, or another plan we adopt in the future, they may be deemed to have an indirect interest in the Certificate of Amendment, because absent the Certificate of Amendment, we may not have sufficient authorized shares to grant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The increase in authorized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Disadvantages to an increase in the number of authorized shares of common stock may include:</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may experience further dilution of their ownership.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Stockholders will not have any preemptive or similar rights to subscribe for or purchase any additional shares of common stock that may be issued in the future, and therefore, future issuances of common stock, depending on the circumstances, will have a dilutive effect on the earnings per share, voting power and other interests of our existing stockholders.</w:t>
      </w:r>
    </w:p>
    <w:p>
      <w:pPr>
        <w:spacing w:after="0" w:line="18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additional shares of common stock for which authorization is sought in this proposal would be part of the existing class of common stock and, if and when issued, would have the same rights and privileges as the shares of common stock presently outstanding.</w:t>
      </w:r>
    </w:p>
    <w:p>
      <w:pPr>
        <w:spacing w:after="0" w:line="146"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w:t>
      </w:r>
    </w:p>
    <w:p>
      <w:pPr>
        <w:spacing w:after="0" w:line="2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no specific plan, commitment, arrangement, understanding or agreement, either oral or written, regarding the issuance of common stock subsequent to this proposed increase in the number of authorized shares at this time, and we have not allocated any specific portion of the proposed increase in the authorized number of shares to any particular purpose. However, we have in the past conducted certain public and private offerings of common stock and warrants, and we will continue to require additional capital in the near future to fund our operations. As a result, it is foreseeable that we will seek to issue such additional shares of common stock in connection with any such capital raising activities, or any of the other activities described above. The Board does not intend to issue any common stock or securities convertible into common stock except on terms that the Board deems to be in the best interests of us and our stockholders. We are therefore requesting our stockholders approve this proposal to amend our Articles of Incorporation to increase our authorized shares of common stock from 170,000,000 shares to 250,000,000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approval of this Proposal 2 will require the affirmative vote of holders of a majority of the voting power of the issued and outstanding shares of common stock. Accordingly, abstentions and, in the event that Proposal 2 is deemed “non-routine”, broker non-votes, if any, will have the effect of a vote “AGAINST” this Proposal.</w:t>
      </w:r>
    </w:p>
    <w:p>
      <w:pPr>
        <w:spacing w:after="0" w:line="180" w:lineRule="exact"/>
        <w:rPr>
          <w:sz w:val="20"/>
          <w:szCs w:val="20"/>
          <w:color w:val="auto"/>
        </w:rPr>
      </w:pPr>
    </w:p>
    <w:p>
      <w:pPr>
        <w:jc w:val="center"/>
        <w:ind w:left="340" w:right="20"/>
        <w:spacing w:after="0" w:line="266" w:lineRule="auto"/>
        <w:rPr>
          <w:sz w:val="20"/>
          <w:szCs w:val="20"/>
          <w:color w:val="auto"/>
        </w:rPr>
      </w:pPr>
      <w:r>
        <w:rPr>
          <w:rFonts w:ascii="Arial" w:cs="Arial" w:eastAsia="Arial" w:hAnsi="Arial"/>
          <w:sz w:val="18"/>
          <w:szCs w:val="18"/>
          <w:b w:val="1"/>
          <w:bCs w:val="1"/>
          <w:color w:val="auto"/>
        </w:rPr>
        <w:t>THE BOARD RECOMMENDS A VOTE “FOR” THE APPROVAL OF AN AMENDMENT TO THE COMPANY’S ARTICLES OF INCORPORATION TO INCREASE THE NUMBER OF SHARES OF COMMON STOCK AUTHORIZED THEREUNDER FROM 170,000,000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431800</wp:posOffset>
            </wp:positionV>
            <wp:extent cx="17830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17145"/>
                    </a:xfrm>
                    <a:prstGeom prst="rect">
                      <a:avLst/>
                    </a:prstGeom>
                    <a:noFill/>
                  </pic:spPr>
                </pic:pic>
              </a:graphicData>
            </a:graphic>
          </wp:anchor>
        </w:drawing>
        <w:t>PROPOSAL 3</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APPROVAL OF THE ADJOURNMENT OF THE ANNUAL MEETING IN THE EVENT THAT THE NUMBER OF SHARES OF COMMON STOCK PRESENT OR REPRESENTED BY PROXY AT THE ANNUAL MEETING AND VOTING “FOR” THE ADOPTION OF PROPOSAL 2 ARE INSUFFICIENT.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123190</wp:posOffset>
            </wp:positionV>
            <wp:extent cx="17830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the Annual Meeting</w:t>
      </w:r>
    </w:p>
    <w:p>
      <w:pPr>
        <w:spacing w:after="0" w:line="229" w:lineRule="exact"/>
        <w:rPr>
          <w:sz w:val="20"/>
          <w:szCs w:val="20"/>
          <w:color w:val="auto"/>
        </w:rPr>
      </w:pPr>
    </w:p>
    <w:p>
      <w:pPr>
        <w:jc w:val="both"/>
        <w:ind w:firstLine="734"/>
        <w:spacing w:after="0" w:line="257" w:lineRule="auto"/>
        <w:rPr>
          <w:sz w:val="20"/>
          <w:szCs w:val="20"/>
          <w:color w:val="auto"/>
        </w:rPr>
      </w:pPr>
      <w:r>
        <w:rPr>
          <w:rFonts w:ascii="Arial" w:cs="Arial" w:eastAsia="Arial" w:hAnsi="Arial"/>
          <w:sz w:val="18"/>
          <w:szCs w:val="18"/>
          <w:color w:val="auto"/>
        </w:rPr>
        <w:t>In the event that the number of shares of common stock present or represented by proxy at the Annual Meeting and voting “FOR” the adoption of Proposal 2 are insufficient to approve such proposal, we may move to adjourn the Annual Meeting in order to enable us to solicit additional proxies in favor of the adoption of Proposal 2. In that event, we will ask stockholders to vote only upon the adjournment proposal and not on any other proposal discussed in this proxy statement. If the adjournment is for more than thirty (30) days, a notice of the adjourned meeting shall be given to each stockholder of record entitled to vote at the meeting.</w:t>
      </w:r>
    </w:p>
    <w:p>
      <w:pPr>
        <w:spacing w:after="0" w:line="188" w:lineRule="exact"/>
        <w:rPr>
          <w:sz w:val="20"/>
          <w:szCs w:val="20"/>
          <w:color w:val="auto"/>
        </w:rPr>
      </w:pPr>
    </w:p>
    <w:p>
      <w:pPr>
        <w:jc w:val="both"/>
        <w:ind w:right="20" w:firstLine="734"/>
        <w:spacing w:after="0" w:line="308" w:lineRule="auto"/>
        <w:rPr>
          <w:sz w:val="20"/>
          <w:szCs w:val="20"/>
          <w:color w:val="auto"/>
        </w:rPr>
      </w:pPr>
      <w:r>
        <w:rPr>
          <w:rFonts w:ascii="Arial" w:cs="Arial" w:eastAsia="Arial" w:hAnsi="Arial"/>
          <w:sz w:val="17"/>
          <w:szCs w:val="17"/>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229" w:lineRule="exact"/>
        <w:rPr>
          <w:sz w:val="20"/>
          <w:szCs w:val="20"/>
          <w:color w:val="auto"/>
        </w:rPr>
      </w:pPr>
    </w:p>
    <w:p>
      <w:pPr>
        <w:jc w:val="both"/>
        <w:ind w:firstLine="734"/>
        <w:spacing w:after="0" w:line="342" w:lineRule="auto"/>
        <w:rPr>
          <w:sz w:val="20"/>
          <w:szCs w:val="20"/>
          <w:color w:val="auto"/>
        </w:rPr>
      </w:pPr>
      <w:r>
        <w:rPr>
          <w:rFonts w:ascii="Arial" w:cs="Arial" w:eastAsia="Arial" w:hAnsi="Arial"/>
          <w:sz w:val="16"/>
          <w:szCs w:val="16"/>
          <w:color w:val="auto"/>
        </w:rPr>
        <w:t>The approval of this Proposal 3 will require the affirmative vote of a majority of the voting power of the total votes cast, represented in person or by proxy, at the Annual Meeting. As a result, abstentions and broker non-votes, if any, will not affect the outcome of the vote of this proposal.</w:t>
      </w:r>
    </w:p>
    <w:p>
      <w:pPr>
        <w:spacing w:after="0" w:line="12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RECOMMENDS A VOTE “FOR” THE ADJOURMENT OF THE ANNUAL MEETING IF THE VOTES FOR PROPOSAL 2 ARE INSUFFICIENT.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2882900</wp:posOffset>
            </wp:positionH>
            <wp:positionV relativeFrom="page">
              <wp:posOffset>431800</wp:posOffset>
            </wp:positionV>
            <wp:extent cx="17830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t>PROPOSAL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of the Board, or the Audit Committee, has appointed BDO USA, P.C. as our independent registered accounting firm for the fiscal year ending December 31, 2023. We are not required to seek stockholder approval for the appointment of our independent registered public accounting firm; however, the Audit Committee and the full Board believe it is sound corporate practice to seek such approval. If the appointment is not ratified, the Audit Committee will investigate the reasons for stockholder rejection and will re-consider the appointment. Even if the selection is ratified, the Audit Committee in its discretion may direct the appointment of a different independent registered public accounting firm at any time during the year if it determines that such change would be in the best interests of us and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Representatives of BDO USA, P.C. will be present at the Annual Meeting, will have the opportunity to make a statement if they desire to do so and be available to respond to appropriate questions from stockholders submitted in writing in accordance with the Annual Meeting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to the Company in fiscal years 2022 and 2021</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Audit Committee has reappointed BDO USA, P.C. as our registered public accounting firm to audit our financial statements for the fiscal year ending December 31, 2023. The following is a summary of fees paid by us for professional services rendered by BDO USA, P.C. for the fiscal year ended December 31, 2022 and for the fiscal year ended December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7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379,060</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Audit related fees (2)</w:t>
            </w:r>
          </w:p>
        </w:tc>
        <w:tc>
          <w:tcPr>
            <w:tcW w:w="31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260" w:type="dxa"/>
            <w:vAlign w:val="bottom"/>
          </w:tcPr>
          <w:p>
            <w:pPr>
              <w:spacing w:after="0"/>
              <w:rPr>
                <w:sz w:val="20"/>
                <w:szCs w:val="20"/>
                <w:color w:val="auto"/>
              </w:rPr>
            </w:pPr>
            <w:r>
              <w:rPr>
                <w:rFonts w:ascii="Arial" w:cs="Arial" w:eastAsia="Arial" w:hAnsi="Arial"/>
                <w:sz w:val="18"/>
                <w:szCs w:val="18"/>
                <w:color w:val="auto"/>
              </w:rPr>
              <w:t>All other fees (4)</w:t>
            </w:r>
          </w:p>
        </w:tc>
        <w:tc>
          <w:tcPr>
            <w:tcW w:w="31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1,277,189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Audit-related fees consist of fees billed for professional services that are reasonably related to the performance of the audit or review of our financial statements but are not reported under “Audit fees.”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 fees consist of fees billed for professional services relating to tax compliance, tax planning, and tax advice.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fees consist of fees billed for services not associated with audit or tax.</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BDO USA, P.C., and the fees to be paid to BDO USA, P.C., in 2022 and 2021 were approved by the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or a designated member of the Audit Committee, shall preapprove all auditing services and permitted non-audit services (including the fees and terms) to be performed for us by our registered independent public accountants, subject to the de minimis exceptions for non-audit services that are approved by the Audit Committee prior to completion of the audit, provided that: (1) the aggregate amount of all such services provided constitutes no more than five percent of the total amount of revenues paid by us to our registered independent public accountant during the fiscal year in which the services are provided; (2) such services were not recognized by us at the time of the engagement to be non-audit services; and (3) such services are promptly brought to the attention of the Audit Committee and approved prior to the completion of the audit by the Audit Committee or by one or more members of the Audit Committee who are members of the Board to whom authority to grant such approvals has been delegated by the Audit Committee. Of the services set forth in the table above, all were preapproved by the Audit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approval of this Proposal 4 will require the affirmative vote of the holders of a majority of the voting power of the total votes cast, represented in person or by proxy, at the Annual Meeting. As a result, abstentions and broker non-votes, if any, will not affect the outcome of the vote of this proposal.</w:t>
      </w:r>
    </w:p>
    <w:p>
      <w:pPr>
        <w:spacing w:after="0" w:line="120" w:lineRule="exact"/>
        <w:rPr>
          <w:sz w:val="20"/>
          <w:szCs w:val="20"/>
          <w:color w:val="auto"/>
        </w:rPr>
      </w:pPr>
    </w:p>
    <w:p>
      <w:pPr>
        <w:jc w:val="center"/>
        <w:ind w:left="340" w:right="80"/>
        <w:spacing w:after="0" w:line="282" w:lineRule="auto"/>
        <w:rPr>
          <w:sz w:val="20"/>
          <w:szCs w:val="20"/>
          <w:color w:val="auto"/>
        </w:rPr>
      </w:pPr>
      <w:r>
        <w:rPr>
          <w:rFonts w:ascii="Arial" w:cs="Arial" w:eastAsia="Arial" w:hAnsi="Arial"/>
          <w:sz w:val="18"/>
          <w:szCs w:val="18"/>
          <w:b w:val="1"/>
          <w:bCs w:val="1"/>
          <w:color w:val="auto"/>
        </w:rPr>
        <w:t>THE BOARD RECOMMENDS A VOTE “FOR” THE RATIFICATION OF THE APPOINTMENT OF BDO USA, P.C. AS THE COMPANY’S INDEPENDENT REGISTERED ACCOUNTING FIRM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87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Copies of our Annual Report on Form 10-K for the year ended December 31, 2022 (including our audited financial statements) filed with the SEC may be obtained without charge by writing to Dragonfly Energy Holdings Corp., 1190 Trademark Drive, #108, Reno, Nevada 89521, Attn.: Secretary. Exhibits to the Annual Report will be mailed upon similar request and payment of specified fees to cover the costs of copying and mailing such materials.</w:t>
      </w:r>
    </w:p>
    <w:p>
      <w:pPr>
        <w:spacing w:after="0" w:line="14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Our audited financial statements for the fiscal year ended December 31, 2022 and certain other related financial and business information are contained in our Annual Report, which is being made available to our stockholders along with this Proxy Statement, but which is not deemed a part of the proxy soliciting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This means that only one copy of this proxy statement and Annual Report may have been sent to multiple stockholders in the same household. We will promptly deliver a separate copy of this proxy statement to any stockholder upon written or oral request to: Dragonfly Energy Holdings Corp., 1190 Trademark Drive, #108, Reno, Nevada 89521 Attn.: Secretary, or at (775) 622 - 3448. Any stockholder who wants to receive a separate copy of this proxy statement or Annual Report,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Submitting Proxy Proposals and Director Nominations for the 2024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Proposals to be Considered for Inclusion in the Company’s 2024 Proxy Materials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a stockholder proposal to be eligible to be included in the Company’s proxy statement and proxy card for the 2024 Annual Meeting of Stockholders, the proposal must (1) be received by the Company at our principal executive offices, 1190 Trademark Drive, #108, Reno, Nevada 89521,</w:t>
      </w:r>
    </w:p>
    <w:p>
      <w:pPr>
        <w:jc w:val="both"/>
        <w:ind w:right="20"/>
        <w:spacing w:after="0" w:line="255" w:lineRule="auto"/>
        <w:rPr>
          <w:sz w:val="20"/>
          <w:szCs w:val="20"/>
          <w:color w:val="auto"/>
        </w:rPr>
      </w:pPr>
      <w:r>
        <w:rPr>
          <w:rFonts w:ascii="Arial" w:cs="Arial" w:eastAsia="Arial" w:hAnsi="Arial"/>
          <w:sz w:val="18"/>
          <w:szCs w:val="18"/>
          <w:color w:val="auto"/>
        </w:rPr>
        <w:t>Attn.: Secretary, no later than , and (2) concern a matter that may be properly considered and acted upon at the annual meeting in accordance with applicable laws, regulations and our Bylaws and policies, and must otherwise comply with Rule 14a-8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Nominations and Other Business to be Brought Before the 2024 Annual Meeting of Stockholders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Notice of any director nomination or the proposal of other business that stockholders intend to present at the 2024 Annual Meeting of Stockholders, but do not intend to have included in the Company’s proxy statement and form of proxy relating to the 2024 Annual Meeting of Stockholders, must be received by the Company at our principal executive offices, 1190 Trademark Drive, #108, Reno, Nevada 89521 Attn.: Secretary, not earlier than the close of business on August 1, 2024 and not later than the close of business on August 31, 2024. In the event that the date of the 2024 Annual Meeting of Stockholders is more than 30 days before or more than 70 days after the anniversary date of the 2023 Annual Meeting of Stockholders, the notice must be delivered to the Company not earlier than the close of business on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annual meeting</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and not later than the later than the close of business of the ninetieth (90</w:t>
      </w:r>
      <w:r>
        <w:rPr>
          <w:rFonts w:ascii="Arial" w:cs="Arial" w:eastAsia="Arial" w:hAnsi="Arial"/>
          <w:sz w:val="29"/>
          <w:szCs w:val="29"/>
          <w:color w:val="auto"/>
          <w:vertAlign w:val="superscript"/>
        </w:rPr>
        <w:t>th</w:t>
      </w:r>
      <w:r>
        <w:rPr>
          <w:rFonts w:ascii="Arial" w:cs="Arial" w:eastAsia="Arial" w:hAnsi="Arial"/>
          <w:sz w:val="18"/>
          <w:szCs w:val="18"/>
          <w:color w:val="auto"/>
        </w:rPr>
        <w:t>) day prior to such annual meeting or the tenth (10</w:t>
      </w:r>
      <w:r>
        <w:rPr>
          <w:rFonts w:ascii="Arial" w:cs="Arial" w:eastAsia="Arial" w:hAnsi="Arial"/>
          <w:sz w:val="29"/>
          <w:szCs w:val="29"/>
          <w:color w:val="auto"/>
          <w:vertAlign w:val="superscript"/>
        </w:rPr>
        <w:t>th</w:t>
      </w:r>
      <w:r>
        <w:rPr>
          <w:rFonts w:ascii="Arial" w:cs="Arial" w:eastAsia="Arial" w:hAnsi="Arial"/>
          <w:sz w:val="18"/>
          <w:szCs w:val="18"/>
          <w:color w:val="auto"/>
        </w:rPr>
        <w:t>) day following the day on which public announcement of the date of such annual meeting is first made by the Company. In addition, a stockholder’s notice must include the information required by our Bylaws with respect to each director nomination or proposal of other business that such stockholder intends to present at the 2024 Annual Meeting of Stockholders.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satisfying the foregoing requirements pursuant to our Bylaws, to comply with the universal proxy rules, stockholders who intend to solicit proxies in support of director nominees other than the Company’s nominees must provide notice that sets forth the information required by Rule 14a-19 under the Exchange Act by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i w:val="1"/>
          <w:iCs w:val="1"/>
          <w:color w:val="auto"/>
        </w:rPr>
        <w:t>President, Chief Executive Officer, Interim Chief Financial Officer, and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October</w:t>
      </w:r>
      <w:r>
        <w:rPr>
          <w:sz w:val="20"/>
          <w:szCs w:val="20"/>
          <w:color w:val="auto"/>
        </w:rPr>
        <w:tab/>
      </w: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27875" cy="715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27875" cy="7156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60"/>
        <w:spacing w:after="0" w:line="266" w:lineRule="auto"/>
        <w:rPr>
          <w:sz w:val="20"/>
          <w:szCs w:val="20"/>
          <w:color w:val="auto"/>
        </w:rPr>
      </w:pPr>
      <w:r>
        <w:rPr>
          <w:rFonts w:ascii="Arial" w:cs="Arial" w:eastAsia="Arial" w:hAnsi="Arial"/>
          <w:sz w:val="18"/>
          <w:szCs w:val="18"/>
          <w:b w:val="1"/>
          <w:bCs w:val="1"/>
          <w:color w:val="auto"/>
        </w:rPr>
        <w:t>To assure that your shares are represented at the Annual Meeting, please either (a) vote over the Internet following the instructions provided in this proxy statement, (b) vote by telephone by calling Alliance Advisors at (866) 612-8937 or (c) complete, sign, date and promptly return the proxy card to Dragonfly Energy Holdings Corp.</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If you have any questions or require any assistance in voting your shares, please call:</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Alliance Advisors LLC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 Broadacres Drive, 3rd Floor, Bloomfield, NJ 07003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39" w:name="page40"/>
    <w:bookmarkEnd w:id="39"/>
    <w:p>
      <w:pPr>
        <w:ind w:left="4640"/>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Article FOURTH of the Articles of Incorporation of Dragonfly Energy Holdings Corp. is amened in its entirety to read as follows:</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NUMBER OF SHARES WITH PAR VALUE:</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250,000,000 COMMON - $0.0001 PAR VALUE</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5,000,000 PREFERRED - $0.0001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306070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661" w:right="1440"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604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7604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604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6041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lowerRoman"/>
      <w:start w:val="2"/>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Roman"/>
      <w:start w:val="2"/>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4"/>
    </w:lvl>
  </w:abstractNum>
  <w:abstractNum w:abstractNumId="28">
    <w:nsid w:val="1E7FF521"/>
    <w:multiLevelType w:val="hybridMultilevel"/>
    <w:lvl w:ilvl="0">
      <w:lvlJc w:val="left"/>
      <w:lvlText w:val="(%1)"/>
      <w:numFmt w:val="decimal"/>
      <w:start w:val="6"/>
    </w:lvl>
  </w:abstractNum>
  <w:abstractNum w:abstractNumId="29">
    <w:nsid w:val="7C3DBD3D"/>
    <w:multiLevelType w:val="hybridMultilevel"/>
    <w:lvl w:ilvl="0">
      <w:lvlJc w:val="left"/>
      <w:lvlText w:val="(%1)"/>
      <w:numFmt w:val="decimal"/>
      <w:start w:val="9"/>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2023-10-17T15:24:20Z</dcterms:created>
  <dcterms:modified xsi:type="dcterms:W3CDTF">2023-10-17T15:24:20Z</dcterms:modified>
</cp:coreProperties>
</file>