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10.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formposam.htm"/>
      <w:bookmarkStart w:id="1" w:name="ksformposam"/>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May 2,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333-268185</w:t>
      </w:r>
    </w:p>
    <w:p>
      <w:pPr>
        <w:pStyle w:val="TextBody"/>
        <w:spacing w:before="0" w:after="0"/>
        <w:jc w:val="center"/>
        <w:rPr>
          <w:caps w:val="false"/>
          <w:smallCaps w:val="false"/>
        </w:rPr>
      </w:pPr>
      <w:r>
        <w:rPr>
          <w:caps w:val="false"/>
          <w:smallCaps w:val="false"/>
        </w:rPr>
        <w:t> </w:t>
      </w:r>
    </w:p>
    <w:p>
      <w:pPr>
        <w:pStyle w:val="TextBody"/>
        <w:rPr>
          <w:bdr w:val="single" w:sz="32" w:space="1" w:color="000000"/>
        </w:rPr>
      </w:pPr>
      <w:r>
        <w:rPr>
          <w:bdr w:val="single" w:sz="32"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2" w:name="xdx_905_edei--AmendmentDescription_c2022"/>
      <w:bookmarkEnd w:id="2"/>
      <w:r>
        <w:rPr>
          <w:rFonts w:ascii="Times New Roman;Times;Serif" w:hAnsi="Times New Roman;Times;Serif"/>
          <w:b/>
          <w:i w:val="false"/>
          <w:caps w:val="false"/>
          <w:smallCaps w:val="false"/>
          <w:sz w:val="36"/>
        </w:rPr>
        <w:t>POST-EFFECTIVE AMENDMENT NO. 1</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to</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8_edei--DocumentType_dxL_c20220101"/>
      <w:bookmarkEnd w:id="3"/>
      <w:r>
        <w:rPr>
          <w:rFonts w:ascii="Times New Roman;Times;Serif" w:hAnsi="Times New Roman;Times;Serif"/>
          <w:b/>
          <w:i w:val="false"/>
          <w:caps w:val="false"/>
          <w:smallCaps w:val="false"/>
          <w:sz w:val="36"/>
        </w:rPr>
        <w:t>S-1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2"/>
      <w:bookmarkEnd w:id="4"/>
      <w:r>
        <w:rPr>
          <w:rFonts w:ascii="Times New Roman;Times;Serif" w:hAnsi="Times New Roman;Times;Serif"/>
          <w:b/>
          <w:i w:val="false"/>
          <w:caps w:val="false"/>
          <w:smallCaps w:val="false"/>
          <w:sz w:val="36"/>
        </w:rPr>
        <w:t>DRAGONFLY ENERGY HOLDINGS CORP.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6915" w:type="dxa"/>
        <w:jc w:val="left"/>
        <w:tblInd w:w="0" w:type="dxa"/>
        <w:tblCellMar>
          <w:top w:w="0" w:type="dxa"/>
          <w:left w:w="0" w:type="dxa"/>
          <w:bottom w:w="28" w:type="dxa"/>
          <w:right w:w="0" w:type="dxa"/>
        </w:tblCellMar>
      </w:tblPr>
      <w:tblGrid>
        <w:gridCol w:w="2525"/>
        <w:gridCol w:w="60"/>
        <w:gridCol w:w="2375"/>
        <w:gridCol w:w="60"/>
        <w:gridCol w:w="1895"/>
      </w:tblGrid>
      <w:tr>
        <w:trPr/>
        <w:tc>
          <w:tcPr>
            <w:tcW w:w="252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Nevada</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37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3690</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89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5_edei--EntityTaxIdentificationNum"/>
            <w:bookmarkEnd w:id="6"/>
            <w:r>
              <w:rPr>
                <w:rFonts w:ascii="Times New Roman;Times;Serif" w:hAnsi="Times New Roman;Times;Serif"/>
                <w:b/>
                <w:i w:val="false"/>
                <w:caps w:val="false"/>
                <w:smallCaps w:val="false"/>
                <w:sz w:val="20"/>
              </w:rPr>
              <w:t>85-1873463</w:t>
            </w:r>
          </w:p>
        </w:tc>
      </w:tr>
      <w:tr>
        <w:trPr/>
        <w:tc>
          <w:tcPr>
            <w:tcW w:w="2525"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375"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Code Number)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895"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7" w:name="xdx_90C_edei--EntityAddressAddressLine1_"/>
      <w:bookmarkEnd w:id="7"/>
      <w:r>
        <w:rPr>
          <w:rFonts w:ascii="Times New Roman;Times;Serif" w:hAnsi="Times New Roman;Times;Serif"/>
          <w:b/>
          <w:i w:val="false"/>
          <w:caps w:val="false"/>
          <w:smallCaps w:val="false"/>
          <w:sz w:val="20"/>
        </w:rPr>
        <w:t>1190 Trademark Drive #108</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xdx_90D_edei--EntityAddressCityOrTown_c2"/>
      <w:bookmarkEnd w:id="8"/>
      <w:r>
        <w:rPr>
          <w:rFonts w:ascii="Times New Roman;Times;Serif" w:hAnsi="Times New Roman;Times;Serif"/>
          <w:b/>
          <w:i w:val="false"/>
          <w:caps w:val="false"/>
          <w:smallCaps w:val="false"/>
          <w:sz w:val="20"/>
        </w:rPr>
        <w:t xml:space="preserve">Reno, </w:t>
      </w:r>
      <w:bookmarkStart w:id="9" w:name="xdx_909_edei--EntityAddressStateOrProvin"/>
      <w:bookmarkEnd w:id="9"/>
      <w:r>
        <w:rPr>
          <w:rFonts w:ascii="Times New Roman;Times;Serif" w:hAnsi="Times New Roman;Times;Serif"/>
          <w:b/>
          <w:i w:val="false"/>
          <w:caps w:val="false"/>
          <w:smallCaps w:val="false"/>
          <w:sz w:val="20"/>
        </w:rPr>
        <w:t xml:space="preserve">Nevada </w:t>
      </w:r>
      <w:bookmarkStart w:id="10" w:name="xdx_90D_edei--EntityAddressPostalZipCode"/>
      <w:bookmarkEnd w:id="10"/>
      <w:r>
        <w:rPr>
          <w:rFonts w:ascii="Times New Roman;Times;Serif" w:hAnsi="Times New Roman;Times;Serif"/>
          <w:b/>
          <w:i w:val="false"/>
          <w:caps w:val="false"/>
          <w:smallCaps w:val="false"/>
          <w:sz w:val="20"/>
        </w:rPr>
        <w:t>89521</w:t>
      </w:r>
    </w:p>
    <w:p>
      <w:pPr>
        <w:pStyle w:val="TextBody"/>
        <w:spacing w:before="0" w:after="0"/>
        <w:ind w:left="0" w:right="0" w:hanging="0"/>
        <w:jc w:val="center"/>
        <w:rPr>
          <w:rFonts w:ascii="Times New Roman;Times;Serif" w:hAnsi="Times New Roman;Times;Serif"/>
          <w:b/>
          <w:i w:val="false"/>
          <w:caps w:val="false"/>
          <w:smallCaps w:val="false"/>
          <w:sz w:val="20"/>
        </w:rPr>
      </w:pPr>
      <w:bookmarkStart w:id="11" w:name="xdx_901_edei--CityAreaCode_c20220101__20"/>
      <w:bookmarkEnd w:id="11"/>
      <w:r>
        <w:rPr>
          <w:rFonts w:ascii="Times New Roman;Times;Serif" w:hAnsi="Times New Roman;Times;Serif"/>
          <w:b/>
          <w:i w:val="false"/>
          <w:caps w:val="false"/>
          <w:smallCaps w:val="false"/>
          <w:sz w:val="20"/>
        </w:rPr>
        <w:t xml:space="preserve">(775) </w:t>
      </w:r>
      <w:bookmarkStart w:id="12" w:name="xdx_908_edei--LocalPhoneNumber_c20220101"/>
      <w:bookmarkEnd w:id="12"/>
      <w:r>
        <w:rPr>
          <w:rFonts w:ascii="Times New Roman;Times;Serif" w:hAnsi="Times New Roman;Times;Serif"/>
          <w:b/>
          <w:i w:val="false"/>
          <w:caps w:val="false"/>
          <w:smallCaps w:val="false"/>
          <w:sz w:val="20"/>
        </w:rPr>
        <w:t>622 - 3448</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3" w:name="xdx_902_edei--ContactPersonnelName_c2022"/>
      <w:bookmarkEnd w:id="13"/>
      <w:r>
        <w:rPr>
          <w:rFonts w:ascii="Times New Roman;Times;Serif" w:hAnsi="Times New Roman;Times;Serif"/>
          <w:b/>
          <w:i w:val="false"/>
          <w:caps w:val="false"/>
          <w:smallCaps w:val="false"/>
          <w:sz w:val="20"/>
        </w:rPr>
        <w:t>Denis Phares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bookmarkStart w:id="14" w:name="xdx_90C_edei--EntityAddressAddressLine1_"/>
      <w:bookmarkEnd w:id="14"/>
      <w:r>
        <w:rPr>
          <w:rFonts w:ascii="Times New Roman;Times;Serif" w:hAnsi="Times New Roman;Times;Serif"/>
          <w:b/>
          <w:i w:val="false"/>
          <w:caps w:val="false"/>
          <w:smallCaps w:val="false"/>
          <w:sz w:val="20"/>
        </w:rPr>
        <w:t>1190 Trademark Drive #108</w:t>
      </w:r>
    </w:p>
    <w:p>
      <w:pPr>
        <w:pStyle w:val="TextBody"/>
        <w:spacing w:before="0" w:after="0"/>
        <w:ind w:left="0" w:right="0" w:hanging="0"/>
        <w:jc w:val="center"/>
        <w:rPr>
          <w:rFonts w:ascii="Times New Roman;Times;Serif" w:hAnsi="Times New Roman;Times;Serif"/>
          <w:b/>
          <w:i w:val="false"/>
          <w:caps w:val="false"/>
          <w:smallCaps w:val="false"/>
          <w:sz w:val="20"/>
        </w:rPr>
      </w:pPr>
      <w:bookmarkStart w:id="15" w:name="xdx_90C_edei--EntityAddressCityOrTown_c2"/>
      <w:bookmarkEnd w:id="15"/>
      <w:r>
        <w:rPr>
          <w:rFonts w:ascii="Times New Roman;Times;Serif" w:hAnsi="Times New Roman;Times;Serif"/>
          <w:b/>
          <w:i w:val="false"/>
          <w:caps w:val="false"/>
          <w:smallCaps w:val="false"/>
          <w:sz w:val="20"/>
        </w:rPr>
        <w:t xml:space="preserve">Reno, </w:t>
      </w:r>
      <w:bookmarkStart w:id="16" w:name="xdx_902_edei--EntityAddressStateOrProvin"/>
      <w:bookmarkEnd w:id="16"/>
      <w:r>
        <w:rPr>
          <w:rFonts w:ascii="Times New Roman;Times;Serif" w:hAnsi="Times New Roman;Times;Serif"/>
          <w:b/>
          <w:i w:val="false"/>
          <w:caps w:val="false"/>
          <w:smallCaps w:val="false"/>
          <w:sz w:val="20"/>
        </w:rPr>
        <w:t xml:space="preserve">Nevada </w:t>
      </w:r>
      <w:bookmarkStart w:id="17" w:name="xdx_900_edei--EntityAddressPostalZipCode"/>
      <w:bookmarkEnd w:id="17"/>
      <w:r>
        <w:rPr>
          <w:rFonts w:ascii="Times New Roman;Times;Serif" w:hAnsi="Times New Roman;Times;Serif"/>
          <w:b/>
          <w:i w:val="false"/>
          <w:caps w:val="false"/>
          <w:smallCaps w:val="false"/>
          <w:sz w:val="20"/>
        </w:rPr>
        <w:t>89521</w:t>
      </w:r>
    </w:p>
    <w:p>
      <w:pPr>
        <w:pStyle w:val="TextBody"/>
        <w:spacing w:before="0" w:after="0"/>
        <w:ind w:left="0" w:right="0" w:hanging="0"/>
        <w:jc w:val="center"/>
        <w:rPr>
          <w:rFonts w:ascii="Times New Roman;Times;Serif" w:hAnsi="Times New Roman;Times;Serif"/>
          <w:b w:val="false"/>
          <w:i w:val="false"/>
          <w:caps w:val="false"/>
          <w:smallCaps w:val="false"/>
          <w:sz w:val="20"/>
        </w:rPr>
      </w:pPr>
      <w:bookmarkStart w:id="18" w:name="xdx_90C_edei--CityAreaCode_c20220101__20"/>
      <w:bookmarkEnd w:id="18"/>
      <w:r>
        <w:rPr>
          <w:rFonts w:ascii="Times New Roman;Times;Serif" w:hAnsi="Times New Roman;Times;Serif"/>
          <w:b/>
          <w:i w:val="false"/>
          <w:caps w:val="false"/>
          <w:smallCaps w:val="false"/>
          <w:sz w:val="20"/>
        </w:rPr>
        <w:t xml:space="preserve">(775) </w:t>
      </w:r>
      <w:bookmarkStart w:id="19" w:name="xdx_905_edei--LocalPhoneNumber_c20220101"/>
      <w:bookmarkEnd w:id="19"/>
      <w:r>
        <w:rPr>
          <w:rFonts w:ascii="Times New Roman;Times;Serif" w:hAnsi="Times New Roman;Times;Serif"/>
          <w:b/>
          <w:i w:val="false"/>
          <w:caps w:val="false"/>
          <w:smallCaps w:val="false"/>
          <w:sz w:val="20"/>
        </w:rPr>
        <w:t>622-3448</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Please send copies of all communications 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M. Skolnick, Esq.</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Lowenstein Sandler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LLP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262-6700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From time to time after this registration statement becomes effective.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hanging="0"/>
        <w:jc w:val="both"/>
        <w:rPr>
          <w:caps w:val="false"/>
          <w:smallCaps w:val="false"/>
        </w:rPr>
      </w:pPr>
      <w:r>
        <w:rPr>
          <w:caps w:val="false"/>
          <w:smallCaps w:val="false"/>
        </w:rPr>
        <w:t> </w:t>
      </w:r>
    </w:p>
    <w:tbl>
      <w:tblPr>
        <w:tblW w:w="4715" w:type="dxa"/>
        <w:jc w:val="left"/>
        <w:tblInd w:w="0" w:type="dxa"/>
        <w:tblCellMar>
          <w:top w:w="0" w:type="dxa"/>
          <w:left w:w="0" w:type="dxa"/>
          <w:bottom w:w="0" w:type="dxa"/>
          <w:right w:w="0" w:type="dxa"/>
        </w:tblCellMar>
      </w:tblPr>
      <w:tblGrid>
        <w:gridCol w:w="1835"/>
        <w:gridCol w:w="230"/>
        <w:gridCol w:w="60"/>
        <w:gridCol w:w="2345"/>
        <w:gridCol w:w="245"/>
      </w:tblGrid>
      <w:tr>
        <w:trPr/>
        <w:tc>
          <w:tcPr>
            <w:tcW w:w="18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shd w:fill="auto" w:val="clear"/>
            <w:vAlign w:val="center"/>
          </w:tcPr>
          <w:p>
            <w:pPr>
              <w:pStyle w:val="TableContents"/>
              <w:spacing w:before="0" w:after="283"/>
              <w:rPr>
                <w:caps w:val="false"/>
                <w:smallCaps w:val="false"/>
              </w:rPr>
            </w:pPr>
            <w:r>
              <w:rPr>
                <w:caps w:val="false"/>
                <w:smallCaps w:val="false"/>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shd w:fill="auto" w:val="clear"/>
            <w:vAlign w:val="center"/>
          </w:tcPr>
          <w:p>
            <w:pPr>
              <w:pStyle w:val="TableContents"/>
              <w:spacing w:before="0" w:after="283"/>
              <w:rPr>
                <w:caps w:val="false"/>
                <w:smallCaps w:val="false"/>
              </w:rPr>
            </w:pPr>
            <w:r>
              <w:rPr>
                <w:caps w:val="false"/>
                <w:smallCaps w:val="false"/>
              </w:rPr>
              <w:t>☐</w:t>
            </w:r>
          </w:p>
        </w:tc>
      </w:tr>
      <w:tr>
        <w:trPr/>
        <w:tc>
          <w:tcPr>
            <w:tcW w:w="1835" w:type="dxa"/>
            <w:tcBorders/>
            <w:shd w:fill="auto" w:val="clear"/>
            <w:vAlign w:val="center"/>
          </w:tcPr>
          <w:p>
            <w:pPr>
              <w:pStyle w:val="TableContents"/>
              <w:spacing w:before="0" w:after="283"/>
              <w:rPr>
                <w:caps w:val="false"/>
                <w:smallCaps w:val="false"/>
              </w:rPr>
            </w:pPr>
            <w:r>
              <w:rPr>
                <w:caps w:val="false"/>
                <w:smallCaps w:val="false"/>
              </w:rPr>
              <w:t> </w:t>
            </w:r>
          </w:p>
        </w:tc>
        <w:tc>
          <w:tcPr>
            <w:tcW w:w="2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4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8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20" w:name="xdx_90A_edei--EntityFilerCategory_c20220"/>
            <w:bookmarkEnd w:id="20"/>
            <w:r>
              <w:rPr>
                <w:rFonts w:ascii="Times New Roman;Times;Serif" w:hAnsi="Times New Roman;Times;Serif"/>
                <w:b w:val="false"/>
                <w:i w:val="false"/>
                <w:caps w:val="false"/>
                <w:smallCaps w:val="false"/>
                <w:sz w:val="20"/>
              </w:rPr>
              <w:t>Non-accelerated filer</w:t>
            </w:r>
          </w:p>
        </w:tc>
        <w:tc>
          <w:tcPr>
            <w:tcW w:w="230" w:type="dxa"/>
            <w:tcBorders/>
            <w:shd w:fill="auto" w:val="clear"/>
            <w:vAlign w:val="center"/>
          </w:tcPr>
          <w:p>
            <w:pPr>
              <w:pStyle w:val="TableContents"/>
              <w:spacing w:before="0" w:after="283"/>
              <w:rPr>
                <w:caps w:val="false"/>
                <w:smallCaps w:val="false"/>
              </w:rPr>
            </w:pPr>
            <w:r>
              <w:rPr>
                <w:caps w:val="false"/>
                <w:smallCaps w:val="false"/>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shd w:fill="auto" w:val="clear"/>
            <w:vAlign w:val="center"/>
          </w:tcPr>
          <w:p>
            <w:pPr>
              <w:pStyle w:val="TableContents"/>
              <w:spacing w:before="0" w:after="283"/>
              <w:rPr>
                <w:caps w:val="false"/>
                <w:smallCaps w:val="false"/>
              </w:rPr>
            </w:pPr>
            <w:bookmarkStart w:id="21" w:name="xdx_906_edei--EntitySmallBusiness_c20220"/>
            <w:bookmarkEnd w:id="21"/>
            <w:r>
              <w:rPr>
                <w:caps w:val="false"/>
                <w:smallCaps w:val="false"/>
              </w:rPr>
              <w:t>☒</w:t>
            </w:r>
          </w:p>
        </w:tc>
      </w:tr>
      <w:tr>
        <w:trPr/>
        <w:tc>
          <w:tcPr>
            <w:tcW w:w="1835" w:type="dxa"/>
            <w:tcBorders/>
            <w:shd w:fill="auto" w:val="clear"/>
            <w:vAlign w:val="center"/>
          </w:tcPr>
          <w:p>
            <w:pPr>
              <w:pStyle w:val="TableContents"/>
              <w:spacing w:before="0" w:after="283"/>
              <w:rPr>
                <w:caps w:val="false"/>
                <w:smallCaps w:val="false"/>
              </w:rPr>
            </w:pPr>
            <w:r>
              <w:rPr>
                <w:caps w:val="false"/>
                <w:smallCaps w:val="false"/>
              </w:rPr>
              <w:t> </w:t>
            </w:r>
          </w:p>
        </w:tc>
        <w:tc>
          <w:tcPr>
            <w:tcW w:w="2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4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835" w:type="dxa"/>
            <w:tcBorders/>
            <w:shd w:fill="auto" w:val="clear"/>
            <w:vAlign w:val="center"/>
          </w:tcPr>
          <w:p>
            <w:pPr>
              <w:pStyle w:val="TableContents"/>
              <w:spacing w:before="0" w:after="283"/>
              <w:rPr>
                <w:caps w:val="false"/>
                <w:smallCaps w:val="false"/>
              </w:rPr>
            </w:pPr>
            <w:r>
              <w:rPr>
                <w:caps w:val="false"/>
                <w:smallCaps w:val="false"/>
              </w:rPr>
              <w:t> </w:t>
            </w:r>
          </w:p>
        </w:tc>
        <w:tc>
          <w:tcPr>
            <w:tcW w:w="2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shd w:fill="auto" w:val="clear"/>
            <w:vAlign w:val="center"/>
          </w:tcPr>
          <w:p>
            <w:pPr>
              <w:pStyle w:val="TableContents"/>
              <w:spacing w:before="0" w:after="283"/>
              <w:rPr>
                <w:caps w:val="false"/>
                <w:smallCaps w:val="false"/>
              </w:rPr>
            </w:pPr>
            <w:bookmarkStart w:id="22" w:name="xdx_90A_edei--EntityEmergingGrowthCompan"/>
            <w:bookmarkEnd w:id="22"/>
            <w:r>
              <w:rPr>
                <w:caps w:val="false"/>
                <w:smallCaps w:val="false"/>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bookmarkStart w:id="23" w:name="xdx_90B_edei--EntityExTransitionPeriod_c"/>
      <w:bookmarkEnd w:id="23"/>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spacing w:before="0" w:after="0"/>
        <w:ind w:left="0" w:right="0" w:hanging="0"/>
        <w:jc w:val="both"/>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Dragonfly Energy Holdings Corp., a Delaware corporation (“</w:t>
      </w:r>
      <w:r>
        <w:rPr>
          <w:rFonts w:ascii="Times New Roman;Times;Serif" w:hAnsi="Times New Roman;Times;Serif"/>
          <w:b/>
          <w:i w:val="false"/>
          <w:caps w:val="false"/>
          <w:smallCaps w:val="false"/>
          <w:sz w:val="20"/>
        </w:rPr>
        <w:t>Dragonfly Delaware</w:t>
      </w:r>
      <w:r>
        <w:rPr>
          <w:rFonts w:ascii="Times New Roman;Times;Serif" w:hAnsi="Times New Roman;Times;Serif"/>
          <w:b w:val="false"/>
          <w:i w:val="false"/>
          <w:caps w:val="false"/>
          <w:smallCaps w:val="false"/>
          <w:sz w:val="20"/>
        </w:rPr>
        <w:t>”), filed a Registration Statement on Form S-1 (File No. 333-268185), covering the resale of up to (i) 38,590,131 shares of its common stock, par value $0.0001 per share, (ii) 16,708,414 shares of common stock issuable upon the exercise of certain warrants, and (iii) 16,708,414 warrants to purchase common stock, as amended by Amendment No. 1 on December 9, 2022, which was subsequently declared effective by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December 22, 2022 (as amended,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1 (this “</w:t>
      </w:r>
      <w:r>
        <w:rPr>
          <w:rFonts w:ascii="Times New Roman;Times;Serif" w:hAnsi="Times New Roman;Times;Serif"/>
          <w:b/>
          <w:i w:val="false"/>
          <w:caps w:val="false"/>
          <w:smallCaps w:val="false"/>
          <w:sz w:val="20"/>
        </w:rPr>
        <w:t>Post-Effective Amendment</w:t>
      </w:r>
      <w:r>
        <w:rPr>
          <w:rFonts w:ascii="Times New Roman;Times;Serif" w:hAnsi="Times New Roman;Times;Serif"/>
          <w:b w:val="false"/>
          <w:i w:val="false"/>
          <w:caps w:val="false"/>
          <w:smallCaps w:val="false"/>
          <w:sz w:val="20"/>
        </w:rPr>
        <w:t>”) to the Registration Statement is being filed pursuant to Rule 414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by Dragonfly Energy Holdings Corp., a Nevada corporation (“</w:t>
      </w:r>
      <w:r>
        <w:rPr>
          <w:rFonts w:ascii="Times New Roman;Times;Serif" w:hAnsi="Times New Roman;Times;Serif"/>
          <w:b/>
          <w:i w:val="false"/>
          <w:caps w:val="false"/>
          <w:smallCaps w:val="false"/>
          <w:sz w:val="20"/>
        </w:rPr>
        <w:t>Dragonfly Nevada</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Dragonfly Nevada is the successor to Dragonfly Delaware following a reincorporation by conversion (the “</w:t>
      </w:r>
      <w:r>
        <w:rPr>
          <w:rFonts w:ascii="Times New Roman;Times;Serif" w:hAnsi="Times New Roman;Times;Serif"/>
          <w:b/>
          <w:i w:val="false"/>
          <w:caps w:val="false"/>
          <w:smallCaps w:val="false"/>
          <w:sz w:val="20"/>
        </w:rPr>
        <w:t>Reincorporation</w:t>
      </w:r>
      <w:r>
        <w:rPr>
          <w:rFonts w:ascii="Times New Roman;Times;Serif" w:hAnsi="Times New Roman;Times;Serif"/>
          <w:b w:val="false"/>
          <w:i w:val="false"/>
          <w:caps w:val="false"/>
          <w:smallCaps w:val="false"/>
          <w:sz w:val="20"/>
        </w:rPr>
        <w:t>”) on March 31, 2023. The Reincorporation was effected by a Plan of Conversion, which provided that the Company: (1) file with the Secretary of State of the State of Delaware a Certificate of Conversion, and (2) file with the Secretary of State of the State of Nevada (i) Articles of Conversion, and (ii) Articles of Incorporation.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Reincorporation was approved by security holders pursuant to which proxies were solicited pursuant to Section 14(a)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As a result of the Reincorporation, pursuant to the Nevada Revised Statutes (the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the Company has continued its existence under the NRS as a corporation incorporated in the State of Nevada. The business, assets and liabilities of the Company and its subsidiary on a consolidated basis, as well as its principal locations and fiscal year, were the same immediately after the Reincorporation as they were immediately prior to the Reincorporation. In addition, the directors and executive officers of the Company immediately after the Reincorporation were the same individuals who were directors and executive officers, respectively, of the Company immediately prior to the Reincorporation.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Reincorporation, (i) all issued and outstanding shares of common stock of Dragonfly Delaware were automatically converted into issued and outstanding shares of common stock of Dragonfly Nevada, without any action on the part of the Company’s stockholders, and (ii) each outstanding option or warrant to purchase a share of Dragonfly Delaware common stock (collectively, the “</w:t>
      </w:r>
      <w:r>
        <w:rPr>
          <w:rFonts w:ascii="Times New Roman;Times;Serif" w:hAnsi="Times New Roman;Times;Serif"/>
          <w:b/>
          <w:i w:val="false"/>
          <w:caps w:val="false"/>
          <w:smallCaps w:val="false"/>
          <w:sz w:val="20"/>
        </w:rPr>
        <w:t>Dragonfly Delaware Stock</w:t>
      </w:r>
      <w:r>
        <w:rPr>
          <w:rFonts w:ascii="Times New Roman;Times;Serif" w:hAnsi="Times New Roman;Times;Serif"/>
          <w:b w:val="false"/>
          <w:i w:val="false"/>
          <w:caps w:val="false"/>
          <w:smallCaps w:val="false"/>
          <w:sz w:val="20"/>
        </w:rPr>
        <w:t>”), and other equity awards relating to Dragonfly Delaware Stock, was deemed to constitute an option or warrant to purchase one share of common stock or equity award, as applicable, of Dragonfly Nevada at an exercise price per full share equal to the stated exercise price or other terms or provisions of the option, warrant or equity award.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414(d) of the Securities Act, Dragonfly Nevada, as successor issuer to Dragonfly Delaware, hereby expressly adopts the Registration Statement as its own for all purposes under the Securities Act and the Exchange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is also being filed to include information contained in the Company’s Annual Report on Form 10-K for the fiscal year ended December 31, 2022 filed with the SEC on April 17, 2023 and to update certain other information in the Registration Statement.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additional securities are being registered under this Post-Effective Amendment. All applicable registration and filing fees were paid at the time of the original filing of the Registration Statement.</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spacing w:before="0" w:after="0"/>
        <w:ind w:left="0" w:right="0" w:hanging="0"/>
        <w:jc w:val="center"/>
        <w:rPr>
          <w:caps w:val="false"/>
          <w:smallCaps w:val="false"/>
          <w:color w:val="FF0000"/>
        </w:rPr>
      </w:pPr>
      <w:r>
        <w:rPr>
          <w:caps w:val="false"/>
          <w:smallCaps w:val="false"/>
          <w:color w:val="FF0000"/>
        </w:rPr>
        <w:t> </w:t>
      </w:r>
    </w:p>
    <w:p>
      <w:pPr>
        <w:pStyle w:val="TextBody"/>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MAY 2,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PROSPECTUS</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1571625"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71625" cy="1057275"/>
                    </a:xfrm>
                    <a:prstGeom prst="rect">
                      <a:avLst/>
                    </a:prstGeom>
                  </pic:spPr>
                </pic:pic>
              </a:graphicData>
            </a:graphic>
          </wp:inline>
        </w:drawing>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35,161,573 Shares of Common Stock</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12,266,971 Warrants to Purchase Shares of Common Stock</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12,266,971 Shares of Common Stock Underlying 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securityholders named in this prospectus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35,161,573 shares of our common stock, par value $0.0001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12,266,971 warrants to purchase shares of common stock and 12,266,971 shares of common stock that are issuable upon the exercise of such warrants, consisting of:</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31,290,514 shares of common stock that were issued as consideration in connection with the consummation of the transactions contemplated by the Business Combination Agreement (as defined below) at a per share value of $10.00 per share (the “</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236,417 shares of common stock subject to vesting and/or exercise of Legacy Dragonfly (as defined below) equity awards that were assumed in connection with the Business Combination (the “</w:t>
            </w:r>
            <w:r>
              <w:rPr>
                <w:rFonts w:ascii="Times New Roman;Times;Serif" w:hAnsi="Times New Roman;Times;Serif"/>
                <w:b/>
                <w:i w:val="false"/>
                <w:caps w:val="false"/>
                <w:smallCaps w:val="false"/>
                <w:sz w:val="20"/>
              </w:rPr>
              <w:t>Option Shares</w:t>
            </w:r>
            <w:r>
              <w:rPr>
                <w:rFonts w:ascii="Times New Roman;Times;Serif" w:hAnsi="Times New Roman;Times;Serif"/>
                <w:b w:val="false"/>
                <w:i w:val="false"/>
                <w:caps w:val="false"/>
                <w:smallCaps w:val="false"/>
                <w:sz w:val="20"/>
              </w:rPr>
              <w:t>”). Upon exercise of the applicable Legacy Dragonfly equity awards, the applicable selling securityholders will acquire the Option Shares at a price of $2.89 per share of common stock;</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3,162,500 shares of common stock (the “</w:t>
            </w:r>
            <w:r>
              <w:rPr>
                <w:rFonts w:ascii="Times New Roman;Times;Serif" w:hAnsi="Times New Roman;Times;Serif"/>
                <w:b/>
                <w:i w:val="false"/>
                <w:caps w:val="false"/>
                <w:smallCaps w:val="false"/>
                <w:sz w:val="20"/>
              </w:rPr>
              <w:t>Founder Shares</w:t>
            </w:r>
            <w:r>
              <w:rPr>
                <w:rFonts w:ascii="Times New Roman;Times;Serif" w:hAnsi="Times New Roman;Times;Serif"/>
                <w:b w:val="false"/>
                <w:i w:val="false"/>
                <w:caps w:val="false"/>
                <w:smallCaps w:val="false"/>
                <w:sz w:val="20"/>
              </w:rPr>
              <w:t>”) that were originally issued in a private placement at the time of the CNTQ IPO (as defined below). The Founder Shares were acquired at a purchase price equivalent to approximately $0.0079 per share of common stock;</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1,501,386 warrants (“</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that were originally issued in a private placement at the time of the CNTQ IPO. The Private Warrants were acquired at a purchase price of $0.93 per Private Warrant;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(as defined below) to initially acquire 2,593,056 shares of common stock that were originally issued to the Term Loan Lenders (as defined below);</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1,501,386 shares of common stock (the “</w:t>
            </w:r>
            <w:r>
              <w:rPr>
                <w:rFonts w:ascii="Times New Roman;Times;Serif" w:hAnsi="Times New Roman;Times;Serif"/>
                <w:b/>
                <w:i w:val="false"/>
                <w:caps w:val="false"/>
                <w:smallCaps w:val="false"/>
                <w:sz w:val="20"/>
              </w:rPr>
              <w:t>Private Warrant Shares</w:t>
            </w:r>
            <w:r>
              <w:rPr>
                <w:rFonts w:ascii="Times New Roman;Times;Serif" w:hAnsi="Times New Roman;Times;Serif"/>
                <w:b w:val="false"/>
                <w:i w:val="false"/>
                <w:caps w:val="false"/>
                <w:smallCaps w:val="false"/>
                <w:sz w:val="20"/>
              </w:rPr>
              <w:t>”) issuable upon the exercise of the Private Warrants that were originally issued in a private placement at the time of the CNTQ IPO;</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457,142 shares of common stock (the “</w:t>
            </w:r>
            <w:r>
              <w:rPr>
                <w:rFonts w:ascii="Times New Roman;Times;Serif" w:hAnsi="Times New Roman;Times;Serif"/>
                <w:b/>
                <w:i w:val="false"/>
                <w:caps w:val="false"/>
                <w:smallCaps w:val="false"/>
                <w:sz w:val="20"/>
              </w:rPr>
              <w:t>$10 Warrant Shares</w:t>
            </w:r>
            <w:r>
              <w:rPr>
                <w:rFonts w:ascii="Times New Roman;Times;Serif" w:hAnsi="Times New Roman;Times;Serif"/>
                <w:b w:val="false"/>
                <w:i w:val="false"/>
                <w:caps w:val="false"/>
                <w:smallCaps w:val="false"/>
                <w:sz w:val="20"/>
              </w:rPr>
              <w:t>”) issued upon the exercise of the $10 Warrants (as defined below) issued as part of the Term Loan (as defined below);</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1,343,056 shares of common stock (the “</w:t>
            </w:r>
            <w:r>
              <w:rPr>
                <w:rFonts w:ascii="Times New Roman;Times;Serif" w:hAnsi="Times New Roman;Times;Serif"/>
                <w:b/>
                <w:i w:val="false"/>
                <w:caps w:val="false"/>
                <w:smallCaps w:val="false"/>
                <w:sz w:val="20"/>
              </w:rPr>
              <w:t>Penny Warrant Shares</w:t>
            </w:r>
            <w:r>
              <w:rPr>
                <w:rFonts w:ascii="Times New Roman;Times;Serif" w:hAnsi="Times New Roman;Times;Serif"/>
                <w:b w:val="false"/>
                <w:i w:val="false"/>
                <w:caps w:val="false"/>
                <w:smallCaps w:val="false"/>
                <w:sz w:val="20"/>
              </w:rPr>
              <w:t>”) issuable upon the exercise of the Penny Warrants (as defined below) issued as part of the Term Loan;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 shares of common stock (the “</w:t>
            </w:r>
            <w:r>
              <w:rPr>
                <w:rFonts w:ascii="Times New Roman;Times;Serif" w:hAnsi="Times New Roman;Times;Serif"/>
                <w:b/>
                <w:i w:val="false"/>
                <w:caps w:val="false"/>
                <w:smallCaps w:val="false"/>
                <w:sz w:val="20"/>
              </w:rPr>
              <w:t>PIPE Investment Shares</w:t>
            </w:r>
            <w:r>
              <w:rPr>
                <w:rFonts w:ascii="Times New Roman;Times;Serif" w:hAnsi="Times New Roman;Times;Serif"/>
                <w:b w:val="false"/>
                <w:i w:val="false"/>
                <w:caps w:val="false"/>
                <w:smallCaps w:val="false"/>
                <w:sz w:val="20"/>
              </w:rPr>
              <w:t>”) purchased by CCM (as defined below) in the PIPE Investment (as defined below).</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issuance by us of up to 12,266,971 shares of common stock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comprised of (i) 9,422,529 shares of common stock (the “</w:t>
      </w:r>
      <w:r>
        <w:rPr>
          <w:rFonts w:ascii="Times New Roman;Times;Serif" w:hAnsi="Times New Roman;Times;Serif"/>
          <w:b/>
          <w:i w:val="false"/>
          <w:caps w:val="false"/>
          <w:smallCaps w:val="false"/>
          <w:sz w:val="20"/>
        </w:rPr>
        <w:t>Public Warrant Shares</w:t>
      </w:r>
      <w:r>
        <w:rPr>
          <w:rFonts w:ascii="Times New Roman;Times;Serif" w:hAnsi="Times New Roman;Times;Serif"/>
          <w:b w:val="false"/>
          <w:i w:val="false"/>
          <w:caps w:val="false"/>
          <w:smallCaps w:val="false"/>
          <w:sz w:val="20"/>
        </w:rPr>
        <w:t>”) that are issuable by us upon the exercise of the public warrants that were sold as part of the units in the CNTQ IPO (the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(ii) the 1,501,386 Private Warrant Shares, and (iii) the 1,343,056 Penny Warrant Shares. The Public Warrants and Private Warrants entitle the holder thereof to purchase one share of our common stock for $11.50 per share. The Penny Warrants entitle the holder thereof to purchase one share of our common stock for $0.01 per share, subject to weighted average anti-dilution protection.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offer and sale of these securities to satisfy certain registration rights we have granted. The selling securityholders may offer, sell or distribute all or a portion of the securities hereby registered publicly or through private transactions at prevailing market prices or at negotiated prices. We will not receive any of the proceeds from such sales of the shares of our common stock or warrants, except with respect to amounts received by us upon the exercise of the warrants. Because the exercise price of the Public Warrants and Private Warrants substantially exceeds the current trading price of our common stock, it is unlikely that holders of our warrants will be able to exercise such warrants in the near future, if at all. As a result, we are unlikely to receive any proceeds from the exercise of our warrants in the near future, if at all.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our common stock or warrants. See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104 of this prospectus.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impact may be heightened by the fact that, as described above, certain of the selling securityholders purchased, or are able to purchase, shares of our common stock at prices that are well below the current trading price of our common stock. The 47,428,544 shares that may be resold and/or issued into the public markets pursuant to this prospectus represent approximately 104% of the shares of our common stock outstanding as of April 17, 2023 (after giving effect to the issuance of the Option Shares, Public Warrant Shares and Private Warrant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“DFLI” and our public warrants are currently listed on the Nasdaq Capital Market under the symbol “DFLIW”. As of April 17, 2023, the closing price of our common stock and warrants was $5.39 and $0.232,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under applicable federal securities laws and will be subject to reduced public company reporting requirements.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 9 OF THIS PROSPECTUS.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2023.</w:t>
      </w:r>
    </w:p>
    <w:p>
      <w:pPr>
        <w:pStyle w:val="TextBody"/>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jc w:val="center"/>
        <w:rPr>
          <w:caps w:val="false"/>
          <w:smallCaps w:val="false"/>
        </w:rPr>
      </w:pPr>
      <w:r>
        <w:rPr>
          <w:caps w:val="false"/>
          <w:smallCaps w:val="false"/>
        </w:rPr>
        <w:t> </w:t>
      </w:r>
    </w:p>
    <w:tbl>
      <w:tblPr>
        <w:tblW w:w="9820" w:type="dxa"/>
        <w:jc w:val="left"/>
        <w:tblInd w:w="0" w:type="dxa"/>
        <w:tblCellMar>
          <w:top w:w="0" w:type="dxa"/>
          <w:left w:w="0" w:type="dxa"/>
          <w:bottom w:w="0" w:type="dxa"/>
          <w:right w:w="0" w:type="dxa"/>
        </w:tblCellMar>
      </w:tblPr>
      <w:tblGrid>
        <w:gridCol w:w="9470"/>
        <w:gridCol w:w="350"/>
      </w:tblGrid>
      <w:tr>
        <w:trPr/>
        <w:tc>
          <w:tcPr>
            <w:tcW w:w="9470" w:type="dxa"/>
            <w:tcBorders/>
            <w:shd w:fill="CCEEFF" w:val="clear"/>
            <w:vAlign w:val="center"/>
          </w:tcPr>
          <w:p>
            <w:pPr>
              <w:pStyle w:val="TableContents"/>
              <w:spacing w:before="0" w:after="283"/>
              <w:rPr/>
            </w:pPr>
            <w:hyperlink w:anchor="z_001">
              <w:r>
                <w:rPr>
                  <w:rStyle w:val="InternetLink"/>
                  <w:rFonts w:ascii="Times New Roman;Times;Serif" w:hAnsi="Times New Roman;Times;Serif"/>
                  <w:b w:val="false"/>
                  <w:i w:val="false"/>
                  <w:caps w:val="false"/>
                  <w:smallCaps w:val="false"/>
                  <w:sz w:val="20"/>
                </w:rPr>
                <w:t>INTRODUCTORY NOTE</w:t>
              </w:r>
            </w:hyperlink>
          </w:p>
        </w:tc>
        <w:tc>
          <w:tcPr>
            <w:tcW w:w="3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spacing w:before="0" w:after="283"/>
              <w:rPr/>
            </w:pPr>
            <w:hyperlink w:anchor="z_002">
              <w:r>
                <w:rPr>
                  <w:rStyle w:val="InternetLink"/>
                  <w:rFonts w:ascii="Times New Roman;Times;Serif" w:hAnsi="Times New Roman;Times;Serif"/>
                  <w:b w:val="false"/>
                  <w:i w:val="false"/>
                  <w:caps w:val="false"/>
                  <w:smallCaps w:val="false"/>
                  <w:sz w:val="20"/>
                </w:rPr>
                <w:t>FREQUENTLY USED TERMS</w:t>
              </w:r>
            </w:hyperlink>
          </w:p>
        </w:tc>
        <w:tc>
          <w:tcPr>
            <w:tcW w:w="3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470" w:type="dxa"/>
            <w:tcBorders/>
            <w:shd w:fill="CCEEFF" w:val="clear"/>
            <w:vAlign w:val="center"/>
          </w:tcPr>
          <w:p>
            <w:pPr>
              <w:pStyle w:val="TableContents"/>
              <w:spacing w:before="0" w:after="283"/>
              <w:rPr/>
            </w:pPr>
            <w:hyperlink w:anchor="z_003">
              <w:r>
                <w:rPr>
                  <w:rStyle w:val="InternetLink"/>
                  <w:rFonts w:ascii="Times New Roman;Times;Serif" w:hAnsi="Times New Roman;Times;Serif"/>
                  <w:b w:val="false"/>
                  <w:i w:val="false"/>
                  <w:caps w:val="false"/>
                  <w:smallCaps w:val="false"/>
                  <w:sz w:val="20"/>
                </w:rPr>
                <w:t>CAUTIONARY NOTE REGARDING FORWARD-LOOKING STATEMENTS</w:t>
              </w:r>
            </w:hyperlink>
          </w:p>
        </w:tc>
        <w:tc>
          <w:tcPr>
            <w:tcW w:w="3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470" w:type="dxa"/>
            <w:tcBorders/>
            <w:shd w:fill="FFFFFF" w:val="clear"/>
            <w:vAlign w:val="center"/>
          </w:tcPr>
          <w:p>
            <w:pPr>
              <w:pStyle w:val="TableContents"/>
              <w:spacing w:before="0" w:after="283"/>
              <w:rPr/>
            </w:pPr>
            <w:hyperlink w:anchor="z_004">
              <w:r>
                <w:rPr>
                  <w:rStyle w:val="InternetLink"/>
                  <w:rFonts w:ascii="Times New Roman;Times;Serif" w:hAnsi="Times New Roman;Times;Serif"/>
                  <w:b w:val="false"/>
                  <w:i w:val="false"/>
                  <w:caps w:val="false"/>
                  <w:smallCaps w:val="false"/>
                  <w:sz w:val="20"/>
                </w:rPr>
                <w:t>SUMMARY OF THE PROSPECTUS</w:t>
              </w:r>
            </w:hyperlink>
          </w:p>
        </w:tc>
        <w:tc>
          <w:tcPr>
            <w:tcW w:w="3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470" w:type="dxa"/>
            <w:tcBorders/>
            <w:shd w:fill="CCEEFF" w:val="clear"/>
            <w:vAlign w:val="center"/>
          </w:tcPr>
          <w:p>
            <w:pPr>
              <w:pStyle w:val="TableContents"/>
              <w:spacing w:before="0" w:after="283"/>
              <w:rPr/>
            </w:pPr>
            <w:hyperlink w:anchor="z_005">
              <w:r>
                <w:rPr>
                  <w:rStyle w:val="InternetLink"/>
                  <w:rFonts w:ascii="Times New Roman;Times;Serif" w:hAnsi="Times New Roman;Times;Serif"/>
                  <w:b w:val="false"/>
                  <w:i w:val="false"/>
                  <w:caps w:val="false"/>
                  <w:smallCaps w:val="false"/>
                  <w:sz w:val="20"/>
                </w:rPr>
                <w:t>THE OFFERING</w:t>
              </w:r>
            </w:hyperlink>
          </w:p>
        </w:tc>
        <w:tc>
          <w:tcPr>
            <w:tcW w:w="3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470" w:type="dxa"/>
            <w:tcBorders/>
            <w:shd w:fill="FFFFFF" w:val="clear"/>
            <w:vAlign w:val="center"/>
          </w:tcPr>
          <w:p>
            <w:pPr>
              <w:pStyle w:val="TableContents"/>
              <w:spacing w:before="0" w:after="283"/>
              <w:rPr/>
            </w:pPr>
            <w:hyperlink w:anchor="z_006">
              <w:r>
                <w:rPr>
                  <w:rStyle w:val="InternetLink"/>
                  <w:rFonts w:ascii="Times New Roman;Times;Serif" w:hAnsi="Times New Roman;Times;Serif"/>
                  <w:b w:val="false"/>
                  <w:i w:val="false"/>
                  <w:caps w:val="false"/>
                  <w:smallCaps w:val="false"/>
                  <w:sz w:val="20"/>
                </w:rPr>
                <w:t>RISK FACTORS</w:t>
              </w:r>
            </w:hyperlink>
          </w:p>
        </w:tc>
        <w:tc>
          <w:tcPr>
            <w:tcW w:w="3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470" w:type="dxa"/>
            <w:tcBorders/>
            <w:shd w:fill="CCEEFF" w:val="clear"/>
            <w:vAlign w:val="center"/>
          </w:tcPr>
          <w:p>
            <w:pPr>
              <w:pStyle w:val="TableContents"/>
              <w:spacing w:before="0" w:after="283"/>
              <w:rPr/>
            </w:pPr>
            <w:hyperlink w:anchor="z_007">
              <w:r>
                <w:rPr>
                  <w:rStyle w:val="InternetLink"/>
                  <w:rFonts w:ascii="Times New Roman;Times;Serif" w:hAnsi="Times New Roman;Times;Serif"/>
                  <w:b w:val="false"/>
                  <w:i w:val="false"/>
                  <w:caps w:val="false"/>
                  <w:smallCaps w:val="false"/>
                  <w:sz w:val="20"/>
                </w:rPr>
                <w:t>USE OF PROCEEDS</w:t>
              </w:r>
            </w:hyperlink>
          </w:p>
        </w:tc>
        <w:tc>
          <w:tcPr>
            <w:tcW w:w="3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470" w:type="dxa"/>
            <w:tcBorders/>
            <w:shd w:fill="FFFFFF" w:val="clear"/>
            <w:vAlign w:val="center"/>
          </w:tcPr>
          <w:p>
            <w:pPr>
              <w:pStyle w:val="TableContents"/>
              <w:spacing w:before="0" w:after="283"/>
              <w:rPr/>
            </w:pPr>
            <w:hyperlink w:anchor="z_009">
              <w:r>
                <w:rPr>
                  <w:rStyle w:val="InternetLink"/>
                  <w:rFonts w:ascii="Times New Roman;Times;Serif" w:hAnsi="Times New Roman;Times;Serif"/>
                  <w:b w:val="false"/>
                  <w:i w:val="false"/>
                  <w:caps w:val="false"/>
                  <w:smallCaps w:val="false"/>
                  <w:sz w:val="20"/>
                </w:rPr>
                <w:t>MARKET PRICE AND DIVIDEND INFORMATION</w:t>
              </w:r>
            </w:hyperlink>
          </w:p>
        </w:tc>
        <w:tc>
          <w:tcPr>
            <w:tcW w:w="3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470" w:type="dxa"/>
            <w:tcBorders/>
            <w:shd w:fill="CCEEFF" w:val="clear"/>
            <w:vAlign w:val="center"/>
          </w:tcPr>
          <w:p>
            <w:pPr>
              <w:pStyle w:val="TableContents"/>
              <w:spacing w:before="0" w:after="283"/>
              <w:rPr/>
            </w:pPr>
            <w:hyperlink w:anchor="z_010">
              <w:r>
                <w:rPr>
                  <w:rStyle w:val="InternetLink"/>
                  <w:rFonts w:ascii="Times New Roman;Times;Serif" w:hAnsi="Times New Roman;Times;Serif"/>
                  <w:b w:val="false"/>
                  <w:i w:val="false"/>
                  <w:caps w:val="false"/>
                  <w:smallCaps w:val="false"/>
                  <w:sz w:val="20"/>
                </w:rPr>
                <w:t>BUSINESS</w:t>
              </w:r>
            </w:hyperlink>
          </w:p>
        </w:tc>
        <w:tc>
          <w:tcPr>
            <w:tcW w:w="3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470" w:type="dxa"/>
            <w:tcBorders/>
            <w:shd w:fill="FFFFFF" w:val="clear"/>
            <w:vAlign w:val="center"/>
          </w:tcPr>
          <w:p>
            <w:pPr>
              <w:pStyle w:val="TableContents"/>
              <w:spacing w:before="0" w:after="283"/>
              <w:rPr/>
            </w:pPr>
            <w:hyperlink w:anchor="Na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9470" w:type="dxa"/>
            <w:tcBorders/>
            <w:shd w:fill="CCEEFF" w:val="clear"/>
            <w:vAlign w:val="center"/>
          </w:tcPr>
          <w:p>
            <w:pPr>
              <w:pStyle w:val="TableContents"/>
              <w:spacing w:before="0" w:after="283"/>
              <w:rPr/>
            </w:pPr>
            <w:hyperlink w:anchor="Na_002">
              <w:r>
                <w:rPr>
                  <w:rStyle w:val="InternetLink"/>
                  <w:rFonts w:ascii="Times New Roman;Times;Serif" w:hAnsi="Times New Roman;Times;Serif"/>
                  <w:b w:val="false"/>
                  <w:i w:val="false"/>
                  <w:caps w:val="false"/>
                  <w:smallCaps w:val="false"/>
                  <w:sz w:val="20"/>
                </w:rPr>
                <w:t>MANAGEMENT</w:t>
              </w:r>
            </w:hyperlink>
          </w:p>
        </w:tc>
        <w:tc>
          <w:tcPr>
            <w:tcW w:w="3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9470" w:type="dxa"/>
            <w:tcBorders/>
            <w:shd w:fill="FFFFFF" w:val="clear"/>
            <w:vAlign w:val="center"/>
          </w:tcPr>
          <w:p>
            <w:pPr>
              <w:pStyle w:val="TableContents"/>
              <w:spacing w:before="0" w:after="283"/>
              <w:rPr/>
            </w:pPr>
            <w:hyperlink w:anchor="Na_003">
              <w:r>
                <w:rPr>
                  <w:rStyle w:val="InternetLink"/>
                  <w:rFonts w:ascii="Times New Roman;Times;Serif" w:hAnsi="Times New Roman;Times;Serif"/>
                  <w:b w:val="false"/>
                  <w:i w:val="false"/>
                  <w:caps w:val="false"/>
                  <w:smallCaps w:val="false"/>
                  <w:sz w:val="20"/>
                </w:rPr>
                <w:t>EXECUTIVE AND DIRECTOR COMPENSATION</w:t>
              </w:r>
            </w:hyperlink>
          </w:p>
        </w:tc>
        <w:tc>
          <w:tcPr>
            <w:tcW w:w="3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470" w:type="dxa"/>
            <w:tcBorders/>
            <w:shd w:fill="CCEEFF" w:val="clear"/>
            <w:vAlign w:val="center"/>
          </w:tcPr>
          <w:p>
            <w:pPr>
              <w:pStyle w:val="TableContents"/>
              <w:spacing w:before="0" w:after="283"/>
              <w:rPr/>
            </w:pPr>
            <w:hyperlink w:anchor="Na_004">
              <w:r>
                <w:rPr>
                  <w:rStyle w:val="InternetLink"/>
                  <w:rFonts w:ascii="Times New Roman;Times;Serif" w:hAnsi="Times New Roman;Times;Serif"/>
                  <w:b w:val="false"/>
                  <w:i w:val="false"/>
                  <w:caps w:val="false"/>
                  <w:smallCaps w:val="false"/>
                  <w:sz w:val="20"/>
                </w:rPr>
                <w:t>CERTAIN RELATIONSHIPS AND RELATED PERSON TRANSACTIONS</w:t>
              </w:r>
            </w:hyperlink>
          </w:p>
        </w:tc>
        <w:tc>
          <w:tcPr>
            <w:tcW w:w="3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9470" w:type="dxa"/>
            <w:tcBorders/>
            <w:shd w:fill="FFFFFF" w:val="clear"/>
            <w:vAlign w:val="center"/>
          </w:tcPr>
          <w:p>
            <w:pPr>
              <w:pStyle w:val="TableContents"/>
              <w:spacing w:before="0" w:after="283"/>
              <w:rPr/>
            </w:pPr>
            <w:hyperlink w:anchor="Na_005">
              <w:r>
                <w:rPr>
                  <w:rStyle w:val="InternetLink"/>
                  <w:rFonts w:ascii="Times New Roman;Times;Serif" w:hAnsi="Times New Roman;Times;Serif"/>
                  <w:b w:val="false"/>
                  <w:i w:val="false"/>
                  <w:caps w:val="false"/>
                  <w:smallCaps w:val="false"/>
                  <w:sz w:val="20"/>
                </w:rPr>
                <w:t>DESCRIPTION OF SECURITIES</w:t>
              </w:r>
            </w:hyperlink>
          </w:p>
        </w:tc>
        <w:tc>
          <w:tcPr>
            <w:tcW w:w="3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9470" w:type="dxa"/>
            <w:tcBorders/>
            <w:shd w:fill="CCEEFF" w:val="clear"/>
            <w:vAlign w:val="center"/>
          </w:tcPr>
          <w:p>
            <w:pPr>
              <w:pStyle w:val="TableContents"/>
              <w:spacing w:before="0" w:after="283"/>
              <w:rPr/>
            </w:pPr>
            <w:hyperlink w:anchor="Na_006">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3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9470" w:type="dxa"/>
            <w:tcBorders/>
            <w:shd w:fill="FFFFFF" w:val="clear"/>
            <w:vAlign w:val="center"/>
          </w:tcPr>
          <w:p>
            <w:pPr>
              <w:pStyle w:val="TableContents"/>
              <w:spacing w:before="0" w:after="283"/>
              <w:rPr/>
            </w:pPr>
            <w:hyperlink w:anchor="Na_007">
              <w:r>
                <w:rPr>
                  <w:rStyle w:val="InternetLink"/>
                  <w:rFonts w:ascii="Times New Roman;Times;Serif" w:hAnsi="Times New Roman;Times;Serif"/>
                  <w:b w:val="false"/>
                  <w:i w:val="false"/>
                  <w:caps w:val="false"/>
                  <w:smallCaps w:val="false"/>
                  <w:sz w:val="20"/>
                </w:rPr>
                <w:t>SELLING SECURITYHOLDERS</w:t>
              </w:r>
            </w:hyperlink>
          </w:p>
        </w:tc>
        <w:tc>
          <w:tcPr>
            <w:tcW w:w="3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470" w:type="dxa"/>
            <w:tcBorders/>
            <w:shd w:fill="CCEEFF" w:val="clear"/>
            <w:vAlign w:val="center"/>
          </w:tcPr>
          <w:p>
            <w:pPr>
              <w:pStyle w:val="TableContents"/>
              <w:spacing w:before="0" w:after="283"/>
              <w:rPr/>
            </w:pPr>
            <w:hyperlink w:anchor="Na_008">
              <w:r>
                <w:rPr>
                  <w:rStyle w:val="InternetLink"/>
                  <w:rFonts w:ascii="Times New Roman;Times;Serif" w:hAnsi="Times New Roman;Times;Serif"/>
                  <w:b w:val="false"/>
                  <w:i w:val="false"/>
                  <w:caps w:val="false"/>
                  <w:smallCaps w:val="false"/>
                  <w:sz w:val="20"/>
                </w:rPr>
                <w:t>U.S. FEDERAL INCOME TAX CONSIDERATIONS FOR NON-U.S. HOLDERS</w:t>
              </w:r>
            </w:hyperlink>
          </w:p>
        </w:tc>
        <w:tc>
          <w:tcPr>
            <w:tcW w:w="3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470" w:type="dxa"/>
            <w:tcBorders/>
            <w:shd w:fill="FFFFFF" w:val="clear"/>
            <w:vAlign w:val="center"/>
          </w:tcPr>
          <w:p>
            <w:pPr>
              <w:pStyle w:val="TableContents"/>
              <w:spacing w:before="0" w:after="283"/>
              <w:rPr/>
            </w:pPr>
            <w:hyperlink w:anchor="Na_010">
              <w:r>
                <w:rPr>
                  <w:rStyle w:val="InternetLink"/>
                  <w:rFonts w:ascii="Times New Roman;Times;Serif" w:hAnsi="Times New Roman;Times;Serif"/>
                  <w:b w:val="false"/>
                  <w:i w:val="false"/>
                  <w:caps w:val="false"/>
                  <w:smallCaps w:val="false"/>
                  <w:sz w:val="20"/>
                </w:rPr>
                <w:t>PLAN OF DISTRIBUTION</w:t>
              </w:r>
            </w:hyperlink>
          </w:p>
        </w:tc>
        <w:tc>
          <w:tcPr>
            <w:tcW w:w="3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470" w:type="dxa"/>
            <w:tcBorders/>
            <w:shd w:fill="CCEEFF" w:val="clear"/>
            <w:vAlign w:val="center"/>
          </w:tcPr>
          <w:p>
            <w:pPr>
              <w:pStyle w:val="TableContents"/>
              <w:spacing w:before="0" w:after="283"/>
              <w:rPr/>
            </w:pPr>
            <w:hyperlink w:anchor="Na_011">
              <w:r>
                <w:rPr>
                  <w:rStyle w:val="InternetLink"/>
                  <w:rFonts w:ascii="Times New Roman;Times;Serif" w:hAnsi="Times New Roman;Times;Serif"/>
                  <w:b w:val="false"/>
                  <w:i w:val="false"/>
                  <w:caps w:val="false"/>
                  <w:smallCaps w:val="false"/>
                  <w:sz w:val="20"/>
                </w:rPr>
                <w:t>LEGAL MATTERS</w:t>
              </w:r>
            </w:hyperlink>
          </w:p>
        </w:tc>
        <w:tc>
          <w:tcPr>
            <w:tcW w:w="3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470" w:type="dxa"/>
            <w:tcBorders/>
            <w:shd w:fill="FFFFFF" w:val="clear"/>
            <w:vAlign w:val="center"/>
          </w:tcPr>
          <w:p>
            <w:pPr>
              <w:pStyle w:val="TableContents"/>
              <w:spacing w:before="0" w:after="283"/>
              <w:rPr/>
            </w:pPr>
            <w:hyperlink w:anchor="Na_012">
              <w:r>
                <w:rPr>
                  <w:rStyle w:val="InternetLink"/>
                  <w:rFonts w:ascii="Times New Roman;Times;Serif" w:hAnsi="Times New Roman;Times;Serif"/>
                  <w:b w:val="false"/>
                  <w:i w:val="false"/>
                  <w:caps w:val="false"/>
                  <w:smallCaps w:val="false"/>
                  <w:sz w:val="20"/>
                </w:rPr>
                <w:t>EXPERTS</w:t>
              </w:r>
            </w:hyperlink>
          </w:p>
        </w:tc>
        <w:tc>
          <w:tcPr>
            <w:tcW w:w="3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470" w:type="dxa"/>
            <w:tcBorders/>
            <w:shd w:fill="CCEEFF" w:val="clear"/>
            <w:vAlign w:val="center"/>
          </w:tcPr>
          <w:p>
            <w:pPr>
              <w:pStyle w:val="TableContents"/>
              <w:spacing w:before="0" w:after="283"/>
              <w:rPr/>
            </w:pPr>
            <w:hyperlink w:anchor="Na_013">
              <w:r>
                <w:rPr>
                  <w:rStyle w:val="InternetLink"/>
                  <w:rFonts w:ascii="Times New Roman;Times;Serif" w:hAnsi="Times New Roman;Times;Serif"/>
                  <w:b w:val="false"/>
                  <w:i w:val="false"/>
                  <w:caps w:val="false"/>
                  <w:smallCaps w:val="false"/>
                  <w:sz w:val="20"/>
                </w:rPr>
                <w:t>WHERE YOU CAN FIND MORE INFORMATION</w:t>
              </w:r>
            </w:hyperlink>
          </w:p>
        </w:tc>
        <w:tc>
          <w:tcPr>
            <w:tcW w:w="3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470" w:type="dxa"/>
            <w:tcBorders/>
            <w:shd w:fill="FFFFFF" w:val="clear"/>
            <w:vAlign w:val="center"/>
          </w:tcPr>
          <w:p>
            <w:pPr>
              <w:pStyle w:val="TableContents"/>
              <w:spacing w:before="0" w:after="283"/>
              <w:rPr/>
            </w:pPr>
            <w:hyperlink w:anchor="Naf_001">
              <w:r>
                <w:rPr>
                  <w:rStyle w:val="InternetLink"/>
                  <w:rFonts w:ascii="Times New Roman;Times;Serif" w:hAnsi="Times New Roman;Times;Serif"/>
                  <w:b w:val="false"/>
                  <w:i w:val="false"/>
                  <w:caps w:val="false"/>
                  <w:smallCaps w:val="false"/>
                  <w:sz w:val="20"/>
                </w:rPr>
                <w:t>INDEX TO FINANCIAL STATEMENTS</w:t>
              </w:r>
            </w:hyperlink>
          </w:p>
        </w:tc>
        <w:tc>
          <w:tcPr>
            <w:tcW w:w="3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 investors outside the United States: </w:t>
      </w:r>
      <w:r>
        <w:rPr>
          <w:rFonts w:ascii="Times New Roman;Times;Serif" w:hAnsi="Times New Roman;Times;Serif"/>
          <w:b w:val="false"/>
          <w:i w:val="false"/>
          <w:caps w:val="false"/>
          <w:smallCaps w:val="false"/>
          <w:sz w:val="20"/>
        </w:rPr>
        <w:t>We have not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pStyle w:val="TextBody"/>
        <w:spacing w:before="0" w:after="0"/>
        <w:ind w:left="0" w:right="0" w:firstLine="36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4" w:name="z_001"/>
      <w:bookmarkEnd w:id="24"/>
      <w:r>
        <w:rPr>
          <w:rFonts w:ascii="Times New Roman;Times;Serif" w:hAnsi="Times New Roman;Times;Serif"/>
          <w:b/>
          <w:i w:val="false"/>
          <w:caps w:val="false"/>
          <w:smallCaps w:val="false"/>
          <w:sz w:val="20"/>
        </w:rPr>
        <w:t>INTRODUCTORY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and such date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Chardan NexTech Acquisition 2 Corp., a Delaware corporation (“</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and Bronco Merger Sub, Inc., a Nevada corporation and newly formed wholly-owned subsidiary of CNTQ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consummated the previously announced Business Combination (as defined below) pursuant to the terms of the Business Combination Agreement (as defined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 CNTQ changed its name to “Dragonfly Energy Holdings Corp.” (“</w:t>
      </w:r>
      <w:r>
        <w:rPr>
          <w:rFonts w:ascii="Times New Roman;Times;Serif" w:hAnsi="Times New Roman;Times;Serif"/>
          <w:b/>
          <w:i w:val="false"/>
          <w:caps w:val="false"/>
          <w:smallCaps w:val="false"/>
          <w:sz w:val="20"/>
        </w:rPr>
        <w:t>Dragonfly</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(ii) Merger Sub merged with and into Dragonfly Energy Corp., a Nevada corporation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with Legacy Dragonfly surviving the Merger as a direct, wholly-owned subsidiary of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and (iii) the parties to the Business Combination Agreement consummated the other transactions contemplated thereby. On March 31, 2023, Dragonfly was reincorporated under the laws of the State of Nevada pursuant to a reincorporation by conversion.</w:t>
      </w:r>
    </w:p>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1</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5" w:name="z_002"/>
      <w:bookmarkEnd w:id="25"/>
      <w:r>
        <w:rPr>
          <w:rFonts w:ascii="Times New Roman;Times;Serif" w:hAnsi="Times New Roman;Times;Serif"/>
          <w:b/>
          <w:i w:val="false"/>
          <w:caps w:val="false"/>
          <w:smallCaps w:val="false"/>
          <w:sz w:val="20"/>
        </w:rPr>
        <w:t>FREQUENTLY USED TERMS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in this prospectus to “Dragonfly,” the “Company,” “us,” “we,” “our” and any related terms are intended to mean Dragonfly Energy Holdings Corp. and its consolidated subsidiaries.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$10 Warrants</w:t>
      </w:r>
      <w:r>
        <w:rPr>
          <w:rFonts w:ascii="Times New Roman;Times;Serif" w:hAnsi="Times New Roman;Times;Serif"/>
          <w:b w:val="false"/>
          <w:i w:val="false"/>
          <w:caps w:val="false"/>
          <w:smallCaps w:val="false"/>
          <w:sz w:val="20"/>
        </w:rPr>
        <w:t>” means warrants to initially acquire 1,600,000 shares of common stock at an initial $10.00 per share exercise price issued at Closing in connection with the Term Loan.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$10 Warrants Shares</w:t>
      </w:r>
      <w:r>
        <w:rPr>
          <w:rFonts w:ascii="Times New Roman;Times;Serif" w:hAnsi="Times New Roman;Times;Serif"/>
          <w:b w:val="false"/>
          <w:i w:val="false"/>
          <w:caps w:val="false"/>
          <w:smallCaps w:val="false"/>
          <w:sz w:val="20"/>
        </w:rPr>
        <w:t>” means the 457,142 shares of common stock issued upon exercise of the $10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means the Merger and the other transactions contemplated by the Business Combination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means that certain Agreement and Plan of Merger, dated May 15, 2022, as amended on July 12, 2022, by and among CNTQ, Merger Sub and Dragonfly.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CCM</w:t>
      </w:r>
      <w:r>
        <w:rPr>
          <w:rFonts w:ascii="Times New Roman;Times;Serif" w:hAnsi="Times New Roman;Times;Serif"/>
          <w:b w:val="false"/>
          <w:i w:val="false"/>
          <w:caps w:val="false"/>
          <w:smallCaps w:val="false"/>
          <w:sz w:val="20"/>
        </w:rPr>
        <w:t>” means Chardan Capital Markets LLC, a New York limited liability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means the articles of incorporation of Dragonfly, in effect as of the date of this prospectus.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means Chardan NexTech Acquisition 2 Corp., a Delaware corporation, which was renamed “Dragonfly Energy Holdings Corp.” in connection with the Closing.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 Common Stock</w:t>
      </w:r>
      <w:r>
        <w:rPr>
          <w:rFonts w:ascii="Times New Roman;Times;Serif" w:hAnsi="Times New Roman;Times;Serif"/>
          <w:b w:val="false"/>
          <w:i w:val="false"/>
          <w:caps w:val="false"/>
          <w:smallCaps w:val="false"/>
          <w:sz w:val="20"/>
        </w:rPr>
        <w:t>” means, prior to consummation of the Business Combination, to CNTQ common stock, par value $0.0001 per share, and, following consummation of the Business Combination, to the common stock, par value $0.001 per share, of Dragonfly.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 IPO</w:t>
      </w:r>
      <w:r>
        <w:rPr>
          <w:rFonts w:ascii="Times New Roman;Times;Serif" w:hAnsi="Times New Roman;Times;Serif"/>
          <w:b w:val="false"/>
          <w:i w:val="false"/>
          <w:caps w:val="false"/>
          <w:smallCaps w:val="false"/>
          <w:sz w:val="20"/>
        </w:rPr>
        <w:t>” means the initial public offering by CNTQ, which closed on August 13,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Dragonfly</w:t>
      </w:r>
      <w:r>
        <w:rPr>
          <w:rFonts w:ascii="Times New Roman;Times;Serif" w:hAnsi="Times New Roman;Times;Serif"/>
          <w:b w:val="false"/>
          <w:i w:val="false"/>
          <w:caps w:val="false"/>
          <w:smallCaps w:val="false"/>
          <w:sz w:val="20"/>
        </w:rPr>
        <w:t>” means Dragonfly Energy Holdings Corp., a Nevada 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means up to an additional 40,000,000 shares of Company common stock that may be issued to the Legacy Dragonfly stockholders at Closing if certain financial metrics or trading price metrics are achieved and other conditions are satisfied.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Founder Shares</w:t>
      </w:r>
      <w:r>
        <w:rPr>
          <w:rFonts w:ascii="Times New Roman;Times;Serif" w:hAnsi="Times New Roman;Times;Serif"/>
          <w:b w:val="false"/>
          <w:i w:val="false"/>
          <w:caps w:val="false"/>
          <w:smallCaps w:val="false"/>
          <w:sz w:val="20"/>
        </w:rPr>
        <w:t>” means the shares of CNTQ common stock held by the Sponsor, CNTQ’s directors, and affiliates of CNTQ’s management team.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means Dragonfly Energy Corp., a Nevada corporation, and includes the surviving corporation after the Merger. References herein to Dragonfly will include its subsidiaries, including Legacy Dragonfly, to the extent reasonably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means Bronco Merger Sub, Inc., a Nevada corporation.</w:t>
      </w:r>
    </w:p>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means the Nevada Revised Statutes.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means warrants to initially acquire 2,593,056 shares of common stock at an exercise price of $0.01 per share issued at Closing in connection with the Term Loan.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means warrants to acquire shares of common stock at an $11.50 per share exercise price issued to an affiliate of the Sponsor in a private placement simultaneously with the closing of the CNTQ IPO.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means warrants to acquire shares of common stock at an $11.50 per share exercise price sold as part of the units in the CNTQ IPO (whether they were purchased in the CNTQ IPO or thereafter in the open market).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means Chardan NexTech Investments 2 LLC, a Delaware limited liability company and an affiliate of CCM.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means the $75 million aggregate principal amount senior secured term loan facility entered into at Closing.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means the Merger, and the other transactions contemplated by the Business Combination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Account</w:t>
      </w:r>
      <w:r>
        <w:rPr>
          <w:rFonts w:ascii="Times New Roman;Times;Serif" w:hAnsi="Times New Roman;Times;Serif"/>
          <w:b w:val="false"/>
          <w:i w:val="false"/>
          <w:caps w:val="false"/>
          <w:smallCaps w:val="false"/>
          <w:sz w:val="20"/>
        </w:rPr>
        <w:t>” means the trust account of CNTQ that held the proceeds from the CNTQ IPO.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means the Public Warrants, the Private Warrants and the Penny Warrants of Dragonfly.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Holdings</w:t>
      </w:r>
      <w:r>
        <w:rPr>
          <w:rFonts w:ascii="Times New Roman;Times;Serif" w:hAnsi="Times New Roman;Times;Serif"/>
          <w:b w:val="false"/>
          <w:i w:val="false"/>
          <w:caps w:val="false"/>
          <w:smallCaps w:val="false"/>
          <w:sz w:val="20"/>
        </w:rPr>
        <w:t>” means Chardan NexTech 2 Warrant Holdings LLC, a Delaware limited liability company.</w:t>
      </w:r>
    </w:p>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p>
      <w:pPr>
        <w:pStyle w:val="TextBody"/>
        <w:spacing w:before="120" w:after="283"/>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6" w:name="z_003"/>
      <w:bookmarkEnd w:id="26"/>
      <w:r>
        <w:rPr>
          <w:rFonts w:ascii="Times New Roman;Times;Serif" w:hAnsi="Times New Roman;Times;Serif"/>
          <w:b/>
          <w:i w:val="false"/>
          <w:caps w:val="false"/>
          <w:smallCaps w:val="false"/>
          <w:sz w:val="20"/>
        </w:rPr>
        <w:t>CAUTIONARY NOTE REGARDING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prospectus may constitute “forward-looking statements” within the meaning of the “safe harbor” provisions of the United States Private Securities Litigation Reform Act of 1995,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recognize the anticipated benefits of our recent Business Combination (as defined herein), which may be affected by, among other things, the factors listed below;</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Nasdaq Global Market and Public Warrants (as defined herein) on the Nasdaq Capital Market;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including any mutations or variants thereof, and its effect on business and financial conditions;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equity facility;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with THOR Industries and its affiliate brands (including Keystone RV Company);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and our ability to achieve and maintain profitability;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a single manufacturing facility.</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additional risks which could adversely impact our business and financial performance.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p>
      <w:pPr>
        <w:pStyle w:val="TextBody"/>
        <w:spacing w:before="120" w:after="283"/>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27" w:name="z_004"/>
      <w:bookmarkEnd w:id="27"/>
      <w:r>
        <w:rPr>
          <w:rFonts w:ascii="Times New Roman;Times;Serif" w:hAnsi="Times New Roman;Times;Serif"/>
          <w:b/>
          <w:i w:val="false"/>
          <w:caps w:val="false"/>
          <w:smallCaps w:val="false"/>
          <w:sz w:val="20"/>
          <w:bdr w:val="single" w:sz="12" w:space="1" w:color="000000"/>
        </w:rPr>
        <w:t>SUMMARY OF THE PROSPECTUS</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w:t>
      </w:r>
      <w:r>
        <w:rPr>
          <w:rFonts w:ascii="Times New Roman;Times;Serif" w:hAnsi="Times New Roman;Times;Serif"/>
          <w:b w:val="false"/>
          <w:i w:val="false"/>
          <w:caps w:val="false"/>
          <w:smallCaps w:val="false"/>
          <w:sz w:val="20"/>
          <w:bdr w:val="single" w:sz="12" w:space="1" w:color="000000"/>
        </w:rPr>
        <w:t>“</w:t>
      </w:r>
      <w:r>
        <w:rPr>
          <w:rFonts w:ascii="Times New Roman;Times;Serif" w:hAnsi="Times New Roman;Times;Serif"/>
          <w:b w:val="false"/>
          <w:i/>
          <w:caps w:val="false"/>
          <w:smallCaps w:val="false"/>
          <w:sz w:val="20"/>
          <w:bdr w:val="single" w:sz="12" w:space="1" w:color="000000"/>
        </w:rPr>
        <w:t>Risk Factors,</w:t>
      </w:r>
      <w:r>
        <w:rPr>
          <w:rFonts w:ascii="Times New Roman;Times;Serif" w:hAnsi="Times New Roman;Times;Serif"/>
          <w:b w:val="false"/>
          <w:i w:val="false"/>
          <w:caps w:val="false"/>
          <w:smallCaps w:val="false"/>
          <w:sz w:val="20"/>
          <w:bdr w:val="single" w:sz="12" w:space="1" w:color="000000"/>
        </w:rPr>
        <w:t>” “</w:t>
      </w:r>
      <w:r>
        <w:rPr>
          <w:rFonts w:ascii="Times New Roman;Times;Serif" w:hAnsi="Times New Roman;Times;Serif"/>
          <w:b w:val="false"/>
          <w:i/>
          <w:caps w:val="false"/>
          <w:smallCaps w:val="false"/>
          <w:sz w:val="20"/>
          <w:bdr w:val="single" w:sz="12" w:space="1" w:color="000000"/>
        </w:rPr>
        <w:t>Management’s</w:t>
      </w:r>
      <w:r>
        <w:rPr>
          <w:rFonts w:ascii="Times New Roman;Times;Serif" w:hAnsi="Times New Roman;Times;Serif"/>
          <w:b w:val="false"/>
          <w:i w:val="false"/>
          <w:caps w:val="false"/>
          <w:smallCaps w:val="false"/>
          <w:sz w:val="20"/>
          <w:bdr w:val="single" w:sz="12" w:space="1" w:color="000000"/>
        </w:rPr>
        <w:t xml:space="preserve"> </w:t>
      </w:r>
      <w:r>
        <w:rPr>
          <w:rFonts w:ascii="Times New Roman;Times;Serif" w:hAnsi="Times New Roman;Times;Serif"/>
          <w:b w:val="false"/>
          <w:i/>
          <w:caps w:val="false"/>
          <w:smallCaps w:val="false"/>
          <w:sz w:val="20"/>
          <w:bdr w:val="single" w:sz="12" w:space="1" w:color="000000"/>
        </w:rPr>
        <w:t>Discussion and Analysis of Financial Condition and Results of Operations,</w:t>
      </w:r>
      <w:r>
        <w:rPr>
          <w:rFonts w:ascii="Times New Roman;Times;Serif" w:hAnsi="Times New Roman;Times;Serif"/>
          <w:b w:val="false"/>
          <w:i w:val="false"/>
          <w:caps w:val="false"/>
          <w:smallCaps w:val="false"/>
          <w:sz w:val="20"/>
          <w:bdr w:val="single" w:sz="12" w:space="1" w:color="000000"/>
        </w:rPr>
        <w:t xml:space="preserve">” </w:t>
      </w:r>
      <w:r>
        <w:rPr>
          <w:rFonts w:ascii="Times New Roman;Times;Serif" w:hAnsi="Times New Roman;Times;Serif"/>
          <w:b w:val="false"/>
          <w:i/>
          <w:caps w:val="false"/>
          <w:smallCaps w:val="false"/>
          <w:sz w:val="20"/>
          <w:bdr w:val="single" w:sz="12" w:space="1" w:color="000000"/>
        </w:rPr>
        <w:t>and the financial statements included elsewhere in this prospectus.</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Company</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manufacturer of non-toxic deep cycle lithium-ion batteries that caters to customers in the consumer (including the recreational vehicle (“</w:t>
      </w:r>
      <w:r>
        <w:rPr>
          <w:rFonts w:ascii="Times New Roman;Times;Serif" w:hAnsi="Times New Roman;Times;Serif"/>
          <w:b/>
          <w:i w:val="false"/>
          <w:caps w:val="false"/>
          <w:smallCaps w:val="false"/>
          <w:sz w:val="20"/>
          <w:bdr w:val="single" w:sz="12" w:space="1" w:color="000000"/>
        </w:rPr>
        <w:t>RV</w:t>
      </w:r>
      <w:r>
        <w:rPr>
          <w:rFonts w:ascii="Times New Roman;Times;Serif" w:hAnsi="Times New Roman;Times;Serif"/>
          <w:b w:val="false"/>
          <w:i w:val="false"/>
          <w:caps w:val="false"/>
          <w:smallCaps w:val="false"/>
          <w:sz w:val="20"/>
          <w:bdr w:val="single" w:sz="12" w:space="1" w:color="000000"/>
        </w:rPr>
        <w:t>”),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a dual-brand strategy for battery products, Dragonfly Energy (“</w:t>
      </w:r>
      <w:r>
        <w:rPr>
          <w:rFonts w:ascii="Times New Roman;Times;Serif" w:hAnsi="Times New Roman;Times;Serif"/>
          <w:b/>
          <w:i w:val="false"/>
          <w:caps w:val="false"/>
          <w:smallCaps w:val="false"/>
          <w:sz w:val="20"/>
          <w:bdr w:val="single" w:sz="12" w:space="1" w:color="000000"/>
        </w:rPr>
        <w:t>Dragonfly Energy</w:t>
      </w:r>
      <w:r>
        <w:rPr>
          <w:rFonts w:ascii="Times New Roman;Times;Serif" w:hAnsi="Times New Roman;Times;Serif"/>
          <w:b w:val="false"/>
          <w:i w:val="false"/>
          <w:caps w:val="false"/>
          <w:smallCaps w:val="false"/>
          <w:sz w:val="20"/>
          <w:bdr w:val="single" w:sz="12" w:space="1" w:color="000000"/>
        </w:rPr>
        <w:t>”) and Battle Born Batteries (“</w:t>
      </w:r>
      <w:r>
        <w:rPr>
          <w:rFonts w:ascii="Times New Roman;Times;Serif" w:hAnsi="Times New Roman;Times;Serif"/>
          <w:b/>
          <w:i w:val="false"/>
          <w:caps w:val="false"/>
          <w:smallCaps w:val="false"/>
          <w:sz w:val="20"/>
          <w:bdr w:val="single" w:sz="12" w:space="1" w:color="000000"/>
        </w:rPr>
        <w:t>Battle Born</w:t>
      </w:r>
      <w:r>
        <w:rPr>
          <w:rFonts w:ascii="Times New Roman;Times;Serif" w:hAnsi="Times New Roman;Times;Serif"/>
          <w:b w:val="false"/>
          <w:i w:val="false"/>
          <w:caps w:val="false"/>
          <w:smallCaps w:val="false"/>
          <w:sz w:val="20"/>
          <w:bdr w:val="single" w:sz="12" w:space="1" w:color="000000"/>
        </w:rPr>
        <w:t>”). Battle Born branded products are primarily sold direct to consumers, while the Dragonfly Energy brand is primarily sold to original equipment manufacturers (“</w:t>
      </w:r>
      <w:r>
        <w:rPr>
          <w:rFonts w:ascii="Times New Roman;Times;Serif" w:hAnsi="Times New Roman;Times;Serif"/>
          <w:b/>
          <w:i w:val="false"/>
          <w:caps w:val="false"/>
          <w:smallCaps w:val="false"/>
          <w:sz w:val="20"/>
          <w:bdr w:val="single" w:sz="12" w:space="1" w:color="000000"/>
        </w:rPr>
        <w:t>OEMs</w:t>
      </w:r>
      <w:r>
        <w:rPr>
          <w:rFonts w:ascii="Times New Roman;Times;Serif" w:hAnsi="Times New Roman;Times;Serif"/>
          <w:b w:val="false"/>
          <w:i w:val="false"/>
          <w:caps w:val="false"/>
          <w:smallCaps w:val="false"/>
          <w:sz w:val="20"/>
          <w:bdr w:val="single" w:sz="12" w:space="1" w:color="000000"/>
        </w:rPr>
        <w:t>”). We currently offer a line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In 2022, we also acquired the assets, including the Wakespeed Offshore brand (“</w:t>
      </w:r>
      <w:r>
        <w:rPr>
          <w:rFonts w:ascii="Times New Roman;Times;Serif" w:hAnsi="Times New Roman;Times;Serif"/>
          <w:b/>
          <w:i w:val="false"/>
          <w:caps w:val="false"/>
          <w:smallCaps w:val="false"/>
          <w:sz w:val="20"/>
          <w:bdr w:val="single" w:sz="12" w:space="1" w:color="000000"/>
        </w:rPr>
        <w:t>Wakespeed</w:t>
      </w:r>
      <w:r>
        <w:rPr>
          <w:rFonts w:ascii="Times New Roman;Times;Serif" w:hAnsi="Times New Roman;Times;Serif"/>
          <w:b w:val="false"/>
          <w:i w:val="false"/>
          <w:caps w:val="false"/>
          <w:smallCaps w:val="false"/>
          <w:sz w:val="20"/>
          <w:bdr w:val="single" w:sz="12" w:space="1" w:color="000000"/>
        </w:rPr>
        <w:t>”) of Thomason Jones Company, allowing us to include our own alternator regulator in systems that we sell.</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to our conventional lithium iron phosphate (“</w:t>
      </w:r>
      <w:r>
        <w:rPr>
          <w:rFonts w:ascii="Times New Roman;Times;Serif" w:hAnsi="Times New Roman;Times;Serif"/>
          <w:b/>
          <w:i w:val="false"/>
          <w:caps w:val="false"/>
          <w:smallCaps w:val="false"/>
          <w:sz w:val="20"/>
          <w:bdr w:val="single" w:sz="12" w:space="1" w:color="000000"/>
        </w:rPr>
        <w:t>LFP</w:t>
      </w:r>
      <w:r>
        <w:rPr>
          <w:rFonts w:ascii="Times New Roman;Times;Serif" w:hAnsi="Times New Roman;Times;Serif"/>
          <w:b w:val="false"/>
          <w:i w:val="false"/>
          <w:caps w:val="false"/>
          <w:smallCaps w:val="false"/>
          <w:sz w:val="20"/>
          <w:bdr w:val="single" w:sz="12" w:space="1" w:color="000000"/>
        </w:rPr>
        <w:t>”) batteries, our experienced research and development team, headed by our founder and Chief Executive Officer, is currently developing the next generation of LFP solid-state cells.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Additionally, our internal production of solid-state cells will streamline our supply chain, allowing us to vertically integrate our cells into our batteries, thereby lowering our production costs.</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mailing address of our principal executive office is 1190 Trademark Dr. #108, Reno, Nevada 89521, and our telephone number is (775) 622-3448.</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more information about us, see the sections entitled “</w:t>
      </w:r>
      <w:r>
        <w:rPr>
          <w:rFonts w:ascii="Times New Roman;Times;Serif" w:hAnsi="Times New Roman;Times;Serif"/>
          <w:b w:val="false"/>
          <w:i/>
          <w:caps w:val="false"/>
          <w:smallCaps w:val="false"/>
          <w:sz w:val="20"/>
          <w:bdr w:val="single" w:sz="12" w:space="1" w:color="000000"/>
        </w:rPr>
        <w:t>Business</w:t>
      </w:r>
      <w:r>
        <w:rPr>
          <w:rFonts w:ascii="Times New Roman;Times;Serif" w:hAnsi="Times New Roman;Times;Serif"/>
          <w:b w:val="false"/>
          <w:i w:val="false"/>
          <w:caps w:val="false"/>
          <w:smallCaps w:val="false"/>
          <w:sz w:val="20"/>
          <w:bdr w:val="single" w:sz="12" w:space="1" w:color="000000"/>
        </w:rPr>
        <w:t>” and “</w:t>
      </w:r>
      <w:r>
        <w:rPr>
          <w:rFonts w:ascii="Times New Roman;Times;Serif" w:hAnsi="Times New Roman;Times;Serif"/>
          <w:b w:val="false"/>
          <w:i/>
          <w:caps w:val="false"/>
          <w:smallCaps w:val="false"/>
          <w:sz w:val="20"/>
          <w:bdr w:val="single" w:sz="12" w:space="1" w:color="000000"/>
        </w:rPr>
        <w:t>Management’s Discussion and Analysis of Financial Condition and Results of Operations.</w:t>
      </w:r>
      <w:r>
        <w:rPr>
          <w:rFonts w:ascii="Times New Roman;Times;Serif" w:hAnsi="Times New Roman;Times;Serif"/>
          <w:b w:val="false"/>
          <w:i w:val="false"/>
          <w:caps w:val="false"/>
          <w:smallCaps w:val="false"/>
          <w:sz w:val="20"/>
          <w:bdr w:val="single" w:sz="12" w:space="1" w:color="000000"/>
        </w:rPr>
        <w:t>”</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Emerging Growth Company</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Section 2(a) of the Securities Act, as modified by the Jumpstart Our Business Startups Act of 2012 (the “</w:t>
      </w:r>
      <w:r>
        <w:rPr>
          <w:rFonts w:ascii="Times New Roman;Times;Serif" w:hAnsi="Times New Roman;Times;Serif"/>
          <w:b/>
          <w:i w:val="false"/>
          <w:caps w:val="false"/>
          <w:smallCaps w:val="false"/>
          <w:sz w:val="20"/>
          <w:bdr w:val="single" w:sz="12" w:space="1" w:color="000000"/>
        </w:rPr>
        <w:t>JOBS Act</w:t>
      </w:r>
      <w:r>
        <w:rPr>
          <w:rFonts w:ascii="Times New Roman;Times;Serif" w:hAnsi="Times New Roman;Times;Serif"/>
          <w:b w:val="false"/>
          <w:i w:val="false"/>
          <w:caps w:val="false"/>
          <w:smallCaps w:val="false"/>
          <w:sz w:val="20"/>
          <w:bdr w:val="single" w:sz="12" w:space="1" w:color="000000"/>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Times;Serif" w:hAnsi="Times New Roman;Times;Serif"/>
          <w:b/>
          <w:i w:val="false"/>
          <w:caps w:val="false"/>
          <w:smallCaps w:val="false"/>
          <w:sz w:val="20"/>
          <w:bdr w:val="single" w:sz="12" w:space="1" w:color="000000"/>
        </w:rPr>
        <w:t>Sarbanes-Oxley Act</w:t>
      </w:r>
      <w:r>
        <w:rPr>
          <w:rFonts w:ascii="Times New Roman;Times;Serif" w:hAnsi="Times New Roman;Times;Serif"/>
          <w:b w:val="false"/>
          <w:i w:val="false"/>
          <w:caps w:val="false"/>
          <w:smallCaps w:val="false"/>
          <w:sz w:val="20"/>
          <w:bdr w:val="single" w:sz="12" w:space="1" w:color="000000"/>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Smaller Reporting Company</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 Factors Summary</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You should consider all the information contained in this prospectus before making a decision to invest in our common stock or warrants. In particular, you should consider the risk factors described under “</w:t>
      </w:r>
      <w:r>
        <w:rPr>
          <w:rFonts w:ascii="Times New Roman;Times;Serif" w:hAnsi="Times New Roman;Times;Serif"/>
          <w:b w:val="false"/>
          <w:i/>
          <w:caps w:val="false"/>
          <w:smallCaps w:val="false"/>
          <w:sz w:val="20"/>
          <w:bdr w:val="single" w:sz="12" w:space="1" w:color="000000"/>
        </w:rPr>
        <w:t>Risk Factors</w:t>
      </w:r>
      <w:r>
        <w:rPr>
          <w:rFonts w:ascii="Times New Roman;Times;Serif" w:hAnsi="Times New Roman;Times;Serif"/>
          <w:b w:val="false"/>
          <w:i w:val="false"/>
          <w:caps w:val="false"/>
          <w:smallCaps w:val="false"/>
          <w:sz w:val="20"/>
          <w:bdr w:val="single" w:sz="12" w:space="1" w:color="000000"/>
        </w:rPr>
        <w:t>” beginning on page 9. Such risks include, but are not limited to, the following risks:</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this Offering</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tc>
      </w:tr>
    </w:tbl>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Existing Lithium-Ion Battery Operations</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future growth depends on the needs and success of our customers.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tc>
      </w:tr>
    </w:tbl>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Solid-State Technology Development</w:t>
      </w:r>
    </w:p>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engineering challenges in our attempts to develop and manufacture solid-state battery cells and these efforts may be delayed or fail which could negatively impact our business.</w:t>
            </w:r>
          </w:p>
        </w:tc>
      </w:tr>
    </w:tbl>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solid-state batteries fail to perform as expected, our ability to further develop, market and sell our solid-state batteries could be harmed.</w:t>
            </w:r>
          </w:p>
        </w:tc>
      </w:tr>
    </w:tbl>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Intellectual Property</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upon our intellectual property portfolio. If we are unable to protect our intellectual property rights, our business and competitive position would be harmed.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defend ourselves against intellectual property infringement claims, which may be time-consuming and could cause us to incur substantial costs.</w:t>
            </w:r>
          </w:p>
        </w:tc>
      </w:tr>
    </w:tbl>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General Risk Factors</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in global economic conditions, including the Russia-Ukraine conflict, could reduce consumer spending and disrupt our supply chain which could negatively affect our results of operations.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manage our growth effectively, we may be unable to execute our business plan, maintain high levels of customer service, or adequately address competitive challenges.</w:t>
            </w:r>
          </w:p>
        </w:tc>
      </w:tr>
    </w:tbl>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Financial Position and Capital Requirements</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we may not be able to raise additional capital on attractive terms, if at all. Any further indebtedness we incur may limit our operational flexibility in the future.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tc>
      </w:tr>
    </w:tbl>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Ownership of Our Common Stock</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debt securities and equity securities may adversely affect us and may be dilutive to existing stockholders.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our common stock or other equity securities without your approval, which would dilute your ownership interests and may depress the market price of your shares.</w:t>
            </w:r>
          </w:p>
        </w:tc>
      </w:tr>
    </w:tbl>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28" w:name="z_005"/>
      <w:bookmarkEnd w:id="28"/>
      <w:r>
        <w:rPr>
          <w:rFonts w:ascii="Times New Roman;Times;Serif" w:hAnsi="Times New Roman;Times;Serif"/>
          <w:b/>
          <w:i w:val="false"/>
          <w:caps w:val="false"/>
          <w:smallCaps w:val="false"/>
          <w:sz w:val="20"/>
          <w:bdr w:val="single" w:sz="12" w:space="1" w:color="000000"/>
        </w:rPr>
        <w:t>THE OFFERING</w:t>
      </w:r>
    </w:p>
    <w:p>
      <w:pPr>
        <w:pStyle w:val="TextBody"/>
        <w:spacing w:before="0" w:after="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1981"/>
        <w:gridCol w:w="8224"/>
      </w:tblGrid>
      <w:tr>
        <w:trPr/>
        <w:tc>
          <w:tcPr>
            <w:tcW w:w="198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822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tc>
      </w:tr>
      <w:tr>
        <w:trPr/>
        <w:tc>
          <w:tcPr>
            <w:tcW w:w="1981"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224"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981"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 of securities</w:t>
            </w:r>
          </w:p>
        </w:tc>
        <w:tc>
          <w:tcPr>
            <w:tcW w:w="8224"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981"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224"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98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offered by the selling securityholders</w:t>
            </w:r>
          </w:p>
        </w:tc>
        <w:tc>
          <w:tcPr>
            <w:tcW w:w="822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by the selling securityholders named in this prospectus, or their permitted transferees, of an aggregate of 35,161,573 shares of common stock, 12,266,971 warrants to purchase shares of common stock and 12,266,971 shares of common stock issued or issuable upon exercise of warrants, which includes up to:</w:t>
            </w:r>
          </w:p>
        </w:tc>
      </w:tr>
    </w:tbl>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3325" w:type="dxa"/>
        <w:jc w:val="left"/>
        <w:tblInd w:w="0" w:type="dxa"/>
        <w:tblCellMar>
          <w:top w:w="0" w:type="dxa"/>
          <w:left w:w="0" w:type="dxa"/>
          <w:bottom w:w="0" w:type="dxa"/>
          <w:right w:w="0" w:type="dxa"/>
        </w:tblCellMar>
      </w:tblPr>
      <w:tblGrid>
        <w:gridCol w:w="75"/>
        <w:gridCol w:w="170"/>
        <w:gridCol w:w="308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31,290,514 Consideration Shares;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236,417 Option Shares;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3,162,500 Founder Shares;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1,501,386 Private Warrants;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Penny Warrants;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1,501,386 Private Warrant Shares;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457,142 $10 Warrant Shares;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1,343,056 Penny Warrant Shares;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 PIPE Investment Shares.</w:t>
            </w:r>
          </w:p>
        </w:tc>
      </w:tr>
    </w:tbl>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2696"/>
        <w:gridCol w:w="190"/>
        <w:gridCol w:w="7319"/>
      </w:tblGrid>
      <w:tr>
        <w:trPr/>
        <w:tc>
          <w:tcPr>
            <w:tcW w:w="269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7509"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common stock or warrants by the selling securityholders.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for additional information.</w:t>
            </w:r>
          </w:p>
        </w:tc>
      </w:tr>
      <w:tr>
        <w:trPr/>
        <w:tc>
          <w:tcPr>
            <w:tcW w:w="269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7509"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696"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common stock</w:t>
            </w:r>
          </w:p>
        </w:tc>
        <w:tc>
          <w:tcPr>
            <w:tcW w:w="19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7319"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69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9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7319"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696" w:type="dxa"/>
            <w:vMerge w:val="restart"/>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us</w:t>
            </w:r>
          </w:p>
        </w:tc>
        <w:tc>
          <w:tcPr>
            <w:tcW w:w="19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731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9,422,529 shares of common stock issuable upon exercise of the Public Warrants;</w:t>
            </w:r>
          </w:p>
        </w:tc>
      </w:tr>
      <w:tr>
        <w:trPr/>
        <w:tc>
          <w:tcPr>
            <w:tcW w:w="2696" w:type="dxa"/>
            <w:vMerge w:val="continue"/>
            <w:tcBorders/>
            <w:shd w:fill="auto" w:val="clear"/>
            <w:vAlign w:val="center"/>
          </w:tcPr>
          <w:p>
            <w:pPr>
              <w:pStyle w:val="Normal"/>
              <w:rPr/>
            </w:pPr>
            <w:r>
              <w:rPr/>
            </w:r>
          </w:p>
        </w:tc>
        <w:tc>
          <w:tcPr>
            <w:tcW w:w="19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731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1,501,386 shares of common stock issuable upon exercise of the Private Warrants; and</w:t>
            </w:r>
          </w:p>
        </w:tc>
      </w:tr>
      <w:tr>
        <w:trPr/>
        <w:tc>
          <w:tcPr>
            <w:tcW w:w="2696" w:type="dxa"/>
            <w:vMerge w:val="continue"/>
            <w:tcBorders/>
            <w:shd w:fill="auto" w:val="clear"/>
            <w:vAlign w:val="center"/>
          </w:tcPr>
          <w:p>
            <w:pPr>
              <w:pStyle w:val="Normal"/>
              <w:rPr/>
            </w:pPr>
            <w:r>
              <w:rPr/>
            </w:r>
          </w:p>
        </w:tc>
        <w:tc>
          <w:tcPr>
            <w:tcW w:w="19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731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1,343,056 shares of common stock issuable upon exercise of the Penny Warrants.</w:t>
            </w:r>
          </w:p>
        </w:tc>
      </w:tr>
      <w:tr>
        <w:trPr/>
        <w:tc>
          <w:tcPr>
            <w:tcW w:w="269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9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7319"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696" w:type="dxa"/>
            <w:vMerge w:val="restart"/>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issued and outstanding immediately </w:t>
              <w:br/>
              <w:t>after this offering</w:t>
            </w:r>
          </w:p>
        </w:tc>
        <w:tc>
          <w:tcPr>
            <w:tcW w:w="19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731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45,820,750 shares of common stock prior to the exercise of the Warrants; and</w:t>
            </w:r>
          </w:p>
        </w:tc>
      </w:tr>
      <w:tr>
        <w:trPr/>
        <w:tc>
          <w:tcPr>
            <w:tcW w:w="2696" w:type="dxa"/>
            <w:vMerge w:val="continue"/>
            <w:tcBorders/>
            <w:shd w:fill="auto" w:val="clear"/>
            <w:vAlign w:val="center"/>
          </w:tcPr>
          <w:p>
            <w:pPr>
              <w:pStyle w:val="Normal"/>
              <w:rPr/>
            </w:pPr>
            <w:r>
              <w:rPr/>
            </w:r>
          </w:p>
        </w:tc>
        <w:tc>
          <w:tcPr>
            <w:tcW w:w="19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731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58,087,721 shares of common stock assuming the issuance of 12,266,971 shares of common stock upon the exercise of the Warrants.</w:t>
            </w:r>
          </w:p>
        </w:tc>
      </w:tr>
    </w:tbl>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942"/>
        <w:gridCol w:w="9263"/>
      </w:tblGrid>
      <w:tr>
        <w:trPr/>
        <w:tc>
          <w:tcPr>
            <w:tcW w:w="94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926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up to an aggregate of approximately $109 million from the exercise of the Warrants, assuming the exercise in full of all of Warrants for cash. We expect to use the net proceeds, if any, from the exercise of the Warrants for research and development, working capital and general corporate purposes. Because the exercise price of the Public Warrants and Private Warrants substantially exceeds the current trading price of our common stock, we are unlikely to receive any proceeds from the exercise of our warrants in the near future, if at all.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for additional information.</w:t>
            </w:r>
          </w:p>
        </w:tc>
      </w:tr>
      <w:tr>
        <w:trPr/>
        <w:tc>
          <w:tcPr>
            <w:tcW w:w="94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263"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94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ticker symbols</w:t>
            </w:r>
          </w:p>
        </w:tc>
        <w:tc>
          <w:tcPr>
            <w:tcW w:w="926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Nasdaq under the symbol “DFLI” and our public warrants are currently listed on the Nasdaq Capital Market under the symbol “DFLIW”.</w:t>
            </w:r>
          </w:p>
        </w:tc>
      </w:tr>
      <w:tr>
        <w:trPr/>
        <w:tc>
          <w:tcPr>
            <w:tcW w:w="942"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263"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94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9263"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investment in the securities offered hereby is speculative and involves a high degree of risk. You should carefully consider the information set forth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prospectus.</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of shares of our common stock pursuant to this prospectus could have a significant negative impact on the trading price of our common stock. This impact may be heightened by the fact that certain of the selling securityholders purchased, or are able to purchase, shares of our common stock at prices that are well below the current trading price of our common stock.</w:t>
            </w:r>
          </w:p>
        </w:tc>
      </w:tr>
    </w:tbl>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Unless we specifically state otherwise or the context otherwise requires, the information above is as of April 17, 2023, does not give effect to issuances of our common stock, warrants or options to purchase shares of our common stock, or the exercise of warrants or options after such date, and excludes:</w:t>
      </w:r>
    </w:p>
    <w:p>
      <w:pPr>
        <w:pStyle w:val="TextBody"/>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4,516,859 shares reserved under the Dragonfly Energy Holdings Corp. 2022 Equity Incentive Plan (the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2,897,127 shares reserved under the Dragonfly Energy Holdings Corp. Employee Stock Purchase Plan (the “</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 Earnout Shares;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$150.0 million of shares of common stock we may sell to CCM pursuant to a purchase agreement between us and CCM, dated October 7, 2022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establishing an equity facility (the “</w:t>
            </w:r>
            <w:r>
              <w:rPr>
                <w:rFonts w:ascii="Times New Roman;Times;Serif" w:hAnsi="Times New Roman;Times;Serif"/>
                <w:b/>
                <w:i w:val="false"/>
                <w:caps w:val="false"/>
                <w:smallCaps w:val="false"/>
                <w:sz w:val="20"/>
              </w:rPr>
              <w:t>ChEF Equity Facility</w:t>
            </w:r>
            <w:r>
              <w:rPr>
                <w:rFonts w:ascii="Times New Roman;Times;Serif" w:hAnsi="Times New Roman;Times;Serif"/>
                <w:b w:val="false"/>
                <w:i w:val="false"/>
                <w:caps w:val="false"/>
                <w:smallCaps w:val="false"/>
                <w:sz w:val="20"/>
              </w:rPr>
              <w:t>”);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4,372,142 shares of common stock underlying outstanding options.</w:t>
            </w:r>
          </w:p>
        </w:tc>
      </w:tr>
    </w:tbl>
    <w:p>
      <w:pPr>
        <w:pStyle w:val="TextBody"/>
        <w:spacing w:before="0" w:after="0"/>
        <w:jc w:val="center"/>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center"/>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p>
      <w:pPr>
        <w:pStyle w:val="TextBody"/>
        <w:spacing w:before="120" w:after="283"/>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9" w:name="z_006"/>
      <w:bookmarkEnd w:id="29"/>
      <w:r>
        <w:rPr>
          <w:rFonts w:ascii="Times New Roman;Times;Serif" w:hAnsi="Times New Roman;Times;Serif"/>
          <w:b/>
          <w:i w:val="false"/>
          <w:caps w:val="false"/>
          <w:smallCaps w:val="false"/>
          <w:sz w:val="20"/>
        </w:rPr>
        <w:t>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Cautionary Note Regarding Forward-Looking Statement.”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 This impact may be heightened by the fact that, as described in the table below, certain of the selling securityholders purchased, or are able to purchase, shares of our common stock at prices that are well below the current trading price of our common stock. The 47,428,544 shares that may be resold and/or issued into the public markets pursuant to this prospectus represent approximately 104% of the shares of our common stock outstanding as of April 17, 2023 (after giving effect to the issuance of the Option Shares, Public Warrant Shares, Private Warrant Shares and Penny Warrant Shares).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673"/>
        <w:gridCol w:w="60"/>
        <w:gridCol w:w="4856"/>
        <w:gridCol w:w="60"/>
        <w:gridCol w:w="2349"/>
        <w:gridCol w:w="60"/>
        <w:gridCol w:w="1147"/>
      </w:tblGrid>
      <w:tr>
        <w:trPr/>
        <w:tc>
          <w:tcPr>
            <w:tcW w:w="1673"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856"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349"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shares/warrants outstanding</w:t>
            </w:r>
            <w:r>
              <w:rPr>
                <w:rFonts w:ascii="Times New Roman;Times;Serif" w:hAnsi="Times New Roman;Times;Serif"/>
                <w:b/>
                <w:i w:val="false"/>
                <w:caps w:val="false"/>
                <w:smallCaps w:val="false"/>
                <w:position w:val="7"/>
                <w:sz w:val="16"/>
                <w:sz w:val="20"/>
              </w:rPr>
              <w:t>(1)</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47"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profit per share</w:t>
            </w:r>
            <w:r>
              <w:rPr>
                <w:rFonts w:ascii="Times New Roman;Times;Serif" w:hAnsi="Times New Roman;Times;Serif"/>
                <w:b/>
                <w:i w:val="false"/>
                <w:caps w:val="false"/>
                <w:smallCaps w:val="false"/>
                <w:position w:val="7"/>
                <w:sz w:val="16"/>
                <w:sz w:val="20"/>
              </w:rPr>
              <w:t>(2)</w:t>
            </w:r>
          </w:p>
        </w:tc>
      </w:tr>
      <w:tr>
        <w:trPr/>
        <w:tc>
          <w:tcPr>
            <w:tcW w:w="167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Shares (31,290,514 shares)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by employees, investors and others through private placements, equity award grants and other sales of our equity securities at prices that equate to purchase prices of less than $10.00 per share of common stock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68.2%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$4.98 per share</w:t>
            </w:r>
          </w:p>
        </w:tc>
      </w:tr>
      <w:tr>
        <w:trPr/>
        <w:tc>
          <w:tcPr>
            <w:tcW w:w="167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67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Shares (236,417 shares)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 per share of common stock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0.5% (after giving effect to the issuance of the Option Shares)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$0.70 per share</w:t>
            </w:r>
          </w:p>
        </w:tc>
      </w:tr>
      <w:tr>
        <w:trPr/>
        <w:tc>
          <w:tcPr>
            <w:tcW w:w="167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67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Founders Shares (3,162,500 shares)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$0.0079 per share of common stock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6.9%</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$5.38 share</w:t>
            </w:r>
          </w:p>
        </w:tc>
      </w:tr>
      <w:tr>
        <w:trPr/>
        <w:tc>
          <w:tcPr>
            <w:tcW w:w="167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67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 Shares (9,422,529 shares)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per share of common stock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17.1%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67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67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 Shares (1,501,386 shares)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per share of common stock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3.2%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67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67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Penny Warrant Shares (1,343,056 shares)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 per share of common stock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2.8%</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$5.38 per share</w:t>
            </w:r>
          </w:p>
        </w:tc>
      </w:tr>
      <w:tr>
        <w:trPr/>
        <w:tc>
          <w:tcPr>
            <w:tcW w:w="167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67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Warrant Shares (457,142 shares)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per share of common stock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1.0%</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67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67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Investment Shares (15,000 shares)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per share of common stock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0.03%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67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67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(9,422,529 warrants)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$0.232</w:t>
            </w:r>
            <w:r>
              <w:rPr>
                <w:rFonts w:ascii="Times New Roman;Times;Serif" w:hAnsi="Times New Roman;Times;Serif"/>
                <w:b w:val="false"/>
                <w:i w:val="false"/>
                <w:caps w:val="false"/>
                <w:smallCaps w:val="false"/>
                <w:position w:val="7"/>
                <w:sz w:val="16"/>
                <w:sz w:val="20"/>
              </w:rPr>
              <w:t xml:space="preserve">(3) </w:t>
            </w:r>
            <w:r>
              <w:rPr>
                <w:rFonts w:ascii="Times New Roman;Times;Serif" w:hAnsi="Times New Roman;Times;Serif"/>
                <w:b w:val="false"/>
                <w:i w:val="false"/>
                <w:caps w:val="false"/>
                <w:smallCaps w:val="false"/>
                <w:sz w:val="20"/>
              </w:rPr>
              <w:t>per Public Warrant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76.8%</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67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673"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 (1,501,386 warrants)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$0.93 per Private Warrant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12.2%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67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673" w:type="dxa"/>
            <w:tcBorders/>
            <w:shd w:fill="auto" w:val="clear"/>
            <w:tcMar>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Penny Warrants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(1,343,056 warrants)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856"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 per Penny Warrant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4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10.9%</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Calculations based on 45,820,750 shares of common stock and 12,267,472 warrants outstanding, in each case as of April 17, 2023.</w:t>
            </w:r>
          </w:p>
        </w:tc>
      </w:tr>
      <w:tr>
        <w:trPr/>
        <w:tc>
          <w:tcPr>
            <w:tcW w:w="25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shares of common stock at a price of $5.39 per share, which reflects the closing price of the common stock as of April 17, 2023.</w:t>
            </w:r>
          </w:p>
        </w:tc>
      </w:tr>
      <w:tr>
        <w:trPr/>
        <w:tc>
          <w:tcPr>
            <w:tcW w:w="25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closing price of the Public Warrants as of April 17, 2023.</w:t>
            </w:r>
          </w:p>
        </w:tc>
      </w:tr>
    </w:tbl>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9</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determine the timing, pricing and rate at which they sell such shares into the public market. Although the current trading price of our common stock is below $10.00 per share, which was the sales price for units in the CNTQ IPO, as shown in the table above, certain of the selling securityholders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this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Existing Lithium-Ion Battery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future growth depends on the needs and success of our OEM’s and similar customers.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including sales to OEM</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(as defined herein) with Keystone RV Company (“</w:t>
      </w:r>
      <w:r>
        <w:rPr>
          <w:rFonts w:ascii="Times New Roman;Times;Serif" w:hAnsi="Times New Roman;Times;Serif"/>
          <w:b/>
          <w:i w:val="false"/>
          <w:caps w:val="false"/>
          <w:smallCaps w:val="false"/>
          <w:sz w:val="20"/>
        </w:rPr>
        <w:t>Keystone</w:t>
      </w:r>
      <w:r>
        <w:rPr>
          <w:rFonts w:ascii="Times New Roman;Times;Serif" w:hAnsi="Times New Roman;Times;Serif"/>
          <w:b w:val="false"/>
          <w:i w:val="false"/>
          <w:caps w:val="false"/>
          <w:smallCaps w:val="false"/>
          <w:sz w:val="20"/>
        </w:rPr>
        <w:t>”),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w:t>
      </w:r>
      <w:r>
        <w:rPr>
          <w:rFonts w:ascii="Times New Roman;Times;Serif" w:hAnsi="Times New Roman;Times;Serif"/>
          <w:b/>
          <w:i w:val="false"/>
          <w:caps w:val="false"/>
          <w:smallCaps w:val="false"/>
          <w:sz w:val="20"/>
        </w:rPr>
        <w:t>THOR</w:t>
      </w:r>
      <w:r>
        <w:rPr>
          <w:rFonts w:ascii="Times New Roman;Times;Serif" w:hAnsi="Times New Roman;Times;Serif"/>
          <w:b w:val="false"/>
          <w:i w:val="false"/>
          <w:caps w:val="false"/>
          <w:smallCaps w:val="false"/>
          <w:sz w:val="20"/>
        </w:rPr>
        <w:t>”),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10</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engage target customers successfully and convert these customers into meaningful orders in the future.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electric vehicle’s (“</w:t>
      </w:r>
      <w:r>
        <w:rPr>
          <w:rFonts w:ascii="Times New Roman;Times;Serif" w:hAnsi="Times New Roman;Times;Serif"/>
          <w:b/>
          <w:i w:val="false"/>
          <w:caps w:val="false"/>
          <w:smallCaps w:val="false"/>
          <w:sz w:val="20"/>
        </w:rPr>
        <w:t>EV</w:t>
      </w:r>
      <w:r>
        <w:rPr>
          <w:rFonts w:ascii="Times New Roman;Times;Serif" w:hAnsi="Times New Roman;Times;Serif"/>
          <w:b w:val="false"/>
          <w:i w:val="false"/>
          <w:caps w:val="false"/>
          <w:smallCaps w:val="false"/>
          <w:sz w:val="20"/>
        </w:rPr>
        <w:t>”) to our target markets.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11</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12</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dependence on these third-party suppliers entails additional risks, including:</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failure or unwillingness of third-party suppliers to comply with regulatory requirements;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supply agreements by the third-party suppliers;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misappropriation or disclosure of our proprietary information, including our trade secrets and know-how;</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agreements by third-party suppliers at times that are costly or inconvenient for us.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accurately estimate future demand for our LFP batteries, and our failure to accurately predict our production requirements could result in additional costs or delays.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13</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99,000 square foot headquarters and manufacturing facility located in Reno, Nevada. We currently operate three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facility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 this insurance may not be sufficient to cover all of our potential losses and may not continue to be available to us on acceptable terms, if at 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Lithium-ion battery cells have been observed to catch fire or release smoke and flame, which may have a negative impact on our reputation and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LFP batteries use lithium iron phosphate (“</w:t>
      </w:r>
      <w:r>
        <w:rPr>
          <w:rFonts w:ascii="Times New Roman;Times;Serif" w:hAnsi="Times New Roman;Times;Serif"/>
          <w:b/>
          <w:i w:val="false"/>
          <w:caps w:val="false"/>
          <w:smallCaps w:val="false"/>
          <w:sz w:val="20"/>
        </w:rPr>
        <w:t>LiFePO4</w:t>
      </w:r>
      <w:r>
        <w:rPr>
          <w:rFonts w:ascii="Times New Roman;Times;Serif" w:hAnsi="Times New Roman;Times;Serif"/>
          <w:b w:val="false"/>
          <w:i w:val="false"/>
          <w:caps w:val="false"/>
          <w:smallCaps w:val="false"/>
          <w:sz w:val="20"/>
        </w:rPr>
        <w:t>”)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14</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claims, which could harm our financial condition and liquidity if we are not able to successfully defend or insure against such claims.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of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Solid-State Technology Development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engineering challenges in our attempts to develop and manufacture solid-state battery cells and these efforts may be delayed or fail which could reduce consumer spending which could negatively impact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15</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solid-state batteries fail to perform as expected, our ability to further develop, market and sell our solid-state batteries could be harmed.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16</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Supply Chain and Third-Party Vendors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vendors from whom our products are sourced.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17</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disruption to the timely receipt of inventory could adversely impact sales or increase our transportation costs, which would decrease our profits.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upon our intellectual property portfolio. If we are unable to protect our intellectual property rights, our business and competitive position would be harmed.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18</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ourselves against intellectual property infringement claims, which may be time-consuming and could cause us to incur substantial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Times;Serif" w:hAnsi="Times New Roman;Times;Serif"/>
          <w:b/>
          <w:i w:val="false"/>
          <w:caps w:val="false"/>
          <w:smallCaps w:val="false"/>
          <w:sz w:val="20"/>
        </w:rPr>
        <w:t>FTO</w:t>
      </w:r>
      <w:r>
        <w:rPr>
          <w:rFonts w:ascii="Times New Roman;Times;Serif" w:hAnsi="Times New Roman;Times;Serif"/>
          <w:b w:val="false"/>
          <w:i w:val="false"/>
          <w:caps w:val="false"/>
          <w:smallCaps w:val="false"/>
          <w:sz w:val="20"/>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using, making, having made, selling, having sold, developing, having developed or importing products that incorporate the infringed intellectual property rights;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license from the holder of the infringed intellectual property rights, which license may not be available on reasonable terms or at all; or</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our processes or products, which may result in inferior products or processes.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19</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uncertainty in global economic conditions, including the Russia-Ukraine conflict, could reduce consumer spending and disrupt our supply chain which could negatively affect our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recently, the closures of Silicon Valley Bank, or SVB,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SVB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20</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talent and services of Denis Phares, our Chief Executive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our growth effectively, we may be unable to execute our business plan, maintain high levels of customer service, or adequately address competitive challenges.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21</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expand our business through acquisitions in the future, and any future acquisition may not be accretive and may negatively affect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a variety of environmental, health and safety rules that can bring scrutiny from regulatory agencies and increase our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time to time, we may be involved in legal proceedings and commercial or contractual disputes, which could have an adverse impact on our profitability and consolidated financial position.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22</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social and governance matters may cause us to incur additional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legislatures, government agencies and listing exchanges have mandated or proposed, and others may in the future further mandate, certain environmental, social and governance (“</w:t>
      </w:r>
      <w:r>
        <w:rPr>
          <w:rFonts w:ascii="Times New Roman;Times;Serif" w:hAnsi="Times New Roman;Times;Serif"/>
          <w:b/>
          <w:i w:val="false"/>
          <w:caps w:val="false"/>
          <w:smallCaps w:val="false"/>
          <w:sz w:val="20"/>
        </w:rPr>
        <w:t>ESG</w:t>
      </w:r>
      <w:r>
        <w:rPr>
          <w:rFonts w:ascii="Times New Roman;Times;Serif" w:hAnsi="Times New Roman;Times;Serif"/>
          <w:b w:val="false"/>
          <w:i w:val="false"/>
          <w:caps w:val="false"/>
          <w:smallCaps w:val="false"/>
          <w:sz w:val="20"/>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incur significant increased expenses and administrative burdens as a public company, which could have an adverse effect on our business, financial condition and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(United States)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Registration Statement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 public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members of our management team have limited to no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transition to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23</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Capital Requirements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capital intensive, and we may not be able to raise additional capital on attractive terms, if at all. Any further indebtedness we incur may limit our operational flexibility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had cash totaling $17.8 million. Our net loss for the year ended December 31, 2022 was $39.6 million and our net income for the year ended December 31, 2021 was $4.3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(as defined herein) to provide additional capital to us. However, market conditions and certain restrictions contained in the agreements governing the ChEF Equity Facility and the Term Loan may limit our ability to access capital under such 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additional debt could adversely impact our business, including limiting our operational flexibility by:</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making it difficult for us to pay other obligations;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increasing our cost of borrowing from other sources;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making it difficult to obtain favorable terms for any necessary future financing for working capital, capital expenditures, investments, acquisitions, debt service requirements, or other purposes;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restricting us from making acquisitions or causing us to make divestitures or similar transactions;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requiring us to dedicate a substantial portion of our cash flow from operations to service and repay our indebtedness, reducing the amount of cash flow available for other purposes;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placing us at a competitive disadvantage compared to our less leveraged competitors; and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in planning for and reacting to changes in our business.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we incurred losses and had a negative cash flow from operations. As of December 31, 2022, we had approximately $17.8 million in cash and cash equivalents and working capital of $32.9 million. Our ability to achieve profitability and positive cash flow depends on our ability to increase revenue, contain our expenses and maintain compliance with the financial covenants in our outstanding indebtedness 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(as defined herein)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24</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governing our indebtedness restrict us from engaging in specified types of transactions. These restrictive covenants restrict our ability to, among other things:</w:t>
      </w:r>
    </w:p>
    <w:p>
      <w:pPr>
        <w:pStyle w:val="TextBody"/>
        <w:spacing w:before="0" w:after="0"/>
        <w:ind w:left="0" w:right="0" w:hanging="0"/>
        <w:rPr>
          <w:caps w:val="false"/>
          <w:smallCaps w:val="false"/>
        </w:rPr>
      </w:pPr>
      <w:r>
        <w:rPr>
          <w:caps w:val="false"/>
          <w:smallCaps w:val="false"/>
        </w:rPr>
        <w:t> </w:t>
      </w:r>
    </w:p>
    <w:tbl>
      <w:tblPr>
        <w:tblW w:w="9595" w:type="dxa"/>
        <w:jc w:val="left"/>
        <w:tblInd w:w="0" w:type="dxa"/>
        <w:tblCellMar>
          <w:top w:w="0" w:type="dxa"/>
          <w:left w:w="0" w:type="dxa"/>
          <w:bottom w:w="0" w:type="dxa"/>
          <w:right w:w="0" w:type="dxa"/>
        </w:tblCellMar>
      </w:tblPr>
      <w:tblGrid>
        <w:gridCol w:w="75"/>
        <w:gridCol w:w="170"/>
        <w:gridCol w:w="935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3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incur additional indebtedness;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3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create or incur encumbrances or liens;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3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engage in consolidations, amalgamations, mergers, acquisitions, liquidations, dissolutions or dispositions;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3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 transfer or otherwise dispose of assets; and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3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 dividends and distributions on, or purchase, redeem, defease, or otherwise acquire or retire for value, our stock.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25</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Registration Statement, our management identified material weaknesses in our internal control over financial reporting relating to (i) an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a result of these material weaknesses, our management concluded that our internal control over financial reporting was not effective as of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developing a plan to remediate these material weaknesses. In 2021, we implemented an enterprise resource planning system and hired a new Chief Financial Officer. In 2022, we began to implement a comprehensive Sarbanes-Oxley Act compliance program, and we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be able to comply with the continued listing standards of Nasdaq.</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currently listed on the Nasdaq Global Market and the Nasdaq Capital Market, respectively.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pStyle w:val="TextBody"/>
        <w:spacing w:before="0" w:after="0"/>
        <w:ind w:left="0" w:right="0" w:hanging="0"/>
        <w:jc w:val="both"/>
        <w:rPr>
          <w:caps w:val="false"/>
          <w:smallCaps w:val="false"/>
        </w:rPr>
      </w:pPr>
      <w:r>
        <w:rPr>
          <w:caps w:val="false"/>
          <w:smallCaps w:val="false"/>
        </w:rPr>
        <w:t> </w:t>
      </w:r>
    </w:p>
    <w:tbl>
      <w:tblPr>
        <w:tblW w:w="5170" w:type="dxa"/>
        <w:jc w:val="left"/>
        <w:tblInd w:w="0" w:type="dxa"/>
        <w:tblCellMar>
          <w:top w:w="0" w:type="dxa"/>
          <w:left w:w="0" w:type="dxa"/>
          <w:bottom w:w="0" w:type="dxa"/>
          <w:right w:w="0" w:type="dxa"/>
        </w:tblCellMar>
      </w:tblPr>
      <w:tblGrid>
        <w:gridCol w:w="75"/>
        <w:gridCol w:w="170"/>
        <w:gridCol w:w="4925"/>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49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26</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common stock is a “penny stock,” which would require brokers trading in such securities to adhere to more stringent rules, could adversely impact the value of our securities and/or possibly result in a reduced level of trading activity in the secondary trading market for our securities;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resales of our outstanding securities may cause the market price of our securities to drop significantly, even if our business is doing well.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of up to 47,428,544 shares that may be sold and/or issued into the public markets by certain securityholders. The shares being registered for resale into the public markets represent 104% of our outstanding common stock as of April 17, 2023. The securityholders selling pursuant to the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registration statements may have an incentive to sell because they purchased shares and/or warrants at prices below the CNTQ IPO offering price.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filed a registration statement registering 21,512,027 shares of common stock to be issued and sold to CCM in connection with the ChEF Equity Facility under this prospectus. The 21,512,027 shares that may be resold and/or issued into the public markets pursuant to the ChEF Equity Facility represent approximately 47% of the shares of our common stock outstanding as of April 17, 2023.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our stock price and trading volume could decline.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meet the expectations of investors, stockholders or securities analysts, the market price of our securities may decline. In addition, fluctuations in the price of our securities could contribute to the loss of all or part of your investment.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27</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 may include: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financial results or the quarterly financial results of companies perceived to be similar to ours;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market’s expectations about our operating results;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other public announcements and filings with the SEC;</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speculation in the press or investment community;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our business, competitors’ businesses or the competitive landscape generally;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innovations or new products developed by us or our competitors;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supply or distribution delays or shortages;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relationship with any manufacturers, suppliers, licensors, future collaborators, or other strategic partners;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failing to meet the expectation of securities analysts or investors in a particular period;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concerning us or the market in general;</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stock price performance of other companies that investors deem comparable to ours;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us;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or the incurrence of additional debt;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our common stock available for public sale;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our board of directors or management;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common stock by our directors, officers or significant stockholders or the perception that such sales could occur;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such as recessions, interest rates, “trade wars,” pandemics (such as COVID-19) and acts of war or terrorism (including the Russia-Ukraine conflict).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28</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securities may not be available on a consistent basis to provide stockholders with adequate liquidity.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of outstanding warrants to acquire our common stock would increase the number of shares eligible for future resale in the public market and result in dilution to our stockholders.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outstanding warrants to acquire our common stock will increase the number of shares eligible for future resale in the public market and result in dilution to our stockholders. As of April 17, 2023, there were (i) 9,422,529 shares of common stock issuable upon the exercise of outstanding Public Warrants at an exercise price of $11.50 per share; (ii) 1,501,386 shares of common stock issuable upon the exercise of outstanding Private Warrants at an exercise price of $11.50 per share; and (iii) 1,343,557 shares of common stock issuable upon exercise of outstanding Penny Warrants at an exercise price of $0.01 per share. The $10 Warrants have been exercised in full and are no longer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Penny Warrants have price-based anti-dilution protection against subsequent equity sales or distributions at below $10.00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may fluctuate significantly, which makes our future operating results difficult to predict and could cause our operating results to fall below expectations or any guidance we may provide.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spacing w:before="0" w:after="0"/>
        <w:ind w:left="0" w:right="0" w:hanging="0"/>
        <w:jc w:val="both"/>
        <w:rPr>
          <w:caps w:val="false"/>
          <w:smallCaps w:val="false"/>
        </w:rPr>
      </w:pPr>
      <w:r>
        <w:rPr>
          <w:caps w:val="false"/>
          <w:smallCaps w:val="false"/>
        </w:rPr>
        <w:t> </w:t>
      </w:r>
    </w:p>
    <w:tbl>
      <w:tblPr>
        <w:tblW w:w="9910" w:type="dxa"/>
        <w:jc w:val="left"/>
        <w:tblInd w:w="0" w:type="dxa"/>
        <w:tblCellMar>
          <w:top w:w="0" w:type="dxa"/>
          <w:left w:w="0" w:type="dxa"/>
          <w:bottom w:w="0" w:type="dxa"/>
          <w:right w:w="0" w:type="dxa"/>
        </w:tblCellMar>
      </w:tblPr>
      <w:tblGrid>
        <w:gridCol w:w="75"/>
        <w:gridCol w:w="170"/>
        <w:gridCol w:w="9665"/>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6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convert these customers into meaningful orders in the future;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66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6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two suppliers for LFP cells and a single supplier for the manufacture of our battery management system;</w:t>
            </w:r>
          </w:p>
        </w:tc>
      </w:tr>
    </w:tbl>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29</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of the potential markets for our batteries and its ability to serve those markets;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our attempts to develop and produce solid state battery cells;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any products, which may vary significantly;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accounting pronouncements or changes in our accounting policies;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both nationally and locally;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in the competitive landscape of our industry, including consolidation among our competitors or partners.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laws, regulations or rules, or a failure to comply with any laws, regulations or rules, may adversely affect our business, investments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Articles of Incorporation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designates specific courts as the exclusive forum for substantially all stockholder litigation matters, which could limit the ability of our stockholders to obtain a favorable forum for disputes with us or our directors, officers or employees.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NRS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30</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Articles of Incorporation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could discourage another company from acquiring us and may prevent attempts by our stockholders to replace or remove our management.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be divided into three classes, with each class serving staggered three-year terms, which may delay the ability of stockholders to change the membership of a majority of our board of directors;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may not act by written consent, which forces stockholder action to be taken at an annual or special meeting of stockholders;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 of stockholders may be called only by a majority of our board of directors, which may delay the ability of our stockholders to force consideration of a proposal or to take action, including the removal of directors;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prohibits cumulative voting in the election of directors, which limits the ability of minority stockholders to elect director candidates;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alter certain provisions of our Bylaws without obtaining stockholder approval;</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holders of at least sixty-six and two-thirds percent (662∕3%)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tc>
      </w:tr>
    </w:tbl>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31</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any decision to comply only with certain reduced reporting and disclosure requirements applicable to emerging growth companies could make our common stock less attractive to investors.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have an independent registered public accounting firm audit our internal control over financial reporting under Section 404 of the Sarbanes-Oxley Act;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in our periodic reports and annual report on Form 10-K;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non-binding advisory votes on executive compensation and stockholder approval of any golden parachute payments not previously approved.</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stockholders may not have access to certain information that they may deem important. Our status as an emerging growth company will end as soon as any of the following takes place:</w:t>
      </w:r>
    </w:p>
    <w:p>
      <w:pPr>
        <w:pStyle w:val="TextBody"/>
        <w:spacing w:before="0" w:after="0"/>
        <w:ind w:left="0" w:right="0" w:hanging="0"/>
        <w:jc w:val="both"/>
        <w:rPr>
          <w:caps w:val="false"/>
          <w:smallCaps w:val="false"/>
        </w:rPr>
      </w:pPr>
      <w:r>
        <w:rPr>
          <w:caps w:val="false"/>
          <w:smallCaps w:val="false"/>
        </w:rPr>
        <w:t> </w:t>
      </w:r>
    </w:p>
    <w:tbl>
      <w:tblPr>
        <w:tblW w:w="9955" w:type="dxa"/>
        <w:jc w:val="left"/>
        <w:tblInd w:w="0" w:type="dxa"/>
        <w:tblCellMar>
          <w:top w:w="0" w:type="dxa"/>
          <w:left w:w="0" w:type="dxa"/>
          <w:bottom w:w="0" w:type="dxa"/>
          <w:right w:w="0" w:type="dxa"/>
        </w:tblCellMar>
      </w:tblPr>
      <w:tblGrid>
        <w:gridCol w:w="75"/>
        <w:gridCol w:w="170"/>
        <w:gridCol w:w="971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71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in which we have at least $1.235 billion in annual revenue;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71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71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we qualify as a “large accelerated filer,” with at least $700.0 million of equity securities held by non-affiliates;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71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71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we have issued, in any three-year period, more than $1.0 billion in non-convertible debt securities; or</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71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71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ending after the fifth anniversary of our IPO.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be required to comply with the requirements of the Sarbanes-Oxley Act, including, among other things, that we maintain effective disclosure controls and procedures and internal control over financial reporting. See “</w:t>
      </w:r>
      <w:r>
        <w:rPr>
          <w:rFonts w:ascii="Times New Roman;Times;Serif" w:hAnsi="Times New Roman;Times;Serif"/>
          <w:b w:val="false"/>
          <w:i/>
          <w:caps w:val="false"/>
          <w:smallCaps w:val="false"/>
          <w:sz w:val="20"/>
        </w:rPr>
        <w:t>We have identified material weaknesses in our internal control over financial reporting. These material weaknesses could continue to adversely affect our ability to report our results of operations and financial condition accurately and in a timely manner</w:t>
      </w:r>
      <w:r>
        <w:rPr>
          <w:rFonts w:ascii="Times New Roman;Times;Serif" w:hAnsi="Times New Roman;Times;Serif"/>
          <w:b w:val="false"/>
          <w:i w:val="false"/>
          <w:caps w:val="false"/>
          <w:smallCaps w:val="false"/>
          <w:sz w:val="20"/>
        </w:rPr>
        <w:t>.”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32</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Unanticipated changes in effective tax rates or adverse outcomes resulting from examination of our income or other tax returns could adversely affect our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valuation of our deferred tax assets and liabilities;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timing and amount of the release of any tax valuation allowances;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 effects of stock-based compensation;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related to intercompany restructurings;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tax laws, regulations or interpretations thereof; or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lower than anticipated future earnings in jurisdictions where we have lower statutory tax rates and higher than anticipated future earnings in jurisdictions where we have higher statutory tax rates.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subject to audits of our income, sales and other transaction taxes by taxing authorities. Outcomes from these audits could have an adverse effect on our financial condition and results of operations.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33</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0" w:name="z_007"/>
      <w:bookmarkEnd w:id="30"/>
      <w:r>
        <w:rPr>
          <w:rFonts w:ascii="Times New Roman;Times;Serif" w:hAnsi="Times New Roman;Times;Serif"/>
          <w:b/>
          <w:i w:val="false"/>
          <w:caps w:val="false"/>
          <w:smallCaps w:val="false"/>
          <w:sz w:val="20"/>
        </w:rPr>
        <w:t>USE OF PROCEEDS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common stock and the Private Warrants and Penny Warrants offered by the selling securityholders pursuant to this prospectus will be sold by the selling securityholders for their respective accounts. We will not receive any of the proceeds from these sales.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up to an aggregate of approximately $109 million from the exercise of the Warrants, assuming the exercise in full of all of the Public Warrants for cash. We expect to use the net proceeds, if any, from the exercise of the Warrants for research and development, working capital and general corporate purposes. Because the exercise price of the Public Warrants and Private Warrants substantially exceeds the current trading price of our common stock, it is unlikely that holders of our Public Warrants and Private Warrants will decide to exercise such warrants in the near future, if at all. As a result, we are unlikely to receive any proceeds from the exercise of our warrants in the near future, if at all. We will have broad discretion over the use of proceeds from the exercise of the Warrants. There is no assurance that the holders of the Warrants will elect to exercise any or all of such Warrants, and there may be no economic incentive for such holders of the Public Warrants and Private Warrants to exercise unless and until the trading price of our common stock exceeds $11.50 per share. To the extent that the Warrants are exercised on a “cashless basis,” the amount of cash we would receive from the exercise of the Warrants will decrease.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our capital requirements and sources of liquidity, we have not relied on the receipt of proceeds from the exercise of the Warrants. See “</w:t>
      </w:r>
      <w:r>
        <w:rPr>
          <w:rFonts w:ascii="Times New Roman;Times;Serif" w:hAnsi="Times New Roman;Times;Serif"/>
          <w:b w:val="false"/>
          <w:i/>
          <w:caps w:val="false"/>
          <w:smallCaps w:val="false"/>
          <w:sz w:val="20"/>
        </w:rPr>
        <w:t>Management’s Discussion and Analysis of Financial Condition and Results of Operations — Liquidity and Capital Resources</w:t>
      </w:r>
      <w:r>
        <w:rPr>
          <w:rFonts w:ascii="Times New Roman;Times;Serif" w:hAnsi="Times New Roman;Times;Serif"/>
          <w:b w:val="false"/>
          <w:i w:val="false"/>
          <w:caps w:val="false"/>
          <w:smallCaps w:val="false"/>
          <w:sz w:val="20"/>
        </w:rPr>
        <w:t>” for more information.</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34</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1" w:name="z_009"/>
      <w:bookmarkEnd w:id="31"/>
      <w:r>
        <w:rPr>
          <w:rFonts w:ascii="Times New Roman;Times;Serif" w:hAnsi="Times New Roman;Times;Serif"/>
          <w:b/>
          <w:i w:val="false"/>
          <w:caps w:val="false"/>
          <w:smallCaps w:val="false"/>
          <w:sz w:val="20"/>
        </w:rPr>
        <w:t>MARKET PRICE AND DIVIDEND INFORMATION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Nasdaq under the symbol “DFLI” and our Public Warrants are currently listed on the Nasdaq Capital Market under the symbol “DFLIW”. As of April 17, 2023, the closing price of our common stock and Public Warrants was $5.39 and $0.232, respectively. As of April 17, 2023, there were 173 holders of record of our common stock and 35 holders of record of our Public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35</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32" w:name="z_010"/>
      <w:bookmarkEnd w:id="32"/>
      <w:r>
        <w:rPr>
          <w:rFonts w:ascii="Times New Roman;Times;Serif" w:hAnsi="Times New Roman;Times;Serif"/>
          <w:b/>
          <w:i w:val="false"/>
          <w:caps w:val="false"/>
          <w:smallCaps w:val="false"/>
          <w:sz w:val="20"/>
        </w:rPr>
        <w:t>BUSINESS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report to “Dragonfly,” the “Company,” “we,” “us,” or “our” mean Dragonfly Energy Holdings Corp. and its subsidiaries unless stated otherwise or the context otherwise indicates.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caters to customers in the consumer (including the RV,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LiFePO4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glasses, which are chemically unstable and form hydrogen sulfide when exposed to air).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dual-brand strategy for battery products, Dragonfly Energy and Battle Born. Battle Born branded products are primarily sold direct to consumers, while the Dragonfly Energy brand is primarily sold to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began as an aftermarket-focused business initially targeting direct-to-consumer sales in the RV market. Since 2020, we have sold over 226,000 batteries. For the years ended December 31, 2022 and 2021, we sold 96,034 and 74,652 batteries, respectively, and had $86.3 million and $78.0 million in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fulfills certain of its LFP battery requirements exclusively through us (with potential annual renewals), THOR,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a line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Times New Roman;Times;Serif" w:hAnsi="Times New Roman;Times;Serif"/>
          <w:b/>
          <w:i w:val="false"/>
          <w:caps w:val="false"/>
          <w:smallCaps w:val="false"/>
          <w:sz w:val="20"/>
        </w:rPr>
        <w:t>Thomason Jones</w:t>
      </w:r>
      <w:r>
        <w:rPr>
          <w:rFonts w:ascii="Times New Roman;Times;Serif" w:hAnsi="Times New Roman;Times;Serif"/>
          <w:b w:val="false"/>
          <w:i w:val="false"/>
          <w:caps w:val="false"/>
          <w:smallCaps w:val="false"/>
          <w:sz w:val="20"/>
        </w:rPr>
        <w:t>”) and the other parties thereto, we also acquired the assets, including Wakespeed of Thomason Jones, allowing us to include our own alternator regulator in systems that we sell.</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36</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battery packs are designed and assembled in-house in the United States. In April 2021, we opened our new 99,000 square foot facility in Reno, Nevada,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focus on three main consumer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our experienced research and development team, headed by our founder and Chief Executive Officer, is currently developing the next generation of LFP solid-state cells. Since our inception,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Many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businesses, organizations and individuals increasingly seek improved clean energy use and energy storage, we believe we are well-positioned to achieve our objectives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decades, lead-acid batteries have been the dominant player in power and energy markets worldwide. Since the introduction of the absorbed glass mat (“</w:t>
      </w:r>
      <w:r>
        <w:rPr>
          <w:rFonts w:ascii="Times New Roman;Times;Serif" w:hAnsi="Times New Roman;Times;Serif"/>
          <w:b/>
          <w:i w:val="false"/>
          <w:caps w:val="false"/>
          <w:smallCaps w:val="false"/>
          <w:sz w:val="20"/>
        </w:rPr>
        <w:t>AGM</w:t>
      </w:r>
      <w:r>
        <w:rPr>
          <w:rFonts w:ascii="Times New Roman;Times;Serif" w:hAnsi="Times New Roman;Times;Serif"/>
          <w:b w:val="false"/>
          <w:i w:val="false"/>
          <w:caps w:val="false"/>
          <w:smallCaps w:val="false"/>
          <w:sz w:val="20"/>
        </w:rPr>
        <w:t>”) lead-acid battery in the mid-1970s, the technological advancements in lead-acid battery technology have been limited. LFP batteries have numerous advantages over the incumbent lead-acid batteries used in today’s markets: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Environmentally Friendly, Socially Responsible and Safer.</w:t>
            </w:r>
            <w:r>
              <w:rPr>
                <w:rFonts w:ascii="Times New Roman;Times;Serif" w:hAnsi="Times New Roman;Times;Serif"/>
                <w:b w:val="false"/>
                <w:i w:val="false"/>
                <w:caps w:val="false"/>
                <w:smallCaps w:val="false"/>
                <w:sz w:val="20"/>
              </w:rPr>
              <w:t xml:space="preserve"> Lead-acid batteries that are not recycled or disposed of properly 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tc>
      </w:tr>
    </w:tbl>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37</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Longer Lifespan. </w:t>
            </w:r>
            <w:r>
              <w:rPr>
                <w:rFonts w:ascii="Times New Roman;Times;Serif" w:hAnsi="Times New Roman;Times;Serif"/>
                <w:b w:val="false"/>
                <w:i w:val="false"/>
                <w:caps w:val="false"/>
                <w:smallCaps w:val="false"/>
                <w:sz w:val="20"/>
              </w:rPr>
              <w:t>Lithium-ion batteries have longer lifecycles compared to lead-acid batteries. LFP batteries are able to cycle (i.e.,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Power and Performance. </w:t>
            </w:r>
            <w:r>
              <w:rPr>
                <w:rFonts w:ascii="Times New Roman;Times;Serif" w:hAnsi="Times New Roman;Times;Serif"/>
                <w:b w:val="false"/>
                <w:i w:val="false"/>
                <w:caps w:val="false"/>
                <w:smallCaps w:val="false"/>
                <w:sz w:val="20"/>
              </w:rPr>
              <w:t>As new technologies evolve and people consume more electricity, the importance of battery power 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Charging. </w:t>
            </w:r>
            <w:r>
              <w:rPr>
                <w:rFonts w:ascii="Times New Roman;Times;Serif" w:hAnsi="Times New Roman;Times;Serif"/>
                <w:b w:val="false"/>
                <w:i w:val="false"/>
                <w:caps w:val="false"/>
                <w:smallCaps w:val="false"/>
                <w:sz w:val="20"/>
              </w:rPr>
              <w:t>Lead-acid batteries were the first rechargeable batteries on the market. However, due to new advancements in energy density (i.e., the 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Maintenance-Free. </w:t>
            </w:r>
            <w:r>
              <w:rPr>
                <w:rFonts w:ascii="Times New Roman;Times;Serif" w:hAnsi="Times New Roman;Times;Serif"/>
                <w:b w:val="false"/>
                <w:i w:val="false"/>
                <w:caps w:val="false"/>
                <w:smallCaps w:val="false"/>
                <w:sz w:val="20"/>
              </w:rPr>
              <w:t>LFP batteries provide the benefit of being a maintenance-free option compared to lead-acid batteries. Unlike lead-acid 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Markets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 Frost and Sullivan report commissioned by us (“</w:t>
      </w:r>
      <w:r>
        <w:rPr>
          <w:rFonts w:ascii="Times New Roman;Times;Serif" w:hAnsi="Times New Roman;Times;Serif"/>
          <w:b/>
          <w:i w:val="false"/>
          <w:caps w:val="false"/>
          <w:smallCaps w:val="false"/>
          <w:sz w:val="20"/>
        </w:rPr>
        <w:t>Frost &amp; Sullivan</w:t>
      </w:r>
      <w:r>
        <w:rPr>
          <w:rFonts w:ascii="Times New Roman;Times;Serif" w:hAnsi="Times New Roman;Times;Serif"/>
          <w:b w:val="false"/>
          <w:i w:val="false"/>
          <w:caps w:val="false"/>
          <w:smallCaps w:val="false"/>
          <w:sz w:val="20"/>
        </w:rPr>
        <w:t>”), the total addressable market (“</w:t>
      </w:r>
      <w:r>
        <w:rPr>
          <w:rFonts w:ascii="Times New Roman;Times;Serif" w:hAnsi="Times New Roman;Times;Serif"/>
          <w:b/>
          <w:i w:val="false"/>
          <w:caps w:val="false"/>
          <w:smallCaps w:val="false"/>
          <w:sz w:val="20"/>
        </w:rPr>
        <w:t>TAM</w:t>
      </w:r>
      <w:r>
        <w:rPr>
          <w:rFonts w:ascii="Times New Roman;Times;Serif" w:hAnsi="Times New Roman;Times;Serif"/>
          <w:b w:val="false"/>
          <w:i w:val="false"/>
          <w:caps w:val="false"/>
          <w:smallCaps w:val="false"/>
          <w:sz w:val="20"/>
        </w:rPr>
        <w:t>”) of our three current end markets is estimated to be approximately $12 billion by 2025.</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Recreational Vehicles. </w:t>
            </w:r>
            <w:r>
              <w:rPr>
                <w:rFonts w:ascii="Times New Roman;Times;Serif" w:hAnsi="Times New Roman;Times;Serif"/>
                <w:b w:val="false"/>
                <w:i w:val="false"/>
                <w:caps w:val="false"/>
                <w:smallCaps w:val="false"/>
                <w:sz w:val="20"/>
              </w:rPr>
              <w:t>The growth of the RV market is expected to continue to drive demand for LFP storage batteries. According to the 2022 RV Industry Association (“</w:t>
            </w:r>
            <w:r>
              <w:rPr>
                <w:rFonts w:ascii="Times New Roman;Times;Serif" w:hAnsi="Times New Roman;Times;Serif"/>
                <w:b/>
                <w:i w:val="false"/>
                <w:caps w:val="false"/>
                <w:smallCaps w:val="false"/>
                <w:sz w:val="20"/>
              </w:rPr>
              <w:t>RVIA</w:t>
            </w:r>
            <w:r>
              <w:rPr>
                <w:rFonts w:ascii="Times New Roman;Times;Serif" w:hAnsi="Times New Roman;Times;Serif"/>
                <w:b w:val="false"/>
                <w:i w:val="false"/>
                <w:caps w:val="false"/>
                <w:smallCaps w:val="false"/>
                <w:sz w:val="20"/>
              </w:rPr>
              <w:t>”)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Times;Serif" w:hAnsi="Times New Roman;Times;Serif"/>
                <w:b/>
                <w:i w:val="false"/>
                <w:caps w:val="false"/>
                <w:smallCaps w:val="false"/>
                <w:sz w:val="20"/>
              </w:rPr>
              <w:t>CAGR</w:t>
            </w:r>
            <w:r>
              <w:rPr>
                <w:rFonts w:ascii="Times New Roman;Times;Serif" w:hAnsi="Times New Roman;Times;Serif"/>
                <w:b w:val="false"/>
                <w:i w:val="false"/>
                <w:caps w:val="false"/>
                <w:smallCaps w:val="false"/>
                <w:sz w:val="20"/>
              </w:rPr>
              <w:t>”) of 6.8%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tc>
      </w:tr>
    </w:tbl>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38</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Marine Vessels.</w:t>
            </w:r>
            <w:r>
              <w:rPr>
                <w:rFonts w:ascii="Times New Roman;Times;Serif" w:hAnsi="Times New Roman;Times;Serif"/>
                <w:b w:val="false"/>
                <w:i w:val="false"/>
                <w:caps w:val="false"/>
                <w:smallCaps w:val="false"/>
                <w:sz w:val="20"/>
              </w:rPr>
              <w:t xml:space="preserve"> As boating becomes more popular in North America, the need for a reliable, non-flammable energy storage system is becoming 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Off-Grid Residences. </w:t>
            </w:r>
            <w:r>
              <w:rPr>
                <w:rFonts w:ascii="Times New Roman;Times;Serif" w:hAnsi="Times New Roman;Times;Serif"/>
                <w:b w:val="false"/>
                <w:i w:val="false"/>
                <w:caps w:val="false"/>
                <w:smallCaps w:val="false"/>
                <w:sz w:val="20"/>
              </w:rPr>
              <w:t>Many people are turning to off-grid housing and, as individuals and governments become more 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w:t>
            </w:r>
            <w:r>
              <w:rPr>
                <w:rFonts w:ascii="Times New Roman;Times;Serif" w:hAnsi="Times New Roman;Times;Serif"/>
                <w:b/>
                <w:i w:val="false"/>
                <w:caps w:val="false"/>
                <w:smallCaps w:val="false"/>
                <w:sz w:val="20"/>
              </w:rPr>
              <w:t>SEIA</w:t>
            </w:r>
            <w:r>
              <w:rPr>
                <w:rFonts w:ascii="Times New Roman;Times;Serif" w:hAnsi="Times New Roman;Times;Serif"/>
                <w:b w:val="false"/>
                <w:i w:val="false"/>
                <w:caps w:val="false"/>
                <w:smallCaps w:val="false"/>
                <w:sz w:val="20"/>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Addressable Adjacent Markets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Industrial / Material Handlings / Work Truck.</w:t>
            </w:r>
            <w:r>
              <w:rPr>
                <w:rFonts w:ascii="Times New Roman;Times;Serif" w:hAnsi="Times New Roman;Times;Serif"/>
                <w:b w:val="false"/>
                <w:i w:val="false"/>
                <w:caps w:val="false"/>
                <w:smallCaps w:val="false"/>
                <w:sz w:val="20"/>
              </w:rPr>
              <w:t xml:space="preserve"> The industrial vehicle market includes work trucks, material handling and warehousing equipment 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Specialty Vehicles. </w:t>
            </w:r>
            <w:r>
              <w:rPr>
                <w:rFonts w:ascii="Times New Roman;Times;Serif" w:hAnsi="Times New Roman;Times;Serif"/>
                <w:b w:val="false"/>
                <w:i w:val="false"/>
                <w:caps w:val="false"/>
                <w:smallCaps w:val="false"/>
                <w:sz w:val="20"/>
              </w:rPr>
              <w:t>According to Mordor Intelligence, as of 2019, approximately 40% of the specialty vehicle market in the 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tc>
      </w:tr>
    </w:tbl>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39</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Emergency and Standby Power.</w:t>
            </w:r>
            <w:r>
              <w:rPr>
                <w:rFonts w:ascii="Times New Roman;Times;Serif" w:hAnsi="Times New Roman;Times;Serif"/>
                <w:b w:val="false"/>
                <w:i w:val="false"/>
                <w:caps w:val="false"/>
                <w:smallCaps w:val="false"/>
                <w:sz w:val="20"/>
              </w:rPr>
              <w:t xml:space="preserve"> Demand for reliable emergency and standby power sources is expected to continue to drive 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Telecom. </w:t>
            </w:r>
            <w:r>
              <w:rPr>
                <w:rFonts w:ascii="Times New Roman;Times;Serif" w:hAnsi="Times New Roman;Times;Serif"/>
                <w:b w:val="false"/>
                <w:i w:val="false"/>
                <w:caps w:val="false"/>
                <w:smallCaps w:val="false"/>
                <w:sz w:val="20"/>
              </w:rPr>
              <w:t>Demand for mobile data continues to increase and network providers are investing heavily in 5G networks, particularly in unserved and 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Rail. </w:t>
            </w:r>
            <w:r>
              <w:rPr>
                <w:rFonts w:ascii="Times New Roman;Times;Serif" w:hAnsi="Times New Roman;Times;Serif"/>
                <w:b w:val="false"/>
                <w:i w:val="false"/>
                <w:caps w:val="false"/>
                <w:smallCaps w:val="false"/>
                <w:sz w:val="20"/>
              </w:rPr>
              <w:t>Rail transportation is a large potential market, with an estimated market size of $98.6 billion in 2022, according to 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Data Centers.</w:t>
            </w:r>
            <w:r>
              <w:rPr>
                <w:rFonts w:ascii="Times New Roman;Times;Serif" w:hAnsi="Times New Roman;Times;Serif"/>
                <w:b w:val="false"/>
                <w:i w:val="false"/>
                <w:caps w:val="false"/>
                <w:smallCaps w:val="false"/>
                <w:sz w:val="20"/>
              </w:rPr>
              <w:t xml:space="preserve"> Data centers have seen strong growth in recent years, with over 2,750 data centers in the United States as of January 2022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On-grid Storage. </w:t>
            </w:r>
            <w:r>
              <w:rPr>
                <w:rFonts w:ascii="Times New Roman;Times;Serif" w:hAnsi="Times New Roman;Times;Serif"/>
                <w:b w:val="false"/>
                <w:i w:val="false"/>
                <w:caps w:val="false"/>
                <w:smallCaps w:val="false"/>
                <w:sz w:val="20"/>
              </w:rPr>
              <w:t>On-grid energy storage is used on a large-scale platform within an electrical power grid in conjunction with 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tc>
      </w:tr>
    </w:tbl>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40</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Premier Lithium-Ion Battery Technology.</w:t>
            </w:r>
            <w:r>
              <w:rPr>
                <w:rFonts w:ascii="Times New Roman;Times;Serif" w:hAnsi="Times New Roman;Times;Serif"/>
                <w:b w:val="false"/>
                <w:i w:val="false"/>
                <w:caps w:val="false"/>
                <w:smallCaps w:val="false"/>
                <w:sz w:val="20"/>
              </w:rPr>
              <w:t xml:space="preserve"> Each of our innovative batteries features custom designed components to enhance 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Extensive, Growing Patent Portfolio.</w:t>
            </w:r>
            <w:r>
              <w:rPr>
                <w:rFonts w:ascii="Times New Roman;Times;Serif" w:hAnsi="Times New Roman;Times;Serif"/>
                <w:b w:val="false"/>
                <w:i w:val="false"/>
                <w:caps w:val="false"/>
                <w:smallCaps w:val="false"/>
                <w:sz w:val="20"/>
              </w:rPr>
              <w:t xml:space="preserve"> We have developed and filed patent applications on commercially relevant aspects of our business including chemical compositions systems and production processes. To date, we have owned 26 issued patents, with an additional 22 patent applications pending, in the United States, China, Europe, Australia, Canada and other regions.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Proven Go-To-Market Strategy.</w:t>
            </w:r>
            <w:r>
              <w:rPr>
                <w:rFonts w:ascii="Times New Roman;Times;Serif" w:hAnsi="Times New Roman;Times;Serif"/>
                <w:b w:val="false"/>
                <w:i w:val="false"/>
                <w:caps w:val="false"/>
                <w:smallCaps w:val="false"/>
                <w:sz w:val="20"/>
              </w:rPr>
              <w:t xml:space="preserve"> We have successfully established a direct-to-consumer platform and have developed strong working relationships 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Established Customer Base with Brand Recognition.</w:t>
            </w:r>
            <w:r>
              <w:rPr>
                <w:rFonts w:ascii="Times New Roman;Times;Serif" w:hAnsi="Times New Roman;Times;Serif"/>
                <w:b w:val="false"/>
                <w:i w:val="false"/>
                <w:caps w:val="false"/>
                <w:smallCaps w:val="false"/>
                <w:sz w:val="20"/>
              </w:rPr>
              <w:t xml:space="preserve"> We have a growing customer base of more than 15,000 customers featuring 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135% since 2020) with visibility for future growth through further expansion of our existing relationships.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High Quality Manufacturing Process.</w:t>
            </w:r>
            <w:r>
              <w:rPr>
                <w:rFonts w:ascii="Times New Roman;Times;Serif" w:hAnsi="Times New Roman;Times;Serif"/>
                <w:b w:val="false"/>
                <w:i w:val="false"/>
                <w:caps w:val="false"/>
                <w:smallCaps w:val="false"/>
                <w:sz w:val="20"/>
              </w:rPr>
              <w:t xml:space="preserve"> Unlike competitors that outsource their manufacturing processes, our batteries are designed, assembled and tested in the United States, ensuring that our manufacturing process is thoroughly tested and our batteries are of the highest quality as a result of governmental regulations for performance and safety.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Drop-in Replacement. </w:t>
            </w:r>
            <w:r>
              <w:rPr>
                <w:rFonts w:ascii="Times New Roman;Times;Serif" w:hAnsi="Times New Roman;Times;Serif"/>
                <w:b w:val="false"/>
                <w:i w:val="false"/>
                <w:caps w:val="false"/>
                <w:smallCaps w:val="false"/>
                <w:sz w:val="20"/>
              </w:rPr>
              <w:t>Our battery modules are largely designed to be “drop-in replacements” for traditional lead-acid 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tc>
      </w:tr>
    </w:tbl>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41</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leverage our competitive strengths, technology leadership and market share position to pursue our growth strategy through the following:</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Product Offerings. </w:t>
            </w:r>
            <w:r>
              <w:rPr>
                <w:rFonts w:ascii="Times New Roman;Times;Serif" w:hAnsi="Times New Roman;Times;Serif"/>
                <w:b w:val="false"/>
                <w:i w:val="false"/>
                <w:caps w:val="false"/>
                <w:smallCaps w:val="false"/>
                <w:sz w:val="20"/>
              </w:rPr>
              <w:t>In the short-term, our aim is to further diversify our product offerings to give consumers, as well as OEMs and 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Moreover, in the first quarter of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End Markets. </w:t>
            </w:r>
            <w:r>
              <w:rPr>
                <w:rFonts w:ascii="Times New Roman;Times;Serif" w:hAnsi="Times New Roman;Times;Serif"/>
                <w:b w:val="false"/>
                <w:i w:val="false"/>
                <w:caps w:val="false"/>
                <w:smallCaps w:val="false"/>
                <w:sz w:val="20"/>
              </w:rPr>
              <w:t>We have identified additional end markets that we believe in the medium- to longer-term will increasingly look to 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Commercialize Solid-State Technology.</w:t>
            </w:r>
            <w:r>
              <w:rPr>
                <w:rFonts w:ascii="Times New Roman;Times;Serif" w:hAnsi="Times New Roman;Times;Serif"/>
                <w:b w:val="false"/>
                <w:i w:val="false"/>
                <w:caps w:val="false"/>
                <w:smallCaps w:val="false"/>
                <w:sz w:val="20"/>
              </w:rPr>
              <w:t xml:space="preserve"> We believe solid-state technology presents a significant advantage to all products currently 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Technology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Chemistry Comparison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dominant battery chemistries in the lithium-ion market that can be used for different purposes. Two widely adopted chemistries found in the market today are nickel manganese cobalt (“</w:t>
      </w:r>
      <w:r>
        <w:rPr>
          <w:rFonts w:ascii="Times New Roman;Times;Serif" w:hAnsi="Times New Roman;Times;Serif"/>
          <w:b/>
          <w:i w:val="false"/>
          <w:caps w:val="false"/>
          <w:smallCaps w:val="false"/>
          <w:sz w:val="20"/>
        </w:rPr>
        <w:t>NMC</w:t>
      </w:r>
      <w:r>
        <w:rPr>
          <w:rFonts w:ascii="Times New Roman;Times;Serif" w:hAnsi="Times New Roman;Times;Serif"/>
          <w:b w:val="false"/>
          <w:i w:val="false"/>
          <w:caps w:val="false"/>
          <w:smallCaps w:val="false"/>
          <w:sz w:val="20"/>
        </w:rPr>
        <w:t>”), and nickel cobalt aluminum (“</w:t>
      </w:r>
      <w:r>
        <w:rPr>
          <w:rFonts w:ascii="Times New Roman;Times;Serif" w:hAnsi="Times New Roman;Times;Serif"/>
          <w:b/>
          <w:i w:val="false"/>
          <w:caps w:val="false"/>
          <w:smallCaps w:val="false"/>
          <w:sz w:val="20"/>
        </w:rPr>
        <w:t>NCA</w:t>
      </w:r>
      <w:r>
        <w:rPr>
          <w:rFonts w:ascii="Times New Roman;Times;Serif" w:hAnsi="Times New Roman;Times;Serif"/>
          <w:b w:val="false"/>
          <w:i w:val="false"/>
          <w:caps w:val="false"/>
          <w:smallCaps w:val="false"/>
          <w:sz w:val="20"/>
        </w:rPr>
        <w:t>”). The higher energy density and shorter cycle life found in NMC and NCA batteries are suitable for markets where fast charging and high energy density are required, such as EV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486400" cy="1438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0" cy="1438275"/>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42</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Times New Roman;Times;Serif" w:hAnsi="Times New Roman;Times;Serif"/>
          <w:b w:val="false"/>
          <w:i/>
          <w:caps w:val="false"/>
          <w:smallCaps w:val="false"/>
          <w:sz w:val="20"/>
        </w:rPr>
        <w:t>Lithium and Cobalt: A tale of two commodities</w:t>
      </w:r>
      <w:r>
        <w:rPr>
          <w:rFonts w:ascii="Times New Roman;Times;Serif" w:hAnsi="Times New Roman;Times;Serif"/>
          <w:b w:val="false"/>
          <w:i w:val="false"/>
          <w:caps w:val="false"/>
          <w:smallCaps w:val="false"/>
          <w:sz w:val="20"/>
        </w:rPr>
        <w:t>”,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roughly 700 degrees Fahrenheit for LFP batteries, compared to 350 degrees Fahrenheit for NMC and NCA batteries, making LFP batteries less flammable and safer.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Solid-State Cells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43</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products are LFP battery modules with a built-in battery management system offered under two brand names: Dragonfly Energy, which sells primarily to OEMs, and Battle Born Batteries, which sells primarily direct to consumers and increasingly to OEMs. We currently offer seven LFP battery models across our two brands, each differentiated by size, power and capacity, consisting of seven different models, four of which come with a heated option. The following chart highlights the key features of each of our models: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6381750" cy="2952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381750" cy="2952750"/>
                    </a:xfrm>
                    <a:prstGeom prst="rect">
                      <a:avLst/>
                    </a:prstGeom>
                  </pic:spPr>
                </pic:pic>
              </a:graphicData>
            </a:graphic>
          </wp:inline>
        </w:drawing>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of 2022, we acquired the assets and intellectual property portfolio of Thomason Jones Company, LLC, including Wakespeed, in a move that provides our OEM arm and consumer brand, Battle Born Batteries, the ability to offer complete alternator-connected systems for marine and RV consumers and manufacturers. Wakespeed offers a unique alternator regulator and several other devices focused on energy systems that are charged by a vehicle alternator. Wakespeed’s product line continues to be offered to specialty OEM manufacturers and customers but is now additionally offered alongside the innovative product lines of Dragonfly Energy and Battle Born Batteries.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44</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customers a full suite of accessories and components to facilitate the installation of our products. These include plugs, fuses, cables, adapters, sensors and interfaces pictured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486400" cy="2343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86400" cy="2343150"/>
                    </a:xfrm>
                    <a:prstGeom prst="rect">
                      <a:avLst/>
                    </a:prstGeom>
                  </pic:spPr>
                </pic:pic>
              </a:graphicData>
            </a:graphic>
          </wp:inline>
        </w:drawing>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specially designed bundled packages of battery modules and accessories tailored to specific applications for both RVs, marine vessels and off-grid residences, ranging in price from $675 to over $19,000, as shown below.</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486400" cy="2124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86400" cy="2124075"/>
                    </a:xfrm>
                    <a:prstGeom prst="rect">
                      <a:avLst/>
                    </a:prstGeom>
                  </pic:spPr>
                </pic:pic>
              </a:graphicData>
            </a:graphic>
          </wp:inline>
        </w:drawing>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Management System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enables batteries to draw power under 135 degrees Fahrenheit, and is designed to cut off charging at 24 degrees Fahrenheit to protect cells;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actively monitors the rate of change of currents to detect and prevent short circuiting, and also protects against potential ground faults;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allows for up to an average of 300 amps continuously, 500 amp surges for 30 seconds, and momentary, half second maximum capacity surges;</w:t>
            </w:r>
          </w:p>
        </w:tc>
      </w:tr>
    </w:tbl>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45</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tbl>
      <w:tblPr>
        <w:tblW w:w="8485" w:type="dxa"/>
        <w:jc w:val="left"/>
        <w:tblInd w:w="0" w:type="dxa"/>
        <w:tblCellMar>
          <w:top w:w="0" w:type="dxa"/>
          <w:left w:w="0" w:type="dxa"/>
          <w:bottom w:w="0" w:type="dxa"/>
          <w:right w:w="0" w:type="dxa"/>
        </w:tblCellMar>
      </w:tblPr>
      <w:tblGrid>
        <w:gridCol w:w="75"/>
        <w:gridCol w:w="170"/>
        <w:gridCol w:w="824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2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enables batteries to recharge even if completely drained;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824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2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utilizes larger resistors to ensure balanced loads to improve performance and extend useful life;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824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2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facilitates scalability by enabling batteries to be combined in parallel and in series.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Communication System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customers as an adjacent component and in our product bundles during the first half of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Alternator Regulation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allows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Pipeline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our current battery modules, we have several LFP products in development that will enable us to access additional end markets.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Products.</w:t>
            </w:r>
            <w:r>
              <w:rPr>
                <w:rFonts w:ascii="Times New Roman;Times;Serif" w:hAnsi="Times New Roman;Times;Serif"/>
                <w:b w:val="false"/>
                <w:i w:val="false"/>
                <w:caps w:val="false"/>
                <w:smallCaps w:val="false"/>
                <w:sz w:val="20"/>
              </w:rPr>
              <w:t xml:space="preserve"> Our current offerings feature battery products that serve the RV, marine vessel and off-grid markets. Although manufacturing operations were previously capacity constrained the expansion into our manufacturing facility will allow us to add production capacity and increase product offerings and scale based on demand.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current batteries are 12 voltage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tc>
      </w:tr>
    </w:tbl>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46</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System Integrator. </w:t>
            </w:r>
            <w:r>
              <w:rPr>
                <w:rFonts w:ascii="Times New Roman;Times;Serif" w:hAnsi="Times New Roman;Times;Serif"/>
                <w:b w:val="false"/>
                <w:i w:val="false"/>
                <w:caps w:val="false"/>
                <w:smallCaps w:val="false"/>
                <w:sz w:val="20"/>
              </w:rPr>
              <w:t>A natural evolution of our business is to offer customers a system integration solution providing more efficient power solutions 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by early 2024.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solid-state cell is shown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3238500" cy="2190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238500" cy="219075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47</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3524250" cy="2533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524250" cy="253365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 Manufacturing and Production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is located in our 99,000 square foot manufacturing facility in Reno, Nevada. The lease for this building was entered into on March 1, 2021 and expires on April 30, 2026. We do not own any real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48</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is set out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486400" cy="1038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486400" cy="1038225"/>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2022, we entered into a 124-month lease for an additional 390,240 square foot warehouse, which, once built, we intend to utilize for the manufacture of our solid-state batteries.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 Relationships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look toward the production of our solid-state cells, we have signed a non-binding Memorandum of Understanding with a lithium mining company and a lithium recycling company, both located in Nevada for the supply of lithium.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RV OEM Strategic Arrangements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serve more than 15,000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2022 and 2021, OEM sales represented 39.2% and 10.5% of our total revenues,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deep, long-standing relationships with many of our customers. We also have a diverse customer base, with our top 10 customers accounting for 36.3% of our revenue for the year ended December 31, 2022. Our customers primarily utilize our products for RVs, marine vessels and off-grid residences. We work directly with OEMs to ensure compatibility with existing designs and also collaborate on custom designs for new applications.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49</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w:t>
      </w:r>
      <w:r>
        <w:rPr>
          <w:rFonts w:ascii="Times New Roman;Times;Serif" w:hAnsi="Times New Roman;Times;Serif"/>
          <w:b/>
          <w:i w:val="false"/>
          <w:caps w:val="false"/>
          <w:smallCaps w:val="false"/>
          <w:sz w:val="20"/>
        </w:rPr>
        <w:t>Supply Agreement</w:t>
      </w:r>
      <w:r>
        <w:rPr>
          <w:rFonts w:ascii="Times New Roman;Times;Serif" w:hAnsi="Times New Roman;Times;Serif"/>
          <w:b w:val="false"/>
          <w:i w:val="false"/>
          <w:caps w:val="false"/>
          <w:smallCaps w:val="false"/>
          <w:sz w:val="20"/>
        </w:rPr>
        <w:t>”). Under the Supply Agreement, we will be the exclusive supplier to Keystone for certain of its future LFP battery requirements, solidifying our long-standing relationship with Keystone.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we strengthened our ties with the THOR group of RV OEMs when (i) THOR Industries made a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a multi-pronged sales and marketing strategy to ensure that the Dragonfly Energy, Battle Born and Wakespeed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traditional print and media advertising, we have leveraged the growing influence of social media (such as YouTube, Instagram and Facebook) and professional influencers to increase market awareness of our brands. We work closely with these influencers to create a lasting relationship that showcases the performance of our products, rather than one-off promotions. Our products have also been featured in television shows and on podcasts that cater specifically to RV enthusiasts.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50</w:t>
            </w:r>
          </w:p>
        </w:tc>
      </w:tr>
    </w:tbl>
    <w:p>
      <w:pPr>
        <w:pStyle w:val="TextBody"/>
        <w:spacing w:before="120" w:after="283"/>
        <w:rPr/>
      </w:pPr>
      <w:r>
        <w:rPr/>
        <w:t> </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value our direct relationships with retail customers. Our website and our customer service are key elements to our sales strategy. Our website enables customers to purchase Wakespeed and Battle Born products directly and provides access to a range of videos covering product information, technological benefits and installation guides. We have a team of experts dedicated to supporting our customers’ sales, technical and service needs.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owned 26 issued patents and 22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2023 and 2043, absent any patent term adjustments or extensions.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2022, we own four trademark registrations to cover our house marks in the United States and we have seven pending trademark applications relating to our design logos and slogans in the United States.</w:t>
      </w:r>
    </w:p>
    <w:p>
      <w:pPr>
        <w:pStyle w:val="TextBody"/>
        <w:ind w:left="0" w:right="0" w:firstLine="14"/>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51</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 and Compliance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have 177 employees; 171 full-time, 2 part-time and 4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Safety</w:t>
            </w:r>
            <w:r>
              <w:rPr>
                <w:rFonts w:ascii="Times New Roman;Times;Serif" w:hAnsi="Times New Roman;Times;Serif"/>
                <w:b w:val="false"/>
                <w:i w:val="false"/>
                <w:caps w:val="false"/>
                <w:smallCaps w:val="false"/>
                <w:sz w:val="20"/>
              </w:rPr>
              <w:t> — Employees are regularly educated in safety around their workspaces, and employees participate in volunteer roles on a safety committee, and in emergency readiness roles. We have a dedicated safety coordinator who tracks and measures our performance, and helps us benchmark our safety programs against our peers.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Diversity, Equity &amp; Inclusion</w:t>
            </w:r>
            <w:r>
              <w:rPr>
                <w:rFonts w:ascii="Times New Roman;Times;Serif" w:hAnsi="Times New Roman;Times;Serif"/>
                <w:b w:val="false"/>
                <w:i w:val="false"/>
                <w:caps w:val="false"/>
                <w:smallCaps w:val="false"/>
                <w:sz w:val="20"/>
              </w:rPr>
              <w:t> — Our culture has benefitted from the diversity of our workforce from the very beginning. 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Collaboration</w:t>
            </w:r>
            <w:r>
              <w:rPr>
                <w:rFonts w:ascii="Times New Roman;Times;Serif" w:hAnsi="Times New Roman;Times;Serif"/>
                <w:b w:val="false"/>
                <w:i w:val="false"/>
                <w:caps w:val="false"/>
                <w:smallCaps w:val="false"/>
                <w:sz w:val="20"/>
              </w:rPr>
              <w:t> — As we grow, opportunities for cross-functional collaboration are not as organic as they used to be. We have responded to that change by staying mindful and acting intentionally to gather cross-functional input on new initiatives and continuous improvement efforts.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Continuous Improvement</w:t>
            </w:r>
            <w:r>
              <w:rPr>
                <w:rFonts w:ascii="Times New Roman;Times;Serif" w:hAnsi="Times New Roman;Times;Serif"/>
                <w:b w:val="false"/>
                <w:i w:val="false"/>
                <w:caps w:val="false"/>
                <w:smallCaps w:val="false"/>
                <w:sz w:val="20"/>
              </w:rPr>
              <w:t> — We apply continuous improvement measures to processes as well as people. We encourage professional development of our employees, through ongoing learning, credentialing, and collaboration with their industry peers.</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CNTQ and Legacy Dragonfly consummated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pursuant to the Agreement and Plan of Merger, dated as of May 15, 2022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by and among CNTQ, Bronco Merger Sub, Inc., a Delaware corporation and wholly-owned subsidiary of CNTQ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Legacy Dragonfly. Pursuant to the Business Combination Agreement, Merger Sub merged with and into Legacy Dragonfly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and, together with the other transactions contemplated by the Business Combination Agreement,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with Legacy Dragonfly continuing as the surviving corporation in the Merger and as our wholly owned subsidiary. In connection with the Business Combination, CNTQ changed its name to Dragonfly Energy Holdings Corp.</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52</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Business Combination, CNTQ was a shell company. CNTQ was incorporated in the state of Delaware on June 23, 2020. CNTQ consummated its initial public offering at a price of $10 per unit on August 13, 2021 (the “</w:t>
      </w:r>
      <w:r>
        <w:rPr>
          <w:rFonts w:ascii="Times New Roman;Times;Serif" w:hAnsi="Times New Roman;Times;Serif"/>
          <w:b/>
          <w:i w:val="false"/>
          <w:caps w:val="false"/>
          <w:smallCaps w:val="false"/>
          <w:sz w:val="20"/>
        </w:rPr>
        <w:t>CNTQ IPO</w:t>
      </w:r>
      <w:r>
        <w:rPr>
          <w:rFonts w:ascii="Times New Roman;Times;Serif" w:hAnsi="Times New Roman;Times;Serif"/>
          <w:b w:val="false"/>
          <w:i w:val="false"/>
          <w:caps w:val="false"/>
          <w:smallCaps w:val="false"/>
          <w:sz w:val="20"/>
        </w:rPr>
        <w:t>”).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by virtue of the Merger and without any action on the part of CNTQ, Merger Sub, Legacy Dragonfly or the holders of any of the following securities: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outstanding share of Legacy Dragonfly’s common stock, par value $0.001 per share (“</w:t>
      </w:r>
      <w:r>
        <w:rPr>
          <w:rFonts w:ascii="Times New Roman;Times;Serif" w:hAnsi="Times New Roman;Times;Serif"/>
          <w:b/>
          <w:i w:val="false"/>
          <w:caps w:val="false"/>
          <w:smallCaps w:val="false"/>
          <w:sz w:val="20"/>
        </w:rPr>
        <w:t>Legacy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Dragonfly Common Stock</w:t>
      </w:r>
      <w:r>
        <w:rPr>
          <w:rFonts w:ascii="Times New Roman;Times;Serif" w:hAnsi="Times New Roman;Times;Serif"/>
          <w:b w:val="false"/>
          <w:i w:val="false"/>
          <w:caps w:val="false"/>
          <w:smallCaps w:val="false"/>
          <w:sz w:val="20"/>
        </w:rPr>
        <w:t>”), converted into (i) a certain number of shares of our common stock, totaling 41,500,000 shares (including the conversion and assumption of the options to purchase shares of Legacy Dragonfly Common Stock described below), which is equal to (x) $415,000,000 divided by (y) $10.00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and (ii) the contingent right to receive Earnout Shares (as defined below) (which may be zero) following the Closing.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Merger Consideration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Merger Consideration set forth above, additional contingent shares (“</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may be payable to each holder of shares of Legacy Dragonfly Common Stock in the Merger, subject to achieving specified milestones, up to an aggregate of 40,000,000 additional shares of our common stock in three tranches.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tranche of 15,000,000 shares is issuable if our 2023 total audited revenue is equal to or greater than $250 million and our 2023 audited operating income is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53</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Investment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dated as of May 15, 2022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by and between CNTQ and the Sponsor, the Sponsor agreed to purchase, and CNTQ agreed to sell to the Sponsor, an aggregate of 500,000 shares of CNTQ Common Stock for gross proceeds to CNTQ of $5 million in a private placement (the “</w:t>
      </w:r>
      <w:r>
        <w:rPr>
          <w:rFonts w:ascii="Times New Roman;Times;Serif" w:hAnsi="Times New Roman;Times;Serif"/>
          <w:b/>
          <w:i w:val="false"/>
          <w:caps w:val="false"/>
          <w:smallCaps w:val="false"/>
          <w:sz w:val="20"/>
        </w:rPr>
        <w:t>PIPE Investment</w:t>
      </w:r>
      <w:r>
        <w:rPr>
          <w:rFonts w:ascii="Times New Roman;Times;Serif" w:hAnsi="Times New Roman;Times;Serif"/>
          <w:b w:val="false"/>
          <w:i w:val="false"/>
          <w:caps w:val="false"/>
          <w:smallCaps w:val="false"/>
          <w:sz w:val="20"/>
        </w:rPr>
        <w:t>”). On September 28, 2022, the Sponsor and CCM, entered into an assignment, assumption and joinder agreement, pursuant to which the Sponsor assigned all of the Sponsor’s rights, benefits and obligations under the Subscription Agreement to CCM.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(the “</w:t>
      </w:r>
      <w:r>
        <w:rPr>
          <w:rFonts w:ascii="Times New Roman;Times;Serif" w:hAnsi="Times New Roman;Times;Serif"/>
          <w:b/>
          <w:i w:val="false"/>
          <w:caps w:val="false"/>
          <w:smallCaps w:val="false"/>
          <w:sz w:val="20"/>
        </w:rPr>
        <w:t>Offset</w:t>
      </w:r>
      <w:r>
        <w:rPr>
          <w:rFonts w:ascii="Times New Roman;Times;Serif" w:hAnsi="Times New Roman;Times;Serif"/>
          <w:b w:val="false"/>
          <w:i w:val="false"/>
          <w:caps w:val="false"/>
          <w:smallCaps w:val="false"/>
          <w:sz w:val="20"/>
        </w:rPr>
        <w:t>”). During the week of September 26, 2022 CCM acquired in the open market in total 485,000 shares of our common stock at purchase prices per share ranging from $10.33 to $10.38 (such shares, the “</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Financing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commitment letter (the “</w:t>
      </w:r>
      <w:r>
        <w:rPr>
          <w:rFonts w:ascii="Times New Roman;Times;Serif" w:hAnsi="Times New Roman;Times;Serif"/>
          <w:b/>
          <w:i w:val="false"/>
          <w:caps w:val="false"/>
          <w:smallCaps w:val="false"/>
          <w:sz w:val="20"/>
        </w:rPr>
        <w:t>Debt Commitment Letter</w:t>
      </w:r>
      <w:r>
        <w:rPr>
          <w:rFonts w:ascii="Times New Roman;Times;Serif" w:hAnsi="Times New Roman;Times;Serif"/>
          <w:b w:val="false"/>
          <w:i w:val="false"/>
          <w:caps w:val="false"/>
          <w:smallCaps w:val="false"/>
          <w:sz w:val="20"/>
        </w:rPr>
        <w:t>”) dated May 15, 2022 by and between CNTQ and Legacy Dragonfly, CCM Investments 5 LLC, an affiliate of CCM (“</w:t>
      </w:r>
      <w:r>
        <w:rPr>
          <w:rFonts w:ascii="Times New Roman;Times;Serif" w:hAnsi="Times New Roman;Times;Serif"/>
          <w:b/>
          <w:i w:val="false"/>
          <w:caps w:val="false"/>
          <w:smallCaps w:val="false"/>
          <w:sz w:val="20"/>
        </w:rPr>
        <w:t>CCM 5</w:t>
      </w:r>
      <w:r>
        <w:rPr>
          <w:rFonts w:ascii="Times New Roman;Times;Serif" w:hAnsi="Times New Roman;Times;Serif"/>
          <w:b w:val="false"/>
          <w:i w:val="false"/>
          <w:caps w:val="false"/>
          <w:smallCaps w:val="false"/>
          <w:sz w:val="20"/>
        </w:rPr>
        <w:t>”, and in connection with the Term Loan, the “</w:t>
      </w:r>
      <w:r>
        <w:rPr>
          <w:rFonts w:ascii="Times New Roman;Times;Serif" w:hAnsi="Times New Roman;Times;Serif"/>
          <w:b/>
          <w:i w:val="false"/>
          <w:caps w:val="false"/>
          <w:smallCaps w:val="false"/>
          <w:sz w:val="20"/>
        </w:rPr>
        <w:t>CNTQ Lender</w:t>
      </w:r>
      <w:r>
        <w:rPr>
          <w:rFonts w:ascii="Times New Roman;Times;Serif" w:hAnsi="Times New Roman;Times;Serif"/>
          <w:b w:val="false"/>
          <w:i w:val="false"/>
          <w:caps w:val="false"/>
          <w:smallCaps w:val="false"/>
          <w:sz w:val="20"/>
        </w:rPr>
        <w:t>”), and EICF Agent LLC (“</w:t>
      </w:r>
      <w:r>
        <w:rPr>
          <w:rFonts w:ascii="Times New Roman;Times;Serif" w:hAnsi="Times New Roman;Times;Serif"/>
          <w:b/>
          <w:i w:val="false"/>
          <w:caps w:val="false"/>
          <w:smallCaps w:val="false"/>
          <w:sz w:val="20"/>
        </w:rPr>
        <w:t>EIP</w:t>
      </w:r>
      <w:r>
        <w:rPr>
          <w:rFonts w:ascii="Times New Roman;Times;Serif" w:hAnsi="Times New Roman;Times;Serif"/>
          <w:b w:val="false"/>
          <w:i w:val="false"/>
          <w:caps w:val="false"/>
          <w:smallCaps w:val="false"/>
          <w:sz w:val="20"/>
        </w:rPr>
        <w:t>” and, collectively with the CNTQ Lender, the “</w:t>
      </w:r>
      <w:r>
        <w:rPr>
          <w:rFonts w:ascii="Times New Roman;Times;Serif" w:hAnsi="Times New Roman;Times;Serif"/>
          <w:b/>
          <w:i w:val="false"/>
          <w:caps w:val="false"/>
          <w:smallCaps w:val="false"/>
          <w:sz w:val="20"/>
        </w:rPr>
        <w:t>Initial Term Loan Lenders</w:t>
      </w:r>
      <w:r>
        <w:rPr>
          <w:rFonts w:ascii="Times New Roman;Times;Serif" w:hAnsi="Times New Roman;Times;Serif"/>
          <w:b w:val="false"/>
          <w:i w:val="false"/>
          <w:caps w:val="false"/>
          <w:smallCaps w:val="false"/>
          <w:sz w:val="20"/>
        </w:rPr>
        <w:t>”), in connection with the Closing, CNTQ, Legacy Dragonfly and the Initial Term Loan Lenders entered into the Term Loan, Guarantee and Security Agreement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 setting forth the terms of a senior secured term loan facility in an aggregate principal amount of $75 million (the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The CNTQ Lender backstopped its commitment under the Debt Commitment Letter by entering into a backstop commitment letter, dated as of May 20, 2022 (the “</w:t>
      </w:r>
      <w:r>
        <w:rPr>
          <w:rFonts w:ascii="Times New Roman;Times;Serif" w:hAnsi="Times New Roman;Times;Serif"/>
          <w:b/>
          <w:i w:val="false"/>
          <w:caps w:val="false"/>
          <w:smallCaps w:val="false"/>
          <w:sz w:val="20"/>
        </w:rPr>
        <w:t>Backstop Commitment Letter</w:t>
      </w:r>
      <w:r>
        <w:rPr>
          <w:rFonts w:ascii="Times New Roman;Times;Serif" w:hAnsi="Times New Roman;Times;Serif"/>
          <w:b w:val="false"/>
          <w:i w:val="false"/>
          <w:caps w:val="false"/>
          <w:smallCaps w:val="false"/>
          <w:sz w:val="20"/>
        </w:rPr>
        <w:t>”), with a certain third-party financing source (the “</w:t>
      </w:r>
      <w:r>
        <w:rPr>
          <w:rFonts w:ascii="Times New Roman;Times;Serif" w:hAnsi="Times New Roman;Times;Serif"/>
          <w:b/>
          <w:i w:val="false"/>
          <w:caps w:val="false"/>
          <w:smallCaps w:val="false"/>
          <w:sz w:val="20"/>
        </w:rPr>
        <w:t>Backstop Lender</w:t>
      </w:r>
      <w:r>
        <w:rPr>
          <w:rFonts w:ascii="Times New Roman;Times;Serif" w:hAnsi="Times New Roman;Times;Serif"/>
          <w:b w:val="false"/>
          <w:i w:val="false"/>
          <w:caps w:val="false"/>
          <w:smallCaps w:val="false"/>
          <w:sz w:val="20"/>
        </w:rPr>
        <w:t>” and collectively with EIP, the “</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pursuant to which the Backstop Lender committed to purchase from the CNTQ Lender the aggregate amount of the Term Loan held by the CNTQ Lender (the “</w:t>
      </w:r>
      <w:r>
        <w:rPr>
          <w:rFonts w:ascii="Times New Roman;Times;Serif" w:hAnsi="Times New Roman;Times;Serif"/>
          <w:b/>
          <w:i w:val="false"/>
          <w:caps w:val="false"/>
          <w:smallCaps w:val="false"/>
          <w:sz w:val="20"/>
        </w:rPr>
        <w:t>Backstopped Loans</w:t>
      </w:r>
      <w:r>
        <w:rPr>
          <w:rFonts w:ascii="Times New Roman;Times;Serif" w:hAnsi="Times New Roman;Times;Serif"/>
          <w:b w:val="false"/>
          <w:i w:val="false"/>
          <w:caps w:val="false"/>
          <w:smallCaps w:val="false"/>
          <w:sz w:val="20"/>
        </w:rPr>
        <w:t>”) immediately following the issuance of the Term Loan on the Closing Date. Pursuant to an assignment agreement, the Backstopped Loans were assigned by CCM 5 to the Backstop Lender on the Closing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The Term Loan accrues interest (i) until April 1, 2023, at a per annum rate equal to the adjusted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Alter Domus (US) LLC, as administrative agent for the lenders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54</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Times;Serif" w:hAnsi="Times New Roman;Times;Serif"/>
          <w:b/>
          <w:i w:val="false"/>
          <w:caps w:val="false"/>
          <w:smallCaps w:val="false"/>
          <w:sz w:val="20"/>
        </w:rPr>
        <w:t>Pledge Agreement</w:t>
      </w:r>
      <w:r>
        <w:rPr>
          <w:rFonts w:ascii="Times New Roman;Times;Serif" w:hAnsi="Times New Roman;Times;Serif"/>
          <w:b w:val="false"/>
          <w:i w:val="false"/>
          <w:caps w:val="false"/>
          <w:smallCaps w:val="false"/>
          <w:sz w:val="20"/>
        </w:rPr>
        <w:t>”) pursuant to which we pledged to the Administrative Agent our equity interests in Legacy Dragonfly as further collateral security for the obligations under the Term Loan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Agreements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and (ii) warrants to the Term Loan Lenders under the Term Loan exercisable to purchase 1,600,000 shares of our common stock at an exercise price of $10.00 per share (the “</w:t>
      </w:r>
      <w:r>
        <w:rPr>
          <w:rFonts w:ascii="Times New Roman;Times;Serif" w:hAnsi="Times New Roman;Times;Serif"/>
          <w:b/>
          <w:i w:val="false"/>
          <w:caps w:val="false"/>
          <w:smallCaps w:val="false"/>
          <w:sz w:val="20"/>
        </w:rPr>
        <w:t>$10 Warrants</w:t>
      </w:r>
      <w:r>
        <w:rPr>
          <w:rFonts w:ascii="Times New Roman;Times;Serif" w:hAnsi="Times New Roman;Times;Serif"/>
          <w:b w:val="false"/>
          <w:i w:val="false"/>
          <w:caps w:val="false"/>
          <w:smallCaps w:val="false"/>
          <w:sz w:val="20"/>
        </w:rPr>
        <w:t>” and, together with the Penny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55</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an exercise period of 10 years from the date of issuance. As of April 17, 2023, 1,248,294 shares of common stock have been issued upon the exercise of Penny Warrants.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Warrants had an exercise period of five years from the date of issuance and had customary cashless exercise provisions. As of December 31, 2022, the $10 Warrants have been exercised in full and are no longer outstanding.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Purchase Agreement and a Registration Rights Agreement (the “</w:t>
      </w:r>
      <w:r>
        <w:rPr>
          <w:rFonts w:ascii="Times New Roman;Times;Serif" w:hAnsi="Times New Roman;Times;Serif"/>
          <w:b/>
          <w:i w:val="false"/>
          <w:caps w:val="false"/>
          <w:smallCaps w:val="false"/>
          <w:sz w:val="20"/>
        </w:rPr>
        <w:t>ChEF RRA</w:t>
      </w:r>
      <w:r>
        <w:rPr>
          <w:rFonts w:ascii="Times New Roman;Times;Serif" w:hAnsi="Times New Roman;Times;Serif"/>
          <w:b w:val="false"/>
          <w:i w:val="false"/>
          <w:caps w:val="false"/>
          <w:smallCaps w:val="false"/>
          <w:sz w:val="20"/>
        </w:rPr>
        <w:t>”) with CCM in connection with the Closing. Pursuant to and on the terms of the Purchase Agreement, we have the right to sell and direct CCM to purchase an amount of shares of our common stock, over the term of the ChEF Equity Facility. In addition, we appointed LifeSci Capital, LLC as a “qualified independent underwriter” with respect to the transactions contemplated by the Purchase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CCM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together with its affiliates, of more than 9.9%, (ii) which would cause the aggregate purchase price on the applicable VWAP Purchase Date (as defined in the Purchase Agreement) for such purchases to exceed $3 million and (iii) equal to 20% of the total number of shares of common stock that would count towards VWAP on the applicable Purchase Date of such purchase. As of April 17, 2023, 98,500 shares have been issued pursuant to the Purchase Agreement with CCM for aggregate net proceeds to us of $670,593.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any sales under the Purchase Agreement will depend on the frequency with, and prices at, which shares of common stock are sold to CCM. To the extent we sell shares of our common stock under the Purchase Agreement, we currently plan to use any proceeds therefrom for working capital and other general corporate purposes.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is an affiliate of the Sponsor. In light of the beneficial ownership limitation set forth above, the Sponsor has agreed that the private placement warrants held by Chardan NexTech 2 Warrant Holdings, also an affiliate of the Sponsor, may not be exercised to the extent an affiliate of the Sponsor (including CCM) is deemed to beneficially own, or it would cause such affiliate to be deemed to beneficially own, more than 7.5% of our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ChEF RRA, we have agreed to provide CCM with certain registration rights with respect to the shares of common stock issued subject to the Purchase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shall have purchased $150 million of shares of our common stock pursuant to the Purchase Agreement, (iii) the date on which our common stock shall have failed to be listed or quoted on Nasdaq or any successor principal market and (iv) the commencement of certain bankruptcy proceedings or similar transactions with respect to us or all or substantially all of our property.</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56</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Agreements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CNTQ, Legacy Dragonfly and the Sponsor entered into a sponsor support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Officers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in connection with the consummation of the Business Combination Agreement, we entered into the Amended and Restated Registration Rights Agreement (the “</w:t>
      </w:r>
      <w:r>
        <w:rPr>
          <w:rFonts w:ascii="Times New Roman;Times;Serif" w:hAnsi="Times New Roman;Times;Serif"/>
          <w:b/>
          <w:i w:val="false"/>
          <w:caps w:val="false"/>
          <w:smallCaps w:val="false"/>
          <w:sz w:val="20"/>
        </w:rPr>
        <w:t>Insider Registration Rights Agreement</w:t>
      </w:r>
      <w:r>
        <w:rPr>
          <w:rFonts w:ascii="Times New Roman;Times;Serif" w:hAnsi="Times New Roman;Times;Serif"/>
          <w:b w:val="false"/>
          <w:i w:val="false"/>
          <w:caps w:val="false"/>
          <w:smallCaps w:val="false"/>
          <w:sz w:val="20"/>
        </w:rPr>
        <w:t>”) with the Sponsor, CNTQ’s officers, directors, initial stockholders, CCM and Warrant Holdings, an affiliate of the Sponsor (collectively, the “</w:t>
      </w:r>
      <w:r>
        <w:rPr>
          <w:rFonts w:ascii="Times New Roman;Times;Serif" w:hAnsi="Times New Roman;Times;Serif"/>
          <w:b/>
          <w:i w:val="false"/>
          <w:caps w:val="false"/>
          <w:smallCaps w:val="false"/>
          <w:sz w:val="20"/>
        </w:rPr>
        <w:t>Insiders</w:t>
      </w:r>
      <w:r>
        <w:rPr>
          <w:rFonts w:ascii="Times New Roman;Times;Serif" w:hAnsi="Times New Roman;Times;Serif"/>
          <w:b w:val="false"/>
          <w:i w:val="false"/>
          <w:caps w:val="false"/>
          <w:smallCaps w:val="false"/>
          <w:sz w:val="20"/>
        </w:rPr>
        <w:t>”) and certain Legacy Dragonfly stockholders for the registration of certain securities held by the Insiders.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Agreements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we entered into an asset purchase agreement (the “</w:t>
      </w:r>
      <w:r>
        <w:rPr>
          <w:rFonts w:ascii="Times New Roman;Times;Serif" w:hAnsi="Times New Roman;Times;Serif"/>
          <w:b/>
          <w:i w:val="false"/>
          <w:caps w:val="false"/>
          <w:smallCaps w:val="false"/>
          <w:sz w:val="20"/>
        </w:rPr>
        <w:t>APA</w:t>
      </w:r>
      <w:r>
        <w:rPr>
          <w:rFonts w:ascii="Times New Roman;Times;Serif" w:hAnsi="Times New Roman;Times;Serif"/>
          <w:b w:val="false"/>
          <w:i w:val="false"/>
          <w:caps w:val="false"/>
          <w:smallCaps w:val="false"/>
          <w:sz w:val="20"/>
        </w:rPr>
        <w:t>”) with Bourns Productions, Inc., a Nevada corporation (“</w:t>
      </w:r>
      <w:r>
        <w:rPr>
          <w:rFonts w:ascii="Times New Roman;Times;Serif" w:hAnsi="Times New Roman;Times;Serif"/>
          <w:b/>
          <w:i w:val="false"/>
          <w:caps w:val="false"/>
          <w:smallCaps w:val="false"/>
          <w:sz w:val="20"/>
        </w:rPr>
        <w:t>Bourns Production</w:t>
      </w:r>
      <w:r>
        <w:rPr>
          <w:rFonts w:ascii="Times New Roman;Times;Serif" w:hAnsi="Times New Roman;Times;Serif"/>
          <w:b w:val="false"/>
          <w:i w:val="false"/>
          <w:caps w:val="false"/>
          <w:smallCaps w:val="false"/>
          <w:sz w:val="20"/>
        </w:rPr>
        <w:t>”), pursuant to which we acquired machinery, equipment and a lease for a podcast studio from Bourns Production as set forth in the APA for a purchase price of approximately $197,000, which was the approximated fair market value. Tyler Bourns, our Chief Marketing Officer, is the owner and president of Bourns Productions.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2022, we entered into an asset purchase agreement (“</w:t>
      </w:r>
      <w:r>
        <w:rPr>
          <w:rFonts w:ascii="Times New Roman;Times;Serif" w:hAnsi="Times New Roman;Times;Serif"/>
          <w:b/>
          <w:i w:val="false"/>
          <w:caps w:val="false"/>
          <w:smallCaps w:val="false"/>
          <w:sz w:val="20"/>
        </w:rPr>
        <w:t>APA</w:t>
      </w:r>
      <w:r>
        <w:rPr>
          <w:rFonts w:ascii="Times New Roman;Times;Serif" w:hAnsi="Times New Roman;Times;Serif"/>
          <w:b w:val="false"/>
          <w:i w:val="false"/>
          <w:caps w:val="false"/>
          <w:smallCaps w:val="false"/>
          <w:sz w:val="20"/>
        </w:rPr>
        <w:t>”) with Thomason Jones Company, LLC, a Washington limited liability company (“</w:t>
      </w:r>
      <w:r>
        <w:rPr>
          <w:rFonts w:ascii="Times New Roman;Times;Serif" w:hAnsi="Times New Roman;Times;Serif"/>
          <w:b/>
          <w:i w:val="false"/>
          <w:caps w:val="false"/>
          <w:smallCaps w:val="false"/>
          <w:sz w:val="20"/>
        </w:rPr>
        <w:t>TJC</w:t>
      </w:r>
      <w:r>
        <w:rPr>
          <w:rFonts w:ascii="Times New Roman;Times;Serif" w:hAnsi="Times New Roman;Times;Serif"/>
          <w:b w:val="false"/>
          <w:i w:val="false"/>
          <w:caps w:val="false"/>
          <w:smallCaps w:val="false"/>
          <w:sz w:val="20"/>
        </w:rPr>
        <w:t>”), pursuant to which we acquired intellectual property rights and inventory for a purchase price of approximately $444,000 which was the approximated fair market value. William Thomason and Richard Jones, our engineer and sales representative, are the managing members of TJC.</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Sean Nichols, our former Chief Operating Officer, would be leaving the Company to pursue other interests. His last day of employment was November 7, 2022 (the “</w:t>
      </w:r>
      <w:r>
        <w:rPr>
          <w:rFonts w:ascii="Times New Roman;Times;Serif" w:hAnsi="Times New Roman;Times;Serif"/>
          <w:b/>
          <w:i w:val="false"/>
          <w:caps w:val="false"/>
          <w:smallCaps w:val="false"/>
          <w:sz w:val="20"/>
        </w:rPr>
        <w:t>Separation Date</w:t>
      </w:r>
      <w:r>
        <w:rPr>
          <w:rFonts w:ascii="Times New Roman;Times;Serif" w:hAnsi="Times New Roman;Times;Serif"/>
          <w:b w:val="false"/>
          <w:i w:val="false"/>
          <w:caps w:val="false"/>
          <w:smallCaps w:val="false"/>
          <w:sz w:val="20"/>
        </w:rPr>
        <w:t>”). On October 25, 2022, we entered into a separation and release agreement with Mr. Nichols that became effective and fully irrevocable on November 2, 2022, which was subsequently amended on November 14, 2022 (as amended, the “</w:t>
      </w:r>
      <w:r>
        <w:rPr>
          <w:rFonts w:ascii="Times New Roman;Times;Serif" w:hAnsi="Times New Roman;Times;Serif"/>
          <w:b/>
          <w:i w:val="false"/>
          <w:caps w:val="false"/>
          <w:smallCaps w:val="false"/>
          <w:sz w:val="20"/>
        </w:rPr>
        <w:t>Separation Agreement</w:t>
      </w:r>
      <w:r>
        <w:rPr>
          <w:rFonts w:ascii="Times New Roman;Times;Serif" w:hAnsi="Times New Roman;Times;Serif"/>
          <w:b w:val="false"/>
          <w:i w:val="false"/>
          <w:caps w:val="false"/>
          <w:smallCaps w:val="false"/>
          <w:sz w:val="20"/>
        </w:rPr>
        <w: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the First Amended and Restated Employment Agreement (the “</w:t>
      </w:r>
      <w:r>
        <w:rPr>
          <w:rFonts w:ascii="Times New Roman;Times;Serif" w:hAnsi="Times New Roman;Times;Serif"/>
          <w:b/>
          <w:i w:val="false"/>
          <w:caps w:val="false"/>
          <w:smallCaps w:val="false"/>
          <w:sz w:val="20"/>
        </w:rPr>
        <w:t>Restated Agreement</w:t>
      </w:r>
      <w:r>
        <w:rPr>
          <w:rFonts w:ascii="Times New Roman;Times;Serif" w:hAnsi="Times New Roman;Times;Serif"/>
          <w:b w:val="false"/>
          <w:i w:val="false"/>
          <w:caps w:val="false"/>
          <w:smallCaps w:val="false"/>
          <w:sz w:val="20"/>
        </w:rPr>
        <w:t>”) with John Marchetti, our Chief Financial Officer. The Restated Agreement amended and restated the employment agreement, dated October 11, 2022, by and between us and Mr. Marchetti (the “</w:t>
      </w:r>
      <w:r>
        <w:rPr>
          <w:rFonts w:ascii="Times New Roman;Times;Serif" w:hAnsi="Times New Roman;Times;Serif"/>
          <w:b/>
          <w:i w:val="false"/>
          <w:caps w:val="false"/>
          <w:smallCaps w:val="false"/>
          <w:sz w:val="20"/>
        </w:rPr>
        <w:t>Original Agreement</w:t>
      </w:r>
      <w:r>
        <w:rPr>
          <w:rFonts w:ascii="Times New Roman;Times;Serif" w:hAnsi="Times New Roman;Times;Serif"/>
          <w:b w:val="false"/>
          <w:i w:val="false"/>
          <w:caps w:val="false"/>
          <w:smallCaps w:val="false"/>
          <w:sz w:val="20"/>
        </w:rPr>
        <w:t>”). The Restated Agreement provides that Mr. Marchetti will receive a minimum annual bonus of $175,000 for the fiscal year ending December 31, 2023. All other terms of the Restated Agreement remain the same as the Original Agreement.</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57</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an unsecured convertible promissory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in the principal amount of $1.0 million (the “</w:t>
      </w:r>
      <w:r>
        <w:rPr>
          <w:rFonts w:ascii="Times New Roman;Times;Serif" w:hAnsi="Times New Roman;Times;Serif"/>
          <w:b/>
          <w:i w:val="false"/>
          <w:caps w:val="false"/>
          <w:smallCaps w:val="false"/>
          <w:sz w:val="20"/>
        </w:rPr>
        <w:t>Principal Amount</w:t>
      </w:r>
      <w:r>
        <w:rPr>
          <w:rFonts w:ascii="Times New Roman;Times;Serif" w:hAnsi="Times New Roman;Times;Serif"/>
          <w:b w:val="false"/>
          <w:i w:val="false"/>
          <w:caps w:val="false"/>
          <w:smallCaps w:val="false"/>
          <w:sz w:val="20"/>
        </w:rPr>
        <w:t>”) to Brian Nelson, one of our directors, in a private placement in exchange for cash in an equal amount. The Note became due and payable in full on April 1, 2023. We were also obligated to pay $100,000 (the “</w:t>
      </w:r>
      <w:r>
        <w:rPr>
          <w:rFonts w:ascii="Times New Roman;Times;Serif" w:hAnsi="Times New Roman;Times;Serif"/>
          <w:b/>
          <w:i w:val="false"/>
          <w:caps w:val="false"/>
          <w:smallCaps w:val="false"/>
          <w:sz w:val="20"/>
        </w:rPr>
        <w:t>Loan Fee</w:t>
      </w:r>
      <w:r>
        <w:rPr>
          <w:rFonts w:ascii="Times New Roman;Times;Serif" w:hAnsi="Times New Roman;Times;Serif"/>
          <w:b w:val="false"/>
          <w:i w:val="false"/>
          <w:caps w:val="false"/>
          <w:smallCaps w:val="false"/>
          <w:sz w:val="20"/>
        </w:rPr>
        <w:t>”) to Mr. Nelson on April 4, 2023. We paid the Principal Amount and the Loan Fee in full on April 1, 2023 and April 4, 2023,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we changed our state of incorporation from the State of Delaware to the State of Nevada (the “</w:t>
      </w:r>
      <w:r>
        <w:rPr>
          <w:rFonts w:ascii="Times New Roman;Times;Serif" w:hAnsi="Times New Roman;Times;Serif"/>
          <w:b/>
          <w:i w:val="false"/>
          <w:caps w:val="false"/>
          <w:smallCaps w:val="false"/>
          <w:sz w:val="20"/>
        </w:rPr>
        <w:t>Reincorporation</w:t>
      </w:r>
      <w:r>
        <w:rPr>
          <w:rFonts w:ascii="Times New Roman;Times;Serif" w:hAnsi="Times New Roman;Times;Serif"/>
          <w:b w:val="false"/>
          <w:i w:val="false"/>
          <w:caps w:val="false"/>
          <w:smallCaps w:val="false"/>
          <w:sz w:val="20"/>
        </w:rPr>
        <w:t>”) pursuant to a plan of conversion dated March 30, 2023 (the “</w:t>
      </w:r>
      <w:r>
        <w:rPr>
          <w:rFonts w:ascii="Times New Roman;Times;Serif" w:hAnsi="Times New Roman;Times;Serif"/>
          <w:b/>
          <w:i w:val="false"/>
          <w:caps w:val="false"/>
          <w:smallCaps w:val="false"/>
          <w:sz w:val="20"/>
        </w:rPr>
        <w:t>Plan of Conversion</w:t>
      </w:r>
      <w:r>
        <w:rPr>
          <w:rFonts w:ascii="Times New Roman;Times;Serif" w:hAnsi="Times New Roman;Times;Serif"/>
          <w:b w:val="false"/>
          <w:i w:val="false"/>
          <w:caps w:val="false"/>
          <w:smallCaps w:val="false"/>
          <w:sz w:val="20"/>
        </w:rPr>
        <w:t>”). The Reincorporation was accomplished by filing: (i) a certificate of conversion with the Secretary of State of the State of Delaware; (ii) articles of conversion with the Secretary of State of the State of Nevada; and (iii) articles of incorporation (the “</w:t>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t>”) with the Secretary of State of the State of Nevada. In connection with the Reincorporation, our board of directors adopted new bylaws in the form attached to the Plan of Conversion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Reincorporation was previously submitted to a vote of, and approved by, the Company’s stockholders at a special meeting of stockholders held on February 28, 2023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17, 2023, 98,500 shares have been issued under the ChEF Equity Facility for aggregate net proceeds to us of $670,593.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mailing address of our principal executive office is 1190 Trademark Dr. #108, Reno, Nevada 89521, and our telephone number is (775) 622-3448. On March 31, 2023, we effected the Reincorporation from the State of Delaware into the State of Nevada.</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58</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bookmarkStart w:id="33" w:name="Na_001"/>
      <w:bookmarkEnd w:id="33"/>
      <w:r>
        <w:rPr>
          <w:rFonts w:ascii="Times New Roman;Times;Serif" w:hAnsi="Times New Roman;Times;Serif"/>
          <w:b/>
          <w:i w:val="false"/>
          <w:caps w:val="false"/>
          <w:smallCaps w:val="false"/>
          <w:sz w:val="20"/>
        </w:rPr>
        <w:t>MANAGEMENT’S DISCUSSION AND ANALYSIS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OF</w:t>
        <w:br/>
        <w:t>FINANCIAL CONDITION AND RESULTS OF OPERATIONS</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 a result of the completion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226,000 batteries. For the years ended December 31, 2022 and 2021, we sold 96,034 and 74,652 batteries, respectively, and had $86.3 million and $78.0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OEMs.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increased total sales are a reflection of strong growth in OEM sales and Wakespeed products, partially offset by a decline in DTC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cells incorporated into our batteries from a limited number of carefully selected suppliers that can meet our demanding quality standards and with whom we have developed long-term relationships.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we have been developing proprietary LFP solid-state cell technology and manufacturing processes. Our solid-state technology design allows for a much safer, more efficient cell that we believe will be a key differentiator in the energy storage market.</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59</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or the Closing Date,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Under this method of accounting, CNTQ was treated as the acquired company for financial statement reporting purposes.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ChEF Equity Facility. We have chosen to be conservative because of the performance of our common stock in February and March 2023. Much of this was due to the low public float, low institutional interest (since we are pre-lockup expiration), and low visibility of the Company in general. Moving forward, after the lockup expiration, we intend to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had cash totaling $17.8 million. Our net loss for the year ended December 31, 2022 was $39.6 million and our net income for the year ended December 31, 2021 was $4.3 million. As a result of becoming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DTC and (2) through OEMs, particularly in the RV market.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have caused a downward shift in decisions taken by end market consumers around spending.</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60</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non-binding Memorandum of Understanding with a lithium mining company located in Nevada for the supply of lithium, which we expect will enable us to further manage our cost of goods.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61</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is primarily generated from the sale of our LFP batteries to OEMs and consumers, as well as chargers and other accessories, either individually or bundled.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62</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information technology organizations, certain facility costs, and fees for professional services.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expense, the change in fair value of the warrant liability and amortization of debt issuance costs.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Years Ended December 31, 2022 and 2021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years ended December 31, 2022 and 2021. This data should be read together with our financial statements and related notes included elsewhere in this Registration Statement, and is qualified in its entirety by reference to such financial statements and related notes.</w:t>
      </w:r>
    </w:p>
    <w:p>
      <w:pPr>
        <w:pStyle w:val="TextBody"/>
        <w:jc w:val="both"/>
        <w:rPr>
          <w:caps w:val="false"/>
          <w:smallCaps w:val="false"/>
        </w:rPr>
      </w:pPr>
      <w:r>
        <w:rPr>
          <w:caps w:val="false"/>
          <w:smallCaps w:val="false"/>
        </w:rPr>
        <w:t> </w:t>
      </w:r>
    </w:p>
    <w:tbl>
      <w:tblPr>
        <w:tblW w:w="9308" w:type="dxa"/>
        <w:jc w:val="left"/>
        <w:tblInd w:w="0" w:type="dxa"/>
        <w:tblCellMar>
          <w:top w:w="0" w:type="dxa"/>
          <w:left w:w="0" w:type="dxa"/>
          <w:bottom w:w="0" w:type="dxa"/>
          <w:right w:w="0" w:type="dxa"/>
        </w:tblCellMar>
      </w:tblPr>
      <w:tblGrid>
        <w:gridCol w:w="4460"/>
        <w:gridCol w:w="60"/>
        <w:gridCol w:w="140"/>
        <w:gridCol w:w="755"/>
        <w:gridCol w:w="95"/>
        <w:gridCol w:w="60"/>
        <w:gridCol w:w="119"/>
        <w:gridCol w:w="1130"/>
        <w:gridCol w:w="95"/>
        <w:gridCol w:w="60"/>
        <w:gridCol w:w="140"/>
        <w:gridCol w:w="680"/>
        <w:gridCol w:w="95"/>
        <w:gridCol w:w="60"/>
        <w:gridCol w:w="119"/>
        <w:gridCol w:w="1130"/>
        <w:gridCol w:w="110"/>
      </w:tblGrid>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78"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Years ended December 31,</w:t>
            </w:r>
          </w:p>
        </w:tc>
        <w:tc>
          <w:tcPr>
            <w:tcW w:w="110"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Net Sales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Net Sales</w:t>
            </w:r>
          </w:p>
        </w:tc>
        <w:tc>
          <w:tcPr>
            <w:tcW w:w="110"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78" w:type="dxa"/>
            <w:gridSpan w:val="14"/>
            <w:tcBorders/>
            <w:shd w:fill="auto" w:val="clear"/>
            <w:vAlign w:val="center"/>
          </w:tcPr>
          <w:p>
            <w:pPr>
              <w:pStyle w:val="TableContents"/>
              <w:spacing w:before="0" w:after="283"/>
              <w:jc w:val="center"/>
              <w:rPr>
                <w:b/>
              </w:rPr>
            </w:pPr>
            <w:r>
              <w:rPr>
                <w:b/>
              </w:rPr>
              <w:t>(in thousands)</w:t>
            </w:r>
          </w:p>
        </w:tc>
        <w:tc>
          <w:tcPr>
            <w:tcW w:w="110" w:type="dxa"/>
            <w:tcBorders/>
            <w:shd w:fill="auto" w:val="clear"/>
            <w:vAlign w:val="center"/>
          </w:tcPr>
          <w:p>
            <w:pPr>
              <w:pStyle w:val="TableContents"/>
              <w:spacing w:before="0" w:after="283"/>
              <w:rPr/>
            </w:pPr>
            <w:r>
              <w:rPr/>
              <w:t> </w:t>
            </w:r>
          </w:p>
        </w:tc>
      </w:tr>
      <w:tr>
        <w:trPr/>
        <w:tc>
          <w:tcPr>
            <w:tcW w:w="4460" w:type="dxa"/>
            <w:tcBorders/>
            <w:shd w:fill="CCEEFF" w:val="clear"/>
            <w:vAlign w:val="center"/>
          </w:tcPr>
          <w:p>
            <w:pPr>
              <w:pStyle w:val="TableContents"/>
              <w:spacing w:before="0" w:after="283"/>
              <w:jc w:val="left"/>
              <w:rPr>
                <w:b/>
              </w:rPr>
            </w:pPr>
            <w:r>
              <w:rPr>
                <w:b/>
              </w:rPr>
              <w:t>Net Sales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86,251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100.0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78,000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100.0</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Cost of Goods Sold</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62,247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spacing w:before="0" w:after="283"/>
              <w:jc w:val="right"/>
              <w:rPr/>
            </w:pPr>
            <w:r>
              <w:rPr/>
              <w:t>72.2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48,375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spacing w:before="0" w:after="283"/>
              <w:jc w:val="right"/>
              <w:rPr/>
            </w:pPr>
            <w:r>
              <w:rPr/>
              <w:t>62.0</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Gross profit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24,004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27.8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29,625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38.0</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Operating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113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113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pPr>
            <w:r>
              <w:rPr/>
              <w:t>Research and development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2,764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3.2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2,689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3.4</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General and administrative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41,566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1130" w:type="dxa"/>
            <w:tcBorders/>
            <w:shd w:fill="FFFFFF" w:val="clear"/>
            <w:vAlign w:val="center"/>
          </w:tcPr>
          <w:p>
            <w:pPr>
              <w:pStyle w:val="TableContents"/>
              <w:spacing w:before="0" w:after="283"/>
              <w:jc w:val="right"/>
              <w:rPr/>
            </w:pPr>
            <w:r>
              <w:rPr/>
              <w:t>48.2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10,621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1130" w:type="dxa"/>
            <w:tcBorders/>
            <w:shd w:fill="FFFFFF" w:val="clear"/>
            <w:vAlign w:val="center"/>
          </w:tcPr>
          <w:p>
            <w:pPr>
              <w:pStyle w:val="TableContents"/>
              <w:spacing w:before="0" w:after="283"/>
              <w:jc w:val="right"/>
              <w:rPr/>
            </w:pPr>
            <w:r>
              <w:rPr/>
              <w:t>13.6</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pPr>
            <w:r>
              <w:rPr/>
              <w:t>Sales and marketing</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13,671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15.9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9,848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12.6</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rPr>
            </w:pPr>
            <w:r>
              <w:rPr>
                <w:b/>
              </w:rPr>
              <w:t>Total Operating expenses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58,001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spacing w:before="0" w:after="283"/>
              <w:jc w:val="right"/>
              <w:rPr/>
            </w:pPr>
            <w:r>
              <w:rPr/>
              <w:t>67.2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23,158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spacing w:before="0" w:after="283"/>
              <w:jc w:val="right"/>
              <w:rPr/>
            </w:pPr>
            <w:r>
              <w:rPr/>
              <w:t>29.7</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(Loss) Income From Operations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(33,997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(39.4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6,467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8.3</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Other Income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113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113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pPr>
            <w:r>
              <w:rPr/>
              <w:t>Other income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0.0</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Interest expense,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(6,945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1130" w:type="dxa"/>
            <w:tcBorders/>
            <w:shd w:fill="FFFFFF" w:val="clear"/>
            <w:vAlign w:val="center"/>
          </w:tcPr>
          <w:p>
            <w:pPr>
              <w:pStyle w:val="TableContents"/>
              <w:spacing w:before="0" w:after="283"/>
              <w:jc w:val="right"/>
              <w:rPr/>
            </w:pPr>
            <w:r>
              <w:rPr/>
              <w:t>(8.1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(519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1130" w:type="dxa"/>
            <w:tcBorders/>
            <w:shd w:fill="FFFFFF" w:val="clear"/>
            <w:vAlign w:val="center"/>
          </w:tcPr>
          <w:p>
            <w:pPr>
              <w:pStyle w:val="TableContents"/>
              <w:spacing w:before="0" w:after="283"/>
              <w:jc w:val="right"/>
              <w:rPr/>
            </w:pPr>
            <w:r>
              <w:rPr/>
              <w:t>(0.7</w:t>
            </w:r>
          </w:p>
        </w:tc>
        <w:tc>
          <w:tcPr>
            <w:tcW w:w="110" w:type="dxa"/>
            <w:tcBorders/>
            <w:shd w:fill="FFFFFF" w:val="clear"/>
            <w:vAlign w:val="center"/>
          </w:tcPr>
          <w:p>
            <w:pPr>
              <w:pStyle w:val="TableContents"/>
              <w:spacing w:before="0" w:after="283"/>
              <w:jc w:val="left"/>
              <w:rPr/>
            </w:pPr>
            <w:r>
              <w:rPr/>
              <w:t>)</w:t>
            </w:r>
          </w:p>
        </w:tc>
      </w:tr>
      <w:tr>
        <w:trPr/>
        <w:tc>
          <w:tcPr>
            <w:tcW w:w="4460" w:type="dxa"/>
            <w:tcBorders/>
            <w:shd w:fill="CCEEFF" w:val="clear"/>
            <w:vAlign w:val="center"/>
          </w:tcPr>
          <w:p>
            <w:pPr>
              <w:pStyle w:val="TableContents"/>
              <w:spacing w:before="0" w:after="283"/>
              <w:jc w:val="left"/>
              <w:rPr/>
            </w:pPr>
            <w:r>
              <w:rPr/>
              <w:t>Change in fair market value of warrant liability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5,446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6.3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1130"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Debt extinguishment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(4,824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1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spacing w:before="0" w:after="283"/>
              <w:jc w:val="right"/>
              <w:rPr/>
            </w:pPr>
            <w:r>
              <w:rPr/>
              <w:t>(5.6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Total Other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(6,283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1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spacing w:before="0" w:after="283"/>
              <w:jc w:val="right"/>
              <w:rPr/>
            </w:pPr>
            <w:r>
              <w:rPr/>
              <w:t>(7.3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(518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1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spacing w:before="0" w:after="283"/>
              <w:jc w:val="right"/>
              <w:rPr/>
            </w:pPr>
            <w:r>
              <w:rPr/>
              <w:t>(0.7</w:t>
            </w:r>
          </w:p>
        </w:tc>
        <w:tc>
          <w:tcPr>
            <w:tcW w:w="110" w:type="dxa"/>
            <w:tcBorders/>
            <w:shd w:fill="CCEEFF" w:val="clear"/>
            <w:vAlign w:val="center"/>
          </w:tcPr>
          <w:p>
            <w:pPr>
              <w:pStyle w:val="TableContents"/>
              <w:spacing w:before="0" w:after="283"/>
              <w:jc w:val="left"/>
              <w:rPr/>
            </w:pPr>
            <w:r>
              <w:rPr/>
              <w:t>)</w:t>
            </w:r>
          </w:p>
        </w:tc>
      </w:tr>
      <w:tr>
        <w:trPr/>
        <w:tc>
          <w:tcPr>
            <w:tcW w:w="4460" w:type="dxa"/>
            <w:tcBorders/>
            <w:shd w:fill="FFFFFF" w:val="clear"/>
            <w:vAlign w:val="center"/>
          </w:tcPr>
          <w:p>
            <w:pPr>
              <w:pStyle w:val="TableContents"/>
              <w:spacing w:before="0" w:after="283"/>
              <w:jc w:val="left"/>
              <w:rPr>
                <w:b/>
              </w:rPr>
            </w:pPr>
            <w:r>
              <w:rPr>
                <w:b/>
              </w:rPr>
              <w:t>(Loss) Income Before Taxes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(40,280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1130" w:type="dxa"/>
            <w:tcBorders/>
            <w:shd w:fill="FFFFFF" w:val="clear"/>
            <w:vAlign w:val="center"/>
          </w:tcPr>
          <w:p>
            <w:pPr>
              <w:pStyle w:val="TableContents"/>
              <w:spacing w:before="0" w:after="283"/>
              <w:jc w:val="right"/>
              <w:rPr/>
            </w:pPr>
            <w:r>
              <w:rPr/>
              <w:t>(46.7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5,949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1130" w:type="dxa"/>
            <w:tcBorders/>
            <w:shd w:fill="FFFFFF" w:val="clear"/>
            <w:vAlign w:val="center"/>
          </w:tcPr>
          <w:p>
            <w:pPr>
              <w:pStyle w:val="TableContents"/>
              <w:spacing w:before="0" w:after="283"/>
              <w:jc w:val="right"/>
              <w:rPr/>
            </w:pPr>
            <w:r>
              <w:rPr/>
              <w:t>7.6</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Income Tax (Benefit)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(709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1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spacing w:before="0" w:after="283"/>
              <w:jc w:val="right"/>
              <w:rPr/>
            </w:pPr>
            <w:r>
              <w:rPr/>
              <w:t>(0.8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1,611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spacing w:before="0" w:after="283"/>
              <w:jc w:val="right"/>
              <w:rPr/>
            </w:pPr>
            <w:r>
              <w:rPr/>
              <w:t>2.1</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rPr>
            </w:pPr>
            <w:r>
              <w:rPr>
                <w:b/>
              </w:rPr>
              <w:t>Net (Loss) Income</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pPr>
            <w:r>
              <w:rPr/>
              <w:t>(39,571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19"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(45.9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spacing w:before="0" w:after="283"/>
              <w:jc w:val="right"/>
              <w:rPr/>
            </w:pPr>
            <w:r>
              <w:rPr/>
              <w:t>4,338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5.6</w:t>
            </w:r>
          </w:p>
        </w:tc>
        <w:tc>
          <w:tcPr>
            <w:tcW w:w="110"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63</w:t>
            </w:r>
          </w:p>
        </w:tc>
      </w:tr>
    </w:tbl>
    <w:p>
      <w:pPr>
        <w:pStyle w:val="TextBody"/>
        <w:spacing w:before="120" w:after="283"/>
        <w:rPr/>
      </w:pPr>
      <w:r>
        <w:rPr/>
        <w:t> </w:t>
      </w:r>
    </w:p>
    <w:p>
      <w:pPr>
        <w:pStyle w:val="TextBody"/>
        <w:rPr>
          <w:caps w:val="false"/>
          <w:smallCaps w:val="false"/>
        </w:rPr>
      </w:pPr>
      <w:r>
        <w:rPr>
          <w:caps w:val="false"/>
          <w:smallCaps w:val="false"/>
        </w:rPr>
        <w:t> </w:t>
      </w:r>
    </w:p>
    <w:tbl>
      <w:tblPr>
        <w:tblW w:w="4071" w:type="dxa"/>
        <w:jc w:val="left"/>
        <w:tblInd w:w="0" w:type="dxa"/>
        <w:tblCellMar>
          <w:top w:w="0" w:type="dxa"/>
          <w:left w:w="0" w:type="dxa"/>
          <w:bottom w:w="0" w:type="dxa"/>
          <w:right w:w="0" w:type="dxa"/>
        </w:tblCellMar>
      </w:tblPr>
      <w:tblGrid>
        <w:gridCol w:w="1190"/>
        <w:gridCol w:w="60"/>
        <w:gridCol w:w="218"/>
        <w:gridCol w:w="1062"/>
        <w:gridCol w:w="93"/>
        <w:gridCol w:w="93"/>
        <w:gridCol w:w="218"/>
        <w:gridCol w:w="1062"/>
        <w:gridCol w:w="75"/>
      </w:tblGrid>
      <w:tr>
        <w:trPr/>
        <w:tc>
          <w:tcPr>
            <w:tcW w:w="11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746"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Years ended December 31,</w:t>
            </w:r>
          </w:p>
        </w:tc>
        <w:tc>
          <w:tcPr>
            <w:tcW w:w="75" w:type="dxa"/>
            <w:tcBorders/>
            <w:shd w:fill="auto" w:val="clear"/>
            <w:vAlign w:val="center"/>
          </w:tcPr>
          <w:p>
            <w:pPr>
              <w:pStyle w:val="TableContents"/>
              <w:spacing w:before="0" w:after="283"/>
              <w:rPr/>
            </w:pPr>
            <w:r>
              <w:rPr/>
              <w:t> </w:t>
            </w:r>
          </w:p>
        </w:tc>
      </w:tr>
      <w:tr>
        <w:trPr/>
        <w:tc>
          <w:tcPr>
            <w:tcW w:w="11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3"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11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746" w:type="dxa"/>
            <w:gridSpan w:val="6"/>
            <w:tcBorders/>
            <w:shd w:fill="auto" w:val="clear"/>
            <w:vAlign w:val="center"/>
          </w:tcPr>
          <w:p>
            <w:pPr>
              <w:pStyle w:val="TableContents"/>
              <w:spacing w:before="0" w:after="283"/>
              <w:jc w:val="center"/>
              <w:rPr>
                <w:b/>
              </w:rPr>
            </w:pPr>
            <w:r>
              <w:rPr>
                <w:b/>
              </w:rPr>
              <w:t>(in thousands)</w:t>
            </w:r>
          </w:p>
        </w:tc>
        <w:tc>
          <w:tcPr>
            <w:tcW w:w="75" w:type="dxa"/>
            <w:tcBorders/>
            <w:shd w:fill="auto" w:val="clear"/>
            <w:vAlign w:val="center"/>
          </w:tcPr>
          <w:p>
            <w:pPr>
              <w:pStyle w:val="TableContents"/>
              <w:spacing w:before="0" w:after="283"/>
              <w:rPr/>
            </w:pPr>
            <w:r>
              <w:rPr/>
              <w:t> </w:t>
            </w:r>
          </w:p>
        </w:tc>
      </w:tr>
      <w:tr>
        <w:trPr/>
        <w:tc>
          <w:tcPr>
            <w:tcW w:w="1190" w:type="dxa"/>
            <w:tcBorders/>
            <w:shd w:fill="CCEEFF" w:val="clear"/>
            <w:vAlign w:val="center"/>
          </w:tcPr>
          <w:p>
            <w:pPr>
              <w:pStyle w:val="TableContents"/>
              <w:spacing w:before="0" w:after="283"/>
              <w:rPr/>
            </w:pPr>
            <w:r>
              <w:rPr/>
              <w:t>Retailer</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062" w:type="dxa"/>
            <w:tcBorders/>
            <w:shd w:fill="CCEEFF" w:val="clear"/>
            <w:vAlign w:val="center"/>
          </w:tcPr>
          <w:p>
            <w:pPr>
              <w:pStyle w:val="TableContents"/>
              <w:spacing w:before="0" w:after="283"/>
              <w:jc w:val="right"/>
              <w:rPr/>
            </w:pPr>
            <w:r>
              <w:rPr/>
              <w:t>43,344</w:t>
            </w:r>
          </w:p>
        </w:tc>
        <w:tc>
          <w:tcPr>
            <w:tcW w:w="93" w:type="dxa"/>
            <w:tcBorders/>
            <w:shd w:fill="CCEEFF" w:val="clear"/>
            <w:vAlign w:val="center"/>
          </w:tcPr>
          <w:p>
            <w:pPr>
              <w:pStyle w:val="TableContents"/>
              <w:spacing w:before="0" w:after="283"/>
              <w:jc w:val="left"/>
              <w:rPr/>
            </w:pPr>
            <w:r>
              <w:rPr/>
              <w:t> </w:t>
            </w:r>
          </w:p>
        </w:tc>
        <w:tc>
          <w:tcPr>
            <w:tcW w:w="93"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062" w:type="dxa"/>
            <w:tcBorders/>
            <w:shd w:fill="CCEEFF" w:val="clear"/>
            <w:vAlign w:val="center"/>
          </w:tcPr>
          <w:p>
            <w:pPr>
              <w:pStyle w:val="TableContents"/>
              <w:spacing w:before="0" w:after="283"/>
              <w:jc w:val="right"/>
              <w:rPr/>
            </w:pPr>
            <w:r>
              <w:rPr/>
              <w:t>59,042</w:t>
            </w:r>
          </w:p>
        </w:tc>
        <w:tc>
          <w:tcPr>
            <w:tcW w:w="75" w:type="dxa"/>
            <w:tcBorders/>
            <w:shd w:fill="CCEEFF" w:val="clear"/>
            <w:vAlign w:val="center"/>
          </w:tcPr>
          <w:p>
            <w:pPr>
              <w:pStyle w:val="TableContents"/>
              <w:spacing w:before="0" w:after="283"/>
              <w:jc w:val="left"/>
              <w:rPr/>
            </w:pPr>
            <w:r>
              <w:rPr/>
              <w:t> </w:t>
            </w:r>
          </w:p>
        </w:tc>
      </w:tr>
      <w:tr>
        <w:trPr/>
        <w:tc>
          <w:tcPr>
            <w:tcW w:w="1190" w:type="dxa"/>
            <w:tcBorders/>
            <w:shd w:fill="FFFFFF" w:val="clear"/>
            <w:vAlign w:val="center"/>
          </w:tcPr>
          <w:p>
            <w:pPr>
              <w:pStyle w:val="TableContents"/>
              <w:spacing w:before="0" w:after="283"/>
              <w:rPr/>
            </w:pPr>
            <w:r>
              <w:rPr/>
              <w:t>Distributor</w:t>
            </w:r>
          </w:p>
        </w:tc>
        <w:tc>
          <w:tcPr>
            <w:tcW w:w="60" w:type="dxa"/>
            <w:tcBorders/>
            <w:shd w:fill="FFFFFF" w:val="clear"/>
            <w:vAlign w:val="center"/>
          </w:tcPr>
          <w:p>
            <w:pPr>
              <w:pStyle w:val="TableContents"/>
              <w:spacing w:before="0" w:after="283"/>
              <w:rPr/>
            </w:pPr>
            <w:r>
              <w:rPr/>
              <w:t> </w:t>
            </w:r>
          </w:p>
        </w:tc>
        <w:tc>
          <w:tcPr>
            <w:tcW w:w="21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spacing w:before="0" w:after="283"/>
              <w:jc w:val="right"/>
              <w:rPr/>
            </w:pPr>
            <w:r>
              <w:rPr/>
              <w:t>9,102</w:t>
            </w:r>
          </w:p>
        </w:tc>
        <w:tc>
          <w:tcPr>
            <w:tcW w:w="93" w:type="dxa"/>
            <w:tcBorders/>
            <w:shd w:fill="FFFFFF" w:val="clear"/>
            <w:vAlign w:val="center"/>
          </w:tcPr>
          <w:p>
            <w:pPr>
              <w:pStyle w:val="TableContents"/>
              <w:spacing w:before="0" w:after="283"/>
              <w:jc w:val="left"/>
              <w:rPr/>
            </w:pPr>
            <w:r>
              <w:rPr/>
              <w:t> </w:t>
            </w:r>
          </w:p>
        </w:tc>
        <w:tc>
          <w:tcPr>
            <w:tcW w:w="93" w:type="dxa"/>
            <w:tcBorders/>
            <w:shd w:fill="FFFFFF" w:val="clear"/>
            <w:vAlign w:val="center"/>
          </w:tcPr>
          <w:p>
            <w:pPr>
              <w:pStyle w:val="TableContents"/>
              <w:spacing w:before="0" w:after="283"/>
              <w:rPr/>
            </w:pPr>
            <w:r>
              <w:rPr/>
              <w:t> </w:t>
            </w:r>
          </w:p>
        </w:tc>
        <w:tc>
          <w:tcPr>
            <w:tcW w:w="21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spacing w:before="0" w:after="283"/>
              <w:jc w:val="right"/>
              <w:rPr/>
            </w:pPr>
            <w:r>
              <w:rPr/>
              <w:t>10,733</w:t>
            </w:r>
          </w:p>
        </w:tc>
        <w:tc>
          <w:tcPr>
            <w:tcW w:w="75" w:type="dxa"/>
            <w:tcBorders/>
            <w:shd w:fill="FFFFFF" w:val="clear"/>
            <w:vAlign w:val="center"/>
          </w:tcPr>
          <w:p>
            <w:pPr>
              <w:pStyle w:val="TableContents"/>
              <w:spacing w:before="0" w:after="283"/>
              <w:jc w:val="left"/>
              <w:rPr/>
            </w:pPr>
            <w:r>
              <w:rPr/>
              <w:t> </w:t>
            </w:r>
          </w:p>
        </w:tc>
      </w:tr>
      <w:tr>
        <w:trPr/>
        <w:tc>
          <w:tcPr>
            <w:tcW w:w="1190" w:type="dxa"/>
            <w:tcBorders/>
            <w:shd w:fill="CCEEFF" w:val="clear"/>
            <w:vAlign w:val="center"/>
          </w:tcPr>
          <w:p>
            <w:pPr>
              <w:pStyle w:val="TableContents"/>
              <w:spacing w:before="0" w:after="283"/>
              <w:rPr/>
            </w:pPr>
            <w:r>
              <w:rPr/>
              <w:t>DTC</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062" w:type="dxa"/>
            <w:tcBorders/>
            <w:shd w:fill="CCEEFF" w:val="clear"/>
            <w:vAlign w:val="center"/>
          </w:tcPr>
          <w:p>
            <w:pPr>
              <w:pStyle w:val="TableContents"/>
              <w:spacing w:before="0" w:after="283"/>
              <w:jc w:val="right"/>
              <w:rPr/>
            </w:pPr>
            <w:r>
              <w:rPr/>
              <w:t>52,446</w:t>
            </w:r>
          </w:p>
        </w:tc>
        <w:tc>
          <w:tcPr>
            <w:tcW w:w="93" w:type="dxa"/>
            <w:tcBorders/>
            <w:shd w:fill="CCEEFF" w:val="clear"/>
            <w:vAlign w:val="center"/>
          </w:tcPr>
          <w:p>
            <w:pPr>
              <w:pStyle w:val="TableContents"/>
              <w:spacing w:before="0" w:after="283"/>
              <w:jc w:val="left"/>
              <w:rPr/>
            </w:pPr>
            <w:r>
              <w:rPr/>
              <w:t> </w:t>
            </w:r>
          </w:p>
        </w:tc>
        <w:tc>
          <w:tcPr>
            <w:tcW w:w="93"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062" w:type="dxa"/>
            <w:tcBorders/>
            <w:shd w:fill="CCEEFF" w:val="clear"/>
            <w:vAlign w:val="center"/>
          </w:tcPr>
          <w:p>
            <w:pPr>
              <w:pStyle w:val="TableContents"/>
              <w:spacing w:before="0" w:after="283"/>
              <w:jc w:val="right"/>
              <w:rPr/>
            </w:pPr>
            <w:r>
              <w:rPr/>
              <w:t>69,775</w:t>
            </w:r>
          </w:p>
        </w:tc>
        <w:tc>
          <w:tcPr>
            <w:tcW w:w="75" w:type="dxa"/>
            <w:tcBorders/>
            <w:shd w:fill="CCEEFF" w:val="clear"/>
            <w:vAlign w:val="center"/>
          </w:tcPr>
          <w:p>
            <w:pPr>
              <w:pStyle w:val="TableContents"/>
              <w:spacing w:before="0" w:after="283"/>
              <w:jc w:val="left"/>
              <w:rPr/>
            </w:pPr>
            <w:r>
              <w:rPr/>
              <w:t> </w:t>
            </w:r>
          </w:p>
        </w:tc>
      </w:tr>
      <w:tr>
        <w:trPr/>
        <w:tc>
          <w:tcPr>
            <w:tcW w:w="1190" w:type="dxa"/>
            <w:tcBorders/>
            <w:shd w:fill="FFFFFF" w:val="clear"/>
            <w:vAlign w:val="center"/>
          </w:tcPr>
          <w:p>
            <w:pPr>
              <w:pStyle w:val="TableContents"/>
              <w:spacing w:before="0" w:after="283"/>
              <w:jc w:val="left"/>
              <w:rPr/>
            </w:pPr>
            <w:r>
              <w:rPr/>
              <w:t>% Net Sales</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062" w:type="dxa"/>
            <w:tcBorders/>
            <w:shd w:fill="FFFFFF" w:val="clear"/>
            <w:vAlign w:val="center"/>
          </w:tcPr>
          <w:p>
            <w:pPr>
              <w:pStyle w:val="TableContents"/>
              <w:spacing w:before="0" w:after="283"/>
              <w:jc w:val="right"/>
              <w:rPr/>
            </w:pPr>
            <w:r>
              <w:rPr/>
              <w:t>60.8</w:t>
            </w:r>
          </w:p>
        </w:tc>
        <w:tc>
          <w:tcPr>
            <w:tcW w:w="93" w:type="dxa"/>
            <w:tcBorders/>
            <w:shd w:fill="FFFFFF" w:val="clear"/>
            <w:vAlign w:val="center"/>
          </w:tcPr>
          <w:p>
            <w:pPr>
              <w:pStyle w:val="TableContents"/>
              <w:spacing w:before="0" w:after="283"/>
              <w:jc w:val="left"/>
              <w:rPr/>
            </w:pPr>
            <w:r>
              <w:rPr/>
              <w:t> </w:t>
            </w:r>
          </w:p>
        </w:tc>
        <w:tc>
          <w:tcPr>
            <w:tcW w:w="93"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062" w:type="dxa"/>
            <w:tcBorders/>
            <w:shd w:fill="FFFFFF" w:val="clear"/>
            <w:vAlign w:val="center"/>
          </w:tcPr>
          <w:p>
            <w:pPr>
              <w:pStyle w:val="TableContents"/>
              <w:spacing w:before="0" w:after="283"/>
              <w:jc w:val="right"/>
              <w:rPr/>
            </w:pPr>
            <w:r>
              <w:rPr/>
              <w:t>89.5</w:t>
            </w:r>
          </w:p>
        </w:tc>
        <w:tc>
          <w:tcPr>
            <w:tcW w:w="75" w:type="dxa"/>
            <w:tcBorders/>
            <w:shd w:fill="FFFFFF" w:val="clear"/>
            <w:vAlign w:val="center"/>
          </w:tcPr>
          <w:p>
            <w:pPr>
              <w:pStyle w:val="TableContents"/>
              <w:spacing w:before="0" w:after="283"/>
              <w:jc w:val="left"/>
              <w:rPr/>
            </w:pPr>
            <w:r>
              <w:rPr/>
              <w:t> </w:t>
            </w:r>
          </w:p>
        </w:tc>
      </w:tr>
      <w:tr>
        <w:trPr/>
        <w:tc>
          <w:tcPr>
            <w:tcW w:w="1190" w:type="dxa"/>
            <w:tcBorders/>
            <w:shd w:fill="CCEEFF" w:val="clear"/>
            <w:vAlign w:val="center"/>
          </w:tcPr>
          <w:p>
            <w:pPr>
              <w:pStyle w:val="TableContents"/>
              <w:spacing w:before="0" w:after="283"/>
              <w:rPr/>
            </w:pPr>
            <w:r>
              <w:rPr/>
              <w:t>OEM</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062" w:type="dxa"/>
            <w:tcBorders/>
            <w:shd w:fill="CCEEFF" w:val="clear"/>
            <w:vAlign w:val="center"/>
          </w:tcPr>
          <w:p>
            <w:pPr>
              <w:pStyle w:val="TableContents"/>
              <w:spacing w:before="0" w:after="283"/>
              <w:jc w:val="right"/>
              <w:rPr/>
            </w:pPr>
            <w:r>
              <w:rPr/>
              <w:t>33,805</w:t>
            </w:r>
          </w:p>
        </w:tc>
        <w:tc>
          <w:tcPr>
            <w:tcW w:w="93" w:type="dxa"/>
            <w:tcBorders/>
            <w:shd w:fill="CCEEFF" w:val="clear"/>
            <w:vAlign w:val="center"/>
          </w:tcPr>
          <w:p>
            <w:pPr>
              <w:pStyle w:val="TableContents"/>
              <w:spacing w:before="0" w:after="283"/>
              <w:jc w:val="left"/>
              <w:rPr/>
            </w:pPr>
            <w:r>
              <w:rPr/>
              <w:t> </w:t>
            </w:r>
          </w:p>
        </w:tc>
        <w:tc>
          <w:tcPr>
            <w:tcW w:w="93"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062" w:type="dxa"/>
            <w:tcBorders/>
            <w:shd w:fill="CCEEFF" w:val="clear"/>
            <w:vAlign w:val="center"/>
          </w:tcPr>
          <w:p>
            <w:pPr>
              <w:pStyle w:val="TableContents"/>
              <w:spacing w:before="0" w:after="283"/>
              <w:jc w:val="right"/>
              <w:rPr/>
            </w:pPr>
            <w:r>
              <w:rPr/>
              <w:t>8,225</w:t>
            </w:r>
          </w:p>
        </w:tc>
        <w:tc>
          <w:tcPr>
            <w:tcW w:w="75" w:type="dxa"/>
            <w:tcBorders/>
            <w:shd w:fill="CCEEFF" w:val="clear"/>
            <w:vAlign w:val="center"/>
          </w:tcPr>
          <w:p>
            <w:pPr>
              <w:pStyle w:val="TableContents"/>
              <w:spacing w:before="0" w:after="283"/>
              <w:jc w:val="left"/>
              <w:rPr/>
            </w:pPr>
            <w:r>
              <w:rPr/>
              <w:t> </w:t>
            </w:r>
          </w:p>
        </w:tc>
      </w:tr>
      <w:tr>
        <w:trPr/>
        <w:tc>
          <w:tcPr>
            <w:tcW w:w="1190" w:type="dxa"/>
            <w:tcBorders/>
            <w:shd w:fill="FFFFFF" w:val="clear"/>
            <w:vAlign w:val="center"/>
          </w:tcPr>
          <w:p>
            <w:pPr>
              <w:pStyle w:val="TableContents"/>
              <w:spacing w:before="0" w:after="283"/>
              <w:jc w:val="left"/>
              <w:rPr/>
            </w:pPr>
            <w:r>
              <w:rPr/>
              <w:t>% Net Sales</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062" w:type="dxa"/>
            <w:tcBorders/>
            <w:shd w:fill="FFFFFF" w:val="clear"/>
            <w:vAlign w:val="center"/>
          </w:tcPr>
          <w:p>
            <w:pPr>
              <w:pStyle w:val="TableContents"/>
              <w:spacing w:before="0" w:after="283"/>
              <w:jc w:val="right"/>
              <w:rPr/>
            </w:pPr>
            <w:r>
              <w:rPr/>
              <w:t>39.2</w:t>
            </w:r>
          </w:p>
        </w:tc>
        <w:tc>
          <w:tcPr>
            <w:tcW w:w="93" w:type="dxa"/>
            <w:tcBorders/>
            <w:shd w:fill="FFFFFF" w:val="clear"/>
            <w:vAlign w:val="center"/>
          </w:tcPr>
          <w:p>
            <w:pPr>
              <w:pStyle w:val="TableContents"/>
              <w:spacing w:before="0" w:after="283"/>
              <w:jc w:val="left"/>
              <w:rPr/>
            </w:pPr>
            <w:r>
              <w:rPr/>
              <w:t> </w:t>
            </w:r>
          </w:p>
        </w:tc>
        <w:tc>
          <w:tcPr>
            <w:tcW w:w="93"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062" w:type="dxa"/>
            <w:tcBorders/>
            <w:shd w:fill="FFFFFF" w:val="clear"/>
            <w:vAlign w:val="center"/>
          </w:tcPr>
          <w:p>
            <w:pPr>
              <w:pStyle w:val="TableContents"/>
              <w:spacing w:before="0" w:after="283"/>
              <w:jc w:val="right"/>
              <w:rPr/>
            </w:pPr>
            <w:r>
              <w:rPr/>
              <w:t>10.5</w:t>
            </w:r>
          </w:p>
        </w:tc>
        <w:tc>
          <w:tcPr>
            <w:tcW w:w="75" w:type="dxa"/>
            <w:tcBorders/>
            <w:shd w:fill="FFFFFF" w:val="clear"/>
            <w:vAlign w:val="center"/>
          </w:tcPr>
          <w:p>
            <w:pPr>
              <w:pStyle w:val="TableContents"/>
              <w:spacing w:before="0" w:after="283"/>
              <w:jc w:val="left"/>
              <w:rPr/>
            </w:pPr>
            <w:r>
              <w:rPr/>
              <w:t> </w:t>
            </w:r>
          </w:p>
        </w:tc>
      </w:tr>
      <w:tr>
        <w:trPr/>
        <w:tc>
          <w:tcPr>
            <w:tcW w:w="1190" w:type="dxa"/>
            <w:tcBorders/>
            <w:shd w:fill="CCEEFF" w:val="clear"/>
            <w:vAlign w:val="center"/>
          </w:tcPr>
          <w:p>
            <w:pPr>
              <w:pStyle w:val="TableContents"/>
              <w:spacing w:before="0" w:after="283"/>
              <w:jc w:val="left"/>
              <w:rPr/>
            </w:pPr>
            <w:r>
              <w:rPr/>
              <w:t>Net Sales</w:t>
            </w:r>
          </w:p>
        </w:tc>
        <w:tc>
          <w:tcPr>
            <w:tcW w:w="60" w:type="dxa"/>
            <w:tcBorders/>
            <w:shd w:fill="CCEEFF" w:val="clear"/>
            <w:vAlign w:val="center"/>
          </w:tcPr>
          <w:p>
            <w:pPr>
              <w:pStyle w:val="TableContents"/>
              <w:spacing w:before="0" w:after="283"/>
              <w:rPr/>
            </w:pPr>
            <w:r>
              <w:rPr/>
              <w:t> </w:t>
            </w:r>
          </w:p>
        </w:tc>
        <w:tc>
          <w:tcPr>
            <w:tcW w:w="218"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062" w:type="dxa"/>
            <w:tcBorders>
              <w:bottom w:val="single" w:sz="12" w:space="0" w:color="000000"/>
            </w:tcBorders>
            <w:shd w:fill="CCEEFF" w:val="clear"/>
            <w:tcMar>
              <w:bottom w:w="28" w:type="dxa"/>
            </w:tcMar>
            <w:vAlign w:val="center"/>
          </w:tcPr>
          <w:p>
            <w:pPr>
              <w:pStyle w:val="TableContents"/>
              <w:spacing w:before="0" w:after="283"/>
              <w:jc w:val="right"/>
              <w:rPr/>
            </w:pPr>
            <w:r>
              <w:rPr/>
              <w:t>86,251</w:t>
            </w:r>
          </w:p>
        </w:tc>
        <w:tc>
          <w:tcPr>
            <w:tcW w:w="93" w:type="dxa"/>
            <w:tcBorders/>
            <w:shd w:fill="CCEEFF" w:val="clear"/>
            <w:vAlign w:val="center"/>
          </w:tcPr>
          <w:p>
            <w:pPr>
              <w:pStyle w:val="TableContents"/>
              <w:spacing w:before="0" w:after="283"/>
              <w:jc w:val="left"/>
              <w:rPr/>
            </w:pPr>
            <w:r>
              <w:rPr/>
              <w:t> </w:t>
            </w:r>
          </w:p>
        </w:tc>
        <w:tc>
          <w:tcPr>
            <w:tcW w:w="93" w:type="dxa"/>
            <w:tcBorders/>
            <w:shd w:fill="CCEEFF" w:val="clear"/>
            <w:vAlign w:val="center"/>
          </w:tcPr>
          <w:p>
            <w:pPr>
              <w:pStyle w:val="TableContents"/>
              <w:spacing w:before="0" w:after="283"/>
              <w:rPr/>
            </w:pPr>
            <w:r>
              <w:rPr/>
              <w:t> </w:t>
            </w:r>
          </w:p>
        </w:tc>
        <w:tc>
          <w:tcPr>
            <w:tcW w:w="218"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062" w:type="dxa"/>
            <w:tcBorders>
              <w:bottom w:val="single" w:sz="12" w:space="0" w:color="000000"/>
            </w:tcBorders>
            <w:shd w:fill="CCEEFF" w:val="clear"/>
            <w:tcMar>
              <w:bottom w:w="28" w:type="dxa"/>
            </w:tcMar>
            <w:vAlign w:val="center"/>
          </w:tcPr>
          <w:p>
            <w:pPr>
              <w:pStyle w:val="TableContents"/>
              <w:spacing w:before="0" w:after="283"/>
              <w:jc w:val="right"/>
              <w:rPr/>
            </w:pPr>
            <w:r>
              <w:rPr/>
              <w:t>78,000</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by $8.3 million, or 10.6%, to $86.3 million for the year ended December 31, 2022, as compared to $78.0 million for the year ended December 31, 2021. This increase was primarily due to higher OEM battery and accessory sales partially offset by lower DTC sales. For the year ended December 31, 2022, OEM revenue increased by $25.6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$17.3 million as a result of decreased customer demand for our products due to rising interest rates and inflation.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$13.9 million, or 28.7%, to $62.2 million for the year ended December 31, 2022, as compared to $48.4 million for the year ended December 31, 2021. This increase was primarily due to growth in the number of units sold resulting in an $11.6 million increase of product cost, a $2.2 million increase in overhead expense associated with the new manufacturing facility, and higher labor costs due to growth in our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$5.6 million, or 19.0%, to $24.0 million for the year ended December 31, 2022, as compared to $29.6 million for the year ended December 31, 2021. The decrease in gross profit was primarily due to a change in revenue mix that included a larger percentage of lower margin OEM sales and a lower percentage of higher margin DTC sales, together with an increase in cost of goods sold as noted above.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$0.1 million, or 2.8%, to $2.8 million for the year ended December 31, 2022, as compared to $2.7 million for the year ended December 31, 2021. The increase was primarily due to higher wage expense partially offset by lower product certification, patent expense and costs for materials used in research and development.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$30.9 million, or 291.4%, to $41.6 million for the year ended December 31, 2022, as compared to $10.6 million for the year ended December 31, 2021. This increase was primarily due to expenses associated with the aforementioned Business Combination and professional fees in the amount of $23.4 million and a $6.3 million increase in costs associated with personnel needed for public company readiness. Other increases relate to compliance, insurance and system costs related to being a public company.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$3.8 million, or 38.8%, to $13.7 million for the year ended December 31, 2022, as compared to $9.8 million for the year ended December 31, 2021. This increase was primarily due to the addition of sales and marketing personnel to support growth in our existing end markets, as well as to drive growth in the new, adjacent end markets we are targeting, overhead costs associated with our larger manufacturing facility, increased shipping expenses due to higher volumes and price increases, and advertising and sponsorship growth.</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64</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(Expense) Income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$6.3 million for the year ended December 31, 2022 as compared to total other expense of $0.5 million for the year ended December 31, 2021. Other expense in 2022 is comprised primarily of interest expense of $3.7 million related to senior secured notes of $45 million and $3.2 million related to debt securities of $75 million. Debt extinguishment expense of $4.8 million due to the retirement of the $45 million in senior secured notes as a result of the Business Combination, partially offset by $5.4 million in the change of the fair market value of our warrants. Interest expense will increase significantly as a result of approximately $75.0 million in post-closing indebtedness following completion of the Business Combination.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was $0.7 million for the year ended December 31, 2022, as compared to $1.6 million expense for the year ended December 31, 2021.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$7.3 million was recorded as of December 31, 2022.</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Income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 net loss of $39.6 million for the year ended December 31, 2022, as compared to net income of $4.3 million for the year ended December 31, 2021. As described above, this result was driven primarily by higher sales offset by increased cost of goods sold, higher operating expenses (primarily as a result of the Business Combination) and increased other expense.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reviews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65</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Times New Roman;Times;Serif" w:hAnsi="Times New Roman;Times;Serif"/>
          <w:b/>
          <w:i w:val="false"/>
          <w:caps w:val="false"/>
          <w:smallCaps w:val="false"/>
          <w:sz w:val="20"/>
        </w:rPr>
        <w:t>ASC 480</w:t>
      </w:r>
      <w:r>
        <w:rPr>
          <w:rFonts w:ascii="Times New Roman;Times;Serif" w:hAnsi="Times New Roman;Times;Serif"/>
          <w:b w:val="false"/>
          <w:i w:val="false"/>
          <w:caps w:val="false"/>
          <w:smallCaps w:val="false"/>
          <w:sz w:val="20"/>
        </w:rPr>
        <w:t>”), and ASC 815, Derivatives and Hedging (“</w:t>
      </w:r>
      <w:r>
        <w:rPr>
          <w:rFonts w:ascii="Times New Roman;Times;Serif" w:hAnsi="Times New Roman;Times;Serif"/>
          <w:b/>
          <w:i w:val="false"/>
          <w:caps w:val="false"/>
          <w:smallCaps w:val="false"/>
          <w:sz w:val="20"/>
        </w:rPr>
        <w:t>ASC 815</w:t>
      </w:r>
      <w:r>
        <w:rPr>
          <w:rFonts w:ascii="Times New Roman;Times;Serif" w:hAnsi="Times New Roman;Times;Serif"/>
          <w:b w:val="false"/>
          <w:i w:val="false"/>
          <w:caps w:val="false"/>
          <w:smallCaps w:val="false"/>
          <w:sz w:val="20"/>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12—Warrants” in our accompanying consolidated financial statements for information on the warrants.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Black-Scholes option-pricing model to determine the fair value of option grants. In estimating fair value, management is required to make certain assumptions and estimates such as the expected life of units, volatility of the Company’s future share price, risk-free rates, future dividend yields and estimated forfeitures at the initial grant date. Restricted stock unit awards are valued based on the closing trading value of the Company’s common stock on the date of grant. Changes in assumptions used to estimate fair value could result in materially different results.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66</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(loss) income for the years ended December 31, 2022 and 2021.</w:t>
      </w:r>
    </w:p>
    <w:p>
      <w:pPr>
        <w:pStyle w:val="TextBody"/>
        <w:jc w:val="both"/>
        <w:rPr>
          <w:caps w:val="false"/>
          <w:smallCaps w:val="false"/>
        </w:rPr>
      </w:pPr>
      <w:r>
        <w:rPr>
          <w:caps w:val="false"/>
          <w:smallCaps w:val="false"/>
        </w:rPr>
        <w:t> </w:t>
      </w:r>
    </w:p>
    <w:tbl>
      <w:tblPr>
        <w:tblW w:w="6984" w:type="dxa"/>
        <w:jc w:val="left"/>
        <w:tblInd w:w="0" w:type="dxa"/>
        <w:tblCellMar>
          <w:top w:w="0" w:type="dxa"/>
          <w:left w:w="0" w:type="dxa"/>
          <w:bottom w:w="0" w:type="dxa"/>
          <w:right w:w="0" w:type="dxa"/>
        </w:tblCellMar>
      </w:tblPr>
      <w:tblGrid>
        <w:gridCol w:w="4100"/>
        <w:gridCol w:w="60"/>
        <w:gridCol w:w="220"/>
        <w:gridCol w:w="1186"/>
        <w:gridCol w:w="149"/>
        <w:gridCol w:w="94"/>
        <w:gridCol w:w="220"/>
        <w:gridCol w:w="880"/>
        <w:gridCol w:w="75"/>
      </w:tblGrid>
      <w:tr>
        <w:trPr/>
        <w:tc>
          <w:tcPr>
            <w:tcW w:w="41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749"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Years ended December 31,</w:t>
            </w:r>
          </w:p>
        </w:tc>
        <w:tc>
          <w:tcPr>
            <w:tcW w:w="75" w:type="dxa"/>
            <w:tcBorders/>
            <w:shd w:fill="auto" w:val="clear"/>
            <w:vAlign w:val="center"/>
          </w:tcPr>
          <w:p>
            <w:pPr>
              <w:pStyle w:val="TableContents"/>
              <w:spacing w:before="0" w:after="283"/>
              <w:rPr/>
            </w:pPr>
            <w:r>
              <w:rPr/>
              <w:t> </w:t>
            </w:r>
          </w:p>
        </w:tc>
      </w:tr>
      <w:tr>
        <w:trPr/>
        <w:tc>
          <w:tcPr>
            <w:tcW w:w="41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0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149"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41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749" w:type="dxa"/>
            <w:gridSpan w:val="6"/>
            <w:tcBorders/>
            <w:shd w:fill="auto" w:val="clear"/>
            <w:vAlign w:val="center"/>
          </w:tcPr>
          <w:p>
            <w:pPr>
              <w:pStyle w:val="TableContents"/>
              <w:spacing w:before="0" w:after="283"/>
              <w:jc w:val="center"/>
              <w:rPr>
                <w:b/>
              </w:rPr>
            </w:pPr>
            <w:r>
              <w:rPr>
                <w:b/>
              </w:rPr>
              <w:t>(in thousands)</w:t>
            </w:r>
          </w:p>
        </w:tc>
        <w:tc>
          <w:tcPr>
            <w:tcW w:w="75" w:type="dxa"/>
            <w:tcBorders/>
            <w:shd w:fill="auto" w:val="clear"/>
            <w:vAlign w:val="center"/>
          </w:tcPr>
          <w:p>
            <w:pPr>
              <w:pStyle w:val="TableContents"/>
              <w:spacing w:before="0" w:after="283"/>
              <w:rPr/>
            </w:pPr>
            <w:r>
              <w:rPr/>
              <w:t> </w:t>
            </w:r>
          </w:p>
        </w:tc>
      </w:tr>
      <w:tr>
        <w:trPr/>
        <w:tc>
          <w:tcPr>
            <w:tcW w:w="4100" w:type="dxa"/>
            <w:tcBorders/>
            <w:shd w:fill="CCEEFF" w:val="clear"/>
            <w:vAlign w:val="center"/>
          </w:tcPr>
          <w:p>
            <w:pPr>
              <w:pStyle w:val="TableContents"/>
              <w:spacing w:before="0" w:after="283"/>
              <w:jc w:val="left"/>
              <w:rPr/>
            </w:pPr>
            <w:r>
              <w:rPr/>
              <w:t>Net (loss) income</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w:t>
            </w:r>
          </w:p>
        </w:tc>
        <w:tc>
          <w:tcPr>
            <w:tcW w:w="1186" w:type="dxa"/>
            <w:tcBorders/>
            <w:shd w:fill="CCEEFF" w:val="clear"/>
            <w:vAlign w:val="center"/>
          </w:tcPr>
          <w:p>
            <w:pPr>
              <w:pStyle w:val="TableContents"/>
              <w:spacing w:before="0" w:after="283"/>
              <w:jc w:val="right"/>
              <w:rPr/>
            </w:pPr>
            <w:r>
              <w:rPr/>
              <w:t>(39,571</w:t>
            </w:r>
          </w:p>
        </w:tc>
        <w:tc>
          <w:tcPr>
            <w:tcW w:w="149" w:type="dxa"/>
            <w:tcBorders/>
            <w:shd w:fill="CCEEFF" w:val="clear"/>
            <w:vAlign w:val="center"/>
          </w:tcPr>
          <w:p>
            <w:pPr>
              <w:pStyle w:val="TableContents"/>
              <w:spacing w:before="0" w:after="283"/>
              <w:jc w:val="left"/>
              <w:rPr/>
            </w:pPr>
            <w:r>
              <w:rPr/>
              <w:t>)</w:t>
            </w:r>
          </w:p>
        </w:tc>
        <w:tc>
          <w:tcPr>
            <w:tcW w:w="94"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w:t>
            </w:r>
          </w:p>
        </w:tc>
        <w:tc>
          <w:tcPr>
            <w:tcW w:w="880" w:type="dxa"/>
            <w:tcBorders/>
            <w:shd w:fill="CCEEFF" w:val="clear"/>
            <w:vAlign w:val="center"/>
          </w:tcPr>
          <w:p>
            <w:pPr>
              <w:pStyle w:val="TableContents"/>
              <w:spacing w:before="0" w:after="283"/>
              <w:jc w:val="right"/>
              <w:rPr/>
            </w:pPr>
            <w:r>
              <w:rPr/>
              <w:t>4,338</w:t>
            </w:r>
          </w:p>
        </w:tc>
        <w:tc>
          <w:tcPr>
            <w:tcW w:w="75" w:type="dxa"/>
            <w:tcBorders/>
            <w:shd w:fill="CCEEFF" w:val="clear"/>
            <w:vAlign w:val="center"/>
          </w:tcPr>
          <w:p>
            <w:pPr>
              <w:pStyle w:val="TableContents"/>
              <w:spacing w:before="0" w:after="283"/>
              <w:jc w:val="left"/>
              <w:rPr/>
            </w:pPr>
            <w:r>
              <w:rPr/>
              <w:t> </w:t>
            </w:r>
          </w:p>
        </w:tc>
      </w:tr>
      <w:tr>
        <w:trPr/>
        <w:tc>
          <w:tcPr>
            <w:tcW w:w="4100" w:type="dxa"/>
            <w:tcBorders/>
            <w:shd w:fill="FFFFFF" w:val="clear"/>
            <w:vAlign w:val="center"/>
          </w:tcPr>
          <w:p>
            <w:pPr>
              <w:pStyle w:val="TableContents"/>
              <w:spacing w:before="0" w:after="283"/>
              <w:jc w:val="left"/>
              <w:rPr/>
            </w:pPr>
            <w:r>
              <w:rPr/>
              <w:t>Interest Expense</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 </w:t>
            </w:r>
          </w:p>
        </w:tc>
        <w:tc>
          <w:tcPr>
            <w:tcW w:w="1186" w:type="dxa"/>
            <w:tcBorders/>
            <w:shd w:fill="FFFFFF" w:val="clear"/>
            <w:vAlign w:val="center"/>
          </w:tcPr>
          <w:p>
            <w:pPr>
              <w:pStyle w:val="TableContents"/>
              <w:spacing w:before="0" w:after="283"/>
              <w:jc w:val="right"/>
              <w:rPr/>
            </w:pPr>
            <w:r>
              <w:rPr/>
              <w:t>6,945</w:t>
            </w:r>
          </w:p>
        </w:tc>
        <w:tc>
          <w:tcPr>
            <w:tcW w:w="149" w:type="dxa"/>
            <w:tcBorders/>
            <w:shd w:fill="FFFFFF" w:val="clear"/>
            <w:vAlign w:val="center"/>
          </w:tcPr>
          <w:p>
            <w:pPr>
              <w:pStyle w:val="TableContents"/>
              <w:spacing w:before="0" w:after="283"/>
              <w:jc w:val="left"/>
              <w:rPr/>
            </w:pPr>
            <w:r>
              <w:rPr/>
              <w:t> </w:t>
            </w:r>
          </w:p>
        </w:tc>
        <w:tc>
          <w:tcPr>
            <w:tcW w:w="94"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 </w:t>
            </w:r>
          </w:p>
        </w:tc>
        <w:tc>
          <w:tcPr>
            <w:tcW w:w="880" w:type="dxa"/>
            <w:tcBorders/>
            <w:shd w:fill="FFFFFF" w:val="clear"/>
            <w:vAlign w:val="center"/>
          </w:tcPr>
          <w:p>
            <w:pPr>
              <w:pStyle w:val="TableContents"/>
              <w:spacing w:before="0" w:after="283"/>
              <w:jc w:val="right"/>
              <w:rPr/>
            </w:pPr>
            <w:r>
              <w:rPr/>
              <w:t>519</w:t>
            </w:r>
          </w:p>
        </w:tc>
        <w:tc>
          <w:tcPr>
            <w:tcW w:w="75" w:type="dxa"/>
            <w:tcBorders/>
            <w:shd w:fill="FFFFFF" w:val="clear"/>
            <w:vAlign w:val="center"/>
          </w:tcPr>
          <w:p>
            <w:pPr>
              <w:pStyle w:val="TableContents"/>
              <w:spacing w:before="0" w:after="283"/>
              <w:jc w:val="left"/>
              <w:rPr/>
            </w:pPr>
            <w:r>
              <w:rPr/>
              <w:t> </w:t>
            </w:r>
          </w:p>
        </w:tc>
      </w:tr>
      <w:tr>
        <w:trPr/>
        <w:tc>
          <w:tcPr>
            <w:tcW w:w="4100" w:type="dxa"/>
            <w:tcBorders/>
            <w:shd w:fill="CCEEFF" w:val="clear"/>
            <w:vAlign w:val="center"/>
          </w:tcPr>
          <w:p>
            <w:pPr>
              <w:pStyle w:val="TableContents"/>
              <w:spacing w:before="0" w:after="283"/>
              <w:rPr/>
            </w:pPr>
            <w:r>
              <w:rPr/>
              <w:t>Taxes</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1186" w:type="dxa"/>
            <w:tcBorders/>
            <w:shd w:fill="CCEEFF" w:val="clear"/>
            <w:vAlign w:val="center"/>
          </w:tcPr>
          <w:p>
            <w:pPr>
              <w:pStyle w:val="TableContents"/>
              <w:spacing w:before="0" w:after="283"/>
              <w:jc w:val="right"/>
              <w:rPr/>
            </w:pPr>
            <w:r>
              <w:rPr/>
              <w:t>(709</w:t>
            </w:r>
          </w:p>
        </w:tc>
        <w:tc>
          <w:tcPr>
            <w:tcW w:w="149" w:type="dxa"/>
            <w:tcBorders/>
            <w:shd w:fill="CCEEFF" w:val="clear"/>
            <w:vAlign w:val="center"/>
          </w:tcPr>
          <w:p>
            <w:pPr>
              <w:pStyle w:val="TableContents"/>
              <w:spacing w:before="0" w:after="283"/>
              <w:jc w:val="left"/>
              <w:rPr/>
            </w:pPr>
            <w:r>
              <w:rPr/>
              <w:t>)</w:t>
            </w:r>
          </w:p>
        </w:tc>
        <w:tc>
          <w:tcPr>
            <w:tcW w:w="94"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880" w:type="dxa"/>
            <w:tcBorders/>
            <w:shd w:fill="CCEEFF" w:val="clear"/>
            <w:vAlign w:val="center"/>
          </w:tcPr>
          <w:p>
            <w:pPr>
              <w:pStyle w:val="TableContents"/>
              <w:spacing w:before="0" w:after="283"/>
              <w:jc w:val="right"/>
              <w:rPr/>
            </w:pPr>
            <w:r>
              <w:rPr/>
              <w:t>1,611</w:t>
            </w:r>
          </w:p>
        </w:tc>
        <w:tc>
          <w:tcPr>
            <w:tcW w:w="75" w:type="dxa"/>
            <w:tcBorders/>
            <w:shd w:fill="CCEEFF" w:val="clear"/>
            <w:vAlign w:val="center"/>
          </w:tcPr>
          <w:p>
            <w:pPr>
              <w:pStyle w:val="TableContents"/>
              <w:spacing w:before="0" w:after="283"/>
              <w:jc w:val="left"/>
              <w:rPr/>
            </w:pPr>
            <w:r>
              <w:rPr/>
              <w:t> </w:t>
            </w:r>
          </w:p>
        </w:tc>
      </w:tr>
      <w:tr>
        <w:trPr/>
        <w:tc>
          <w:tcPr>
            <w:tcW w:w="4100" w:type="dxa"/>
            <w:tcBorders/>
            <w:shd w:fill="FFFFFF" w:val="clear"/>
            <w:vAlign w:val="center"/>
          </w:tcPr>
          <w:p>
            <w:pPr>
              <w:pStyle w:val="TableContents"/>
              <w:spacing w:before="0" w:after="283"/>
              <w:jc w:val="left"/>
              <w:rPr/>
            </w:pPr>
            <w:r>
              <w:rPr/>
              <w:t>Depreciation and Amortization</w:t>
            </w:r>
          </w:p>
        </w:tc>
        <w:tc>
          <w:tcPr>
            <w:tcW w:w="60" w:type="dxa"/>
            <w:tcBorders/>
            <w:shd w:fill="FFFFFF" w:val="clear"/>
            <w:vAlign w:val="center"/>
          </w:tcPr>
          <w:p>
            <w:pPr>
              <w:pStyle w:val="TableContents"/>
              <w:spacing w:before="0" w:after="283"/>
              <w:rPr/>
            </w:pPr>
            <w:r>
              <w:rPr/>
              <w:t> </w:t>
            </w:r>
          </w:p>
        </w:tc>
        <w:tc>
          <w:tcPr>
            <w:tcW w:w="22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86" w:type="dxa"/>
            <w:tcBorders>
              <w:bottom w:val="single" w:sz="12" w:space="0" w:color="000000"/>
            </w:tcBorders>
            <w:shd w:fill="FFFFFF" w:val="clear"/>
            <w:tcMar>
              <w:bottom w:w="28" w:type="dxa"/>
            </w:tcMar>
            <w:vAlign w:val="center"/>
          </w:tcPr>
          <w:p>
            <w:pPr>
              <w:pStyle w:val="TableContents"/>
              <w:spacing w:before="0" w:after="283"/>
              <w:jc w:val="right"/>
              <w:rPr/>
            </w:pPr>
            <w:r>
              <w:rPr/>
              <w:t>891</w:t>
            </w:r>
          </w:p>
        </w:tc>
        <w:tc>
          <w:tcPr>
            <w:tcW w:w="149" w:type="dxa"/>
            <w:tcBorders/>
            <w:shd w:fill="FFFFFF" w:val="clear"/>
            <w:vAlign w:val="center"/>
          </w:tcPr>
          <w:p>
            <w:pPr>
              <w:pStyle w:val="TableContents"/>
              <w:spacing w:before="0" w:after="283"/>
              <w:jc w:val="left"/>
              <w:rPr/>
            </w:pPr>
            <w:r>
              <w:rPr/>
              <w:t> </w:t>
            </w:r>
          </w:p>
        </w:tc>
        <w:tc>
          <w:tcPr>
            <w:tcW w:w="94" w:type="dxa"/>
            <w:tcBorders/>
            <w:shd w:fill="FFFFFF" w:val="clear"/>
            <w:vAlign w:val="center"/>
          </w:tcPr>
          <w:p>
            <w:pPr>
              <w:pStyle w:val="TableContents"/>
              <w:spacing w:before="0" w:after="283"/>
              <w:rPr/>
            </w:pPr>
            <w:r>
              <w:rPr/>
              <w:t> </w:t>
            </w:r>
          </w:p>
        </w:tc>
        <w:tc>
          <w:tcPr>
            <w:tcW w:w="22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spacing w:before="0" w:after="283"/>
              <w:jc w:val="right"/>
              <w:rPr/>
            </w:pPr>
            <w:r>
              <w:rPr/>
              <w:t>617</w:t>
            </w:r>
          </w:p>
        </w:tc>
        <w:tc>
          <w:tcPr>
            <w:tcW w:w="75" w:type="dxa"/>
            <w:tcBorders/>
            <w:shd w:fill="FFFFFF" w:val="clear"/>
            <w:vAlign w:val="center"/>
          </w:tcPr>
          <w:p>
            <w:pPr>
              <w:pStyle w:val="TableContents"/>
              <w:spacing w:before="0" w:after="283"/>
              <w:jc w:val="left"/>
              <w:rPr/>
            </w:pPr>
            <w:r>
              <w:rPr/>
              <w:t> </w:t>
            </w:r>
          </w:p>
        </w:tc>
      </w:tr>
      <w:tr>
        <w:trPr/>
        <w:tc>
          <w:tcPr>
            <w:tcW w:w="4100" w:type="dxa"/>
            <w:tcBorders/>
            <w:shd w:fill="CCEEFF" w:val="clear"/>
            <w:vAlign w:val="center"/>
          </w:tcPr>
          <w:p>
            <w:pPr>
              <w:pStyle w:val="TableContents"/>
              <w:spacing w:before="0" w:after="283"/>
              <w:rPr/>
            </w:pPr>
            <w:r>
              <w:rPr/>
              <w:t>EBITDA</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1186" w:type="dxa"/>
            <w:tcBorders/>
            <w:shd w:fill="CCEEFF" w:val="clear"/>
            <w:vAlign w:val="center"/>
          </w:tcPr>
          <w:p>
            <w:pPr>
              <w:pStyle w:val="TableContents"/>
              <w:spacing w:before="0" w:after="283"/>
              <w:jc w:val="right"/>
              <w:rPr/>
            </w:pPr>
            <w:r>
              <w:rPr/>
              <w:t>(32,444</w:t>
            </w:r>
          </w:p>
        </w:tc>
        <w:tc>
          <w:tcPr>
            <w:tcW w:w="149" w:type="dxa"/>
            <w:tcBorders/>
            <w:shd w:fill="CCEEFF" w:val="clear"/>
            <w:vAlign w:val="center"/>
          </w:tcPr>
          <w:p>
            <w:pPr>
              <w:pStyle w:val="TableContents"/>
              <w:spacing w:before="0" w:after="283"/>
              <w:jc w:val="left"/>
              <w:rPr/>
            </w:pPr>
            <w:r>
              <w:rPr/>
              <w:t>)</w:t>
            </w:r>
          </w:p>
        </w:tc>
        <w:tc>
          <w:tcPr>
            <w:tcW w:w="94"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880" w:type="dxa"/>
            <w:tcBorders/>
            <w:shd w:fill="CCEEFF" w:val="clear"/>
            <w:vAlign w:val="center"/>
          </w:tcPr>
          <w:p>
            <w:pPr>
              <w:pStyle w:val="TableContents"/>
              <w:spacing w:before="0" w:after="283"/>
              <w:jc w:val="right"/>
              <w:rPr/>
            </w:pPr>
            <w:r>
              <w:rPr/>
              <w:t>7,085</w:t>
            </w:r>
          </w:p>
        </w:tc>
        <w:tc>
          <w:tcPr>
            <w:tcW w:w="75" w:type="dxa"/>
            <w:tcBorders/>
            <w:shd w:fill="CCEEFF" w:val="clear"/>
            <w:vAlign w:val="center"/>
          </w:tcPr>
          <w:p>
            <w:pPr>
              <w:pStyle w:val="TableContents"/>
              <w:spacing w:before="0" w:after="283"/>
              <w:jc w:val="left"/>
              <w:rPr/>
            </w:pPr>
            <w:r>
              <w:rPr/>
              <w:t> </w:t>
            </w:r>
          </w:p>
        </w:tc>
      </w:tr>
      <w:tr>
        <w:trPr/>
        <w:tc>
          <w:tcPr>
            <w:tcW w:w="4100" w:type="dxa"/>
            <w:tcBorders/>
            <w:shd w:fill="FFFFFF" w:val="clear"/>
            <w:vAlign w:val="center"/>
          </w:tcPr>
          <w:p>
            <w:pPr>
              <w:pStyle w:val="TableContents"/>
              <w:spacing w:before="0" w:after="283"/>
              <w:jc w:val="left"/>
              <w:rPr>
                <w:i/>
              </w:rPr>
            </w:pPr>
            <w:r>
              <w:rPr>
                <w:i/>
              </w:rPr>
              <w:t>Adjusted for:</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 </w:t>
            </w:r>
          </w:p>
        </w:tc>
        <w:tc>
          <w:tcPr>
            <w:tcW w:w="1186" w:type="dxa"/>
            <w:tcBorders/>
            <w:shd w:fill="FFFFFF" w:val="clear"/>
            <w:vAlign w:val="center"/>
          </w:tcPr>
          <w:p>
            <w:pPr>
              <w:pStyle w:val="TableContents"/>
              <w:spacing w:before="0" w:after="283"/>
              <w:jc w:val="right"/>
              <w:rPr/>
            </w:pPr>
            <w:r>
              <w:rPr/>
              <w:t> </w:t>
            </w:r>
          </w:p>
        </w:tc>
        <w:tc>
          <w:tcPr>
            <w:tcW w:w="149" w:type="dxa"/>
            <w:tcBorders/>
            <w:shd w:fill="FFFFFF" w:val="clear"/>
            <w:vAlign w:val="center"/>
          </w:tcPr>
          <w:p>
            <w:pPr>
              <w:pStyle w:val="TableContents"/>
              <w:spacing w:before="0" w:after="283"/>
              <w:jc w:val="left"/>
              <w:rPr/>
            </w:pPr>
            <w:r>
              <w:rPr/>
              <w:t> </w:t>
            </w:r>
          </w:p>
        </w:tc>
        <w:tc>
          <w:tcPr>
            <w:tcW w:w="94"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 </w:t>
            </w:r>
          </w:p>
        </w:tc>
        <w:tc>
          <w:tcPr>
            <w:tcW w:w="8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410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Stock-Based Compensation</w:t>
            </w:r>
            <w:r>
              <w:rPr>
                <w:rFonts w:ascii="Times New Roman;Times;Serif" w:hAnsi="Times New Roman;Times;Serif"/>
                <w:position w:val="7"/>
                <w:sz w:val="16"/>
                <w:sz w:val="20"/>
              </w:rPr>
              <w:t>(1)</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1186" w:type="dxa"/>
            <w:tcBorders/>
            <w:shd w:fill="CCEEFF" w:val="clear"/>
            <w:vAlign w:val="center"/>
          </w:tcPr>
          <w:p>
            <w:pPr>
              <w:pStyle w:val="TableContents"/>
              <w:spacing w:before="0" w:after="283"/>
              <w:jc w:val="right"/>
              <w:rPr/>
            </w:pPr>
            <w:r>
              <w:rPr/>
              <w:t>2,467</w:t>
            </w:r>
          </w:p>
        </w:tc>
        <w:tc>
          <w:tcPr>
            <w:tcW w:w="149" w:type="dxa"/>
            <w:tcBorders/>
            <w:shd w:fill="CCEEFF" w:val="clear"/>
            <w:vAlign w:val="center"/>
          </w:tcPr>
          <w:p>
            <w:pPr>
              <w:pStyle w:val="TableContents"/>
              <w:spacing w:before="0" w:after="283"/>
              <w:jc w:val="left"/>
              <w:rPr/>
            </w:pPr>
            <w:r>
              <w:rPr/>
              <w:t> </w:t>
            </w:r>
          </w:p>
        </w:tc>
        <w:tc>
          <w:tcPr>
            <w:tcW w:w="94"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880" w:type="dxa"/>
            <w:tcBorders/>
            <w:shd w:fill="CCEEFF" w:val="clear"/>
            <w:vAlign w:val="center"/>
          </w:tcPr>
          <w:p>
            <w:pPr>
              <w:pStyle w:val="TableContents"/>
              <w:spacing w:before="0" w:after="283"/>
              <w:jc w:val="right"/>
              <w:rPr/>
            </w:pPr>
            <w:r>
              <w:rPr/>
              <w:t>734</w:t>
            </w:r>
          </w:p>
        </w:tc>
        <w:tc>
          <w:tcPr>
            <w:tcW w:w="75" w:type="dxa"/>
            <w:tcBorders/>
            <w:shd w:fill="CCEEFF" w:val="clear"/>
            <w:vAlign w:val="center"/>
          </w:tcPr>
          <w:p>
            <w:pPr>
              <w:pStyle w:val="TableContents"/>
              <w:spacing w:before="0" w:after="283"/>
              <w:jc w:val="left"/>
              <w:rPr/>
            </w:pPr>
            <w:r>
              <w:rPr/>
              <w:t> </w:t>
            </w:r>
          </w:p>
        </w:tc>
      </w:tr>
      <w:tr>
        <w:trPr/>
        <w:tc>
          <w:tcPr>
            <w:tcW w:w="41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ERP Implementation</w:t>
            </w:r>
            <w:r>
              <w:rPr>
                <w:rFonts w:ascii="Times New Roman;Times;Serif" w:hAnsi="Times New Roman;Times;Serif"/>
                <w:position w:val="7"/>
                <w:sz w:val="16"/>
                <w:sz w:val="20"/>
              </w:rPr>
              <w:t>(2)</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 </w:t>
            </w:r>
          </w:p>
        </w:tc>
        <w:tc>
          <w:tcPr>
            <w:tcW w:w="1186" w:type="dxa"/>
            <w:tcBorders/>
            <w:shd w:fill="FFFFFF" w:val="clear"/>
            <w:vAlign w:val="center"/>
          </w:tcPr>
          <w:p>
            <w:pPr>
              <w:pStyle w:val="TableContents"/>
              <w:spacing w:before="0" w:after="283"/>
              <w:jc w:val="right"/>
              <w:rPr/>
            </w:pPr>
            <w:r>
              <w:rPr/>
              <w:t>-</w:t>
            </w:r>
          </w:p>
        </w:tc>
        <w:tc>
          <w:tcPr>
            <w:tcW w:w="149" w:type="dxa"/>
            <w:tcBorders/>
            <w:shd w:fill="FFFFFF" w:val="clear"/>
            <w:vAlign w:val="center"/>
          </w:tcPr>
          <w:p>
            <w:pPr>
              <w:pStyle w:val="TableContents"/>
              <w:spacing w:before="0" w:after="283"/>
              <w:jc w:val="left"/>
              <w:rPr/>
            </w:pPr>
            <w:r>
              <w:rPr/>
              <w:t> </w:t>
            </w:r>
          </w:p>
        </w:tc>
        <w:tc>
          <w:tcPr>
            <w:tcW w:w="94"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 </w:t>
            </w:r>
          </w:p>
        </w:tc>
        <w:tc>
          <w:tcPr>
            <w:tcW w:w="880" w:type="dxa"/>
            <w:tcBorders/>
            <w:shd w:fill="FFFFFF" w:val="clear"/>
            <w:vAlign w:val="center"/>
          </w:tcPr>
          <w:p>
            <w:pPr>
              <w:pStyle w:val="TableContents"/>
              <w:spacing w:before="0" w:after="283"/>
              <w:jc w:val="right"/>
              <w:rPr/>
            </w:pPr>
            <w:r>
              <w:rPr/>
              <w:t>233</w:t>
            </w:r>
          </w:p>
        </w:tc>
        <w:tc>
          <w:tcPr>
            <w:tcW w:w="75" w:type="dxa"/>
            <w:tcBorders/>
            <w:shd w:fill="FFFFFF" w:val="clear"/>
            <w:vAlign w:val="center"/>
          </w:tcPr>
          <w:p>
            <w:pPr>
              <w:pStyle w:val="TableContents"/>
              <w:spacing w:before="0" w:after="283"/>
              <w:jc w:val="left"/>
              <w:rPr/>
            </w:pPr>
            <w:r>
              <w:rPr/>
              <w:t> </w:t>
            </w:r>
          </w:p>
        </w:tc>
      </w:tr>
      <w:tr>
        <w:trPr/>
        <w:tc>
          <w:tcPr>
            <w:tcW w:w="4100"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Promissory Note Forgiveness</w:t>
            </w:r>
            <w:r>
              <w:rPr>
                <w:rFonts w:ascii="Times New Roman;Times;Serif" w:hAnsi="Times New Roman;Times;Serif"/>
                <w:position w:val="7"/>
                <w:sz w:val="16"/>
                <w:sz w:val="20"/>
              </w:rPr>
              <w:t>(3)</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1186" w:type="dxa"/>
            <w:tcBorders/>
            <w:shd w:fill="CCEEFF" w:val="clear"/>
            <w:vAlign w:val="center"/>
          </w:tcPr>
          <w:p>
            <w:pPr>
              <w:pStyle w:val="TableContents"/>
              <w:spacing w:before="0" w:after="283"/>
              <w:jc w:val="right"/>
              <w:rPr/>
            </w:pPr>
            <w:r>
              <w:rPr/>
              <w:t>469</w:t>
            </w:r>
          </w:p>
        </w:tc>
        <w:tc>
          <w:tcPr>
            <w:tcW w:w="149" w:type="dxa"/>
            <w:tcBorders/>
            <w:shd w:fill="CCEEFF" w:val="clear"/>
            <w:vAlign w:val="center"/>
          </w:tcPr>
          <w:p>
            <w:pPr>
              <w:pStyle w:val="TableContents"/>
              <w:spacing w:before="0" w:after="283"/>
              <w:jc w:val="left"/>
              <w:rPr/>
            </w:pPr>
            <w:r>
              <w:rPr/>
              <w:t> </w:t>
            </w:r>
          </w:p>
        </w:tc>
        <w:tc>
          <w:tcPr>
            <w:tcW w:w="94"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88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4100" w:type="dxa"/>
            <w:tcBorders/>
            <w:shd w:fill="FFFFFF" w:val="clear"/>
            <w:vAlign w:val="center"/>
          </w:tcPr>
          <w:p>
            <w:pPr>
              <w:pStyle w:val="TableContents"/>
              <w:spacing w:before="0" w:after="283"/>
              <w:jc w:val="left"/>
              <w:rPr/>
            </w:pPr>
            <w:r>
              <w:rPr/>
              <w:t>Loss on Disposal of Assets</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 </w:t>
            </w:r>
          </w:p>
        </w:tc>
        <w:tc>
          <w:tcPr>
            <w:tcW w:w="1186" w:type="dxa"/>
            <w:tcBorders/>
            <w:shd w:fill="FFFFFF" w:val="clear"/>
            <w:vAlign w:val="center"/>
          </w:tcPr>
          <w:p>
            <w:pPr>
              <w:pStyle w:val="TableContents"/>
              <w:spacing w:before="0" w:after="283"/>
              <w:jc w:val="right"/>
              <w:rPr/>
            </w:pPr>
            <w:r>
              <w:rPr/>
              <w:t>56</w:t>
            </w:r>
          </w:p>
        </w:tc>
        <w:tc>
          <w:tcPr>
            <w:tcW w:w="149" w:type="dxa"/>
            <w:tcBorders/>
            <w:shd w:fill="FFFFFF" w:val="clear"/>
            <w:vAlign w:val="center"/>
          </w:tcPr>
          <w:p>
            <w:pPr>
              <w:pStyle w:val="TableContents"/>
              <w:spacing w:before="0" w:after="283"/>
              <w:jc w:val="left"/>
              <w:rPr/>
            </w:pPr>
            <w:r>
              <w:rPr/>
              <w:t> </w:t>
            </w:r>
          </w:p>
        </w:tc>
        <w:tc>
          <w:tcPr>
            <w:tcW w:w="94"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 </w:t>
            </w:r>
          </w:p>
        </w:tc>
        <w:tc>
          <w:tcPr>
            <w:tcW w:w="880" w:type="dxa"/>
            <w:tcBorders/>
            <w:shd w:fill="FFFFFF" w:val="clear"/>
            <w:vAlign w:val="center"/>
          </w:tcPr>
          <w:p>
            <w:pPr>
              <w:pStyle w:val="TableContents"/>
              <w:spacing w:before="0" w:after="283"/>
              <w:jc w:val="right"/>
              <w:rPr/>
            </w:pPr>
            <w:r>
              <w:rPr/>
              <w:t>124</w:t>
            </w:r>
          </w:p>
        </w:tc>
        <w:tc>
          <w:tcPr>
            <w:tcW w:w="75" w:type="dxa"/>
            <w:tcBorders/>
            <w:shd w:fill="FFFFFF" w:val="clear"/>
            <w:vAlign w:val="center"/>
          </w:tcPr>
          <w:p>
            <w:pPr>
              <w:pStyle w:val="TableContents"/>
              <w:spacing w:before="0" w:after="283"/>
              <w:jc w:val="left"/>
              <w:rPr/>
            </w:pPr>
            <w:r>
              <w:rPr/>
              <w:t> </w:t>
            </w:r>
          </w:p>
        </w:tc>
      </w:tr>
      <w:tr>
        <w:trPr/>
        <w:tc>
          <w:tcPr>
            <w:tcW w:w="410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Separation Agreement</w:t>
            </w:r>
            <w:r>
              <w:rPr>
                <w:rFonts w:ascii="Times New Roman;Times;Serif" w:hAnsi="Times New Roman;Times;Serif"/>
                <w:position w:val="7"/>
                <w:sz w:val="16"/>
                <w:sz w:val="20"/>
              </w:rPr>
              <w:t>(4)</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1186" w:type="dxa"/>
            <w:tcBorders/>
            <w:shd w:fill="CCEEFF" w:val="clear"/>
            <w:vAlign w:val="center"/>
          </w:tcPr>
          <w:p>
            <w:pPr>
              <w:pStyle w:val="TableContents"/>
              <w:spacing w:before="0" w:after="283"/>
              <w:jc w:val="right"/>
              <w:rPr/>
            </w:pPr>
            <w:r>
              <w:rPr/>
              <w:t>1,197</w:t>
            </w:r>
          </w:p>
        </w:tc>
        <w:tc>
          <w:tcPr>
            <w:tcW w:w="149" w:type="dxa"/>
            <w:tcBorders/>
            <w:shd w:fill="CCEEFF" w:val="clear"/>
            <w:vAlign w:val="center"/>
          </w:tcPr>
          <w:p>
            <w:pPr>
              <w:pStyle w:val="TableContents"/>
              <w:spacing w:before="0" w:after="283"/>
              <w:jc w:val="left"/>
              <w:rPr/>
            </w:pPr>
            <w:r>
              <w:rPr/>
              <w:t> </w:t>
            </w:r>
          </w:p>
        </w:tc>
        <w:tc>
          <w:tcPr>
            <w:tcW w:w="94"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88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4100" w:type="dxa"/>
            <w:tcBorders/>
            <w:shd w:fill="FFFF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Business Combination Expenses</w:t>
            </w:r>
            <w:r>
              <w:rPr>
                <w:rFonts w:ascii="Times New Roman;Times;Serif" w:hAnsi="Times New Roman;Times;Serif"/>
                <w:position w:val="7"/>
                <w:sz w:val="16"/>
                <w:sz w:val="20"/>
              </w:rPr>
              <w:t>(5)</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 </w:t>
            </w:r>
          </w:p>
        </w:tc>
        <w:tc>
          <w:tcPr>
            <w:tcW w:w="1186" w:type="dxa"/>
            <w:tcBorders/>
            <w:shd w:fill="FFFFFF" w:val="clear"/>
            <w:vAlign w:val="center"/>
          </w:tcPr>
          <w:p>
            <w:pPr>
              <w:pStyle w:val="TableContents"/>
              <w:spacing w:before="0" w:after="283"/>
              <w:jc w:val="right"/>
              <w:rPr/>
            </w:pPr>
            <w:r>
              <w:rPr/>
              <w:t>21,337</w:t>
            </w:r>
          </w:p>
        </w:tc>
        <w:tc>
          <w:tcPr>
            <w:tcW w:w="149" w:type="dxa"/>
            <w:tcBorders/>
            <w:shd w:fill="FFFFFF" w:val="clear"/>
            <w:vAlign w:val="center"/>
          </w:tcPr>
          <w:p>
            <w:pPr>
              <w:pStyle w:val="TableContents"/>
              <w:spacing w:before="0" w:after="283"/>
              <w:jc w:val="left"/>
              <w:rPr/>
            </w:pPr>
            <w:r>
              <w:rPr/>
              <w:t> </w:t>
            </w:r>
          </w:p>
        </w:tc>
        <w:tc>
          <w:tcPr>
            <w:tcW w:w="94"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jc w:val="left"/>
              <w:rPr/>
            </w:pPr>
            <w:r>
              <w:rPr/>
              <w:t> </w:t>
            </w:r>
          </w:p>
        </w:tc>
        <w:tc>
          <w:tcPr>
            <w:tcW w:w="880" w:type="dxa"/>
            <w:tcBorders/>
            <w:shd w:fill="FFFFFF" w:val="clear"/>
            <w:vAlign w:val="center"/>
          </w:tcPr>
          <w:p>
            <w:pPr>
              <w:pStyle w:val="TableContents"/>
              <w:spacing w:before="0" w:after="283"/>
              <w:jc w:val="right"/>
              <w:rPr/>
            </w:pPr>
            <w:r>
              <w:rPr/>
              <w:t>294</w:t>
            </w:r>
          </w:p>
        </w:tc>
        <w:tc>
          <w:tcPr>
            <w:tcW w:w="75" w:type="dxa"/>
            <w:tcBorders/>
            <w:shd w:fill="FFFFFF" w:val="clear"/>
            <w:vAlign w:val="center"/>
          </w:tcPr>
          <w:p>
            <w:pPr>
              <w:pStyle w:val="TableContents"/>
              <w:spacing w:before="0" w:after="283"/>
              <w:jc w:val="left"/>
              <w:rPr/>
            </w:pPr>
            <w:r>
              <w:rPr/>
              <w:t> </w:t>
            </w:r>
          </w:p>
        </w:tc>
      </w:tr>
      <w:tr>
        <w:trPr/>
        <w:tc>
          <w:tcPr>
            <w:tcW w:w="4100"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Debt extinguishment </w:t>
            </w:r>
            <w:r>
              <w:rPr>
                <w:rFonts w:ascii="Times New Roman;Times;Serif" w:hAnsi="Times New Roman;Times;Serif"/>
                <w:position w:val="7"/>
                <w:sz w:val="16"/>
                <w:sz w:val="20"/>
              </w:rPr>
              <w:t>(6)</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1186" w:type="dxa"/>
            <w:tcBorders/>
            <w:shd w:fill="CCEEFF" w:val="clear"/>
            <w:vAlign w:val="center"/>
          </w:tcPr>
          <w:p>
            <w:pPr>
              <w:pStyle w:val="TableContents"/>
              <w:spacing w:before="0" w:after="283"/>
              <w:jc w:val="right"/>
              <w:rPr/>
            </w:pPr>
            <w:r>
              <w:rPr/>
              <w:t>4,824</w:t>
            </w:r>
          </w:p>
        </w:tc>
        <w:tc>
          <w:tcPr>
            <w:tcW w:w="149" w:type="dxa"/>
            <w:tcBorders/>
            <w:shd w:fill="CCEEFF" w:val="clear"/>
            <w:vAlign w:val="center"/>
          </w:tcPr>
          <w:p>
            <w:pPr>
              <w:pStyle w:val="TableContents"/>
              <w:spacing w:before="0" w:after="283"/>
              <w:jc w:val="left"/>
              <w:rPr/>
            </w:pPr>
            <w:r>
              <w:rPr/>
              <w:t> </w:t>
            </w:r>
          </w:p>
        </w:tc>
        <w:tc>
          <w:tcPr>
            <w:tcW w:w="94"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jc w:val="left"/>
              <w:rPr/>
            </w:pPr>
            <w:r>
              <w:rPr/>
              <w:t> </w:t>
            </w:r>
          </w:p>
        </w:tc>
        <w:tc>
          <w:tcPr>
            <w:tcW w:w="88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4100" w:type="dxa"/>
            <w:tcBorders/>
            <w:shd w:fill="FFFF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Change in fair market value of warrant liability </w:t>
            </w:r>
            <w:r>
              <w:rPr>
                <w:rFonts w:ascii="Times New Roman;Times;Serif" w:hAnsi="Times New Roman;Times;Serif"/>
                <w:position w:val="7"/>
                <w:sz w:val="16"/>
                <w:sz w:val="20"/>
              </w:rPr>
              <w:t>(7)</w:t>
            </w:r>
          </w:p>
        </w:tc>
        <w:tc>
          <w:tcPr>
            <w:tcW w:w="60" w:type="dxa"/>
            <w:tcBorders/>
            <w:shd w:fill="FFFFFF" w:val="clear"/>
            <w:vAlign w:val="center"/>
          </w:tcPr>
          <w:p>
            <w:pPr>
              <w:pStyle w:val="TableContents"/>
              <w:spacing w:before="0" w:after="283"/>
              <w:rPr/>
            </w:pPr>
            <w:r>
              <w:rPr/>
              <w:t> </w:t>
            </w:r>
          </w:p>
        </w:tc>
        <w:tc>
          <w:tcPr>
            <w:tcW w:w="22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86" w:type="dxa"/>
            <w:tcBorders>
              <w:bottom w:val="single" w:sz="12" w:space="0" w:color="000000"/>
            </w:tcBorders>
            <w:shd w:fill="FFFFFF" w:val="clear"/>
            <w:tcMar>
              <w:bottom w:w="28" w:type="dxa"/>
            </w:tcMar>
            <w:vAlign w:val="center"/>
          </w:tcPr>
          <w:p>
            <w:pPr>
              <w:pStyle w:val="TableContents"/>
              <w:spacing w:before="0" w:after="283"/>
              <w:jc w:val="right"/>
              <w:rPr/>
            </w:pPr>
            <w:r>
              <w:rPr/>
              <w:t>(5,446</w:t>
            </w:r>
          </w:p>
        </w:tc>
        <w:tc>
          <w:tcPr>
            <w:tcW w:w="149" w:type="dxa"/>
            <w:tcBorders/>
            <w:shd w:fill="FFFFFF" w:val="clear"/>
            <w:vAlign w:val="center"/>
          </w:tcPr>
          <w:p>
            <w:pPr>
              <w:pStyle w:val="TableContents"/>
              <w:spacing w:before="0" w:after="283"/>
              <w:jc w:val="left"/>
              <w:rPr/>
            </w:pPr>
            <w:r>
              <w:rPr/>
              <w:t>)</w:t>
            </w:r>
          </w:p>
        </w:tc>
        <w:tc>
          <w:tcPr>
            <w:tcW w:w="94" w:type="dxa"/>
            <w:tcBorders/>
            <w:shd w:fill="FFFFFF" w:val="clear"/>
            <w:vAlign w:val="center"/>
          </w:tcPr>
          <w:p>
            <w:pPr>
              <w:pStyle w:val="TableContents"/>
              <w:spacing w:before="0" w:after="283"/>
              <w:rPr/>
            </w:pPr>
            <w:r>
              <w:rPr/>
              <w:t> </w:t>
            </w:r>
          </w:p>
        </w:tc>
        <w:tc>
          <w:tcPr>
            <w:tcW w:w="22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4100" w:type="dxa"/>
            <w:tcBorders/>
            <w:shd w:fill="CCEEFF" w:val="clear"/>
            <w:vAlign w:val="center"/>
          </w:tcPr>
          <w:p>
            <w:pPr>
              <w:pStyle w:val="TableContents"/>
              <w:spacing w:before="0" w:after="283"/>
              <w:jc w:val="left"/>
              <w:rPr>
                <w:b/>
              </w:rPr>
            </w:pPr>
            <w:r>
              <w:rPr>
                <w:b/>
              </w:rPr>
              <w:t>Adjusted EBITDA</w:t>
            </w:r>
          </w:p>
        </w:tc>
        <w:tc>
          <w:tcPr>
            <w:tcW w:w="60" w:type="dxa"/>
            <w:tcBorders/>
            <w:shd w:fill="CCEEFF" w:val="clear"/>
            <w:vAlign w:val="center"/>
          </w:tcPr>
          <w:p>
            <w:pPr>
              <w:pStyle w:val="TableContents"/>
              <w:spacing w:before="0" w:after="283"/>
              <w:rPr/>
            </w:pPr>
            <w:r>
              <w:rPr/>
              <w:t> </w:t>
            </w:r>
          </w:p>
        </w:tc>
        <w:tc>
          <w:tcPr>
            <w:tcW w:w="22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86" w:type="dxa"/>
            <w:tcBorders>
              <w:bottom w:val="double" w:sz="6" w:space="0" w:color="000000"/>
            </w:tcBorders>
            <w:shd w:fill="CCEEFF" w:val="clear"/>
            <w:tcMar>
              <w:bottom w:w="28" w:type="dxa"/>
            </w:tcMar>
            <w:vAlign w:val="center"/>
          </w:tcPr>
          <w:p>
            <w:pPr>
              <w:pStyle w:val="TableContents"/>
              <w:spacing w:before="0" w:after="283"/>
              <w:jc w:val="right"/>
              <w:rPr/>
            </w:pPr>
            <w:r>
              <w:rPr/>
              <w:t>(7,540</w:t>
            </w:r>
          </w:p>
        </w:tc>
        <w:tc>
          <w:tcPr>
            <w:tcW w:w="149" w:type="dxa"/>
            <w:tcBorders/>
            <w:shd w:fill="CCEEFF" w:val="clear"/>
            <w:vAlign w:val="center"/>
          </w:tcPr>
          <w:p>
            <w:pPr>
              <w:pStyle w:val="TableContents"/>
              <w:spacing w:before="0" w:after="283"/>
              <w:jc w:val="left"/>
              <w:rPr/>
            </w:pPr>
            <w:r>
              <w:rPr/>
              <w:t>)</w:t>
            </w:r>
          </w:p>
        </w:tc>
        <w:tc>
          <w:tcPr>
            <w:tcW w:w="94" w:type="dxa"/>
            <w:tcBorders/>
            <w:shd w:fill="CCEEFF" w:val="clear"/>
            <w:vAlign w:val="center"/>
          </w:tcPr>
          <w:p>
            <w:pPr>
              <w:pStyle w:val="TableContents"/>
              <w:spacing w:before="0" w:after="283"/>
              <w:rPr/>
            </w:pPr>
            <w:r>
              <w:rPr/>
              <w:t> </w:t>
            </w:r>
          </w:p>
        </w:tc>
        <w:tc>
          <w:tcPr>
            <w:tcW w:w="22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880" w:type="dxa"/>
            <w:tcBorders>
              <w:bottom w:val="double" w:sz="6" w:space="0" w:color="000000"/>
            </w:tcBorders>
            <w:shd w:fill="CCEEFF" w:val="clear"/>
            <w:tcMar>
              <w:bottom w:w="28" w:type="dxa"/>
            </w:tcMar>
            <w:vAlign w:val="center"/>
          </w:tcPr>
          <w:p>
            <w:pPr>
              <w:pStyle w:val="TableContents"/>
              <w:spacing w:before="0" w:after="283"/>
              <w:jc w:val="right"/>
              <w:rPr/>
            </w:pPr>
            <w:r>
              <w:rPr/>
              <w:t>8,470</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r>
        <w:trPr/>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7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2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ERP Implementation is comprised of costs and expenses associated with our implementation of an Enterprise Resource Planning (ERP) system in anticipation of the Business Combination and becoming a public company.</w:t>
            </w:r>
          </w:p>
        </w:tc>
      </w:tr>
      <w:tr>
        <w:trPr/>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7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2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Promissory Note Forgiveness is comprised of the loan that was forgiven, prior to the Business Combination, in connection with the promissory note, with a maturity date of March 1, 2026, between us and John Marchetti, our Chief Financial Officer. </w:t>
            </w:r>
          </w:p>
        </w:tc>
      </w:tr>
      <w:tr>
        <w:trPr/>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7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2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 is comprised of $1.2 million in cash severance associated with the Separation Agreement, dated October 25, 2022, as amended on November 14, 2022, between us and Sean Nichols, our former Chief Operating Officer.</w:t>
            </w:r>
          </w:p>
        </w:tc>
      </w:tr>
      <w:tr>
        <w:trPr/>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7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2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 Expenses is comprised of fees and expenses, including legal, accounting, and others associated with the Business Combination.</w:t>
            </w:r>
          </w:p>
        </w:tc>
      </w:tr>
      <w:tr>
        <w:trPr/>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7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2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extinguishment expenses are comprised of expenses incurred in connection with the early debt repayment of the Series 2021-6 Notes that occurred in conjunction with the Business Combination.</w:t>
            </w:r>
          </w:p>
        </w:tc>
      </w:tr>
      <w:tr>
        <w:trPr/>
        <w:tc>
          <w:tcPr>
            <w:tcW w:w="227"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7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2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7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the date the warrants were issued through December 31, 2022.</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December 31, 2022, we had cash totaling $17.8 million.</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67</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growth of our business and in anticipation of future needs and to protect against supply-chain and logistics related shortages, during the fourth quarter of 2022, we continued to increase our inventory purchasing activities. As a result, our inventory balance at December 31, 2022 increased by $22.8 million to $49.9 million, compared to $27.1 million at December 31, 2021.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 million of fixed rate senior notes, secured by among other things, a security interest in our intellectual property. As part of the Business Combination, we entered into the Term Loan, the proceeds of which were used to repay the $45 million fixed rate senior notes, and ChEF Equity Facility.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our Administrative Agent and Term Loan Lenders of our failure to satisfy the fixed charge coverage ratio and maximum senior leverage ratio with respect to the minimum cash requirements under the Term Loan during the quarter ended March 31, 2023.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68</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we will have the right from time to time at our option to direct CCM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21,512,027 shares that may be resold into the public markets by CCM, which represents approximately 50% of the shares of our common stock outstanding as of December 31, 2022. During the year ended December 31, 2023, we did not sell any shares of our common stock under the ChEF Equity Facility. From January 1, 2023 to April 17, 2023, we issued and sold 98,500 shares of our common stock under this facility, resulting in net cash proceeds of $670,593. Any sales of such shares into the public market could have a significant negative impact on the trading price of our common stock. This impact may be heightened by the fact that sales to CCM will generally be at prices below the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Note in the Principal Amount of $1.0 million to Brian Nelson, one of our directors, in a private placement in exchange for cash in an equal amount. The Note became due and payable in full on April 1, 2023. We were also obligated to pay the Loan Fee in the amount of $100,000 to Mr. Nelson on April 4, 2023. The Principal Amount of the Note was paid in full on April 1, 2023 and the Loan Fee was paid in full on April 4, 2023.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filed a registration statement of which this prospectus forms a part registering the resale of up to 50,857,102 shares that may be resold and/or issued into the public markets, which represents approximately 111% of the shares of our common stock outstanding as of December 31, 2022. The selling securityholders will determine the timing, pricing and rate at which they sell such shares into the public market. Although the current trading price of our common stock is below $10.00 per share, which was the sales price for units in the CNTQ IPO, certain of the selling security 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such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we incurred losses and had a negative cash flow from operations. As of December 31, 2022, we had approximately $17.8 million in cash and cash equivalents and working capital of $32.9 million.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69</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Years ended December 31, 2022 and 2021</w:t>
      </w:r>
    </w:p>
    <w:p>
      <w:pPr>
        <w:pStyle w:val="TextBody"/>
        <w:jc w:val="both"/>
        <w:rPr>
          <w:caps w:val="false"/>
          <w:smallCaps w:val="false"/>
        </w:rPr>
      </w:pPr>
      <w:r>
        <w:rPr>
          <w:caps w:val="false"/>
          <w:smallCaps w:val="false"/>
        </w:rPr>
        <w:t> </w:t>
      </w:r>
    </w:p>
    <w:tbl>
      <w:tblPr>
        <w:tblW w:w="6191" w:type="dxa"/>
        <w:jc w:val="left"/>
        <w:tblInd w:w="0" w:type="dxa"/>
        <w:tblCellMar>
          <w:top w:w="0" w:type="dxa"/>
          <w:left w:w="0" w:type="dxa"/>
          <w:bottom w:w="0" w:type="dxa"/>
          <w:right w:w="0" w:type="dxa"/>
        </w:tblCellMar>
      </w:tblPr>
      <w:tblGrid>
        <w:gridCol w:w="3275"/>
        <w:gridCol w:w="60"/>
        <w:gridCol w:w="197"/>
        <w:gridCol w:w="1067"/>
        <w:gridCol w:w="134"/>
        <w:gridCol w:w="84"/>
        <w:gridCol w:w="197"/>
        <w:gridCol w:w="1067"/>
        <w:gridCol w:w="110"/>
      </w:tblGrid>
      <w:tr>
        <w:trPr/>
        <w:tc>
          <w:tcPr>
            <w:tcW w:w="327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746"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Years ended December 31,</w:t>
            </w:r>
          </w:p>
        </w:tc>
        <w:tc>
          <w:tcPr>
            <w:tcW w:w="110" w:type="dxa"/>
            <w:tcBorders/>
            <w:shd w:fill="auto"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6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13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6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283"/>
              <w:rPr>
                <w:b/>
              </w:rPr>
            </w:pPr>
            <w:r>
              <w:rPr>
                <w:b/>
              </w:rPr>
              <w:t>Net Cash provided by/(used in):</w:t>
            </w:r>
          </w:p>
        </w:tc>
        <w:tc>
          <w:tcPr>
            <w:tcW w:w="60" w:type="dxa"/>
            <w:tcBorders/>
            <w:shd w:fill="auto" w:val="clear"/>
            <w:vAlign w:val="center"/>
          </w:tcPr>
          <w:p>
            <w:pPr>
              <w:pStyle w:val="TableContents"/>
              <w:spacing w:before="0" w:after="283"/>
              <w:rPr/>
            </w:pPr>
            <w:r>
              <w:rPr/>
              <w:t> </w:t>
            </w:r>
          </w:p>
        </w:tc>
        <w:tc>
          <w:tcPr>
            <w:tcW w:w="2746" w:type="dxa"/>
            <w:gridSpan w:val="6"/>
            <w:tcBorders/>
            <w:shd w:fill="auto" w:val="clear"/>
            <w:vAlign w:val="center"/>
          </w:tcPr>
          <w:p>
            <w:pPr>
              <w:pStyle w:val="TableContents"/>
              <w:spacing w:before="0" w:after="283"/>
              <w:jc w:val="center"/>
              <w:rPr>
                <w:b/>
              </w:rPr>
            </w:pPr>
            <w:r>
              <w:rPr>
                <w:b/>
              </w:rPr>
              <w:t>(in thousands)</w:t>
            </w:r>
          </w:p>
        </w:tc>
        <w:tc>
          <w:tcPr>
            <w:tcW w:w="110" w:type="dxa"/>
            <w:tcBorders/>
            <w:shd w:fill="auto" w:val="clear"/>
            <w:vAlign w:val="center"/>
          </w:tcPr>
          <w:p>
            <w:pPr>
              <w:pStyle w:val="TableContents"/>
              <w:spacing w:before="0" w:after="283"/>
              <w:rPr/>
            </w:pPr>
            <w:r>
              <w:rPr/>
              <w:t> </w:t>
            </w:r>
          </w:p>
        </w:tc>
      </w:tr>
      <w:tr>
        <w:trPr/>
        <w:tc>
          <w:tcPr>
            <w:tcW w:w="3275" w:type="dxa"/>
            <w:tcBorders/>
            <w:shd w:fill="CCEEFF" w:val="clear"/>
            <w:vAlign w:val="center"/>
          </w:tcPr>
          <w:p>
            <w:pPr>
              <w:pStyle w:val="TableContents"/>
              <w:spacing w:before="0" w:after="283"/>
              <w:jc w:val="left"/>
              <w:rPr/>
            </w:pPr>
            <w:r>
              <w:rPr/>
              <w:t>Operating Activities</w:t>
            </w:r>
          </w:p>
        </w:tc>
        <w:tc>
          <w:tcPr>
            <w:tcW w:w="6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jc w:val="left"/>
              <w:rPr/>
            </w:pPr>
            <w:r>
              <w:rPr/>
              <w:t>$</w:t>
            </w:r>
          </w:p>
        </w:tc>
        <w:tc>
          <w:tcPr>
            <w:tcW w:w="1067" w:type="dxa"/>
            <w:tcBorders/>
            <w:shd w:fill="CCEEFF" w:val="clear"/>
            <w:vAlign w:val="center"/>
          </w:tcPr>
          <w:p>
            <w:pPr>
              <w:pStyle w:val="TableContents"/>
              <w:spacing w:before="0" w:after="283"/>
              <w:jc w:val="right"/>
              <w:rPr/>
            </w:pPr>
            <w:r>
              <w:rPr/>
              <w:t>(45,696</w:t>
            </w:r>
          </w:p>
        </w:tc>
        <w:tc>
          <w:tcPr>
            <w:tcW w:w="134" w:type="dxa"/>
            <w:tcBorders/>
            <w:shd w:fill="CCEEFF" w:val="clear"/>
            <w:vAlign w:val="center"/>
          </w:tcPr>
          <w:p>
            <w:pPr>
              <w:pStyle w:val="TableContents"/>
              <w:spacing w:before="0" w:after="283"/>
              <w:jc w:val="left"/>
              <w:rPr/>
            </w:pPr>
            <w:r>
              <w:rPr/>
              <w:t>)</w:t>
            </w:r>
          </w:p>
        </w:tc>
        <w:tc>
          <w:tcPr>
            <w:tcW w:w="84"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jc w:val="left"/>
              <w:rPr/>
            </w:pPr>
            <w:r>
              <w:rPr/>
              <w:t>$</w:t>
            </w:r>
          </w:p>
        </w:tc>
        <w:tc>
          <w:tcPr>
            <w:tcW w:w="1067" w:type="dxa"/>
            <w:tcBorders/>
            <w:shd w:fill="CCEEFF" w:val="clear"/>
            <w:vAlign w:val="center"/>
          </w:tcPr>
          <w:p>
            <w:pPr>
              <w:pStyle w:val="TableContents"/>
              <w:spacing w:before="0" w:after="283"/>
              <w:jc w:val="right"/>
              <w:rPr/>
            </w:pPr>
            <w:r>
              <w:rPr/>
              <w:t>(13,573</w:t>
            </w:r>
          </w:p>
        </w:tc>
        <w:tc>
          <w:tcPr>
            <w:tcW w:w="110" w:type="dxa"/>
            <w:tcBorders/>
            <w:shd w:fill="CCEEFF" w:val="clear"/>
            <w:vAlign w:val="center"/>
          </w:tcPr>
          <w:p>
            <w:pPr>
              <w:pStyle w:val="TableContents"/>
              <w:spacing w:before="0" w:after="283"/>
              <w:jc w:val="left"/>
              <w:rPr/>
            </w:pPr>
            <w:r>
              <w:rPr/>
              <w:t>)</w:t>
            </w:r>
          </w:p>
        </w:tc>
      </w:tr>
      <w:tr>
        <w:trPr/>
        <w:tc>
          <w:tcPr>
            <w:tcW w:w="3275" w:type="dxa"/>
            <w:tcBorders/>
            <w:shd w:fill="FFFFFF" w:val="clear"/>
            <w:vAlign w:val="center"/>
          </w:tcPr>
          <w:p>
            <w:pPr>
              <w:pStyle w:val="TableContents"/>
              <w:spacing w:before="0" w:after="283"/>
              <w:jc w:val="left"/>
              <w:rPr/>
            </w:pPr>
            <w:r>
              <w:rPr/>
              <w:t>Investing activities</w:t>
            </w:r>
          </w:p>
        </w:tc>
        <w:tc>
          <w:tcPr>
            <w:tcW w:w="60"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jc w:val="left"/>
              <w:rPr/>
            </w:pPr>
            <w:r>
              <w:rPr/>
              <w:t>$</w:t>
            </w:r>
          </w:p>
        </w:tc>
        <w:tc>
          <w:tcPr>
            <w:tcW w:w="1067" w:type="dxa"/>
            <w:tcBorders/>
            <w:shd w:fill="FFFFFF" w:val="clear"/>
            <w:vAlign w:val="center"/>
          </w:tcPr>
          <w:p>
            <w:pPr>
              <w:pStyle w:val="TableContents"/>
              <w:spacing w:before="0" w:after="283"/>
              <w:jc w:val="right"/>
              <w:rPr/>
            </w:pPr>
            <w:r>
              <w:rPr/>
              <w:t>(6,827</w:t>
            </w:r>
          </w:p>
        </w:tc>
        <w:tc>
          <w:tcPr>
            <w:tcW w:w="134" w:type="dxa"/>
            <w:tcBorders/>
            <w:shd w:fill="FFFFFF" w:val="clear"/>
            <w:vAlign w:val="center"/>
          </w:tcPr>
          <w:p>
            <w:pPr>
              <w:pStyle w:val="TableContents"/>
              <w:spacing w:before="0" w:after="283"/>
              <w:jc w:val="left"/>
              <w:rPr/>
            </w:pPr>
            <w:r>
              <w:rPr/>
              <w:t>)</w:t>
            </w:r>
          </w:p>
        </w:tc>
        <w:tc>
          <w:tcPr>
            <w:tcW w:w="84"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jc w:val="left"/>
              <w:rPr/>
            </w:pPr>
            <w:r>
              <w:rPr/>
              <w:t>$</w:t>
            </w:r>
          </w:p>
        </w:tc>
        <w:tc>
          <w:tcPr>
            <w:tcW w:w="1067" w:type="dxa"/>
            <w:tcBorders/>
            <w:shd w:fill="FFFFFF" w:val="clear"/>
            <w:vAlign w:val="center"/>
          </w:tcPr>
          <w:p>
            <w:pPr>
              <w:pStyle w:val="TableContents"/>
              <w:spacing w:before="0" w:after="283"/>
              <w:jc w:val="right"/>
              <w:rPr/>
            </w:pPr>
            <w:r>
              <w:rPr/>
              <w:t>(2,909</w:t>
            </w:r>
          </w:p>
        </w:tc>
        <w:tc>
          <w:tcPr>
            <w:tcW w:w="110" w:type="dxa"/>
            <w:tcBorders/>
            <w:shd w:fill="FFFFFF" w:val="clear"/>
            <w:vAlign w:val="center"/>
          </w:tcPr>
          <w:p>
            <w:pPr>
              <w:pStyle w:val="TableContents"/>
              <w:spacing w:before="0" w:after="283"/>
              <w:jc w:val="left"/>
              <w:rPr/>
            </w:pPr>
            <w:r>
              <w:rPr/>
              <w:t>)</w:t>
            </w:r>
          </w:p>
        </w:tc>
      </w:tr>
      <w:tr>
        <w:trPr/>
        <w:tc>
          <w:tcPr>
            <w:tcW w:w="3275" w:type="dxa"/>
            <w:tcBorders/>
            <w:shd w:fill="CCEEFF" w:val="clear"/>
            <w:vAlign w:val="center"/>
          </w:tcPr>
          <w:p>
            <w:pPr>
              <w:pStyle w:val="TableContents"/>
              <w:spacing w:before="0" w:after="283"/>
              <w:jc w:val="left"/>
              <w:rPr/>
            </w:pPr>
            <w:r>
              <w:rPr/>
              <w:t>Financing activities</w:t>
            </w:r>
          </w:p>
        </w:tc>
        <w:tc>
          <w:tcPr>
            <w:tcW w:w="6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jc w:val="left"/>
              <w:rPr/>
            </w:pPr>
            <w:r>
              <w:rPr/>
              <w:t>$</w:t>
            </w:r>
          </w:p>
        </w:tc>
        <w:tc>
          <w:tcPr>
            <w:tcW w:w="1067" w:type="dxa"/>
            <w:tcBorders/>
            <w:shd w:fill="CCEEFF" w:val="clear"/>
            <w:vAlign w:val="center"/>
          </w:tcPr>
          <w:p>
            <w:pPr>
              <w:pStyle w:val="TableContents"/>
              <w:spacing w:before="0" w:after="283"/>
              <w:jc w:val="right"/>
              <w:rPr/>
            </w:pPr>
            <w:r>
              <w:rPr/>
              <w:t>41,674</w:t>
            </w:r>
          </w:p>
        </w:tc>
        <w:tc>
          <w:tcPr>
            <w:tcW w:w="134" w:type="dxa"/>
            <w:tcBorders/>
            <w:shd w:fill="CCEEFF" w:val="clear"/>
            <w:vAlign w:val="center"/>
          </w:tcPr>
          <w:p>
            <w:pPr>
              <w:pStyle w:val="TableContents"/>
              <w:spacing w:before="0" w:after="283"/>
              <w:jc w:val="left"/>
              <w:rPr/>
            </w:pPr>
            <w:r>
              <w:rPr/>
              <w:t> </w:t>
            </w:r>
          </w:p>
        </w:tc>
        <w:tc>
          <w:tcPr>
            <w:tcW w:w="84"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jc w:val="left"/>
              <w:rPr/>
            </w:pPr>
            <w:r>
              <w:rPr/>
              <w:t>$</w:t>
            </w:r>
          </w:p>
        </w:tc>
        <w:tc>
          <w:tcPr>
            <w:tcW w:w="1067" w:type="dxa"/>
            <w:tcBorders/>
            <w:shd w:fill="CCEEFF" w:val="clear"/>
            <w:vAlign w:val="center"/>
          </w:tcPr>
          <w:p>
            <w:pPr>
              <w:pStyle w:val="TableContents"/>
              <w:spacing w:before="0" w:after="283"/>
              <w:jc w:val="right"/>
              <w:rPr/>
            </w:pPr>
            <w:r>
              <w:rPr/>
              <w:t>38,906</w:t>
            </w:r>
          </w:p>
        </w:tc>
        <w:tc>
          <w:tcPr>
            <w:tcW w:w="110"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$13.6 million for the year ended December 31, 2021 primarily due to net income during the period which was more than offset by an increase in working capital (particularly inventory as the Company made the operational decision to build a larger buffer inventory to protect against potential shortages as we were targeting larger OEM customers) as a result of growth in our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$6.8 million for the year ended December 31, 2022, as compared to $2.9 million for the year ended December 31, 2021. The increase in net cash used in investing activities was primarily due to an increase in capital expenditures to support the expansion of our core battery business and our ongoing efforts to develop solid-state battery technology and manufacturing processes.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$41.7 million for the year ended December 31, 2022, primarily as a result of proceeds from the $75.0 million term loan as part of the Business Combination, and $15.0 million from the strategic investment made by Thor Industries, partially offset by a $45.0 million expense for the repayment of the senior secured notes.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$38.9 million for the year ended December 31, 2021, primarily as a result of $45.0 million in proceeds from the senior secured notes, partially offset by associated issuance costs.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lease liabilities. As of December 31, 2022, we had $1.2 million in short-term operating lease liabilities and $3.5 million in long-term operating lease liabilities.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70</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consistent with the Debt Commitment Letter dated May 15, 2022 by and between CCM 5, and EICF EIP, in connection with the Closing, CNTQ, Legacy Dragonfly and the Initial Term Loan Lenders entered into the Term Loan Agreement setting forth the terms of a senior secured term loan facility in an aggregate principal amount of $75 million. The CNTQ Lender backstopped its commitment under the Debt Commitment Letter by entering into a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71</w:t>
            </w:r>
          </w:p>
        </w:tc>
      </w:tr>
    </w:tbl>
    <w:p>
      <w:pPr>
        <w:pStyle w:val="TextBody"/>
        <w:spacing w:before="120" w:after="283"/>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34" w:name="Na_002"/>
      <w:bookmarkEnd w:id="34"/>
      <w:r>
        <w:rPr>
          <w:rFonts w:ascii="Times New Roman;Times;Serif" w:hAnsi="Times New Roman;Times;Serif"/>
          <w:b/>
          <w:i w:val="false"/>
          <w:caps w:val="false"/>
          <w:smallCaps w:val="false"/>
          <w:sz w:val="20"/>
        </w:rPr>
        <w:t>MANAGEMENT</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executive officers and directors as of the date of this prospectus.</w:t>
      </w:r>
    </w:p>
    <w:p>
      <w:pPr>
        <w:pStyle w:val="TextBody"/>
        <w:rPr>
          <w:caps w:val="false"/>
          <w:smallCaps w:val="false"/>
        </w:rPr>
      </w:pPr>
      <w:r>
        <w:rPr>
          <w:caps w:val="false"/>
          <w:smallCaps w:val="false"/>
        </w:rPr>
        <w:t> </w:t>
      </w:r>
    </w:p>
    <w:tbl>
      <w:tblPr>
        <w:tblW w:w="7575" w:type="dxa"/>
        <w:jc w:val="left"/>
        <w:tblInd w:w="0" w:type="dxa"/>
        <w:tblCellMar>
          <w:top w:w="0" w:type="dxa"/>
          <w:left w:w="0" w:type="dxa"/>
          <w:bottom w:w="28" w:type="dxa"/>
          <w:right w:w="0" w:type="dxa"/>
        </w:tblCellMar>
      </w:tblPr>
      <w:tblGrid>
        <w:gridCol w:w="2150"/>
        <w:gridCol w:w="60"/>
        <w:gridCol w:w="350"/>
        <w:gridCol w:w="60"/>
        <w:gridCol w:w="4955"/>
      </w:tblGrid>
      <w:tr>
        <w:trPr/>
        <w:tc>
          <w:tcPr>
            <w:tcW w:w="2150"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955"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Held</w:t>
            </w:r>
          </w:p>
        </w:tc>
      </w:tr>
      <w:tr>
        <w:trPr/>
        <w:tc>
          <w:tcPr>
            <w:tcW w:w="215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Chief Executive Officer and Chairman of the Board</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95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15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Bourns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95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r>
      <w:tr>
        <w:trPr/>
        <w:tc>
          <w:tcPr>
            <w:tcW w:w="215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95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95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Denis Phares</w:t>
      </w:r>
      <w:r>
        <w:rPr>
          <w:rFonts w:ascii="Times New Roman;Times;Serif" w:hAnsi="Times New Roman;Times;Serif"/>
          <w:b w:val="false"/>
          <w:i w:val="false"/>
          <w:caps w:val="false"/>
          <w:smallCaps w:val="false"/>
          <w:sz w:val="20"/>
        </w:rPr>
        <w:t xml:space="preserve"> has served as our Chief Executive Officer and Chairman of our board of directors since October 2022. Dr. Phares is the co-founder of 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 Ph.D. in Engineering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John Marchetti</w:t>
      </w:r>
      <w:r>
        <w:rPr>
          <w:rFonts w:ascii="Times New Roman;Times;Serif" w:hAnsi="Times New Roman;Times;Serif"/>
          <w:b w:val="false"/>
          <w:i w:val="false"/>
          <w:caps w:val="false"/>
          <w:smallCaps w:val="false"/>
          <w:sz w:val="20"/>
        </w:rPr>
        <w:t xml:space="preserve"> has served as our Chief Financial Officer since October 2022. Mr. Marchetti has also served as the Chief Financial Officer of Legacy Dragonfly since September 2021. Mr. Marchetti has over 20 years of experience in the technology and financial services industries. Previously, Mr. Marchetti served as a Managing Director and senior research analyst at Stifel Financial Corp. from April 2018 until September 2021, where he was focused on communications infrastructure and applied technology markets, including advanced battery technologies. From 2016 to May 2018, Mr. Marchetti served as Senior Vice President for Strategy and Business Development of Cloudbus, a technology research and development company, and, from 2012 to 2015, he served as Chief Strategy Officer and Executive Vice President at Fabrinet, a publicly-traded manufacturing services company.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72</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Tyler Bourns </w:t>
      </w:r>
      <w:r>
        <w:rPr>
          <w:rFonts w:ascii="Times New Roman;Times;Serif" w:hAnsi="Times New Roman;Times;Serif"/>
          <w:b w:val="false"/>
          <w:i w:val="false"/>
          <w:caps w:val="false"/>
          <w:smallCaps w:val="false"/>
          <w:sz w:val="20"/>
        </w:rPr>
        <w:t>has served as our Chief Marketing Officer since November 2022. Prior to the Business Combination, Mr. Bourns served as the Senior Vice 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Luisa Ingargiola</w:t>
      </w:r>
      <w:r>
        <w:rPr>
          <w:rFonts w:ascii="Times New Roman;Times;Serif" w:hAnsi="Times New Roman;Times;Serif"/>
          <w:b w:val="false"/>
          <w:i w:val="false"/>
          <w:caps w:val="false"/>
          <w:smallCaps w:val="false"/>
          <w:sz w:val="20"/>
        </w:rPr>
        <w:t xml:space="preserve"> has served as a member of our board since October 2022. Prior to the Business Combination, Ms. Ingargiola served on the board of directors of Legacy Dragonfly from August 2021 to October 2022. Since February 2017, Ms. Ingargiola has served as Chief Financial Officer of Avalon GloboCare Corp., a publicly listed bio-tech health care company. Prior to joining Avalon GloboCare Corp., Ms. Ingargiola served as the Chief Financial Officer and Co-Founder of MagneGas Corporation from 2007 to 2016. Ms. Ingargiola has also served as a board director and audit committee chair for various over-the-counter and Nasdaq companies. Ms. Ingargiola has served as a member of the board of directors and as Audit Committee Chair for Progress Acquisition Corporation since November 2020, as a member of the board of directors and as Audit Committee Chair for AgEagle Aerial Systems since March 2019, and as a member of the board of directors and as Audit Committee Chair for Electra Meccanica since March 2018.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Brian Nelson</w:t>
      </w:r>
      <w:r>
        <w:rPr>
          <w:rFonts w:ascii="Times New Roman;Times;Serif" w:hAnsi="Times New Roman;Times;Serif"/>
          <w:b w:val="false"/>
          <w:i w:val="false"/>
          <w:caps w:val="false"/>
          <w:smallCaps w:val="false"/>
          <w:sz w:val="20"/>
        </w:rPr>
        <w:t xml:space="preserve"> has served as a member of our board since October 2022. Prior to the Business Combination, Mr. Nelson served on the board of directors of 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Perry Boyle </w:t>
      </w:r>
      <w:r>
        <w:rPr>
          <w:rFonts w:ascii="Times New Roman;Times;Serif" w:hAnsi="Times New Roman;Times;Serif"/>
          <w:b w:val="false"/>
          <w:i w:val="false"/>
          <w:caps w:val="false"/>
          <w:smallCaps w:val="false"/>
          <w:sz w:val="20"/>
        </w:rPr>
        <w:t>has served as a member of our board since October 2022. Prior to the Business Combination, he served on the board of directors of CNTQ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73</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Jonathan Bellows</w:t>
      </w:r>
      <w:r>
        <w:rPr>
          <w:rFonts w:ascii="Times New Roman;Times;Serif" w:hAnsi="Times New Roman;Times;Serif"/>
          <w:b w:val="false"/>
          <w:i w:val="false"/>
          <w:caps w:val="false"/>
          <w:smallCaps w:val="false"/>
          <w:sz w:val="20"/>
        </w:rPr>
        <w:t xml:space="preserve"> has served as a member of our board since October 2022. Mr. Bellows currently serves as President of KORE Power, which 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our board based on his energy storage industry expertise and operating and leadership experience.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Rick Parod</w:t>
      </w:r>
      <w:r>
        <w:rPr>
          <w:rFonts w:ascii="Times New Roman;Times;Serif" w:hAnsi="Times New Roman;Times;Serif"/>
          <w:b w:val="false"/>
          <w:i w:val="false"/>
          <w:caps w:val="false"/>
          <w:smallCaps w:val="false"/>
          <w:sz w:val="20"/>
        </w:rPr>
        <w:t xml:space="preserve"> has served as a member of our board since October 2022. 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is qualified to serve on our board based on his experience in manufacturing operations, product development and sales and marketing.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Karina Montilla Edmonds, Ph.D</w:t>
      </w:r>
      <w:r>
        <w:rPr>
          <w:rFonts w:ascii="Times New Roman;Times;Serif" w:hAnsi="Times New Roman;Times;Serif"/>
          <w:b w:val="false"/>
          <w:i w:val="false"/>
          <w:caps w:val="false"/>
          <w:smallCaps w:val="false"/>
          <w:sz w:val="20"/>
        </w:rPr>
        <w:t>. has served as a member of our board since October 2022.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 Board of Directors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managed by or under the direction of our board. Our Charter provides for a staggered, or classified, board of directors consisting of three classes of directors, each serving a staggered three-year term and with one class being elected at each year’s annual meeting of stockholders, as follows: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which consists of Rick Parod and Karina Edmonds, whose terms will expire at the 2023 annual meeting of stockholders;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which consists of Brian Nelson and Jonathan Bellows, whose terms will expire at the 2024 annual meeting of stockholders;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which consists of Denis Phares, Luisa Ingargiola and Perry Boyle, whose terms will expire at the 2025 annual meeting of stockholders.</w:t>
            </w:r>
          </w:p>
        </w:tc>
      </w:tr>
    </w:tbl>
    <w:p>
      <w:pPr>
        <w:pStyle w:val="TextBody"/>
        <w:rPr/>
      </w:pPr>
      <w:r>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74</w:t>
            </w:r>
          </w:p>
        </w:tc>
      </w:tr>
    </w:tbl>
    <w:p>
      <w:pPr>
        <w:pStyle w:val="TextBody"/>
        <w:spacing w:before="120" w:after="283"/>
        <w:rPr/>
      </w:pPr>
      <w:r>
        <w:rPr/>
        <w:t> </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 to any then outstanding preferred stock, any vacancies on our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our board may have the effect of delaying or preventing changes in our control or management. Our directors may be removed for cause by the affirmative vote of the holders of at least two-thirds of our voting securities.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 serves as the Chairman of our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 delegate. Luisa Ingargiola also serves as our independent Lead Director. We believe that this structure provides an environment in which the independent directors are fully informed, have significant input into the content of board meetings, and are able to provide objective and thoughtful oversight of management.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Rick Parod, Perry Boyle, Jonathan Bellows, Karina Montilla Edmonds, Brian Nelson and Luisa Ingargiola qualify as independent directors, as defined under the rules of the Nasdaq, and our board consists of a majority of “independent directors,” as defined under the rules of the SEC and the Nasdaq relating to director independence requirements. In addition, we are subject to the rules of the SEC and the Nasdaq relating to the membership, qualifications, and operations of the audit committee, as discussed below. Luisa Ingargiola is our lead independent director under the Nasdaq rules.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of Directors in Risk Oversight/Risk Committee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our board is informed oversight of our risk management process. Our board does not anticipate having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also monitors compliance with legal and regulatory requirements. Our compensation committee also assess and monitors whether our compensation plans, policies and programs comply with applicable legal and regulatory requirements.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Committees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three standing committees — an audit committee, a compensation committee, and a nominating and corporate governance committee. Copies of the charters for each committee are available on our website.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Luisa Ingargiola, Rick Parod and Perry Boyle. Our board has determined that each of the members of the audit committee satisfy the independence requirements of Nasdaq and Rule 10A-3 under the Exchange Act and are able to read and understand fundamental financial statements in accordance with Nasdaq’s audit committee requirements. In arriving at this determination, our board examined each audit committee member’s scope of experience and the nature of their prior and/or current employment.</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75</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 serves as the chair of the audit committee. Our board has determined that Luisa Ingargiola qualifies as an audit committee financial expert within the meaning of SEC regulations and meets the financial sophistication requirements of the Nasdaq rules. In making this determination, our board considered Luisa Ingargiola’s formal education and previous experience in financial roles. Both our independent registered public accounting firm and management periodically meet privately with our audit committee.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the audit committee include, among other things: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compensating, oversight, and evaluating the performance, independence and qualifications of our independent auditors and determining whether to retain our existing independent auditors or engage new independent auditors;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financial reporting processes and disclosure controls;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engagement of our independent auditors to perform audit services and any permissible non-audit services;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internal control policies and procedures;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auditors the annual audit plan, including the scope of audit activities and all critical accounting policies and practices to be used by us;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at least annually a report by our independent auditors describing the independent auditors’ internal quality control procedures and any issues raised by the most recent internal quality-control review;</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the rotation of the lead auditor of our independent auditors and consider regular rotation of the accounting firm serving as our independent auditors;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annually, reviewing relationships or services that may impact the objectivity and independence of the auditors;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annual and financial statements and reports and discussing the statements and reports with our independent auditors and management;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the receipt, retention and treatment of complaints received by us, regarding financial controls, accounting, auditing or other matters;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the report that the SEC requires in our annual proxy statement;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significant risk exposures;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on an annual basis the performance of the audit committee and the audit committee charter.</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audit committee complies with all applicable requirements of the Sarbanes-Oxley Act and all applicable SEC rules and regulations.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Luisa Ingargiola, Brian Nelson and Rick Parod. Brian Nelson serves as the chair of the compensation committee. Our board determined that each of the members of the compensation committee are a non-employee director, as defined in Rule 16b-3 promulgated under the Exchange Act and satisfies the independence requirements of Nasdaq.</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the compensation committee include, among other things: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corporate goals and objectives that pertain to the determination of executive compensation;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compensation and other terms of employment of our executive officers;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performance goals and objectives relevant to the compensation of our Chief Executive Officer and assessing the Chief Executive Officer’s performance against these goals and objectives;</w:t>
            </w:r>
          </w:p>
        </w:tc>
      </w:tr>
    </w:tbl>
    <w:p>
      <w:pPr>
        <w:pStyle w:val="TextBody"/>
        <w:ind w:left="0" w:right="0" w:hanging="36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76</w:t>
            </w:r>
          </w:p>
        </w:tc>
      </w:tr>
    </w:tbl>
    <w:p>
      <w:pPr>
        <w:pStyle w:val="TextBody"/>
        <w:spacing w:before="120" w:after="283"/>
        <w:rPr/>
      </w:pPr>
      <w:r>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to our board regarding the adoption, termination, amendment of equity and cash incentive plans and approving amendments to such plans to the extent authorized by our board;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assessing the independence of compensation consultants, legal counsel and other advisors as required by Section 10C of the Exchange Act;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terms of any employment agreements, severance arrangements or plans, including any benefits to be provided in connection with a change in control, for the Chief Executive Officer and other executives;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our disclosures under the caption “</w:t>
            </w:r>
            <w:r>
              <w:rPr>
                <w:rFonts w:ascii="Times New Roman;Times;Serif" w:hAnsi="Times New Roman;Times;Serif"/>
                <w:b w:val="false"/>
                <w:i/>
                <w:caps w:val="false"/>
                <w:smallCaps w:val="false"/>
                <w:sz w:val="20"/>
              </w:rPr>
              <w:t>Compensation Discussion and Analysis</w:t>
            </w:r>
            <w:r>
              <w:rPr>
                <w:rFonts w:ascii="Times New Roman;Times;Serif" w:hAnsi="Times New Roman;Times;Serif"/>
                <w:b w:val="false"/>
                <w:i w:val="false"/>
                <w:caps w:val="false"/>
                <w:smallCaps w:val="false"/>
                <w:sz w:val="20"/>
              </w:rPr>
              <w:t>” in our periodic reports or proxy statements to be filed with the SEC, to the extent such caption is included in any such report or proxy statement;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an annual report on executive compensation that the SEC requires in our annual proxy statement;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our board for executive officer development and retention and corporate succession plans.</w:t>
            </w:r>
          </w:p>
        </w:tc>
      </w:tr>
    </w:tbl>
    <w:p>
      <w:pPr>
        <w:pStyle w:val="TextBody"/>
        <w:ind w:left="0" w:right="0" w:hanging="36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our compensation committee complies with all applicable requirements of the Sarbanes-Oxley Act and all applicable SEC and the Nasdaq rules and regulations.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Brian Nelson, Jonathan Bellows and Karina Edmonds. Karina Edmonds serves as the chair of the nominating and corporate governance committee. Our board determined that each of the members of the nominating and corporate governance committee satisfies the independence requirements of Nasdaq.</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this committee are expected to include, among other things: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making recommendations of candidates to serve on our board;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 process for recommendation of director candidates by stockholders and publishing such process annually in the our proxy statement;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nominations by stockholders of candidates for election to our board;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reviewing the composition and organization of our board’s committees and making recommendations to our board for approval;</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 set of corporate governance policies and principles and recommending to our board any changes to such policies and principles;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the nominating and corporate governance committee charter.</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nominating and corporate governance committee comply with all applicable requirements of the Sarbanes-Oxley Act and all applicable SEC and Nasdaq’s rules and regulations.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our board or compensation committee.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 and Code of Ethics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code of conduct (“</w:t>
      </w:r>
      <w:r>
        <w:rPr>
          <w:rFonts w:ascii="Times New Roman;Times;Serif" w:hAnsi="Times New Roman;Times;Serif"/>
          <w:b/>
          <w:i w:val="false"/>
          <w:caps w:val="false"/>
          <w:smallCaps w:val="false"/>
          <w:sz w:val="20"/>
        </w:rPr>
        <w:t>Code of Conduct</w:t>
      </w:r>
      <w:r>
        <w:rPr>
          <w:rFonts w:ascii="Times New Roman;Times;Serif" w:hAnsi="Times New Roman;Times;Serif"/>
          <w:b w:val="false"/>
          <w:i w:val="false"/>
          <w:caps w:val="false"/>
          <w:smallCaps w:val="false"/>
          <w:sz w:val="20"/>
        </w:rPr>
        <w:t>”) and a code of ethics (“</w:t>
      </w:r>
      <w:r>
        <w:rPr>
          <w:rFonts w:ascii="Times New Roman;Times;Serif" w:hAnsi="Times New Roman;Times;Serif"/>
          <w:b/>
          <w:i w:val="false"/>
          <w:caps w:val="false"/>
          <w:smallCaps w:val="false"/>
          <w:sz w:val="20"/>
        </w:rPr>
        <w:t>Code of Ethics</w:t>
      </w:r>
      <w:r>
        <w:rPr>
          <w:rFonts w:ascii="Times New Roman;Times;Serif" w:hAnsi="Times New Roman;Times;Serif"/>
          <w:b w:val="false"/>
          <w:i w:val="false"/>
          <w:caps w:val="false"/>
          <w:smallCaps w:val="false"/>
          <w:sz w:val="20"/>
        </w:rPr>
        <w:t xml:space="preserve">”) that applies to all of our directors, officers and employees. The full text of the Code of Conduct and Code of Ethics is posted on the investor relations page on our website at </w:t>
      </w:r>
      <w:r>
        <w:rPr>
          <w:rFonts w:ascii="Times New Roman;Times;Serif" w:hAnsi="Times New Roman;Times;Serif"/>
          <w:b w:val="false"/>
          <w:i/>
          <w:caps w:val="false"/>
          <w:smallCaps w:val="false"/>
          <w:sz w:val="20"/>
        </w:rPr>
        <w:t>https://dragonflyenergy.com/investors/</w:t>
      </w:r>
      <w:r>
        <w:rPr>
          <w:rFonts w:ascii="Times New Roman;Times;Serif" w:hAnsi="Times New Roman;Times;Serif"/>
          <w:b w:val="false"/>
          <w:i w:val="false"/>
          <w:caps w:val="false"/>
          <w:smallCaps w:val="false"/>
          <w:sz w:val="20"/>
        </w:rPr>
        <w:t>. We will disclose any amendments to our Code of Conduct and Code of Ethics, or waivers of its requirements on our website identified above, or in filings under the Exchange Act.</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77</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78.138 of the NRS provides that, unless the corporation’s articles of incorporation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pStyle w:val="TextBody"/>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articles of incorporation,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articles of incorporation,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78</w:t>
            </w:r>
          </w:p>
        </w:tc>
      </w:tr>
    </w:tbl>
    <w:p>
      <w:pPr>
        <w:pStyle w:val="TextBody"/>
        <w:spacing w:before="120" w:after="283"/>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35" w:name="Na_003"/>
      <w:bookmarkEnd w:id="35"/>
      <w:r>
        <w:rPr>
          <w:rFonts w:ascii="Times New Roman;Times;Serif" w:hAnsi="Times New Roman;Times;Serif"/>
          <w:b/>
          <w:i w:val="false"/>
          <w:caps w:val="false"/>
          <w:smallCaps w:val="false"/>
          <w:sz w:val="20"/>
        </w:rPr>
        <w:t>EXECUTIVE AND DIRECTOR COMPENSATION</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components of the executive compensation program for certain of our executive officers listed in the Summary Compensation Table below (the “</w:t>
      </w:r>
      <w:r>
        <w:rPr>
          <w:rFonts w:ascii="Times New Roman;Times;Serif" w:hAnsi="Times New Roman;Times;Serif"/>
          <w:b/>
          <w:i w:val="false"/>
          <w:caps w:val="false"/>
          <w:smallCaps w:val="false"/>
          <w:sz w:val="20"/>
        </w:rPr>
        <w:t>NEOs</w:t>
      </w:r>
      <w:r>
        <w:rPr>
          <w:rFonts w:ascii="Times New Roman;Times;Serif" w:hAnsi="Times New Roman;Times;Serif"/>
          <w:b w:val="false"/>
          <w:i w:val="false"/>
          <w:caps w:val="false"/>
          <w:smallCaps w:val="false"/>
          <w:sz w:val="20"/>
        </w:rPr>
        <w:t>”) and directors. This discussion may contain forward-looking statements that are based on our current plans, considerations, expectations and determinations regarding future compensation programs.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compensation earned by, or awarded to, our NEOs for 2022.</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 — Fiscal 2022</w:t>
      </w:r>
    </w:p>
    <w:p>
      <w:pPr>
        <w:pStyle w:val="TextBody"/>
        <w:jc w:val="both"/>
        <w:rPr>
          <w:caps w:val="false"/>
          <w:smallCaps w:val="false"/>
        </w:rPr>
      </w:pPr>
      <w:r>
        <w:rPr>
          <w:caps w:val="false"/>
          <w:smallCaps w:val="false"/>
        </w:rPr>
        <w:t> </w:t>
      </w:r>
    </w:p>
    <w:tbl>
      <w:tblPr>
        <w:tblW w:w="11765" w:type="dxa"/>
        <w:jc w:val="left"/>
        <w:tblInd w:w="0" w:type="dxa"/>
        <w:tblCellMar>
          <w:top w:w="0" w:type="dxa"/>
          <w:left w:w="0" w:type="dxa"/>
          <w:bottom w:w="0" w:type="dxa"/>
          <w:right w:w="0" w:type="dxa"/>
        </w:tblCellMar>
      </w:tblPr>
      <w:tblGrid>
        <w:gridCol w:w="1010"/>
        <w:gridCol w:w="60"/>
        <w:gridCol w:w="530"/>
        <w:gridCol w:w="60"/>
        <w:gridCol w:w="60"/>
        <w:gridCol w:w="60"/>
        <w:gridCol w:w="800"/>
        <w:gridCol w:w="60"/>
        <w:gridCol w:w="60"/>
        <w:gridCol w:w="60"/>
        <w:gridCol w:w="800"/>
        <w:gridCol w:w="60"/>
        <w:gridCol w:w="60"/>
        <w:gridCol w:w="60"/>
        <w:gridCol w:w="980"/>
        <w:gridCol w:w="60"/>
        <w:gridCol w:w="60"/>
        <w:gridCol w:w="60"/>
        <w:gridCol w:w="800"/>
        <w:gridCol w:w="60"/>
        <w:gridCol w:w="60"/>
        <w:gridCol w:w="103"/>
        <w:gridCol w:w="1387"/>
        <w:gridCol w:w="60"/>
        <w:gridCol w:w="60"/>
        <w:gridCol w:w="278"/>
        <w:gridCol w:w="1212"/>
        <w:gridCol w:w="60"/>
        <w:gridCol w:w="60"/>
        <w:gridCol w:w="103"/>
        <w:gridCol w:w="1387"/>
        <w:gridCol w:w="60"/>
        <w:gridCol w:w="60"/>
        <w:gridCol w:w="60"/>
        <w:gridCol w:w="980"/>
        <w:gridCol w:w="75"/>
      </w:tblGrid>
      <w:tr>
        <w:trPr/>
        <w:tc>
          <w:tcPr>
            <w:tcW w:w="1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Non-Qualified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Non-Equity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Deferred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b/>
              </w:rPr>
            </w:pPr>
            <w:r>
              <w:rPr>
                <w:b/>
              </w:rPr>
              <w:t>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b/>
              </w:rPr>
            </w:pPr>
            <w:r>
              <w:rPr>
                <w:b/>
              </w:rPr>
              <w:t>Option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Incentive Plan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All Other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b/>
              </w:rPr>
            </w:pPr>
            <w:r>
              <w:rPr>
                <w:b/>
              </w:rPr>
              <w:t>Salary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b/>
              </w:rPr>
            </w:pPr>
            <w:r>
              <w:rPr>
                <w:b/>
              </w:rPr>
              <w:t>Bonus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b/>
              </w:rPr>
            </w:pPr>
            <w:r>
              <w:rPr>
                <w:b/>
              </w:rPr>
              <w:t>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b/>
              </w:rPr>
            </w:pPr>
            <w:r>
              <w:rPr>
                <w:b/>
              </w:rPr>
              <w:t>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Earnings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1010" w:type="dxa"/>
            <w:tcBorders>
              <w:bottom w:val="single" w:sz="12" w:space="0" w:color="000000"/>
            </w:tcBorders>
            <w:shd w:fill="auto" w:val="clear"/>
            <w:tcMar>
              <w:bottom w:w="28" w:type="dxa"/>
            </w:tcMar>
            <w:vAlign w:val="center"/>
          </w:tcPr>
          <w:p>
            <w:pPr>
              <w:pStyle w:val="TableContents"/>
              <w:spacing w:before="0" w:after="283"/>
              <w:rPr>
                <w:b/>
              </w:rPr>
            </w:pPr>
            <w:r>
              <w:rPr>
                <w:b/>
              </w:rPr>
              <w:t>Name and Principal Position</w:t>
            </w:r>
          </w:p>
        </w:tc>
        <w:tc>
          <w:tcPr>
            <w:tcW w:w="60" w:type="dxa"/>
            <w:tcBorders/>
            <w:shd w:fill="auto" w:val="clear"/>
            <w:vAlign w:val="center"/>
          </w:tcPr>
          <w:p>
            <w:pPr>
              <w:pStyle w:val="TableContents"/>
              <w:spacing w:before="0" w:after="283"/>
              <w:rPr/>
            </w:pPr>
            <w:r>
              <w:rPr/>
              <w:t> </w:t>
            </w:r>
          </w:p>
        </w:tc>
        <w:tc>
          <w:tcPr>
            <w:tcW w:w="530" w:type="dxa"/>
            <w:tcBorders>
              <w:bottom w:val="single" w:sz="12" w:space="0" w:color="000000"/>
            </w:tcBorders>
            <w:shd w:fill="auto" w:val="clear"/>
            <w:tcMar>
              <w:bottom w:w="28" w:type="dxa"/>
            </w:tcMar>
            <w:vAlign w:val="center"/>
          </w:tcPr>
          <w:p>
            <w:pPr>
              <w:pStyle w:val="TableContents"/>
              <w:spacing w:before="0" w:after="283"/>
              <w:jc w:val="center"/>
              <w:rPr>
                <w:b/>
              </w:rPr>
            </w:pPr>
            <w:r>
              <w:rPr>
                <w:b/>
              </w:rPr>
              <w:t>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75" w:type="dxa"/>
            <w:tcBorders/>
            <w:shd w:fill="auto" w:val="clear"/>
            <w:vAlign w:val="center"/>
          </w:tcPr>
          <w:p>
            <w:pPr>
              <w:pStyle w:val="TableContents"/>
              <w:spacing w:before="0" w:after="283"/>
              <w:rPr/>
            </w:pPr>
            <w:r>
              <w:rPr/>
              <w:t> </w:t>
            </w:r>
          </w:p>
        </w:tc>
      </w:tr>
      <w:tr>
        <w:trPr/>
        <w:tc>
          <w:tcPr>
            <w:tcW w:w="1010" w:type="dxa"/>
            <w:tcBorders/>
            <w:shd w:fill="CCEEFF" w:val="clear"/>
            <w:vAlign w:val="center"/>
          </w:tcPr>
          <w:p>
            <w:pPr>
              <w:pStyle w:val="TableContents"/>
              <w:spacing w:before="0" w:after="283"/>
              <w:jc w:val="left"/>
              <w:rPr/>
            </w:pPr>
            <w:r>
              <w:rPr/>
              <w:t>Dr. Denis Phares</w:t>
            </w:r>
          </w:p>
        </w:tc>
        <w:tc>
          <w:tcPr>
            <w:tcW w:w="60" w:type="dxa"/>
            <w:tcBorders/>
            <w:shd w:fill="CCEEFF" w:val="clear"/>
            <w:vAlign w:val="center"/>
          </w:tcPr>
          <w:p>
            <w:pPr>
              <w:pStyle w:val="TableContents"/>
              <w:spacing w:before="0" w:after="283"/>
              <w:rPr/>
            </w:pPr>
            <w:r>
              <w:rPr/>
              <w:t> </w:t>
            </w:r>
          </w:p>
        </w:tc>
        <w:tc>
          <w:tcPr>
            <w:tcW w:w="530" w:type="dxa"/>
            <w:tcBorders/>
            <w:shd w:fill="CCEEFF" w:val="clear"/>
            <w:vAlign w:val="center"/>
          </w:tcPr>
          <w:p>
            <w:pPr>
              <w:pStyle w:val="TableContents"/>
              <w:spacing w:before="0" w:after="283"/>
              <w:jc w:val="center"/>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682,000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806,207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1,531,545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left"/>
              <w:rPr/>
            </w:pPr>
            <w:r>
              <w:rPr/>
              <w:t> </w:t>
            </w:r>
          </w:p>
        </w:tc>
        <w:tc>
          <w:tcPr>
            <w:tcW w:w="121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3,019,752</w:t>
            </w:r>
          </w:p>
        </w:tc>
        <w:tc>
          <w:tcPr>
            <w:tcW w:w="75" w:type="dxa"/>
            <w:tcBorders/>
            <w:shd w:fill="CCEEFF" w:val="clear"/>
            <w:vAlign w:val="center"/>
          </w:tcPr>
          <w:p>
            <w:pPr>
              <w:pStyle w:val="TableContents"/>
              <w:spacing w:before="0" w:after="283"/>
              <w:jc w:val="left"/>
              <w:rPr/>
            </w:pPr>
            <w:r>
              <w:rPr/>
              <w:t> </w:t>
            </w:r>
          </w:p>
        </w:tc>
      </w:tr>
      <w:tr>
        <w:trPr/>
        <w:tc>
          <w:tcPr>
            <w:tcW w:w="1010" w:type="dxa"/>
            <w:tcBorders/>
            <w:shd w:fill="CCEEFF" w:val="clear"/>
            <w:vAlign w:val="center"/>
          </w:tcPr>
          <w:p>
            <w:pPr>
              <w:pStyle w:val="TableContents"/>
              <w:spacing w:before="0" w:after="283"/>
              <w:jc w:val="left"/>
              <w:rPr>
                <w:i/>
              </w:rPr>
            </w:pPr>
            <w:r>
              <w:rPr>
                <w:i/>
              </w:rPr>
              <w:t>Chief Executive Officer</w:t>
            </w:r>
          </w:p>
        </w:tc>
        <w:tc>
          <w:tcPr>
            <w:tcW w:w="60" w:type="dxa"/>
            <w:tcBorders/>
            <w:shd w:fill="CCEEFF" w:val="clear"/>
            <w:vAlign w:val="center"/>
          </w:tcPr>
          <w:p>
            <w:pPr>
              <w:pStyle w:val="TableContents"/>
              <w:spacing w:before="0" w:after="283"/>
              <w:rPr/>
            </w:pPr>
            <w:r>
              <w:rPr/>
              <w:t> </w:t>
            </w:r>
          </w:p>
        </w:tc>
        <w:tc>
          <w:tcPr>
            <w:tcW w:w="530" w:type="dxa"/>
            <w:tcBorders/>
            <w:shd w:fill="CCEEFF" w:val="clear"/>
            <w:vAlign w:val="center"/>
          </w:tcPr>
          <w:p>
            <w:pPr>
              <w:pStyle w:val="TableContents"/>
              <w:spacing w:before="0" w:after="283"/>
              <w:jc w:val="center"/>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579,593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362,137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left"/>
              <w:rPr/>
            </w:pPr>
            <w:r>
              <w:rPr/>
              <w:t> </w:t>
            </w:r>
          </w:p>
        </w:tc>
        <w:tc>
          <w:tcPr>
            <w:tcW w:w="121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22,234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963,964</w:t>
            </w:r>
          </w:p>
        </w:tc>
        <w:tc>
          <w:tcPr>
            <w:tcW w:w="75" w:type="dxa"/>
            <w:tcBorders/>
            <w:shd w:fill="CCEEFF" w:val="clear"/>
            <w:vAlign w:val="center"/>
          </w:tcPr>
          <w:p>
            <w:pPr>
              <w:pStyle w:val="TableContents"/>
              <w:spacing w:before="0" w:after="283"/>
              <w:jc w:val="left"/>
              <w:rPr/>
            </w:pPr>
            <w:r>
              <w:rPr/>
              <w:t> </w:t>
            </w:r>
          </w:p>
        </w:tc>
      </w:tr>
      <w:tr>
        <w:trPr/>
        <w:tc>
          <w:tcPr>
            <w:tcW w:w="1010" w:type="dxa"/>
            <w:tcBorders/>
            <w:shd w:fill="FFFFFF" w:val="clear"/>
            <w:vAlign w:val="center"/>
          </w:tcPr>
          <w:p>
            <w:pPr>
              <w:pStyle w:val="TableContents"/>
              <w:spacing w:before="0" w:after="283"/>
              <w:rPr/>
            </w:pPr>
            <w:r>
              <w:rPr/>
              <w:t>Sean Nichols(5)</w:t>
            </w:r>
          </w:p>
        </w:tc>
        <w:tc>
          <w:tcPr>
            <w:tcW w:w="60" w:type="dxa"/>
            <w:tcBorders/>
            <w:shd w:fill="FFFFFF" w:val="clear"/>
            <w:vAlign w:val="center"/>
          </w:tcPr>
          <w:p>
            <w:pPr>
              <w:pStyle w:val="TableContents"/>
              <w:spacing w:before="0" w:after="283"/>
              <w:rPr/>
            </w:pPr>
            <w:r>
              <w:rPr/>
              <w:t> </w:t>
            </w:r>
          </w:p>
        </w:tc>
        <w:tc>
          <w:tcPr>
            <w:tcW w:w="530" w:type="dxa"/>
            <w:tcBorders/>
            <w:shd w:fill="FFFFFF" w:val="clear"/>
            <w:vAlign w:val="center"/>
          </w:tcPr>
          <w:p>
            <w:pPr>
              <w:pStyle w:val="TableContents"/>
              <w:spacing w:before="0" w:after="283"/>
              <w:jc w:val="center"/>
              <w:rPr/>
            </w:pPr>
            <w:r>
              <w:rPr/>
              <w:t>2022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598,462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655,587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left"/>
              <w:rPr/>
            </w:pPr>
            <w:r>
              <w:rPr/>
              <w:t> </w:t>
            </w:r>
          </w:p>
        </w:tc>
        <w:tc>
          <w:tcPr>
            <w:tcW w:w="121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157,693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1,411,742</w:t>
            </w:r>
          </w:p>
        </w:tc>
        <w:tc>
          <w:tcPr>
            <w:tcW w:w="75" w:type="dxa"/>
            <w:tcBorders/>
            <w:shd w:fill="FFFFFF" w:val="clear"/>
            <w:vAlign w:val="center"/>
          </w:tcPr>
          <w:p>
            <w:pPr>
              <w:pStyle w:val="TableContents"/>
              <w:spacing w:before="0" w:after="283"/>
              <w:jc w:val="left"/>
              <w:rPr/>
            </w:pPr>
            <w:r>
              <w:rPr/>
              <w:t> </w:t>
            </w:r>
          </w:p>
        </w:tc>
      </w:tr>
      <w:tr>
        <w:trPr/>
        <w:tc>
          <w:tcPr>
            <w:tcW w:w="1010" w:type="dxa"/>
            <w:tcBorders/>
            <w:shd w:fill="FFFFFF" w:val="clear"/>
            <w:vAlign w:val="center"/>
          </w:tcPr>
          <w:p>
            <w:pPr>
              <w:pStyle w:val="TableContents"/>
              <w:spacing w:before="0" w:after="283"/>
              <w:jc w:val="left"/>
              <w:rPr>
                <w:i/>
              </w:rPr>
            </w:pPr>
            <w:r>
              <w:rPr>
                <w:i/>
              </w:rPr>
              <w:t>Chief Operating Officer</w:t>
            </w:r>
          </w:p>
        </w:tc>
        <w:tc>
          <w:tcPr>
            <w:tcW w:w="60" w:type="dxa"/>
            <w:tcBorders/>
            <w:shd w:fill="FFFFFF" w:val="clear"/>
            <w:vAlign w:val="center"/>
          </w:tcPr>
          <w:p>
            <w:pPr>
              <w:pStyle w:val="TableContents"/>
              <w:spacing w:before="0" w:after="283"/>
              <w:rPr/>
            </w:pPr>
            <w:r>
              <w:rPr/>
              <w:t> </w:t>
            </w:r>
          </w:p>
        </w:tc>
        <w:tc>
          <w:tcPr>
            <w:tcW w:w="530" w:type="dxa"/>
            <w:tcBorders/>
            <w:shd w:fill="FFFFFF" w:val="clear"/>
            <w:vAlign w:val="center"/>
          </w:tcPr>
          <w:p>
            <w:pPr>
              <w:pStyle w:val="TableContents"/>
              <w:spacing w:before="0" w:after="283"/>
              <w:jc w:val="center"/>
              <w:rPr/>
            </w:pPr>
            <w:r>
              <w:rPr/>
              <w:t>2021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579,593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362,137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left"/>
              <w:rPr/>
            </w:pPr>
            <w:r>
              <w:rPr/>
              <w:t> </w:t>
            </w:r>
          </w:p>
        </w:tc>
        <w:tc>
          <w:tcPr>
            <w:tcW w:w="121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20,244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961,974</w:t>
            </w:r>
          </w:p>
        </w:tc>
        <w:tc>
          <w:tcPr>
            <w:tcW w:w="75" w:type="dxa"/>
            <w:tcBorders/>
            <w:shd w:fill="FFFFFF" w:val="clear"/>
            <w:vAlign w:val="center"/>
          </w:tcPr>
          <w:p>
            <w:pPr>
              <w:pStyle w:val="TableContents"/>
              <w:spacing w:before="0" w:after="283"/>
              <w:jc w:val="left"/>
              <w:rPr/>
            </w:pPr>
            <w:r>
              <w:rPr/>
              <w:t> </w:t>
            </w:r>
          </w:p>
        </w:tc>
      </w:tr>
      <w:tr>
        <w:trPr/>
        <w:tc>
          <w:tcPr>
            <w:tcW w:w="1010" w:type="dxa"/>
            <w:tcBorders/>
            <w:shd w:fill="CCEEFF" w:val="clear"/>
            <w:vAlign w:val="center"/>
          </w:tcPr>
          <w:p>
            <w:pPr>
              <w:pStyle w:val="TableContents"/>
              <w:spacing w:before="0" w:after="283"/>
              <w:rPr/>
            </w:pPr>
            <w:r>
              <w:rPr/>
              <w:t>John Marchetti(6)</w:t>
            </w:r>
          </w:p>
        </w:tc>
        <w:tc>
          <w:tcPr>
            <w:tcW w:w="60" w:type="dxa"/>
            <w:tcBorders/>
            <w:shd w:fill="CCEEFF" w:val="clear"/>
            <w:vAlign w:val="center"/>
          </w:tcPr>
          <w:p>
            <w:pPr>
              <w:pStyle w:val="TableContents"/>
              <w:spacing w:before="0" w:after="283"/>
              <w:rPr/>
            </w:pPr>
            <w:r>
              <w:rPr/>
              <w:t> </w:t>
            </w:r>
          </w:p>
        </w:tc>
        <w:tc>
          <w:tcPr>
            <w:tcW w:w="530" w:type="dxa"/>
            <w:tcBorders/>
            <w:shd w:fill="CCEEFF" w:val="clear"/>
            <w:vAlign w:val="center"/>
          </w:tcPr>
          <w:p>
            <w:pPr>
              <w:pStyle w:val="TableContents"/>
              <w:spacing w:before="0" w:after="283"/>
              <w:jc w:val="center"/>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316,153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769,366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645,998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left"/>
              <w:rPr/>
            </w:pPr>
            <w:r>
              <w:rPr/>
              <w:t> </w:t>
            </w:r>
          </w:p>
        </w:tc>
        <w:tc>
          <w:tcPr>
            <w:tcW w:w="121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11,057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1,742,574</w:t>
            </w:r>
          </w:p>
        </w:tc>
        <w:tc>
          <w:tcPr>
            <w:tcW w:w="75" w:type="dxa"/>
            <w:tcBorders/>
            <w:shd w:fill="CCEEFF" w:val="clear"/>
            <w:vAlign w:val="center"/>
          </w:tcPr>
          <w:p>
            <w:pPr>
              <w:pStyle w:val="TableContents"/>
              <w:spacing w:before="0" w:after="283"/>
              <w:jc w:val="left"/>
              <w:rPr/>
            </w:pPr>
            <w:r>
              <w:rPr/>
              <w:t> </w:t>
            </w:r>
          </w:p>
        </w:tc>
      </w:tr>
      <w:tr>
        <w:trPr/>
        <w:tc>
          <w:tcPr>
            <w:tcW w:w="1010" w:type="dxa"/>
            <w:tcBorders/>
            <w:shd w:fill="CCEEFF" w:val="clear"/>
            <w:vAlign w:val="center"/>
          </w:tcPr>
          <w:p>
            <w:pPr>
              <w:pStyle w:val="TableContents"/>
              <w:spacing w:before="0" w:after="283"/>
              <w:jc w:val="left"/>
              <w:rPr>
                <w:i/>
              </w:rPr>
            </w:pPr>
            <w:r>
              <w:rPr>
                <w:i/>
              </w:rPr>
              <w:t>Chief Financial Officer</w:t>
            </w:r>
          </w:p>
        </w:tc>
        <w:tc>
          <w:tcPr>
            <w:tcW w:w="60" w:type="dxa"/>
            <w:tcBorders/>
            <w:shd w:fill="CCEEFF" w:val="clear"/>
            <w:vAlign w:val="center"/>
          </w:tcPr>
          <w:p>
            <w:pPr>
              <w:pStyle w:val="TableContents"/>
              <w:spacing w:before="0" w:after="283"/>
              <w:rPr/>
            </w:pPr>
            <w:r>
              <w:rPr/>
              <w:t> </w:t>
            </w:r>
          </w:p>
        </w:tc>
        <w:tc>
          <w:tcPr>
            <w:tcW w:w="530" w:type="dxa"/>
            <w:tcBorders/>
            <w:shd w:fill="CCEEFF" w:val="clear"/>
            <w:vAlign w:val="center"/>
          </w:tcPr>
          <w:p>
            <w:pPr>
              <w:pStyle w:val="TableContents"/>
              <w:spacing w:before="0" w:after="283"/>
              <w:jc w:val="center"/>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91,154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82,000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399,999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283,249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left"/>
              <w:rPr/>
            </w:pPr>
            <w:r>
              <w:rPr/>
              <w:t> </w:t>
            </w:r>
          </w:p>
        </w:tc>
        <w:tc>
          <w:tcPr>
            <w:tcW w:w="121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856,402</w:t>
            </w:r>
          </w:p>
        </w:tc>
        <w:tc>
          <w:tcPr>
            <w:tcW w:w="75" w:type="dxa"/>
            <w:tcBorders/>
            <w:shd w:fill="CCEEFF" w:val="clear"/>
            <w:vAlign w:val="center"/>
          </w:tcPr>
          <w:p>
            <w:pPr>
              <w:pStyle w:val="TableContents"/>
              <w:spacing w:before="0" w:after="283"/>
              <w:jc w:val="left"/>
              <w:rPr/>
            </w:pPr>
            <w:r>
              <w:rPr/>
              <w:t> </w:t>
            </w:r>
          </w:p>
        </w:tc>
      </w:tr>
      <w:tr>
        <w:trPr/>
        <w:tc>
          <w:tcPr>
            <w:tcW w:w="1010" w:type="dxa"/>
            <w:tcBorders/>
            <w:shd w:fill="FFFFFF" w:val="clear"/>
            <w:vAlign w:val="center"/>
          </w:tcPr>
          <w:p>
            <w:pPr>
              <w:pStyle w:val="TableContents"/>
              <w:spacing w:before="0" w:after="283"/>
              <w:jc w:val="left"/>
              <w:rPr/>
            </w:pPr>
            <w:r>
              <w:rPr/>
              <w:t>Nicole Harvey(7)</w:t>
            </w:r>
          </w:p>
        </w:tc>
        <w:tc>
          <w:tcPr>
            <w:tcW w:w="60" w:type="dxa"/>
            <w:tcBorders/>
            <w:shd w:fill="FFFFFF" w:val="clear"/>
            <w:vAlign w:val="center"/>
          </w:tcPr>
          <w:p>
            <w:pPr>
              <w:pStyle w:val="TableContents"/>
              <w:spacing w:before="0" w:after="283"/>
              <w:rPr/>
            </w:pPr>
            <w:r>
              <w:rPr/>
              <w:t> </w:t>
            </w:r>
          </w:p>
        </w:tc>
        <w:tc>
          <w:tcPr>
            <w:tcW w:w="530" w:type="dxa"/>
            <w:tcBorders/>
            <w:shd w:fill="FFFFFF" w:val="clear"/>
            <w:vAlign w:val="center"/>
          </w:tcPr>
          <w:p>
            <w:pPr>
              <w:pStyle w:val="TableContents"/>
              <w:spacing w:before="0" w:after="283"/>
              <w:jc w:val="center"/>
              <w:rPr/>
            </w:pPr>
            <w:r>
              <w:rPr/>
              <w:t>2022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242,461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80,000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561,000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left"/>
              <w:rPr/>
            </w:pPr>
            <w:r>
              <w:rPr/>
              <w:t> </w:t>
            </w:r>
          </w:p>
        </w:tc>
        <w:tc>
          <w:tcPr>
            <w:tcW w:w="121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883,461</w:t>
            </w:r>
          </w:p>
        </w:tc>
        <w:tc>
          <w:tcPr>
            <w:tcW w:w="75" w:type="dxa"/>
            <w:tcBorders/>
            <w:shd w:fill="FFFFFF" w:val="clear"/>
            <w:vAlign w:val="center"/>
          </w:tcPr>
          <w:p>
            <w:pPr>
              <w:pStyle w:val="TableContents"/>
              <w:spacing w:before="0" w:after="283"/>
              <w:jc w:val="left"/>
              <w:rPr/>
            </w:pPr>
            <w:r>
              <w:rPr/>
              <w:t> </w:t>
            </w:r>
          </w:p>
        </w:tc>
      </w:tr>
      <w:tr>
        <w:trPr/>
        <w:tc>
          <w:tcPr>
            <w:tcW w:w="1010" w:type="dxa"/>
            <w:tcBorders/>
            <w:shd w:fill="FFFFFF" w:val="clear"/>
            <w:vAlign w:val="center"/>
          </w:tcPr>
          <w:p>
            <w:pPr>
              <w:pStyle w:val="TableContents"/>
              <w:spacing w:before="0" w:after="283"/>
              <w:jc w:val="left"/>
              <w:rPr>
                <w:i/>
              </w:rPr>
            </w:pPr>
            <w:r>
              <w:rPr>
                <w:i/>
              </w:rPr>
              <w:t>Former Chief Legal Officer</w:t>
            </w:r>
          </w:p>
        </w:tc>
        <w:tc>
          <w:tcPr>
            <w:tcW w:w="60" w:type="dxa"/>
            <w:tcBorders/>
            <w:shd w:fill="FFFFFF" w:val="clear"/>
            <w:vAlign w:val="center"/>
          </w:tcPr>
          <w:p>
            <w:pPr>
              <w:pStyle w:val="TableContents"/>
              <w:spacing w:before="0" w:after="283"/>
              <w:rPr/>
            </w:pPr>
            <w:r>
              <w:rPr/>
              <w:t> </w:t>
            </w:r>
          </w:p>
        </w:tc>
        <w:tc>
          <w:tcPr>
            <w:tcW w:w="530" w:type="dxa"/>
            <w:tcBorders/>
            <w:shd w:fill="FFFFFF" w:val="clear"/>
            <w:vAlign w:val="center"/>
          </w:tcPr>
          <w:p>
            <w:pPr>
              <w:pStyle w:val="TableContents"/>
              <w:spacing w:before="0" w:after="283"/>
              <w:jc w:val="center"/>
              <w:rPr/>
            </w:pPr>
            <w:r>
              <w:rPr/>
              <w:t>2021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66,346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25,000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341,621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left"/>
              <w:rPr/>
            </w:pPr>
            <w:r>
              <w:rPr/>
              <w:t> </w:t>
            </w:r>
          </w:p>
        </w:tc>
        <w:tc>
          <w:tcPr>
            <w:tcW w:w="121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432,967</w:t>
            </w:r>
          </w:p>
        </w:tc>
        <w:tc>
          <w:tcPr>
            <w:tcW w:w="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7"/>
        <w:gridCol w:w="9933"/>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represent discretionary bonuses awarded to each executive for performance during the fiscal years ended December 31, 2022 and December 31, 2021.</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restricted stock awards granted to the NEOs for performance during the fiscal year ended December 31, 2022 under the 2022 Plan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prospectus for a discussion of the relevant assumptions used in calculating these amounts.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stock option awards granted to the NEOs during 2021 under our stock incentive plans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prospectus for a discussion of the relevant assumptions used in calculating these amounts.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reflects our matching contribution to the executive’s account under our 401(k) plan.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Mr. Nichols would be stepping down as our Chief Operating Officer on November 7, 2022.</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Marchetti commenced employment as Legacy Dragonfly’s Chief Financial Officer on September 6, 2021.</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Harvey’s employment with us ended on April 26, 2023.</w:t>
            </w:r>
          </w:p>
        </w:tc>
      </w:tr>
    </w:tbl>
    <w:p>
      <w:pPr>
        <w:pStyle w:val="TextBody"/>
        <w:ind w:left="0" w:right="0" w:hanging="36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79</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as of December 31, 2022</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options to acquire our common stock held by each of the NEOs as of December 31, 2022, including the vesting dates for the portions of these awards that had not vested as of that date. The NEOs did not hold any other outstanding equity awards as of that date.</w:t>
      </w:r>
    </w:p>
    <w:p>
      <w:pPr>
        <w:pStyle w:val="TextBody"/>
        <w:jc w:val="both"/>
        <w:rPr>
          <w:caps w:val="false"/>
          <w:smallCaps w:val="false"/>
        </w:rPr>
      </w:pPr>
      <w:r>
        <w:rPr>
          <w:caps w:val="false"/>
          <w:smallCaps w:val="false"/>
        </w:rPr>
        <w:t> </w:t>
      </w:r>
    </w:p>
    <w:tbl>
      <w:tblPr>
        <w:tblW w:w="8724" w:type="dxa"/>
        <w:jc w:val="left"/>
        <w:tblInd w:w="0" w:type="dxa"/>
        <w:tblCellMar>
          <w:top w:w="0" w:type="dxa"/>
          <w:left w:w="0" w:type="dxa"/>
          <w:bottom w:w="0" w:type="dxa"/>
          <w:right w:w="0" w:type="dxa"/>
        </w:tblCellMar>
      </w:tblPr>
      <w:tblGrid>
        <w:gridCol w:w="1655"/>
        <w:gridCol w:w="60"/>
        <w:gridCol w:w="99"/>
        <w:gridCol w:w="1166"/>
        <w:gridCol w:w="290"/>
        <w:gridCol w:w="60"/>
        <w:gridCol w:w="113"/>
        <w:gridCol w:w="1332"/>
        <w:gridCol w:w="290"/>
        <w:gridCol w:w="60"/>
        <w:gridCol w:w="252"/>
        <w:gridCol w:w="1102"/>
        <w:gridCol w:w="60"/>
        <w:gridCol w:w="60"/>
        <w:gridCol w:w="105"/>
        <w:gridCol w:w="770"/>
        <w:gridCol w:w="60"/>
        <w:gridCol w:w="60"/>
        <w:gridCol w:w="1130"/>
      </w:tblGrid>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9" w:type="dxa"/>
            <w:gridSpan w:val="17"/>
            <w:tcBorders>
              <w:bottom w:val="single" w:sz="12" w:space="0" w:color="000000"/>
            </w:tcBorders>
            <w:shd w:fill="auto" w:val="clear"/>
            <w:tcMar>
              <w:bottom w:w="28" w:type="dxa"/>
            </w:tcMar>
            <w:vAlign w:val="center"/>
          </w:tcPr>
          <w:p>
            <w:pPr>
              <w:pStyle w:val="TableContents"/>
              <w:spacing w:before="0" w:after="283"/>
              <w:jc w:val="center"/>
              <w:rPr>
                <w:b/>
              </w:rPr>
            </w:pPr>
            <w:r>
              <w:rPr>
                <w:b/>
              </w:rPr>
              <w:t>Option Awards</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Equity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Incentive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Plan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b/>
              </w:rPr>
            </w:pPr>
            <w:r>
              <w:rPr>
                <w:b/>
              </w:rPr>
              <w:t>Number of</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Number of</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Number of</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b/>
              </w:rPr>
            </w:pPr>
            <w:r>
              <w:rPr>
                <w:b/>
              </w:rPr>
              <w:t>Securities</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Securities</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Securities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b/>
              </w:rPr>
            </w:pPr>
            <w:r>
              <w:rPr>
                <w:b/>
              </w:rPr>
              <w:t>Underlying</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Underlying</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Underlying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b/>
              </w:rPr>
            </w:pPr>
            <w:r>
              <w:rPr>
                <w:b/>
              </w:rPr>
              <w:t>Unexercised</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Unexercised</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Unexercised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jc w:val="center"/>
              <w:rPr>
                <w:b/>
              </w:rPr>
            </w:pPr>
            <w:r>
              <w:rPr>
                <w:b/>
              </w:rPr>
              <w:t>Option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b/>
              </w:rPr>
            </w:pPr>
            <w:r>
              <w:rPr>
                <w:b/>
              </w:rPr>
              <w:t>Option</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b/>
              </w:rPr>
            </w:pPr>
            <w:r>
              <w:rPr>
                <w:b/>
              </w:rPr>
              <w:t>Options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Options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Unearned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jc w:val="center"/>
              <w:rPr>
                <w:b/>
              </w:rPr>
            </w:pPr>
            <w:r>
              <w:rPr>
                <w:b/>
              </w:rPr>
              <w:t>Exercise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b/>
              </w:rPr>
            </w:pPr>
            <w:r>
              <w:rPr>
                <w:b/>
              </w:rPr>
              <w:t>Expiration</w:t>
            </w:r>
          </w:p>
        </w:tc>
      </w:tr>
      <w:tr>
        <w:trPr/>
        <w:tc>
          <w:tcPr>
            <w:tcW w:w="1655" w:type="dxa"/>
            <w:tcBorders>
              <w:bottom w:val="single" w:sz="12" w:space="0" w:color="000000"/>
            </w:tcBorders>
            <w:shd w:fill="auto" w:val="clear"/>
            <w:tcMar>
              <w:bottom w:w="28" w:type="dxa"/>
            </w:tcMar>
            <w:vAlign w:val="center"/>
          </w:tcPr>
          <w:p>
            <w:pPr>
              <w:pStyle w:val="TableContents"/>
              <w:spacing w:before="0" w:after="283"/>
              <w:jc w:val="both"/>
              <w:rPr>
                <w:b/>
              </w:rPr>
            </w:pPr>
            <w:r>
              <w:rPr>
                <w:b/>
              </w:rPr>
              <w:t>Name</w:t>
            </w:r>
          </w:p>
        </w:tc>
        <w:tc>
          <w:tcPr>
            <w:tcW w:w="60" w:type="dxa"/>
            <w:tcBorders/>
            <w:shd w:fill="auto" w:val="clear"/>
            <w:vAlign w:val="center"/>
          </w:tcPr>
          <w:p>
            <w:pPr>
              <w:pStyle w:val="TableContents"/>
              <w:spacing w:before="0" w:after="283"/>
              <w:rPr/>
            </w:pPr>
            <w:r>
              <w:rPr/>
              <w:t> </w:t>
            </w:r>
          </w:p>
        </w:tc>
        <w:tc>
          <w:tcPr>
            <w:tcW w:w="126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Exercisable</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Unexercisable</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Options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Price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bottom w:val="single" w:sz="12" w:space="0" w:color="000000"/>
            </w:tcBorders>
            <w:shd w:fill="auto" w:val="clear"/>
            <w:tcMar>
              <w:bottom w:w="28" w:type="dxa"/>
            </w:tcMar>
            <w:vAlign w:val="center"/>
          </w:tcPr>
          <w:p>
            <w:pPr>
              <w:pStyle w:val="TableContents"/>
              <w:spacing w:before="0" w:after="283"/>
              <w:jc w:val="center"/>
              <w:rPr>
                <w:b/>
              </w:rPr>
            </w:pPr>
            <w:r>
              <w:rPr>
                <w:b/>
              </w:rPr>
              <w:t>Date</w:t>
            </w:r>
          </w:p>
        </w:tc>
      </w:tr>
      <w:tr>
        <w:trPr/>
        <w:tc>
          <w:tcPr>
            <w:tcW w:w="1655" w:type="dxa"/>
            <w:tcBorders/>
            <w:shd w:fill="CCEEFF" w:val="clear"/>
            <w:vAlign w:val="center"/>
          </w:tcPr>
          <w:p>
            <w:pPr>
              <w:pStyle w:val="TableContents"/>
              <w:spacing w:before="0" w:after="283"/>
              <w:jc w:val="both"/>
              <w:rPr/>
            </w:pPr>
            <w:r>
              <w:rPr/>
              <w:t>Dr. Denis Phares</w:t>
            </w:r>
          </w:p>
        </w:tc>
        <w:tc>
          <w:tcPr>
            <w:tcW w:w="6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166" w:type="dxa"/>
            <w:tcBorders/>
            <w:shd w:fill="CCEEFF" w:val="clear"/>
            <w:vAlign w:val="center"/>
          </w:tcPr>
          <w:p>
            <w:pPr>
              <w:pStyle w:val="TableContents"/>
              <w:spacing w:before="0" w:after="283"/>
              <w:jc w:val="right"/>
              <w:rPr/>
            </w:pPr>
            <w:r>
              <w:rPr/>
              <w:t>118,208</w:t>
            </w:r>
          </w:p>
        </w:tc>
        <w:tc>
          <w:tcPr>
            <w:tcW w:w="29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332" w:type="dxa"/>
            <w:tcBorders/>
            <w:shd w:fill="CCEEFF" w:val="clear"/>
            <w:vAlign w:val="center"/>
          </w:tcPr>
          <w:p>
            <w:pPr>
              <w:pStyle w:val="TableContents"/>
              <w:spacing w:before="0" w:after="283"/>
              <w:jc w:val="right"/>
              <w:rPr/>
            </w:pPr>
            <w:r>
              <w:rPr/>
              <w:t>59,108</w:t>
            </w:r>
          </w:p>
        </w:tc>
        <w:tc>
          <w:tcPr>
            <w:tcW w:w="290" w:type="dxa"/>
            <w:tcBorders/>
            <w:shd w:fill="CCEEFF" w:val="clear"/>
            <w:vAlign w:val="center"/>
          </w:tcPr>
          <w:p>
            <w:pPr>
              <w:pStyle w:val="TableContents"/>
              <w:spacing w:before="0" w:after="283"/>
              <w:jc w:val="left"/>
              <w:rPr/>
            </w:pPr>
            <w:r>
              <w:rPr/>
              <w:t>(1)</w:t>
            </w:r>
          </w:p>
        </w:tc>
        <w:tc>
          <w:tcPr>
            <w:tcW w:w="6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jc w:val="left"/>
              <w:rPr/>
            </w:pPr>
            <w:r>
              <w:rPr/>
              <w:t> </w:t>
            </w:r>
          </w:p>
        </w:tc>
        <w:tc>
          <w:tcPr>
            <w:tcW w:w="110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jc w:val="left"/>
              <w:rPr/>
            </w:pPr>
            <w:r>
              <w:rPr/>
              <w:t> </w:t>
            </w:r>
          </w:p>
        </w:tc>
        <w:tc>
          <w:tcPr>
            <w:tcW w:w="770" w:type="dxa"/>
            <w:tcBorders/>
            <w:shd w:fill="CCEEFF" w:val="clear"/>
            <w:vAlign w:val="center"/>
          </w:tcPr>
          <w:p>
            <w:pPr>
              <w:pStyle w:val="TableContents"/>
              <w:spacing w:before="0" w:after="283"/>
              <w:jc w:val="right"/>
              <w:rPr/>
            </w:pPr>
            <w:r>
              <w:rPr/>
              <w:t>0.32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center"/>
              <w:rPr/>
            </w:pPr>
            <w:r>
              <w:rPr/>
              <w:t>12/5/2029</w:t>
            </w:r>
          </w:p>
        </w:tc>
      </w:tr>
      <w:tr>
        <w:trPr/>
        <w:tc>
          <w:tcPr>
            <w:tcW w:w="1655" w:type="dxa"/>
            <w:tcBorders/>
            <w:shd w:fill="FFFFFF" w:val="clear"/>
            <w:vAlign w:val="center"/>
          </w:tcPr>
          <w:p>
            <w:pPr>
              <w:pStyle w:val="TableContents"/>
              <w:spacing w:before="0" w:after="283"/>
              <w:jc w:val="both"/>
              <w:rPr/>
            </w:pPr>
            <w:r>
              <w:rPr/>
              <w:t>Sean Nichols</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1166" w:type="dxa"/>
            <w:tcBorders/>
            <w:shd w:fill="FFFFFF" w:val="clear"/>
            <w:vAlign w:val="center"/>
          </w:tcPr>
          <w:p>
            <w:pPr>
              <w:pStyle w:val="TableContents"/>
              <w:spacing w:before="0" w:after="283"/>
              <w:jc w:val="right"/>
              <w:rPr/>
            </w:pPr>
            <w:r>
              <w:rPr/>
              <w:t>177,316</w:t>
            </w:r>
          </w:p>
        </w:tc>
        <w:tc>
          <w:tcPr>
            <w:tcW w:w="29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right"/>
              <w:rPr/>
            </w:pPr>
            <w:r>
              <w:rPr/>
              <w:t>—</w:t>
            </w:r>
          </w:p>
        </w:tc>
        <w:tc>
          <w:tcPr>
            <w:tcW w:w="290" w:type="dxa"/>
            <w:tcBorders/>
            <w:shd w:fill="FFFFFF" w:val="clear"/>
            <w:vAlign w:val="center"/>
          </w:tcPr>
          <w:p>
            <w:pPr>
              <w:pStyle w:val="TableContents"/>
              <w:spacing w:before="0" w:after="283"/>
              <w:jc w:val="left"/>
              <w:rPr/>
            </w:pPr>
            <w:r>
              <w:rPr/>
              <w:t>(1)</w:t>
            </w:r>
          </w:p>
        </w:tc>
        <w:tc>
          <w:tcPr>
            <w:tcW w:w="60"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jc w:val="left"/>
              <w:rPr/>
            </w:pPr>
            <w:r>
              <w:rPr/>
              <w:t> </w:t>
            </w:r>
          </w:p>
        </w:tc>
        <w:tc>
          <w:tcPr>
            <w:tcW w:w="110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770" w:type="dxa"/>
            <w:tcBorders/>
            <w:shd w:fill="FFFFFF" w:val="clear"/>
            <w:vAlign w:val="center"/>
          </w:tcPr>
          <w:p>
            <w:pPr>
              <w:pStyle w:val="TableContents"/>
              <w:spacing w:before="0" w:after="283"/>
              <w:jc w:val="right"/>
              <w:rPr/>
            </w:pPr>
            <w:r>
              <w:rPr/>
              <w:t>0.32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0" w:type="dxa"/>
            <w:tcBorders/>
            <w:shd w:fill="FFFFFF" w:val="clear"/>
            <w:vAlign w:val="center"/>
          </w:tcPr>
          <w:p>
            <w:pPr>
              <w:pStyle w:val="TableContents"/>
              <w:spacing w:before="0" w:after="283"/>
              <w:jc w:val="center"/>
              <w:rPr/>
            </w:pPr>
            <w:r>
              <w:rPr/>
              <w:t>11/7/2023</w:t>
            </w:r>
          </w:p>
        </w:tc>
      </w:tr>
      <w:tr>
        <w:trPr/>
        <w:tc>
          <w:tcPr>
            <w:tcW w:w="1655" w:type="dxa"/>
            <w:tcBorders/>
            <w:shd w:fill="CCEEFF" w:val="clear"/>
            <w:vAlign w:val="center"/>
          </w:tcPr>
          <w:p>
            <w:pPr>
              <w:pStyle w:val="TableContents"/>
              <w:spacing w:before="0" w:after="283"/>
              <w:jc w:val="both"/>
              <w:rPr/>
            </w:pPr>
            <w:r>
              <w:rPr/>
              <w:t>John Marchetti</w:t>
            </w:r>
          </w:p>
        </w:tc>
        <w:tc>
          <w:tcPr>
            <w:tcW w:w="6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166" w:type="dxa"/>
            <w:tcBorders/>
            <w:shd w:fill="CCEEFF" w:val="clear"/>
            <w:vAlign w:val="center"/>
          </w:tcPr>
          <w:p>
            <w:pPr>
              <w:pStyle w:val="TableContents"/>
              <w:spacing w:before="0" w:after="283"/>
              <w:jc w:val="right"/>
              <w:rPr/>
            </w:pPr>
            <w:r>
              <w:rPr/>
              <w:t>93,587</w:t>
            </w:r>
          </w:p>
        </w:tc>
        <w:tc>
          <w:tcPr>
            <w:tcW w:w="290" w:type="dxa"/>
            <w:tcBorders/>
            <w:shd w:fill="CCEEFF" w:val="clear"/>
            <w:vAlign w:val="center"/>
          </w:tcPr>
          <w:p>
            <w:pPr>
              <w:pStyle w:val="TableContents"/>
              <w:spacing w:before="0" w:after="283"/>
              <w:jc w:val="left"/>
              <w:rPr/>
            </w:pPr>
            <w:r>
              <w:rPr/>
              <w:t>(2)</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332" w:type="dxa"/>
            <w:tcBorders/>
            <w:shd w:fill="CCEEFF" w:val="clear"/>
            <w:vAlign w:val="center"/>
          </w:tcPr>
          <w:p>
            <w:pPr>
              <w:pStyle w:val="TableContents"/>
              <w:spacing w:before="0" w:after="283"/>
              <w:jc w:val="right"/>
              <w:rPr/>
            </w:pPr>
            <w:r>
              <w:rPr/>
              <w:t>142,831</w:t>
            </w:r>
          </w:p>
        </w:tc>
        <w:tc>
          <w:tcPr>
            <w:tcW w:w="29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jc w:val="left"/>
              <w:rPr/>
            </w:pPr>
            <w:r>
              <w:rPr/>
              <w:t> </w:t>
            </w:r>
          </w:p>
        </w:tc>
        <w:tc>
          <w:tcPr>
            <w:tcW w:w="110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jc w:val="left"/>
              <w:rPr/>
            </w:pPr>
            <w:r>
              <w:rPr/>
              <w:t> </w:t>
            </w:r>
          </w:p>
        </w:tc>
        <w:tc>
          <w:tcPr>
            <w:tcW w:w="770" w:type="dxa"/>
            <w:tcBorders/>
            <w:shd w:fill="CCEEFF" w:val="clear"/>
            <w:vAlign w:val="center"/>
          </w:tcPr>
          <w:p>
            <w:pPr>
              <w:pStyle w:val="TableContents"/>
              <w:spacing w:before="0" w:after="283"/>
              <w:jc w:val="right"/>
              <w:rPr/>
            </w:pPr>
            <w:r>
              <w:rPr/>
              <w:t>2.89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center"/>
              <w:rPr/>
            </w:pPr>
            <w:r>
              <w:rPr/>
              <w:t>9/13/31</w:t>
            </w:r>
          </w:p>
        </w:tc>
      </w:tr>
      <w:tr>
        <w:trPr/>
        <w:tc>
          <w:tcPr>
            <w:tcW w:w="1655" w:type="dxa"/>
            <w:tcBorders/>
            <w:shd w:fill="FFFFFF" w:val="clear"/>
            <w:vAlign w:val="center"/>
          </w:tcPr>
          <w:p>
            <w:pPr>
              <w:pStyle w:val="TableContents"/>
              <w:spacing w:before="0" w:after="283"/>
              <w:jc w:val="both"/>
              <w:rPr/>
            </w:pPr>
            <w:r>
              <w:rPr/>
              <w:t>Nicole Harvey</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1166" w:type="dxa"/>
            <w:tcBorders/>
            <w:shd w:fill="FFFFFF" w:val="clear"/>
            <w:vAlign w:val="center"/>
          </w:tcPr>
          <w:p>
            <w:pPr>
              <w:pStyle w:val="TableContents"/>
              <w:spacing w:before="0" w:after="283"/>
              <w:jc w:val="right"/>
              <w:rPr/>
            </w:pPr>
            <w:r>
              <w:rPr/>
              <w:t>51,497</w:t>
            </w:r>
          </w:p>
        </w:tc>
        <w:tc>
          <w:tcPr>
            <w:tcW w:w="29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right"/>
              <w:rPr/>
            </w:pPr>
            <w:r>
              <w:rPr/>
              <w:t>57,257</w:t>
            </w:r>
          </w:p>
        </w:tc>
        <w:tc>
          <w:tcPr>
            <w:tcW w:w="29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jc w:val="left"/>
              <w:rPr/>
            </w:pPr>
            <w:r>
              <w:rPr/>
              <w:t> </w:t>
            </w:r>
          </w:p>
        </w:tc>
        <w:tc>
          <w:tcPr>
            <w:tcW w:w="110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770" w:type="dxa"/>
            <w:tcBorders/>
            <w:shd w:fill="FFFFFF" w:val="clear"/>
            <w:vAlign w:val="center"/>
          </w:tcPr>
          <w:p>
            <w:pPr>
              <w:pStyle w:val="TableContents"/>
              <w:spacing w:before="0" w:after="283"/>
              <w:jc w:val="right"/>
              <w:rPr/>
            </w:pPr>
            <w:r>
              <w:rPr/>
              <w:t>2.89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0" w:type="dxa"/>
            <w:tcBorders/>
            <w:shd w:fill="FFFFFF" w:val="clear"/>
            <w:vAlign w:val="center"/>
          </w:tcPr>
          <w:p>
            <w:pPr>
              <w:pStyle w:val="TableContents"/>
              <w:spacing w:before="0" w:after="283"/>
              <w:jc w:val="center"/>
              <w:rPr/>
            </w:pPr>
            <w:r>
              <w:rPr/>
              <w:t>10/22/2031</w:t>
            </w:r>
          </w:p>
        </w:tc>
      </w:tr>
    </w:tbl>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20"/>
        <w:gridCol w:w="991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unvested portion of this option vests in 20 monthly installments from January 12, 2022 and August 12, 2023.</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unvested portion of this option vests as to 25% of the option on September 10, 2022 and as to 75% of the option in 36 monthly installments from October 10, 2022 through September 10, 2025.</w:t>
            </w:r>
          </w:p>
        </w:tc>
      </w:tr>
    </w:tbl>
    <w:p>
      <w:pPr>
        <w:pStyle w:val="TextBody"/>
        <w:ind w:left="0" w:right="0" w:hanging="36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Equity Grants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Mr. Marchetti received an option to purchase 200,000 shares of our common stock at a price of $3.41 per share. This option was granted under the Legacy Dragonfly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2022, on February 10, 2023, Dr. Phares was granted 204,266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Mr. Marchetti was granted 86,133 RSUs, and Ms. Harvey was granted 74,800 RSUs. Each grant vested in full on the date of grant.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our employees, consultants and directors held outstanding stock options for the purchase of up to 3,100,524 shares of our common stock. Those options were granted under the Dragonfly Energy Corp. 2019 Stock Incentive Plan (the “</w:t>
      </w:r>
      <w:r>
        <w:rPr>
          <w:rFonts w:ascii="Times New Roman;Times;Serif" w:hAnsi="Times New Roman;Times;Serif"/>
          <w:b/>
          <w:i w:val="false"/>
          <w:caps w:val="false"/>
          <w:smallCaps w:val="false"/>
          <w:sz w:val="20"/>
        </w:rPr>
        <w:t>2019 Plan</w:t>
      </w:r>
      <w:r>
        <w:rPr>
          <w:rFonts w:ascii="Times New Roman;Times;Serif" w:hAnsi="Times New Roman;Times;Serif"/>
          <w:b w:val="false"/>
          <w:i w:val="false"/>
          <w:caps w:val="false"/>
          <w:smallCaps w:val="false"/>
          <w:sz w:val="20"/>
        </w:rPr>
        <w:t>”) and the Dragonfly Energy Corp. 2021 Stock Incentive Plan (the “</w:t>
      </w:r>
      <w:r>
        <w:rPr>
          <w:rFonts w:ascii="Times New Roman;Times;Serif" w:hAnsi="Times New Roman;Times;Serif"/>
          <w:b/>
          <w:i w:val="false"/>
          <w:caps w:val="false"/>
          <w:smallCaps w:val="false"/>
          <w:sz w:val="20"/>
        </w:rPr>
        <w:t>2021 Plan</w:t>
      </w:r>
      <w:r>
        <w:rPr>
          <w:rFonts w:ascii="Times New Roman;Times;Serif" w:hAnsi="Times New Roman;Times;Serif"/>
          <w:b w:val="false"/>
          <w:i w:val="false"/>
          <w:caps w:val="false"/>
          <w:smallCaps w:val="false"/>
          <w:sz w:val="20"/>
        </w:rPr>
        <w:t>”).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2019 Plan and 2021 Plan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we maintained the 2019 Plan and the 2021 Plan. Under the 2019 Plan and 2021 Plan,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80</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amend or terminate the 2019 Plan and the 2021 Plan at any time. The plans require that certain amendments specified in the plan be submitted to stockholders for their approval.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Equity Incentive Plan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2022 Equity Incentive Plan (the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 for purposes of granting equity-based awards to attract, motivate, retain and reward selected employees and other eligible persons. Our board of directors administers the 2022 Plan. The plan administrator has broad authority to (without limitation):</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participants and determine the types of awards that they are to receive;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number of shares that are to be subject to awards and the terms and conditions of awards, including the price (if any) to be paid for the shares or the award and establish the vesting conditions (if applicable) of such shares or awards;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modify or waive our rights with respect to, or modify, discontinue, suspend or terminate any or all outstanding awards, subject to any required consents;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construe and interpret the terms of the 2022 Plan and any agreements relating to the plan;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or extend the vesting or exercisability or extend the term of any or all outstanding awards subject to any required consent;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other provisions of the 2022 Plan, make certain adjustments to an outstanding award and authorize the termination, conversion, substitution or succession of an award;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tc>
      </w:tr>
    </w:tbl>
    <w:p>
      <w:pPr>
        <w:pStyle w:val="TextBody"/>
        <w:ind w:left="0" w:right="0" w:hanging="36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2,785,950 shares of our common stock have been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April 17, 2023, 787,434 awards have been granted under the 2022 Plan, and 4,179,110 shares authorized under the 2022 Plan are available for award purposes.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81</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Plan will terminate on May 13, 2032. However, the plan administrator will retain its authority until all outstanding awards are exercised or terminated.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Purchase Plan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Employee Stock Purchase Plan (the “</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Reserve</w:t>
      </w:r>
      <w:r>
        <w:rPr>
          <w:rFonts w:ascii="Times New Roman;Times;Serif" w:hAnsi="Times New Roman;Times;Serif"/>
          <w:b w:val="false"/>
          <w:i w:val="false"/>
          <w:caps w:val="false"/>
          <w:smallCaps w:val="false"/>
          <w:sz w:val="20"/>
        </w:rPr>
        <w:t>. A total of 2,464,400 shares of our common stock have been initially authorized for issuance under the ESPP. The share limit will 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Offering Periods</w:t>
      </w:r>
      <w:r>
        <w:rPr>
          <w:rFonts w:ascii="Times New Roman;Times;Serif" w:hAnsi="Times New Roman;Times;Serif"/>
          <w:b w:val="false"/>
          <w:i w:val="false"/>
          <w:caps w:val="false"/>
          <w:smallCaps w:val="false"/>
          <w:sz w:val="20"/>
        </w:rPr>
        <w:t>. We currently expect the ESPP will have a series of successive six-month offering periods. However, the ESPP provides 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Eligible Employees</w:t>
      </w:r>
      <w:r>
        <w:rPr>
          <w:rFonts w:ascii="Times New Roman;Times;Serif" w:hAnsi="Times New Roman;Times;Serif"/>
          <w:b w:val="false"/>
          <w:i w:val="false"/>
          <w:caps w:val="false"/>
          <w:smallCaps w:val="false"/>
          <w:sz w:val="20"/>
        </w:rPr>
        <w:t>. Individuals scheduled to work more than 20 hours per week for more than five calendar months per year may join an offering period on the start date of that period. Employees may participate in only one offering period at a time.</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82</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Payroll deductions</w:t>
      </w:r>
      <w:r>
        <w:rPr>
          <w:rFonts w:ascii="Times New Roman;Times;Serif" w:hAnsi="Times New Roman;Times;Serif"/>
          <w:b w:val="false"/>
          <w:i w:val="false"/>
          <w:caps w:val="false"/>
          <w:smallCaps w:val="false"/>
          <w:sz w:val="20"/>
        </w:rPr>
        <w:t>. A participant may contribute up to 15% of his or her cash earnings through payroll deductions, and the accumulated 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 Change in Control. If we are acquired by merger or sale of all or substantially all of our assets or 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plan provisions</w:t>
      </w:r>
      <w:r>
        <w:rPr>
          <w:rFonts w:ascii="Times New Roman;Times;Serif" w:hAnsi="Times New Roman;Times;Serif"/>
          <w:b w:val="false"/>
          <w:i w:val="false"/>
          <w:caps w:val="false"/>
          <w:smallCaps w:val="false"/>
          <w:sz w:val="20"/>
        </w:rPr>
        <w:t>. No new offering periods will commence on or after May 13, 2032. The board of directors may at any time amend, suspend or discontinue the ESPP. However, certain amendments may require stockholder approval.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dated as of October 11, 2022 with each of Dr. Phares, Ms. Harvey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Ms. Harvey — $334,000; Mr. Marchetti — $370,000) and to be eligible for an annual bonus of up to a specified percentage of the executive’s base salary (Dr. Phares — 100%; Ms. Harvey — 46%; Mr. Marchetti — 63%). The executive is generally eligible for an annual bonus only if he or she remains employed with us through the date the bonus is paid (or if the executive’s employment terminates due to his or her death or disability during the year). The executive is also eligible to receive a long-term incentive award each fiscal year with a grant-date value not less than a dollar amount specified in the agreement (Dr. Phares — $1,532,000; Ms. Harvey — $561,000;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and Ms. Harvey) or 1.0 times the executive’s annual base salary (in the case of Mr. Marchetti), payable in installments over two years following the termination date, (ii) reimbursement of monthly COBRA premiums for the executive and his or her dependents for up to 18 months (in the case of Dr. Phares) or 12 months (in the case of Ms. Harvey and Mr. Marchetti),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period commencing three months before a change in control of the Company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Ms. Harvey and Mr. Marchetti,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executive’s right to receive the severance benefits described above is subject to his or her providing a release of claims to us and his or her continued compliance with the restrictive covenants in favor of us in the agreement.</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83</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Sean Nichols, our Chief Operating Officer, would be stepping down to pursue other interests. His last day of employment was November 7, 2022. We have entered into a separation and release agreement (the “</w:t>
      </w:r>
      <w:r>
        <w:rPr>
          <w:rFonts w:ascii="Times New Roman;Times;Serif" w:hAnsi="Times New Roman;Times;Serif"/>
          <w:b/>
          <w:i w:val="false"/>
          <w:caps w:val="false"/>
          <w:smallCaps w:val="false"/>
          <w:sz w:val="20"/>
        </w:rPr>
        <w:t>Separation Agreement</w:t>
      </w:r>
      <w:r>
        <w:rPr>
          <w:rFonts w:ascii="Times New Roman;Times;Serif" w:hAnsi="Times New Roman;Times;Serif"/>
          <w:b w:val="false"/>
          <w:i w:val="false"/>
          <w:caps w:val="false"/>
          <w:smallCaps w:val="false"/>
          <w:sz w:val="20"/>
        </w:rPr>
        <w:t>”) with Mr. Nichols that became effective and fully irrevocable on November 2, 2022. Pursuant to the Separation Agreement, Mr. Nichols received a cash payment of $100,000 in one installment in December 2022 and will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an amended and restated employment agreement with Mr. Marchetti to provide that Mr. Marchetti will receive a minimum annual bonus of $175,000 for the fiscal year ending December 31, 2023. All other terms of the amended and restated Agreement remain the same as the original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Ms. Harvey’s employment with us ended and her employment agreement would be deemed terminated as of that date by us without cause for purposes of determining severance thereunder.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Contribution Plans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adopted a policy that provides for cash and equity compensation for members of our board of directors who are not employed by us or any of our subsidiaries (our “</w:t>
      </w:r>
      <w:r>
        <w:rPr>
          <w:rFonts w:ascii="Times New Roman;Times;Serif" w:hAnsi="Times New Roman;Times;Serif"/>
          <w:b/>
          <w:i w:val="false"/>
          <w:caps w:val="false"/>
          <w:smallCaps w:val="false"/>
          <w:sz w:val="20"/>
        </w:rPr>
        <w:t>Non-Employee Directors</w:t>
      </w:r>
      <w:r>
        <w:rPr>
          <w:rFonts w:ascii="Times New Roman;Times;Serif" w:hAnsi="Times New Roman;Times;Serif"/>
          <w:b w:val="false"/>
          <w:i w:val="false"/>
          <w:caps w:val="false"/>
          <w:smallCaps w:val="false"/>
          <w:sz w:val="20"/>
        </w:rPr>
        <w:t>”). The policy provides that each Non-Employee Director is entitled to receive the following cash compensation for board service, as applicable:</w:t>
      </w:r>
    </w:p>
    <w:p>
      <w:pPr>
        <w:pStyle w:val="TextBody"/>
        <w:ind w:left="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$58,800 annual retainer for service as a board member;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Lead Independent Director;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RSUs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84</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change the terms of our director compensation policy from time to time.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 — Fiscal 2022</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compensation paid to our Non-Employee Directors for services on our board during the year ended December 31, 2022. Messrs. Phares and Nichols did not receive any additional compensation for their service on our board during the year ended December 31, 2022.</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827"/>
        <w:gridCol w:w="60"/>
        <w:gridCol w:w="96"/>
        <w:gridCol w:w="1117"/>
        <w:gridCol w:w="60"/>
        <w:gridCol w:w="60"/>
        <w:gridCol w:w="92"/>
        <w:gridCol w:w="1246"/>
        <w:gridCol w:w="60"/>
        <w:gridCol w:w="60"/>
        <w:gridCol w:w="92"/>
        <w:gridCol w:w="1246"/>
        <w:gridCol w:w="278"/>
        <w:gridCol w:w="60"/>
        <w:gridCol w:w="330"/>
        <w:gridCol w:w="1436"/>
        <w:gridCol w:w="60"/>
        <w:gridCol w:w="60"/>
        <w:gridCol w:w="61"/>
        <w:gridCol w:w="822"/>
        <w:gridCol w:w="82"/>
      </w:tblGrid>
      <w:tr>
        <w:trPr/>
        <w:tc>
          <w:tcPr>
            <w:tcW w:w="2827" w:type="dxa"/>
            <w:tcBorders>
              <w:bottom w:val="single" w:sz="12" w:space="0" w:color="000000"/>
            </w:tcBorders>
            <w:shd w:fill="auto" w:val="clear"/>
            <w:vAlign w:val="center"/>
          </w:tcPr>
          <w:p>
            <w:pPr>
              <w:pStyle w:val="TableContents"/>
              <w:spacing w:before="0" w:after="283"/>
              <w:jc w:val="left"/>
              <w:rPr>
                <w:b/>
              </w:rPr>
            </w:pPr>
            <w:r>
              <w:rPr>
                <w:b/>
              </w:rPr>
              <w:t>Name</w:t>
            </w:r>
          </w:p>
        </w:tc>
        <w:tc>
          <w:tcPr>
            <w:tcW w:w="60" w:type="dxa"/>
            <w:tcBorders/>
            <w:shd w:fill="auto" w:val="clear"/>
            <w:tcMar>
              <w:bottom w:w="0" w:type="dxa"/>
            </w:tcMar>
            <w:vAlign w:val="center"/>
          </w:tcPr>
          <w:p>
            <w:pPr>
              <w:pStyle w:val="TableContents"/>
              <w:spacing w:before="0" w:after="283"/>
              <w:jc w:val="center"/>
              <w:rPr/>
            </w:pPr>
            <w:r>
              <w:rPr/>
              <w:t> </w:t>
            </w:r>
          </w:p>
        </w:tc>
        <w:tc>
          <w:tcPr>
            <w:tcW w:w="1213" w:type="dxa"/>
            <w:gridSpan w:val="2"/>
            <w:tcBorders>
              <w:bottom w:val="single" w:sz="12" w:space="0" w:color="000000"/>
            </w:tcBorders>
            <w:shd w:fill="auto" w:val="clear"/>
            <w:vAlign w:val="center"/>
          </w:tcPr>
          <w:p>
            <w:pPr>
              <w:pStyle w:val="TableContents"/>
              <w:spacing w:before="0" w:after="283"/>
              <w:jc w:val="center"/>
              <w:rPr>
                <w:b/>
              </w:rPr>
            </w:pPr>
            <w:r>
              <w:rPr>
                <w:b/>
              </w:rPr>
              <w:t>Fees Earned</w:t>
              <w:br/>
              <w:t>or Paid in</w:t>
              <w:br/>
              <w:t>Cash ($)</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338" w:type="dxa"/>
            <w:gridSpan w:val="2"/>
            <w:tcBorders>
              <w:bottom w:val="single" w:sz="12" w:space="0" w:color="000000"/>
            </w:tcBorders>
            <w:shd w:fill="auto" w:val="clear"/>
            <w:vAlign w:val="center"/>
          </w:tcPr>
          <w:p>
            <w:pPr>
              <w:pStyle w:val="TableContents"/>
              <w:spacing w:before="0" w:after="283"/>
              <w:jc w:val="center"/>
              <w:rPr>
                <w:b/>
              </w:rPr>
            </w:pPr>
            <w:r>
              <w:rPr>
                <w:b/>
              </w:rPr>
              <w:t>Stock</w:t>
              <w:br/>
              <w:t>Awards ($)(1)</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338" w:type="dxa"/>
            <w:gridSpan w:val="2"/>
            <w:tcBorders>
              <w:bottom w:val="single" w:sz="12" w:space="0" w:color="000000"/>
            </w:tcBorders>
            <w:shd w:fill="auto" w:val="clear"/>
            <w:vAlign w:val="center"/>
          </w:tcPr>
          <w:p>
            <w:pPr>
              <w:pStyle w:val="TableContents"/>
              <w:spacing w:before="0" w:after="283"/>
              <w:jc w:val="center"/>
              <w:rPr>
                <w:b/>
              </w:rPr>
            </w:pPr>
            <w:r>
              <w:rPr>
                <w:b/>
              </w:rPr>
              <w:t>Option</w:t>
              <w:br/>
              <w:t>Awards ($)(1)</w:t>
            </w:r>
          </w:p>
        </w:tc>
        <w:tc>
          <w:tcPr>
            <w:tcW w:w="278"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766" w:type="dxa"/>
            <w:gridSpan w:val="2"/>
            <w:tcBorders>
              <w:bottom w:val="single" w:sz="12" w:space="0" w:color="000000"/>
            </w:tcBorders>
            <w:shd w:fill="auto" w:val="clear"/>
            <w:vAlign w:val="center"/>
          </w:tcPr>
          <w:p>
            <w:pPr>
              <w:pStyle w:val="TableContents"/>
              <w:spacing w:before="0" w:after="283"/>
              <w:jc w:val="center"/>
              <w:rPr>
                <w:b/>
              </w:rPr>
            </w:pPr>
            <w:r>
              <w:rPr>
                <w:b/>
              </w:rPr>
              <w:t>All Other</w:t>
              <w:br/>
              <w:t>Compensation ($)</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883" w:type="dxa"/>
            <w:gridSpan w:val="2"/>
            <w:tcBorders>
              <w:bottom w:val="single" w:sz="12" w:space="0" w:color="000000"/>
            </w:tcBorders>
            <w:shd w:fill="auto" w:val="clear"/>
            <w:vAlign w:val="center"/>
          </w:tcPr>
          <w:p>
            <w:pPr>
              <w:pStyle w:val="TableContents"/>
              <w:spacing w:before="0" w:after="283"/>
              <w:jc w:val="center"/>
              <w:rPr>
                <w:b/>
              </w:rPr>
            </w:pPr>
            <w:r>
              <w:rPr>
                <w:b/>
              </w:rPr>
              <w:t>Total ($)</w:t>
            </w:r>
          </w:p>
        </w:tc>
        <w:tc>
          <w:tcPr>
            <w:tcW w:w="82" w:type="dxa"/>
            <w:tcBorders/>
            <w:shd w:fill="auto" w:val="clear"/>
            <w:tcMar>
              <w:bottom w:w="0" w:type="dxa"/>
            </w:tcMar>
            <w:vAlign w:val="center"/>
          </w:tcPr>
          <w:p>
            <w:pPr>
              <w:pStyle w:val="TableContents"/>
              <w:spacing w:before="0" w:after="283"/>
              <w:jc w:val="center"/>
              <w:rPr/>
            </w:pPr>
            <w:r>
              <w:rPr/>
              <w:t> </w:t>
            </w:r>
          </w:p>
        </w:tc>
      </w:tr>
      <w:tr>
        <w:trPr/>
        <w:tc>
          <w:tcPr>
            <w:tcW w:w="2827" w:type="dxa"/>
            <w:tcBorders/>
            <w:shd w:fill="CCEEFF" w:val="clear"/>
            <w:tcMar>
              <w:bottom w:w="0" w:type="dxa"/>
            </w:tcMar>
            <w:vAlign w:val="center"/>
          </w:tcPr>
          <w:p>
            <w:pPr>
              <w:pStyle w:val="TableContents"/>
              <w:spacing w:before="0" w:after="283"/>
              <w:jc w:val="left"/>
              <w:rPr/>
            </w:pPr>
            <w:r>
              <w:rPr/>
              <w:t>Jonathan Bellows</w:t>
            </w:r>
          </w:p>
        </w:tc>
        <w:tc>
          <w:tcPr>
            <w:tcW w:w="60" w:type="dxa"/>
            <w:tcBorders/>
            <w:shd w:fill="CCEEFF" w:val="clear"/>
            <w:tcMar>
              <w:bottom w:w="0" w:type="dxa"/>
            </w:tcMar>
            <w:vAlign w:val="center"/>
          </w:tcPr>
          <w:p>
            <w:pPr>
              <w:pStyle w:val="TableContents"/>
              <w:spacing w:before="0" w:after="283"/>
              <w:rPr/>
            </w:pPr>
            <w:r>
              <w:rPr/>
              <w:t> </w:t>
            </w:r>
          </w:p>
        </w:tc>
        <w:tc>
          <w:tcPr>
            <w:tcW w:w="96" w:type="dxa"/>
            <w:tcBorders/>
            <w:shd w:fill="CCEEFF" w:val="clear"/>
            <w:tcMar>
              <w:bottom w:w="0" w:type="dxa"/>
            </w:tcMar>
            <w:vAlign w:val="center"/>
          </w:tcPr>
          <w:p>
            <w:pPr>
              <w:pStyle w:val="TableContents"/>
              <w:spacing w:before="0" w:after="283"/>
              <w:jc w:val="left"/>
              <w:rPr/>
            </w:pPr>
            <w:r>
              <w:rPr/>
              <w:t> </w:t>
            </w:r>
          </w:p>
        </w:tc>
        <w:tc>
          <w:tcPr>
            <w:tcW w:w="1117" w:type="dxa"/>
            <w:tcBorders/>
            <w:shd w:fill="CCEEFF" w:val="clear"/>
            <w:tcMar>
              <w:bottom w:w="0" w:type="dxa"/>
            </w:tcMar>
            <w:vAlign w:val="center"/>
          </w:tcPr>
          <w:p>
            <w:pPr>
              <w:pStyle w:val="TableContents"/>
              <w:spacing w:before="0" w:after="283"/>
              <w:jc w:val="right"/>
              <w:rPr/>
            </w:pPr>
            <w:r>
              <w:rPr/>
              <w:t>13,741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46" w:type="dxa"/>
            <w:tcBorders/>
            <w:shd w:fill="CCEEFF" w:val="clear"/>
            <w:tcMar>
              <w:bottom w:w="0" w:type="dxa"/>
            </w:tcMar>
            <w:vAlign w:val="center"/>
          </w:tcPr>
          <w:p>
            <w:pPr>
              <w:pStyle w:val="TableContents"/>
              <w:spacing w:before="0" w:after="283"/>
              <w:jc w:val="right"/>
              <w:rPr/>
            </w:pPr>
            <w:r>
              <w:rPr/>
              <w:t>420,000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46" w:type="dxa"/>
            <w:tcBorders/>
            <w:shd w:fill="CCEEFF" w:val="clear"/>
            <w:tcMar>
              <w:bottom w:w="0" w:type="dxa"/>
            </w:tcMar>
            <w:vAlign w:val="center"/>
          </w:tcPr>
          <w:p>
            <w:pPr>
              <w:pStyle w:val="TableContents"/>
              <w:spacing w:before="0" w:after="283"/>
              <w:jc w:val="right"/>
              <w:rPr/>
            </w:pPr>
            <w:r>
              <w:rPr/>
              <w:t>—</w:t>
            </w:r>
          </w:p>
        </w:tc>
        <w:tc>
          <w:tcPr>
            <w:tcW w:w="2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30" w:type="dxa"/>
            <w:tcBorders/>
            <w:shd w:fill="CCEEFF" w:val="clear"/>
            <w:tcMar>
              <w:bottom w:w="0" w:type="dxa"/>
            </w:tcMar>
            <w:vAlign w:val="center"/>
          </w:tcPr>
          <w:p>
            <w:pPr>
              <w:pStyle w:val="TableContents"/>
              <w:spacing w:before="0" w:after="283"/>
              <w:jc w:val="left"/>
              <w:rPr/>
            </w:pPr>
            <w:r>
              <w:rPr/>
              <w:t> </w:t>
            </w:r>
          </w:p>
        </w:tc>
        <w:tc>
          <w:tcPr>
            <w:tcW w:w="1436"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1" w:type="dxa"/>
            <w:tcBorders/>
            <w:shd w:fill="CCEEFF" w:val="clear"/>
            <w:tcMar>
              <w:bottom w:w="0" w:type="dxa"/>
            </w:tcMar>
            <w:vAlign w:val="center"/>
          </w:tcPr>
          <w:p>
            <w:pPr>
              <w:pStyle w:val="TableContents"/>
              <w:spacing w:before="0" w:after="283"/>
              <w:jc w:val="left"/>
              <w:rPr/>
            </w:pPr>
            <w:r>
              <w:rPr/>
              <w:t> </w:t>
            </w:r>
          </w:p>
        </w:tc>
        <w:tc>
          <w:tcPr>
            <w:tcW w:w="822" w:type="dxa"/>
            <w:tcBorders/>
            <w:shd w:fill="CCEEFF" w:val="clear"/>
            <w:tcMar>
              <w:bottom w:w="0" w:type="dxa"/>
            </w:tcMar>
            <w:vAlign w:val="center"/>
          </w:tcPr>
          <w:p>
            <w:pPr>
              <w:pStyle w:val="TableContents"/>
              <w:spacing w:before="0" w:after="283"/>
              <w:jc w:val="right"/>
              <w:rPr/>
            </w:pPr>
            <w:r>
              <w:rPr/>
              <w:t>433,741</w:t>
            </w:r>
          </w:p>
        </w:tc>
        <w:tc>
          <w:tcPr>
            <w:tcW w:w="82" w:type="dxa"/>
            <w:tcBorders/>
            <w:shd w:fill="CCEEFF" w:val="clear"/>
            <w:tcMar>
              <w:bottom w:w="0" w:type="dxa"/>
            </w:tcMar>
            <w:vAlign w:val="center"/>
          </w:tcPr>
          <w:p>
            <w:pPr>
              <w:pStyle w:val="TableContents"/>
              <w:spacing w:before="0" w:after="283"/>
              <w:jc w:val="left"/>
              <w:rPr/>
            </w:pPr>
            <w:r>
              <w:rPr/>
              <w:t> </w:t>
            </w:r>
          </w:p>
        </w:tc>
      </w:tr>
      <w:tr>
        <w:trPr/>
        <w:tc>
          <w:tcPr>
            <w:tcW w:w="2827" w:type="dxa"/>
            <w:tcBorders/>
            <w:shd w:fill="FFFFFF" w:val="clear"/>
            <w:tcMar>
              <w:bottom w:w="0" w:type="dxa"/>
            </w:tcMar>
            <w:vAlign w:val="center"/>
          </w:tcPr>
          <w:p>
            <w:pPr>
              <w:pStyle w:val="TableContents"/>
              <w:spacing w:before="0" w:after="283"/>
              <w:jc w:val="left"/>
              <w:rPr/>
            </w:pPr>
            <w:r>
              <w:rPr/>
              <w:t>Perry Boyle</w:t>
            </w:r>
          </w:p>
        </w:tc>
        <w:tc>
          <w:tcPr>
            <w:tcW w:w="60" w:type="dxa"/>
            <w:tcBorders/>
            <w:shd w:fill="FFFFFF" w:val="clear"/>
            <w:tcMar>
              <w:bottom w:w="0" w:type="dxa"/>
            </w:tcMar>
            <w:vAlign w:val="center"/>
          </w:tcPr>
          <w:p>
            <w:pPr>
              <w:pStyle w:val="TableContents"/>
              <w:spacing w:before="0" w:after="283"/>
              <w:rPr/>
            </w:pPr>
            <w:r>
              <w:rPr/>
              <w:t> </w:t>
            </w:r>
          </w:p>
        </w:tc>
        <w:tc>
          <w:tcPr>
            <w:tcW w:w="96" w:type="dxa"/>
            <w:tcBorders/>
            <w:shd w:fill="FFFFFF" w:val="clear"/>
            <w:tcMar>
              <w:bottom w:w="0" w:type="dxa"/>
            </w:tcMar>
            <w:vAlign w:val="center"/>
          </w:tcPr>
          <w:p>
            <w:pPr>
              <w:pStyle w:val="TableContents"/>
              <w:spacing w:before="0" w:after="283"/>
              <w:jc w:val="left"/>
              <w:rPr/>
            </w:pPr>
            <w:r>
              <w:rPr/>
              <w:t> </w:t>
            </w:r>
          </w:p>
        </w:tc>
        <w:tc>
          <w:tcPr>
            <w:tcW w:w="1117" w:type="dxa"/>
            <w:tcBorders/>
            <w:shd w:fill="FFFFFF" w:val="clear"/>
            <w:tcMar>
              <w:bottom w:w="0" w:type="dxa"/>
            </w:tcMar>
            <w:vAlign w:val="center"/>
          </w:tcPr>
          <w:p>
            <w:pPr>
              <w:pStyle w:val="TableContents"/>
              <w:spacing w:before="0" w:after="283"/>
              <w:jc w:val="right"/>
              <w:rPr/>
            </w:pPr>
            <w:r>
              <w:rPr/>
              <w:t>13,741</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2" w:type="dxa"/>
            <w:tcBorders/>
            <w:shd w:fill="FFFFFF" w:val="clear"/>
            <w:tcMar>
              <w:bottom w:w="0" w:type="dxa"/>
            </w:tcMar>
            <w:vAlign w:val="center"/>
          </w:tcPr>
          <w:p>
            <w:pPr>
              <w:pStyle w:val="TableContents"/>
              <w:spacing w:before="0" w:after="283"/>
              <w:jc w:val="left"/>
              <w:rPr/>
            </w:pPr>
            <w:r>
              <w:rPr/>
              <w:t> </w:t>
            </w:r>
          </w:p>
        </w:tc>
        <w:tc>
          <w:tcPr>
            <w:tcW w:w="1246" w:type="dxa"/>
            <w:tcBorders/>
            <w:shd w:fill="FFFFFF" w:val="clear"/>
            <w:tcMar>
              <w:bottom w:w="0" w:type="dxa"/>
            </w:tcMar>
            <w:vAlign w:val="center"/>
          </w:tcPr>
          <w:p>
            <w:pPr>
              <w:pStyle w:val="TableContents"/>
              <w:spacing w:before="0" w:after="283"/>
              <w:jc w:val="right"/>
              <w:rPr/>
            </w:pPr>
            <w:r>
              <w:rPr/>
              <w:t>420,000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2" w:type="dxa"/>
            <w:tcBorders/>
            <w:shd w:fill="FFFFFF" w:val="clear"/>
            <w:tcMar>
              <w:bottom w:w="0" w:type="dxa"/>
            </w:tcMar>
            <w:vAlign w:val="center"/>
          </w:tcPr>
          <w:p>
            <w:pPr>
              <w:pStyle w:val="TableContents"/>
              <w:spacing w:before="0" w:after="283"/>
              <w:jc w:val="left"/>
              <w:rPr/>
            </w:pPr>
            <w:r>
              <w:rPr/>
              <w:t> </w:t>
            </w:r>
          </w:p>
        </w:tc>
        <w:tc>
          <w:tcPr>
            <w:tcW w:w="1246" w:type="dxa"/>
            <w:tcBorders/>
            <w:shd w:fill="FFFFFF" w:val="clear"/>
            <w:tcMar>
              <w:bottom w:w="0" w:type="dxa"/>
            </w:tcMar>
            <w:vAlign w:val="center"/>
          </w:tcPr>
          <w:p>
            <w:pPr>
              <w:pStyle w:val="TableContents"/>
              <w:spacing w:before="0" w:after="283"/>
              <w:jc w:val="right"/>
              <w:rPr/>
            </w:pPr>
            <w:r>
              <w:rPr/>
              <w:t>—</w:t>
            </w:r>
          </w:p>
        </w:tc>
        <w:tc>
          <w:tcPr>
            <w:tcW w:w="2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30" w:type="dxa"/>
            <w:tcBorders/>
            <w:shd w:fill="FFFFFF" w:val="clear"/>
            <w:tcMar>
              <w:bottom w:w="0" w:type="dxa"/>
            </w:tcMar>
            <w:vAlign w:val="center"/>
          </w:tcPr>
          <w:p>
            <w:pPr>
              <w:pStyle w:val="TableContents"/>
              <w:spacing w:before="0" w:after="283"/>
              <w:jc w:val="left"/>
              <w:rPr/>
            </w:pPr>
            <w:r>
              <w:rPr/>
              <w:t> </w:t>
            </w:r>
          </w:p>
        </w:tc>
        <w:tc>
          <w:tcPr>
            <w:tcW w:w="1436"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1" w:type="dxa"/>
            <w:tcBorders/>
            <w:shd w:fill="FFFFFF" w:val="clear"/>
            <w:tcMar>
              <w:bottom w:w="0" w:type="dxa"/>
            </w:tcMar>
            <w:vAlign w:val="center"/>
          </w:tcPr>
          <w:p>
            <w:pPr>
              <w:pStyle w:val="TableContents"/>
              <w:spacing w:before="0" w:after="283"/>
              <w:jc w:val="left"/>
              <w:rPr/>
            </w:pPr>
            <w:r>
              <w:rPr/>
              <w:t> </w:t>
            </w:r>
          </w:p>
        </w:tc>
        <w:tc>
          <w:tcPr>
            <w:tcW w:w="822" w:type="dxa"/>
            <w:tcBorders/>
            <w:shd w:fill="FFFFFF" w:val="clear"/>
            <w:tcMar>
              <w:bottom w:w="0" w:type="dxa"/>
            </w:tcMar>
            <w:vAlign w:val="center"/>
          </w:tcPr>
          <w:p>
            <w:pPr>
              <w:pStyle w:val="TableContents"/>
              <w:spacing w:before="0" w:after="283"/>
              <w:jc w:val="right"/>
              <w:rPr/>
            </w:pPr>
            <w:r>
              <w:rPr/>
              <w:t>433,741</w:t>
            </w:r>
          </w:p>
        </w:tc>
        <w:tc>
          <w:tcPr>
            <w:tcW w:w="82" w:type="dxa"/>
            <w:tcBorders/>
            <w:shd w:fill="FFFFFF" w:val="clear"/>
            <w:tcMar>
              <w:bottom w:w="0" w:type="dxa"/>
            </w:tcMar>
            <w:vAlign w:val="center"/>
          </w:tcPr>
          <w:p>
            <w:pPr>
              <w:pStyle w:val="TableContents"/>
              <w:spacing w:before="0" w:after="283"/>
              <w:jc w:val="left"/>
              <w:rPr/>
            </w:pPr>
            <w:r>
              <w:rPr/>
              <w:t> </w:t>
            </w:r>
          </w:p>
        </w:tc>
      </w:tr>
      <w:tr>
        <w:trPr/>
        <w:tc>
          <w:tcPr>
            <w:tcW w:w="2827" w:type="dxa"/>
            <w:tcBorders/>
            <w:shd w:fill="CCEEFF" w:val="clear"/>
            <w:tcMar>
              <w:bottom w:w="0" w:type="dxa"/>
            </w:tcMar>
            <w:vAlign w:val="center"/>
          </w:tcPr>
          <w:p>
            <w:pPr>
              <w:pStyle w:val="TableContents"/>
              <w:spacing w:before="0" w:after="283"/>
              <w:jc w:val="left"/>
              <w:rPr/>
            </w:pPr>
            <w:r>
              <w:rPr/>
              <w:t>Karina Montilla Edmonds, Ph.D.</w:t>
            </w:r>
          </w:p>
        </w:tc>
        <w:tc>
          <w:tcPr>
            <w:tcW w:w="60" w:type="dxa"/>
            <w:tcBorders/>
            <w:shd w:fill="CCEEFF" w:val="clear"/>
            <w:tcMar>
              <w:bottom w:w="0" w:type="dxa"/>
            </w:tcMar>
            <w:vAlign w:val="center"/>
          </w:tcPr>
          <w:p>
            <w:pPr>
              <w:pStyle w:val="TableContents"/>
              <w:spacing w:before="0" w:after="283"/>
              <w:rPr/>
            </w:pPr>
            <w:r>
              <w:rPr/>
              <w:t> </w:t>
            </w:r>
          </w:p>
        </w:tc>
        <w:tc>
          <w:tcPr>
            <w:tcW w:w="96" w:type="dxa"/>
            <w:tcBorders/>
            <w:shd w:fill="CCEEFF" w:val="clear"/>
            <w:tcMar>
              <w:bottom w:w="0" w:type="dxa"/>
            </w:tcMar>
            <w:vAlign w:val="center"/>
          </w:tcPr>
          <w:p>
            <w:pPr>
              <w:pStyle w:val="TableContents"/>
              <w:spacing w:before="0" w:after="283"/>
              <w:jc w:val="left"/>
              <w:rPr/>
            </w:pPr>
            <w:r>
              <w:rPr/>
              <w:t> </w:t>
            </w:r>
          </w:p>
        </w:tc>
        <w:tc>
          <w:tcPr>
            <w:tcW w:w="1117" w:type="dxa"/>
            <w:tcBorders/>
            <w:shd w:fill="CCEEFF" w:val="clear"/>
            <w:tcMar>
              <w:bottom w:w="0" w:type="dxa"/>
            </w:tcMar>
            <w:vAlign w:val="center"/>
          </w:tcPr>
          <w:p>
            <w:pPr>
              <w:pStyle w:val="TableContents"/>
              <w:spacing w:before="0" w:after="283"/>
              <w:jc w:val="right"/>
              <w:rPr/>
            </w:pPr>
            <w:r>
              <w:rPr/>
              <w:t>16,078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46" w:type="dxa"/>
            <w:tcBorders/>
            <w:shd w:fill="CCEEFF" w:val="clear"/>
            <w:tcMar>
              <w:bottom w:w="0" w:type="dxa"/>
            </w:tcMar>
            <w:vAlign w:val="center"/>
          </w:tcPr>
          <w:p>
            <w:pPr>
              <w:pStyle w:val="TableContents"/>
              <w:spacing w:before="0" w:after="283"/>
              <w:jc w:val="right"/>
              <w:rPr/>
            </w:pPr>
            <w:r>
              <w:rPr/>
              <w:t>420,000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46" w:type="dxa"/>
            <w:tcBorders/>
            <w:shd w:fill="CCEEFF" w:val="clear"/>
            <w:tcMar>
              <w:bottom w:w="0" w:type="dxa"/>
            </w:tcMar>
            <w:vAlign w:val="center"/>
          </w:tcPr>
          <w:p>
            <w:pPr>
              <w:pStyle w:val="TableContents"/>
              <w:spacing w:before="0" w:after="283"/>
              <w:jc w:val="right"/>
              <w:rPr/>
            </w:pPr>
            <w:r>
              <w:rPr/>
              <w:t>—</w:t>
            </w:r>
          </w:p>
        </w:tc>
        <w:tc>
          <w:tcPr>
            <w:tcW w:w="2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30" w:type="dxa"/>
            <w:tcBorders/>
            <w:shd w:fill="CCEEFF" w:val="clear"/>
            <w:tcMar>
              <w:bottom w:w="0" w:type="dxa"/>
            </w:tcMar>
            <w:vAlign w:val="center"/>
          </w:tcPr>
          <w:p>
            <w:pPr>
              <w:pStyle w:val="TableContents"/>
              <w:spacing w:before="0" w:after="283"/>
              <w:jc w:val="left"/>
              <w:rPr/>
            </w:pPr>
            <w:r>
              <w:rPr/>
              <w:t> </w:t>
            </w:r>
          </w:p>
        </w:tc>
        <w:tc>
          <w:tcPr>
            <w:tcW w:w="1436"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1" w:type="dxa"/>
            <w:tcBorders/>
            <w:shd w:fill="CCEEFF" w:val="clear"/>
            <w:tcMar>
              <w:bottom w:w="0" w:type="dxa"/>
            </w:tcMar>
            <w:vAlign w:val="center"/>
          </w:tcPr>
          <w:p>
            <w:pPr>
              <w:pStyle w:val="TableContents"/>
              <w:spacing w:before="0" w:after="283"/>
              <w:jc w:val="left"/>
              <w:rPr/>
            </w:pPr>
            <w:r>
              <w:rPr/>
              <w:t> </w:t>
            </w:r>
          </w:p>
        </w:tc>
        <w:tc>
          <w:tcPr>
            <w:tcW w:w="822" w:type="dxa"/>
            <w:tcBorders/>
            <w:shd w:fill="CCEEFF" w:val="clear"/>
            <w:tcMar>
              <w:bottom w:w="0" w:type="dxa"/>
            </w:tcMar>
            <w:vAlign w:val="center"/>
          </w:tcPr>
          <w:p>
            <w:pPr>
              <w:pStyle w:val="TableContents"/>
              <w:spacing w:before="0" w:after="283"/>
              <w:jc w:val="right"/>
              <w:rPr/>
            </w:pPr>
            <w:r>
              <w:rPr/>
              <w:t>436,078</w:t>
            </w:r>
          </w:p>
        </w:tc>
        <w:tc>
          <w:tcPr>
            <w:tcW w:w="82" w:type="dxa"/>
            <w:tcBorders/>
            <w:shd w:fill="CCEEFF" w:val="clear"/>
            <w:tcMar>
              <w:bottom w:w="0" w:type="dxa"/>
            </w:tcMar>
            <w:vAlign w:val="center"/>
          </w:tcPr>
          <w:p>
            <w:pPr>
              <w:pStyle w:val="TableContents"/>
              <w:spacing w:before="0" w:after="283"/>
              <w:jc w:val="left"/>
              <w:rPr/>
            </w:pPr>
            <w:r>
              <w:rPr/>
              <w:t> </w:t>
            </w:r>
          </w:p>
        </w:tc>
      </w:tr>
      <w:tr>
        <w:trPr/>
        <w:tc>
          <w:tcPr>
            <w:tcW w:w="2827" w:type="dxa"/>
            <w:tcBorders/>
            <w:shd w:fill="FFFFFF" w:val="clear"/>
            <w:tcMar>
              <w:bottom w:w="0" w:type="dxa"/>
            </w:tcMar>
            <w:vAlign w:val="center"/>
          </w:tcPr>
          <w:p>
            <w:pPr>
              <w:pStyle w:val="TableContents"/>
              <w:spacing w:before="0" w:after="283"/>
              <w:jc w:val="left"/>
              <w:rPr/>
            </w:pPr>
            <w:r>
              <w:rPr/>
              <w:t>Luisa Ingargiola</w:t>
            </w:r>
          </w:p>
        </w:tc>
        <w:tc>
          <w:tcPr>
            <w:tcW w:w="60" w:type="dxa"/>
            <w:tcBorders/>
            <w:shd w:fill="FFFFFF" w:val="clear"/>
            <w:tcMar>
              <w:bottom w:w="0" w:type="dxa"/>
            </w:tcMar>
            <w:vAlign w:val="center"/>
          </w:tcPr>
          <w:p>
            <w:pPr>
              <w:pStyle w:val="TableContents"/>
              <w:spacing w:before="0" w:after="283"/>
              <w:rPr/>
            </w:pPr>
            <w:r>
              <w:rPr/>
              <w:t> </w:t>
            </w:r>
          </w:p>
        </w:tc>
        <w:tc>
          <w:tcPr>
            <w:tcW w:w="96" w:type="dxa"/>
            <w:tcBorders/>
            <w:shd w:fill="FFFFFF" w:val="clear"/>
            <w:tcMar>
              <w:bottom w:w="0" w:type="dxa"/>
            </w:tcMar>
            <w:vAlign w:val="center"/>
          </w:tcPr>
          <w:p>
            <w:pPr>
              <w:pStyle w:val="TableContents"/>
              <w:spacing w:before="0" w:after="283"/>
              <w:jc w:val="left"/>
              <w:rPr/>
            </w:pPr>
            <w:r>
              <w:rPr/>
              <w:t> </w:t>
            </w:r>
          </w:p>
        </w:tc>
        <w:tc>
          <w:tcPr>
            <w:tcW w:w="1117" w:type="dxa"/>
            <w:tcBorders/>
            <w:shd w:fill="FFFFFF" w:val="clear"/>
            <w:tcMar>
              <w:bottom w:w="0" w:type="dxa"/>
            </w:tcMar>
            <w:vAlign w:val="center"/>
          </w:tcPr>
          <w:p>
            <w:pPr>
              <w:pStyle w:val="TableContents"/>
              <w:spacing w:before="0" w:after="283"/>
              <w:jc w:val="right"/>
              <w:rPr/>
            </w:pPr>
            <w:r>
              <w:rPr/>
              <w:t>23,089</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2" w:type="dxa"/>
            <w:tcBorders/>
            <w:shd w:fill="FFFFFF" w:val="clear"/>
            <w:tcMar>
              <w:bottom w:w="0" w:type="dxa"/>
            </w:tcMar>
            <w:vAlign w:val="center"/>
          </w:tcPr>
          <w:p>
            <w:pPr>
              <w:pStyle w:val="TableContents"/>
              <w:spacing w:before="0" w:after="283"/>
              <w:jc w:val="left"/>
              <w:rPr/>
            </w:pPr>
            <w:r>
              <w:rPr/>
              <w:t> </w:t>
            </w:r>
          </w:p>
        </w:tc>
        <w:tc>
          <w:tcPr>
            <w:tcW w:w="1246" w:type="dxa"/>
            <w:tcBorders/>
            <w:shd w:fill="FFFFFF" w:val="clear"/>
            <w:tcMar>
              <w:bottom w:w="0" w:type="dxa"/>
            </w:tcMar>
            <w:vAlign w:val="center"/>
          </w:tcPr>
          <w:p>
            <w:pPr>
              <w:pStyle w:val="TableContents"/>
              <w:spacing w:before="0" w:after="283"/>
              <w:jc w:val="right"/>
              <w:rPr/>
            </w:pPr>
            <w:r>
              <w:rPr/>
              <w:t>420,000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2" w:type="dxa"/>
            <w:tcBorders/>
            <w:shd w:fill="FFFFFF" w:val="clear"/>
            <w:tcMar>
              <w:bottom w:w="0" w:type="dxa"/>
            </w:tcMar>
            <w:vAlign w:val="center"/>
          </w:tcPr>
          <w:p>
            <w:pPr>
              <w:pStyle w:val="TableContents"/>
              <w:spacing w:before="0" w:after="283"/>
              <w:jc w:val="left"/>
              <w:rPr/>
            </w:pPr>
            <w:r>
              <w:rPr/>
              <w:t> </w:t>
            </w:r>
          </w:p>
        </w:tc>
        <w:tc>
          <w:tcPr>
            <w:tcW w:w="1246" w:type="dxa"/>
            <w:tcBorders/>
            <w:shd w:fill="FFFFFF" w:val="clear"/>
            <w:tcMar>
              <w:bottom w:w="0" w:type="dxa"/>
            </w:tcMar>
            <w:vAlign w:val="center"/>
          </w:tcPr>
          <w:p>
            <w:pPr>
              <w:pStyle w:val="TableContents"/>
              <w:spacing w:before="0" w:after="283"/>
              <w:jc w:val="right"/>
              <w:rPr/>
            </w:pPr>
            <w:r>
              <w:rPr/>
              <w:t>—</w:t>
            </w:r>
          </w:p>
        </w:tc>
        <w:tc>
          <w:tcPr>
            <w:tcW w:w="278" w:type="dxa"/>
            <w:tcBorders/>
            <w:shd w:fill="FFFFFF" w:val="clear"/>
            <w:tcMar>
              <w:bottom w:w="0" w:type="dxa"/>
            </w:tcMar>
            <w:vAlign w:val="center"/>
          </w:tcPr>
          <w:p>
            <w:pPr>
              <w:pStyle w:val="TableContents"/>
              <w:spacing w:before="0" w:after="283"/>
              <w:jc w:val="left"/>
              <w:rPr/>
            </w:pPr>
            <w:r>
              <w:rPr/>
              <w:t>(2)</w:t>
            </w:r>
          </w:p>
        </w:tc>
        <w:tc>
          <w:tcPr>
            <w:tcW w:w="60" w:type="dxa"/>
            <w:tcBorders/>
            <w:shd w:fill="FFFFFF" w:val="clear"/>
            <w:tcMar>
              <w:bottom w:w="0" w:type="dxa"/>
            </w:tcMar>
            <w:vAlign w:val="center"/>
          </w:tcPr>
          <w:p>
            <w:pPr>
              <w:pStyle w:val="TableContents"/>
              <w:spacing w:before="0" w:after="283"/>
              <w:rPr/>
            </w:pPr>
            <w:r>
              <w:rPr/>
              <w:t> </w:t>
            </w:r>
          </w:p>
        </w:tc>
        <w:tc>
          <w:tcPr>
            <w:tcW w:w="330" w:type="dxa"/>
            <w:tcBorders/>
            <w:shd w:fill="FFFFFF" w:val="clear"/>
            <w:tcMar>
              <w:bottom w:w="0" w:type="dxa"/>
            </w:tcMar>
            <w:vAlign w:val="center"/>
          </w:tcPr>
          <w:p>
            <w:pPr>
              <w:pStyle w:val="TableContents"/>
              <w:spacing w:before="0" w:after="283"/>
              <w:jc w:val="left"/>
              <w:rPr/>
            </w:pPr>
            <w:r>
              <w:rPr/>
              <w:t> </w:t>
            </w:r>
          </w:p>
        </w:tc>
        <w:tc>
          <w:tcPr>
            <w:tcW w:w="1436"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1" w:type="dxa"/>
            <w:tcBorders/>
            <w:shd w:fill="FFFFFF" w:val="clear"/>
            <w:tcMar>
              <w:bottom w:w="0" w:type="dxa"/>
            </w:tcMar>
            <w:vAlign w:val="center"/>
          </w:tcPr>
          <w:p>
            <w:pPr>
              <w:pStyle w:val="TableContents"/>
              <w:spacing w:before="0" w:after="283"/>
              <w:jc w:val="left"/>
              <w:rPr/>
            </w:pPr>
            <w:r>
              <w:rPr/>
              <w:t> </w:t>
            </w:r>
          </w:p>
        </w:tc>
        <w:tc>
          <w:tcPr>
            <w:tcW w:w="822" w:type="dxa"/>
            <w:tcBorders/>
            <w:shd w:fill="FFFFFF" w:val="clear"/>
            <w:tcMar>
              <w:bottom w:w="0" w:type="dxa"/>
            </w:tcMar>
            <w:vAlign w:val="center"/>
          </w:tcPr>
          <w:p>
            <w:pPr>
              <w:pStyle w:val="TableContents"/>
              <w:spacing w:before="0" w:after="283"/>
              <w:jc w:val="right"/>
              <w:rPr/>
            </w:pPr>
            <w:r>
              <w:rPr/>
              <w:t>443,089</w:t>
            </w:r>
          </w:p>
        </w:tc>
        <w:tc>
          <w:tcPr>
            <w:tcW w:w="82" w:type="dxa"/>
            <w:tcBorders/>
            <w:shd w:fill="FFFFFF" w:val="clear"/>
            <w:tcMar>
              <w:bottom w:w="0" w:type="dxa"/>
            </w:tcMar>
            <w:vAlign w:val="center"/>
          </w:tcPr>
          <w:p>
            <w:pPr>
              <w:pStyle w:val="TableContents"/>
              <w:spacing w:before="0" w:after="283"/>
              <w:jc w:val="left"/>
              <w:rPr/>
            </w:pPr>
            <w:r>
              <w:rPr/>
              <w:t> </w:t>
            </w:r>
          </w:p>
        </w:tc>
      </w:tr>
      <w:tr>
        <w:trPr/>
        <w:tc>
          <w:tcPr>
            <w:tcW w:w="2827" w:type="dxa"/>
            <w:tcBorders/>
            <w:shd w:fill="CCEEFF" w:val="clear"/>
            <w:tcMar>
              <w:bottom w:w="0" w:type="dxa"/>
            </w:tcMar>
            <w:vAlign w:val="center"/>
          </w:tcPr>
          <w:p>
            <w:pPr>
              <w:pStyle w:val="TableContents"/>
              <w:spacing w:before="0" w:after="283"/>
              <w:jc w:val="left"/>
              <w:rPr/>
            </w:pPr>
            <w:r>
              <w:rPr/>
              <w:t>Brian Nelson</w:t>
            </w:r>
          </w:p>
        </w:tc>
        <w:tc>
          <w:tcPr>
            <w:tcW w:w="60" w:type="dxa"/>
            <w:tcBorders/>
            <w:shd w:fill="CCEEFF" w:val="clear"/>
            <w:tcMar>
              <w:bottom w:w="0" w:type="dxa"/>
            </w:tcMar>
            <w:vAlign w:val="center"/>
          </w:tcPr>
          <w:p>
            <w:pPr>
              <w:pStyle w:val="TableContents"/>
              <w:spacing w:before="0" w:after="283"/>
              <w:rPr/>
            </w:pPr>
            <w:r>
              <w:rPr/>
              <w:t> </w:t>
            </w:r>
          </w:p>
        </w:tc>
        <w:tc>
          <w:tcPr>
            <w:tcW w:w="96" w:type="dxa"/>
            <w:tcBorders/>
            <w:shd w:fill="CCEEFF" w:val="clear"/>
            <w:tcMar>
              <w:bottom w:w="0" w:type="dxa"/>
            </w:tcMar>
            <w:vAlign w:val="center"/>
          </w:tcPr>
          <w:p>
            <w:pPr>
              <w:pStyle w:val="TableContents"/>
              <w:spacing w:before="0" w:after="283"/>
              <w:jc w:val="left"/>
              <w:rPr/>
            </w:pPr>
            <w:r>
              <w:rPr/>
              <w:t> </w:t>
            </w:r>
          </w:p>
        </w:tc>
        <w:tc>
          <w:tcPr>
            <w:tcW w:w="1117" w:type="dxa"/>
            <w:tcBorders/>
            <w:shd w:fill="CCEEFF" w:val="clear"/>
            <w:tcMar>
              <w:bottom w:w="0" w:type="dxa"/>
            </w:tcMar>
            <w:vAlign w:val="center"/>
          </w:tcPr>
          <w:p>
            <w:pPr>
              <w:pStyle w:val="TableContents"/>
              <w:spacing w:before="0" w:after="283"/>
              <w:jc w:val="right"/>
              <w:rPr/>
            </w:pPr>
            <w:r>
              <w:rPr/>
              <w:t>17,247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46" w:type="dxa"/>
            <w:tcBorders/>
            <w:shd w:fill="CCEEFF" w:val="clear"/>
            <w:tcMar>
              <w:bottom w:w="0" w:type="dxa"/>
            </w:tcMar>
            <w:vAlign w:val="center"/>
          </w:tcPr>
          <w:p>
            <w:pPr>
              <w:pStyle w:val="TableContents"/>
              <w:spacing w:before="0" w:after="283"/>
              <w:jc w:val="right"/>
              <w:rPr/>
            </w:pPr>
            <w:r>
              <w:rPr/>
              <w:t>420,000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46" w:type="dxa"/>
            <w:tcBorders/>
            <w:shd w:fill="CCEEFF" w:val="clear"/>
            <w:tcMar>
              <w:bottom w:w="0" w:type="dxa"/>
            </w:tcMar>
            <w:vAlign w:val="center"/>
          </w:tcPr>
          <w:p>
            <w:pPr>
              <w:pStyle w:val="TableContents"/>
              <w:spacing w:before="0" w:after="283"/>
              <w:jc w:val="right"/>
              <w:rPr/>
            </w:pPr>
            <w:r>
              <w:rPr/>
              <w:t>245,401</w:t>
            </w:r>
          </w:p>
        </w:tc>
        <w:tc>
          <w:tcPr>
            <w:tcW w:w="278" w:type="dxa"/>
            <w:tcBorders/>
            <w:shd w:fill="CCEEFF" w:val="clear"/>
            <w:tcMar>
              <w:bottom w:w="0" w:type="dxa"/>
            </w:tcMar>
            <w:vAlign w:val="center"/>
          </w:tcPr>
          <w:p>
            <w:pPr>
              <w:pStyle w:val="TableContents"/>
              <w:spacing w:before="0" w:after="283"/>
              <w:jc w:val="left"/>
              <w:rPr/>
            </w:pPr>
            <w:r>
              <w:rPr/>
              <w:t>(3)</w:t>
            </w:r>
          </w:p>
        </w:tc>
        <w:tc>
          <w:tcPr>
            <w:tcW w:w="60" w:type="dxa"/>
            <w:tcBorders/>
            <w:shd w:fill="CCEEFF" w:val="clear"/>
            <w:tcMar>
              <w:bottom w:w="0" w:type="dxa"/>
            </w:tcMar>
            <w:vAlign w:val="center"/>
          </w:tcPr>
          <w:p>
            <w:pPr>
              <w:pStyle w:val="TableContents"/>
              <w:spacing w:before="0" w:after="283"/>
              <w:rPr/>
            </w:pPr>
            <w:r>
              <w:rPr/>
              <w:t> </w:t>
            </w:r>
          </w:p>
        </w:tc>
        <w:tc>
          <w:tcPr>
            <w:tcW w:w="330" w:type="dxa"/>
            <w:tcBorders/>
            <w:shd w:fill="CCEEFF" w:val="clear"/>
            <w:tcMar>
              <w:bottom w:w="0" w:type="dxa"/>
            </w:tcMar>
            <w:vAlign w:val="center"/>
          </w:tcPr>
          <w:p>
            <w:pPr>
              <w:pStyle w:val="TableContents"/>
              <w:spacing w:before="0" w:after="283"/>
              <w:jc w:val="left"/>
              <w:rPr/>
            </w:pPr>
            <w:r>
              <w:rPr/>
              <w:t> </w:t>
            </w:r>
          </w:p>
        </w:tc>
        <w:tc>
          <w:tcPr>
            <w:tcW w:w="1436"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1" w:type="dxa"/>
            <w:tcBorders/>
            <w:shd w:fill="CCEEFF" w:val="clear"/>
            <w:tcMar>
              <w:bottom w:w="0" w:type="dxa"/>
            </w:tcMar>
            <w:vAlign w:val="center"/>
          </w:tcPr>
          <w:p>
            <w:pPr>
              <w:pStyle w:val="TableContents"/>
              <w:spacing w:before="0" w:after="283"/>
              <w:jc w:val="left"/>
              <w:rPr/>
            </w:pPr>
            <w:r>
              <w:rPr/>
              <w:t> </w:t>
            </w:r>
          </w:p>
        </w:tc>
        <w:tc>
          <w:tcPr>
            <w:tcW w:w="822" w:type="dxa"/>
            <w:tcBorders/>
            <w:shd w:fill="CCEEFF" w:val="clear"/>
            <w:tcMar>
              <w:bottom w:w="0" w:type="dxa"/>
            </w:tcMar>
            <w:vAlign w:val="center"/>
          </w:tcPr>
          <w:p>
            <w:pPr>
              <w:pStyle w:val="TableContents"/>
              <w:spacing w:before="0" w:after="283"/>
              <w:jc w:val="right"/>
              <w:rPr/>
            </w:pPr>
            <w:r>
              <w:rPr/>
              <w:t>682,648</w:t>
            </w:r>
          </w:p>
        </w:tc>
        <w:tc>
          <w:tcPr>
            <w:tcW w:w="82" w:type="dxa"/>
            <w:tcBorders/>
            <w:shd w:fill="CCEEFF" w:val="clear"/>
            <w:tcMar>
              <w:bottom w:w="0" w:type="dxa"/>
            </w:tcMar>
            <w:vAlign w:val="center"/>
          </w:tcPr>
          <w:p>
            <w:pPr>
              <w:pStyle w:val="TableContents"/>
              <w:spacing w:before="0" w:after="283"/>
              <w:jc w:val="left"/>
              <w:rPr/>
            </w:pPr>
            <w:r>
              <w:rPr/>
              <w:t> </w:t>
            </w:r>
          </w:p>
        </w:tc>
      </w:tr>
      <w:tr>
        <w:trPr/>
        <w:tc>
          <w:tcPr>
            <w:tcW w:w="2827" w:type="dxa"/>
            <w:tcBorders/>
            <w:shd w:fill="FFFFFF" w:val="clear"/>
            <w:tcMar>
              <w:bottom w:w="0" w:type="dxa"/>
            </w:tcMar>
            <w:vAlign w:val="center"/>
          </w:tcPr>
          <w:p>
            <w:pPr>
              <w:pStyle w:val="TableContents"/>
              <w:spacing w:before="0" w:after="283"/>
              <w:jc w:val="left"/>
              <w:rPr/>
            </w:pPr>
            <w:r>
              <w:rPr/>
              <w:t>Rick Parod</w:t>
            </w:r>
          </w:p>
        </w:tc>
        <w:tc>
          <w:tcPr>
            <w:tcW w:w="60" w:type="dxa"/>
            <w:tcBorders/>
            <w:shd w:fill="FFFFFF" w:val="clear"/>
            <w:tcMar>
              <w:bottom w:w="0" w:type="dxa"/>
            </w:tcMar>
            <w:vAlign w:val="center"/>
          </w:tcPr>
          <w:p>
            <w:pPr>
              <w:pStyle w:val="TableContents"/>
              <w:spacing w:before="0" w:after="283"/>
              <w:rPr/>
            </w:pPr>
            <w:r>
              <w:rPr/>
              <w:t> </w:t>
            </w:r>
          </w:p>
        </w:tc>
        <w:tc>
          <w:tcPr>
            <w:tcW w:w="96" w:type="dxa"/>
            <w:tcBorders/>
            <w:shd w:fill="FFFFFF" w:val="clear"/>
            <w:tcMar>
              <w:bottom w:w="0" w:type="dxa"/>
            </w:tcMar>
            <w:vAlign w:val="center"/>
          </w:tcPr>
          <w:p>
            <w:pPr>
              <w:pStyle w:val="TableContents"/>
              <w:spacing w:before="0" w:after="283"/>
              <w:jc w:val="left"/>
              <w:rPr/>
            </w:pPr>
            <w:r>
              <w:rPr/>
              <w:t> </w:t>
            </w:r>
          </w:p>
        </w:tc>
        <w:tc>
          <w:tcPr>
            <w:tcW w:w="1117" w:type="dxa"/>
            <w:tcBorders/>
            <w:shd w:fill="FFFFFF" w:val="clear"/>
            <w:tcMar>
              <w:bottom w:w="0" w:type="dxa"/>
            </w:tcMar>
            <w:vAlign w:val="center"/>
          </w:tcPr>
          <w:p>
            <w:pPr>
              <w:pStyle w:val="TableContents"/>
              <w:spacing w:before="0" w:after="283"/>
              <w:jc w:val="right"/>
              <w:rPr/>
            </w:pPr>
            <w:r>
              <w:rPr/>
              <w:t>13,741</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2" w:type="dxa"/>
            <w:tcBorders/>
            <w:shd w:fill="FFFFFF" w:val="clear"/>
            <w:tcMar>
              <w:bottom w:w="0" w:type="dxa"/>
            </w:tcMar>
            <w:vAlign w:val="center"/>
          </w:tcPr>
          <w:p>
            <w:pPr>
              <w:pStyle w:val="TableContents"/>
              <w:spacing w:before="0" w:after="283"/>
              <w:jc w:val="left"/>
              <w:rPr/>
            </w:pPr>
            <w:r>
              <w:rPr/>
              <w:t> </w:t>
            </w:r>
          </w:p>
        </w:tc>
        <w:tc>
          <w:tcPr>
            <w:tcW w:w="1246" w:type="dxa"/>
            <w:tcBorders/>
            <w:shd w:fill="FFFFFF" w:val="clear"/>
            <w:tcMar>
              <w:bottom w:w="0" w:type="dxa"/>
            </w:tcMar>
            <w:vAlign w:val="center"/>
          </w:tcPr>
          <w:p>
            <w:pPr>
              <w:pStyle w:val="TableContents"/>
              <w:spacing w:before="0" w:after="283"/>
              <w:jc w:val="right"/>
              <w:rPr/>
            </w:pPr>
            <w:r>
              <w:rPr/>
              <w:t>420,000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2" w:type="dxa"/>
            <w:tcBorders/>
            <w:shd w:fill="FFFFFF" w:val="clear"/>
            <w:tcMar>
              <w:bottom w:w="0" w:type="dxa"/>
            </w:tcMar>
            <w:vAlign w:val="center"/>
          </w:tcPr>
          <w:p>
            <w:pPr>
              <w:pStyle w:val="TableContents"/>
              <w:spacing w:before="0" w:after="283"/>
              <w:jc w:val="left"/>
              <w:rPr/>
            </w:pPr>
            <w:r>
              <w:rPr/>
              <w:t> </w:t>
            </w:r>
          </w:p>
        </w:tc>
        <w:tc>
          <w:tcPr>
            <w:tcW w:w="1246" w:type="dxa"/>
            <w:tcBorders/>
            <w:shd w:fill="FFFFFF" w:val="clear"/>
            <w:tcMar>
              <w:bottom w:w="0" w:type="dxa"/>
            </w:tcMar>
            <w:vAlign w:val="center"/>
          </w:tcPr>
          <w:p>
            <w:pPr>
              <w:pStyle w:val="TableContents"/>
              <w:spacing w:before="0" w:after="283"/>
              <w:jc w:val="right"/>
              <w:rPr/>
            </w:pPr>
            <w:r>
              <w:rPr/>
              <w:t>—</w:t>
            </w:r>
          </w:p>
        </w:tc>
        <w:tc>
          <w:tcPr>
            <w:tcW w:w="2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30" w:type="dxa"/>
            <w:tcBorders/>
            <w:shd w:fill="FFFFFF" w:val="clear"/>
            <w:tcMar>
              <w:bottom w:w="0" w:type="dxa"/>
            </w:tcMar>
            <w:vAlign w:val="center"/>
          </w:tcPr>
          <w:p>
            <w:pPr>
              <w:pStyle w:val="TableContents"/>
              <w:spacing w:before="0" w:after="283"/>
              <w:jc w:val="left"/>
              <w:rPr/>
            </w:pPr>
            <w:r>
              <w:rPr/>
              <w:t> </w:t>
            </w:r>
          </w:p>
        </w:tc>
        <w:tc>
          <w:tcPr>
            <w:tcW w:w="1436"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1" w:type="dxa"/>
            <w:tcBorders/>
            <w:shd w:fill="FFFFFF" w:val="clear"/>
            <w:tcMar>
              <w:bottom w:w="0" w:type="dxa"/>
            </w:tcMar>
            <w:vAlign w:val="center"/>
          </w:tcPr>
          <w:p>
            <w:pPr>
              <w:pStyle w:val="TableContents"/>
              <w:spacing w:before="0" w:after="283"/>
              <w:jc w:val="left"/>
              <w:rPr/>
            </w:pPr>
            <w:r>
              <w:rPr/>
              <w:t> </w:t>
            </w:r>
          </w:p>
        </w:tc>
        <w:tc>
          <w:tcPr>
            <w:tcW w:w="822" w:type="dxa"/>
            <w:tcBorders/>
            <w:shd w:fill="FFFFFF" w:val="clear"/>
            <w:tcMar>
              <w:bottom w:w="0" w:type="dxa"/>
            </w:tcMar>
            <w:vAlign w:val="center"/>
          </w:tcPr>
          <w:p>
            <w:pPr>
              <w:pStyle w:val="TableContents"/>
              <w:spacing w:before="0" w:after="283"/>
              <w:jc w:val="right"/>
              <w:rPr/>
            </w:pPr>
            <w:r>
              <w:rPr/>
              <w:t>433,741</w:t>
            </w:r>
          </w:p>
        </w:tc>
        <w:tc>
          <w:tcPr>
            <w:tcW w:w="82" w:type="dxa"/>
            <w:tcBorders/>
            <w:shd w:fill="FFFFFF" w:val="clear"/>
            <w:tcMar>
              <w:bottom w:w="0" w:type="dxa"/>
            </w:tcMar>
            <w:vAlign w:val="center"/>
          </w:tcPr>
          <w:p>
            <w:pPr>
              <w:pStyle w:val="TableContents"/>
              <w:spacing w:before="0" w:after="283"/>
              <w:jc w:val="left"/>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5"/>
        <w:gridCol w:w="993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reflects the grant date fair value of the stock option and/or RSUs granted to the Non-Employee Directors during the year ended December 31, 2022 under the 2022 Plan as described above and is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prospectus for a discussion of the relevant assumptions used in calculating this amount. As of December 31, 2022, each Non-Employee Director held 30,000 unvested RSUs.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of common stock underlying stock options and unvested RSUs outstanding as of December 31, 2022 held by Ms. Ingargiola was 127,521.</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 awards to purchase 70,925 shares of our common stock were granted to Mr. Nelson on May 9, 2022 and vest in 36 equal monthly installments beginning on May 15, 2022.</w:t>
            </w:r>
          </w:p>
        </w:tc>
      </w:tr>
    </w:tbl>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85</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36" w:name="Na_004"/>
      <w:bookmarkEnd w:id="36"/>
      <w:r>
        <w:rPr>
          <w:rFonts w:ascii="Times New Roman;Times;Serif" w:hAnsi="Times New Roman;Times;Serif"/>
          <w:b/>
          <w:i w:val="false"/>
          <w:caps w:val="false"/>
          <w:smallCaps w:val="false"/>
          <w:sz w:val="20"/>
        </w:rPr>
        <w:t>CERTAIN RELATIONSHIPS AND RELATED PERSON TRANSACTIONS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for our named executive officers and directors, we describe below each transaction or series of similar transactions, since January 1, 2021, to which we were a party or will be a party, in which:</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$120,000;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executive officers or holders of more than 5% of our capital stock, or any member of the immediate family of the foregoing persons, had or will have a direct or indirect material interest.</w:t>
            </w:r>
          </w:p>
        </w:tc>
      </w:tr>
    </w:tbl>
    <w:p>
      <w:pPr>
        <w:pStyle w:val="TextBody"/>
        <w:ind w:left="0" w:right="0" w:hanging="36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for our named executive officers and directors are described in the section entitled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Directors and Officers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Arrangement with John Marchetti</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hire Mr. John Marchetti as our Chief Financial Officer in September 2021,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Separation Agreement with Sean Nichols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entered into the Separation Agreement with Mr. Nichols that became effective and fully irrevocable on November 2, 2022. Pursuant to the Separation Agreement, Mr. Nichols received a cash payment of $100,000 in one installment in December 2022 and is entitled to receive a cash payment of $1.0 million in 24 monthly installments commencing in December 2022. Mr. Nichols’ outstanding equity awards granted by us will fully vest and, in the case of options, will be exercisable for 12 months following his termination date. The Separation Agreement also provides that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 with Brian Nelson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Note in the Principal amount of $1.0 million to Brian Nelson, one of our directors, in a private placement in exchange for cash in an equal amount. The Note became due and payable in full on April 1, 2023. We were also obligated to pay a Loan Fee of $100,000 to Mr. Nelson on April 4, 2023. We paid the Principal Amount and the Loan Fee in full on April 1, 2023 and April 4, 2023,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separate indemnification agreements with our directors and executive officers, in addition to the indemnification provided for in our Charter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our Charter and our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86</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provisions of certain additional agreements entered into pursuant to the Business Combination Agreement but does not purport to describe all of the terms thereof.</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Registration Rights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CNTQ, the Sponsor and certain other CNTQ shareholders parties thereto (collectively, the “</w:t>
      </w:r>
      <w:r>
        <w:rPr>
          <w:rFonts w:ascii="Times New Roman;Times;Serif" w:hAnsi="Times New Roman;Times;Serif"/>
          <w:b/>
          <w:i w:val="false"/>
          <w:caps w:val="false"/>
          <w:smallCaps w:val="false"/>
          <w:sz w:val="20"/>
        </w:rPr>
        <w:t>Insiders</w:t>
      </w:r>
      <w:r>
        <w:rPr>
          <w:rFonts w:ascii="Times New Roman;Times;Serif" w:hAnsi="Times New Roman;Times;Serif"/>
          <w:b w:val="false"/>
          <w:i w:val="false"/>
          <w:caps w:val="false"/>
          <w:smallCaps w:val="false"/>
          <w:sz w:val="20"/>
        </w:rPr>
        <w:t>”), Legacy Dragonfly, and certain Legacy Dragonfly stockholders entered into an Amended and Restated Registration Rights Agreement (the “</w:t>
      </w:r>
      <w:r>
        <w:rPr>
          <w:rFonts w:ascii="Times New Roman;Times;Serif" w:hAnsi="Times New Roman;Times;Serif"/>
          <w:b/>
          <w:i w:val="false"/>
          <w:caps w:val="false"/>
          <w:smallCaps w:val="false"/>
          <w:sz w:val="20"/>
        </w:rPr>
        <w:t>Amended Registration Rights Agreement</w:t>
      </w:r>
      <w:r>
        <w:rPr>
          <w:rFonts w:ascii="Times New Roman;Times;Serif" w:hAnsi="Times New Roman;Times;Serif"/>
          <w:b w:val="false"/>
          <w:i w:val="false"/>
          <w:caps w:val="false"/>
          <w:smallCaps w:val="false"/>
          <w:sz w:val="20"/>
        </w:rPr>
        <w:t>”). Pursuant to the Amended Registration Rights Agreement, the Insiders and the undersigned parties listed thereto will be provided the right to demand registrations, piggy-back registrations and shelf registrations with respect to Registrable Securities (as defined in the Amended Registration Rights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Financing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Loan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Debt Commitment Letter, in connection with the Closing, CNTQ, Legacy Dragonfly and the Initial Term Loan Lenders entered into the Term Loan Agreement setting forth the terms of the Term Loan in an aggregate principal amount of $75 million. The CNTQ Lender backstopped its commitment under the Debt Commitment Letter by entering into the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87</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the obligations of Legacy Dragonfly are guaranteed by us and will be guaranteed by any of Legacy Dragonfly’s subsidiaries that are party thereto from time to time as guarantors. In addition, we entered into the Pledge Agreement pursuant to which we pledged to the Administrative Agent our equity interests in Legacy Dragonfly as further collateral security for the obligations under the Term Loan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Agreements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we issued (i) the Penny Warrants and (ii) the $10 Warrants. The $10 Warrants were exercised on a cashless basis on October 10, 2022, in which we agreed to issue 457,142 shares of common stock in connection with such exercise. The Penny Warrants have an exercise period of 10 years from the date of issuance. The $10 Warrants have been exercised in full and are no longer outstanding.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our $150 million ChEF Equity Facility (or replacement thereof) sold at a per share price above $5.00.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issuable upon exercise of the Penny Warrants, and the shares issued upon exercise of the $10 Warrants have customary registration rights, which are contained in the respective forms of the Penny Warrants and the $10 Warrants, requiring us to file and keep effective a resale registration statement registering the resale of the shares of common stock underlying the Penny Warrants and the $10 Warrants.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88</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ChEF Equity Facility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equity facility letter agreement between Legacy Dragonfly and CCM 5, we and CCM entered into the Purchase Agreement and the ChEF RRA in connection with the Closing. In addition, we appointed LifeSci Capital, LLC as “qualified independent underwriter” with respect to the transactions contemplated by the Purchase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As of April 17, 2023, we have sold 98,500 shares under the ChEF Equity Facility for aggregate net proceeds to us of $670,593.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written Related Person Transactions Policy on October 7, 2022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related person’s interest in the transaction;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a director’s independence in the event the related person is a director, immediate family member of a director or an entity with which a director is affiliated;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other sources for comparable services or products;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available to or from, as the case may be, unrelated third parties.</w:t>
            </w:r>
          </w:p>
        </w:tc>
      </w:tr>
    </w:tbl>
    <w:p>
      <w:pPr>
        <w:pStyle w:val="TextBody"/>
        <w:ind w:left="0" w:right="0" w:hanging="36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transactions entered into since the adoption of the Policy have been approved by our audit committee.</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89</w:t>
            </w:r>
          </w:p>
        </w:tc>
      </w:tr>
    </w:tbl>
    <w:p>
      <w:pPr>
        <w:pStyle w:val="TextBody"/>
        <w:spacing w:before="120" w:after="283"/>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37" w:name="Na_005"/>
      <w:bookmarkEnd w:id="37"/>
      <w:r>
        <w:rPr>
          <w:rFonts w:ascii="Times New Roman;Times;Serif" w:hAnsi="Times New Roman;Times;Serif"/>
          <w:b/>
          <w:i w:val="false"/>
          <w:caps w:val="false"/>
          <w:smallCaps w:val="false"/>
          <w:sz w:val="20"/>
        </w:rPr>
        <w:t>DESCRIPTION OF SECURITIES</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securities is not intended to be a complete summary of the rights and preferences of such securities. You are encouraged to read the applicable provisions of the NRS, the Charter and Bylaws in their entirety for a complete description of the rights and preferences of our securities.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175,000,000 shares of capital stock authorized under our Charter, which consists of 170,000,000 shares of common stock with a par value of $0.0001 per share and 5,000,000 shares of preferred stock with par value $0.0001 per share.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17, 2023 there were 45,820,750 shares of common stock outstanding and no shares of preferred stock outstanding.</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Warrants</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the Public Warrants is subject to adjustment for stock splits or combinations, stock dividends and distributions, reclassifications, subdivisions, and other similar transactions. Pursuant to the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pStyle w:val="TextBody"/>
        <w:shd w:fill="FFFFFF" w:val="clear"/>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90</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call the Public Warrants for redemption in accordance with the terms summarized below:</w:t>
      </w:r>
    </w:p>
    <w:p>
      <w:pPr>
        <w:pStyle w:val="TextBody"/>
        <w:shd w:fill="FFFFFF" w:val="clear"/>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Public Warrant;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w:t>
            </w:r>
            <w:r>
              <w:rPr>
                <w:rFonts w:ascii="Times New Roman;Times;Serif" w:hAnsi="Times New Roman;Times;Serif"/>
                <w:b/>
                <w:i w:val="false"/>
                <w:caps w:val="false"/>
                <w:smallCaps w:val="false"/>
                <w:sz w:val="20"/>
              </w:rPr>
              <w:t>30-day redemption period</w:t>
            </w:r>
            <w:r>
              <w:rPr>
                <w:rFonts w:ascii="Times New Roman;Times;Serif" w:hAnsi="Times New Roman;Times;Serif"/>
                <w:b w:val="false"/>
                <w:i w:val="false"/>
                <w:caps w:val="false"/>
                <w:smallCaps w:val="false"/>
                <w:sz w:val="20"/>
              </w:rPr>
              <w:t>”) to each warrant holder;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sales price of our common stock equals or exceeds $16.00 per share for any ten (10) trading days within a 30-trading day period ending three business days before we send the notice of redemption;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tc>
      </w:tr>
    </w:tbl>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have certain anti-dilution and adjustment rights upon certain events.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w:t>
      </w:r>
    </w:p>
    <w:p>
      <w:pPr>
        <w:pStyle w:val="TextBody"/>
        <w:shd w:fill="FFFFFF" w:val="clear"/>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91</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shall mean the volume weighted average last reported sale price of the common stock for the 10 trading days ending on the third trading day prior to the date on which the notice of warrant exercise is sent to the warrant agent.</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Private Warrants are entitled to certain registration rights. The Private Warrants purchased by Sponsor will not be exercisable on or after August 10, 2026, in accordance with FINRA Rule 5110(g), as long as Sponsor or any of its related persons beneficially own the Private Warrants.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Penny Warrants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were issued on the Closing Date and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ChEF Facility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Transfer Agent and Warrant Agent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shares of common stock and warrant agent for our Warrants is American Stock Transfer &amp; Trust Company, LLC.</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a total of 5,000,000 shares of preferred stock, par value $0.0001 per share.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Charter,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92</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 Provisions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Charter or Bylaws, (d) any action to interpret, apply, enforce or determine the validity of the Charter or Bylaws or (e) any action asserting a claim governed by the internal affairs doctrine.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pStyle w:val="TextBody"/>
        <w:shd w:fill="FFFFFF" w:val="clear"/>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the Charter, the Bylaws and Nevada Law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are generally governed by the NRS. The following is a brief description of the provisions in our Charter, Bylaws and the NRS that could have an effect of delaying, deferring, or preventing a change in control of the Company.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NRS, our Charter,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Combinations with Interested Stockholders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93</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entitled to opt out of the business combination provisions of the NRS. In our Charter, we have not opted out of the business combination provisions of NRS 78.411 to 78.444, inclusive.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Controlling Interests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also protects the corporation and its stockholders from persons acquiring a “controlling interest” in a corporation. The provisions can be found in NRS 78.378 to 78.3793, inclusive.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94</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by Written Consent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The Charter precludes stockholder action by written consent.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Number of Directors; Vacancies; Removal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any director or directors of the corporation, except those elected by the holders of any series or class of preferred stock provided for or fixed pursuant to the provisions of Article V of the Charter,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Requirements for Stockholder Proposals and Director Nominations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for Amendment of Certificate of Incorporation and Bylaws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further provides that the affirmative vote of holders of at least 66 2∕3% of the voting power of all of the then outstanding shares of stock entitled to vote in the election of directors, voting as a single class, is required to amend or repeal certain provisions of our Charter,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under the symbol “DFLI” and our Public Warrants are currently listed on the Nasdaq Capital Market under the symbol “DFLIW”.</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95</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38" w:name="Na_006"/>
      <w:bookmarkEnd w:id="38"/>
      <w:r>
        <w:rPr>
          <w:rFonts w:ascii="Times New Roman;Times;Serif" w:hAnsi="Times New Roman;Times;Serif"/>
          <w:b/>
          <w:i w:val="false"/>
          <w:caps w:val="false"/>
          <w:smallCaps w:val="false"/>
          <w:sz w:val="20"/>
        </w:rPr>
        <w:t>SECURITY OWNERSHIP OF CERTAIN BENEFICIAL OWNERS AND MANAGEMENT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April 17, 2023, with respect to the beneficial ownership of common stock by the following: (i) each of our current directors; (ii) each of our named executive officers; (iii) all of our current executive officers and directors as a group; and (iv) each other person known by us to own beneficially more than five percent (5%) of the outstanding shares of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April 17, 2023 (“</w:t>
      </w:r>
      <w:r>
        <w:rPr>
          <w:rFonts w:ascii="Times New Roman;Times;Serif" w:hAnsi="Times New Roman;Times;Serif"/>
          <w:b/>
          <w:i w:val="false"/>
          <w:caps w:val="false"/>
          <w:smallCaps w:val="false"/>
          <w:sz w:val="20"/>
        </w:rPr>
        <w:t>Presently Exercisable Securities</w:t>
      </w:r>
      <w:r>
        <w:rPr>
          <w:rFonts w:ascii="Times New Roman;Times;Serif" w:hAnsi="Times New Roman;Times;Serif"/>
          <w:b w:val="false"/>
          <w:i w:val="false"/>
          <w:caps w:val="false"/>
          <w:smallCaps w:val="false"/>
          <w:sz w:val="20"/>
        </w:rPr>
        <w:t>”),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reflects 45,820,750 shares common stock outstanding as of April 17, 2023 plus any shares issuable upon exercise of Presently Exercisable Securities held by such person or entity.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below, the address for persons listed in the table is c/o Dragonfly Energy Holdings Corp., 1190 Trademark Drive #108, Reno, Nevada 89521.</w:t>
      </w:r>
    </w:p>
    <w:p>
      <w:pPr>
        <w:pStyle w:val="TextBody"/>
        <w:jc w:val="both"/>
        <w:rPr>
          <w:caps w:val="false"/>
          <w:smallCaps w:val="false"/>
        </w:rPr>
      </w:pPr>
      <w:r>
        <w:rPr>
          <w:caps w:val="false"/>
          <w:smallCaps w:val="false"/>
        </w:rPr>
        <w:t> </w:t>
      </w:r>
    </w:p>
    <w:tbl>
      <w:tblPr>
        <w:tblW w:w="8418" w:type="dxa"/>
        <w:jc w:val="left"/>
        <w:tblInd w:w="0" w:type="dxa"/>
        <w:tblCellMar>
          <w:top w:w="0" w:type="dxa"/>
          <w:left w:w="0" w:type="dxa"/>
          <w:bottom w:w="28" w:type="dxa"/>
          <w:right w:w="0" w:type="dxa"/>
        </w:tblCellMar>
      </w:tblPr>
      <w:tblGrid>
        <w:gridCol w:w="5885"/>
        <w:gridCol w:w="60"/>
        <w:gridCol w:w="67"/>
        <w:gridCol w:w="1242"/>
        <w:gridCol w:w="60"/>
        <w:gridCol w:w="60"/>
        <w:gridCol w:w="78"/>
        <w:gridCol w:w="736"/>
        <w:gridCol w:w="230"/>
      </w:tblGrid>
      <w:tr>
        <w:trPr/>
        <w:tc>
          <w:tcPr>
            <w:tcW w:w="5885" w:type="dxa"/>
            <w:tcBorders>
              <w:bottom w:val="single" w:sz="12" w:space="0" w:color="000000"/>
            </w:tcBorders>
            <w:shd w:fill="auto" w:val="clear"/>
            <w:vAlign w:val="center"/>
          </w:tcPr>
          <w:p>
            <w:pPr>
              <w:pStyle w:val="TableContents"/>
              <w:spacing w:before="0" w:after="283"/>
              <w:jc w:val="both"/>
              <w:rPr>
                <w:b/>
              </w:rPr>
            </w:pPr>
            <w:r>
              <w:rPr>
                <w:b/>
              </w:rPr>
              <w:t>Name and Address of Beneficial Owner</w:t>
            </w:r>
          </w:p>
        </w:tc>
        <w:tc>
          <w:tcPr>
            <w:tcW w:w="60" w:type="dxa"/>
            <w:tcBorders/>
            <w:shd w:fill="auto" w:val="clear"/>
            <w:tcMar>
              <w:bottom w:w="0" w:type="dxa"/>
            </w:tcMar>
            <w:vAlign w:val="center"/>
          </w:tcPr>
          <w:p>
            <w:pPr>
              <w:pStyle w:val="TableContents"/>
              <w:spacing w:before="0" w:after="283"/>
              <w:rPr/>
            </w:pPr>
            <w:r>
              <w:rPr/>
              <w:t> </w:t>
            </w:r>
          </w:p>
        </w:tc>
        <w:tc>
          <w:tcPr>
            <w:tcW w:w="1309" w:type="dxa"/>
            <w:gridSpan w:val="2"/>
            <w:tcBorders>
              <w:bottom w:val="single" w:sz="12" w:space="0" w:color="000000"/>
            </w:tcBorders>
            <w:shd w:fill="auto" w:val="clear"/>
            <w:vAlign w:val="center"/>
          </w:tcPr>
          <w:p>
            <w:pPr>
              <w:pStyle w:val="TableContents"/>
              <w:spacing w:before="0" w:after="283"/>
              <w:jc w:val="center"/>
              <w:rPr>
                <w:b/>
              </w:rPr>
            </w:pPr>
            <w:r>
              <w:rPr>
                <w:b/>
              </w:rPr>
              <w:t>Amount and</w:t>
              <w:br/>
              <w:t>Nature of</w:t>
              <w:br/>
              <w:t>Beneficial</w:t>
              <w:br/>
              <w:t>Ownership</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14" w:type="dxa"/>
            <w:gridSpan w:val="2"/>
            <w:tcBorders>
              <w:bottom w:val="single" w:sz="12" w:space="0" w:color="000000"/>
            </w:tcBorders>
            <w:shd w:fill="auto" w:val="clear"/>
            <w:vAlign w:val="center"/>
          </w:tcPr>
          <w:p>
            <w:pPr>
              <w:pStyle w:val="TableContents"/>
              <w:spacing w:before="0" w:after="283"/>
              <w:jc w:val="center"/>
              <w:rPr>
                <w:b/>
              </w:rPr>
            </w:pPr>
            <w:r>
              <w:rPr>
                <w:b/>
              </w:rPr>
              <w:t>Percent</w:t>
              <w:br/>
              <w:t>of Class</w:t>
            </w:r>
          </w:p>
        </w:tc>
        <w:tc>
          <w:tcPr>
            <w:tcW w:w="230" w:type="dxa"/>
            <w:tcBorders/>
            <w:shd w:fill="auto" w:val="clear"/>
            <w:tcMar>
              <w:bottom w:w="0" w:type="dxa"/>
            </w:tcMar>
            <w:vAlign w:val="center"/>
          </w:tcPr>
          <w:p>
            <w:pPr>
              <w:pStyle w:val="TableContents"/>
              <w:spacing w:before="0" w:after="283"/>
              <w:rPr/>
            </w:pPr>
            <w:r>
              <w:rPr/>
              <w:t> </w:t>
            </w:r>
          </w:p>
        </w:tc>
      </w:tr>
      <w:tr>
        <w:trPr/>
        <w:tc>
          <w:tcPr>
            <w:tcW w:w="5885" w:type="dxa"/>
            <w:tcBorders/>
            <w:shd w:fill="CCEEFF" w:val="clear"/>
            <w:tcMar>
              <w:bottom w:w="0" w:type="dxa"/>
            </w:tcMar>
            <w:vAlign w:val="center"/>
          </w:tcPr>
          <w:p>
            <w:pPr>
              <w:pStyle w:val="TableContents"/>
              <w:spacing w:before="0" w:after="283"/>
              <w:jc w:val="both"/>
              <w:rPr>
                <w:b/>
                <w:i/>
              </w:rPr>
            </w:pPr>
            <w:r>
              <w:rPr>
                <w:b/>
                <w:i/>
              </w:rPr>
              <w:t>5% Holders:</w:t>
            </w:r>
          </w:p>
        </w:tc>
        <w:tc>
          <w:tcPr>
            <w:tcW w:w="60" w:type="dxa"/>
            <w:tcBorders/>
            <w:shd w:fill="CCEEFF" w:val="clear"/>
            <w:tcMar>
              <w:bottom w:w="0" w:type="dxa"/>
            </w:tcMar>
            <w:vAlign w:val="center"/>
          </w:tcPr>
          <w:p>
            <w:pPr>
              <w:pStyle w:val="TableContents"/>
              <w:spacing w:before="0" w:after="283"/>
              <w:rPr/>
            </w:pPr>
            <w:r>
              <w:rPr/>
              <w:t> </w:t>
            </w:r>
          </w:p>
        </w:tc>
        <w:tc>
          <w:tcPr>
            <w:tcW w:w="67" w:type="dxa"/>
            <w:tcBorders/>
            <w:shd w:fill="CCEEFF" w:val="clear"/>
            <w:tcMar>
              <w:bottom w:w="0" w:type="dxa"/>
            </w:tcMar>
            <w:vAlign w:val="center"/>
          </w:tcPr>
          <w:p>
            <w:pPr>
              <w:pStyle w:val="TableContents"/>
              <w:spacing w:before="0" w:after="283"/>
              <w:jc w:val="left"/>
              <w:rPr/>
            </w:pPr>
            <w:r>
              <w:rPr/>
              <w:t> </w:t>
            </w:r>
          </w:p>
        </w:tc>
        <w:tc>
          <w:tcPr>
            <w:tcW w:w="1242"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8" w:type="dxa"/>
            <w:tcBorders/>
            <w:shd w:fill="CCEEFF" w:val="clear"/>
            <w:tcMar>
              <w:bottom w:w="0" w:type="dxa"/>
            </w:tcMar>
            <w:vAlign w:val="center"/>
          </w:tcPr>
          <w:p>
            <w:pPr>
              <w:pStyle w:val="TableContents"/>
              <w:spacing w:before="0" w:after="283"/>
              <w:jc w:val="left"/>
              <w:rPr/>
            </w:pPr>
            <w:r>
              <w:rPr/>
              <w:t> </w:t>
            </w:r>
          </w:p>
        </w:tc>
        <w:tc>
          <w:tcPr>
            <w:tcW w:w="736" w:type="dxa"/>
            <w:tcBorders/>
            <w:shd w:fill="CCEEFF" w:val="clear"/>
            <w:tcMar>
              <w:bottom w:w="0" w:type="dxa"/>
            </w:tcMar>
            <w:vAlign w:val="center"/>
          </w:tcPr>
          <w:p>
            <w:pPr>
              <w:pStyle w:val="TableContents"/>
              <w:spacing w:before="0" w:after="283"/>
              <w:jc w:val="right"/>
              <w:rPr/>
            </w:pPr>
            <w:r>
              <w:rPr/>
              <w:t> </w:t>
            </w:r>
          </w:p>
        </w:tc>
        <w:tc>
          <w:tcPr>
            <w:tcW w:w="230" w:type="dxa"/>
            <w:tcBorders/>
            <w:shd w:fill="CCEEFF" w:val="clear"/>
            <w:tcMar>
              <w:bottom w:w="0" w:type="dxa"/>
            </w:tcMar>
            <w:vAlign w:val="center"/>
          </w:tcPr>
          <w:p>
            <w:pPr>
              <w:pStyle w:val="TableContents"/>
              <w:spacing w:before="0" w:after="283"/>
              <w:jc w:val="left"/>
              <w:rPr/>
            </w:pPr>
            <w:r>
              <w:rPr/>
              <w:t> </w:t>
            </w:r>
          </w:p>
        </w:tc>
      </w:tr>
      <w:tr>
        <w:trPr/>
        <w:tc>
          <w:tcPr>
            <w:tcW w:w="5885" w:type="dxa"/>
            <w:tcBorders/>
            <w:shd w:fill="FFFF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Dynavolt Technology (HK)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spacing w:before="0" w:after="283"/>
              <w:rPr/>
            </w:pPr>
            <w:r>
              <w:rPr/>
              <w:t> </w:t>
            </w:r>
          </w:p>
        </w:tc>
        <w:tc>
          <w:tcPr>
            <w:tcW w:w="67" w:type="dxa"/>
            <w:tcBorders/>
            <w:shd w:fill="FFFFFF" w:val="clear"/>
            <w:tcMar>
              <w:bottom w:w="0" w:type="dxa"/>
            </w:tcMar>
            <w:vAlign w:val="center"/>
          </w:tcPr>
          <w:p>
            <w:pPr>
              <w:pStyle w:val="TableContents"/>
              <w:spacing w:before="0" w:after="283"/>
              <w:jc w:val="left"/>
              <w:rPr/>
            </w:pPr>
            <w:r>
              <w:rPr/>
              <w:t> </w:t>
            </w:r>
          </w:p>
        </w:tc>
        <w:tc>
          <w:tcPr>
            <w:tcW w:w="1242" w:type="dxa"/>
            <w:tcBorders/>
            <w:shd w:fill="FFFFFF" w:val="clear"/>
            <w:tcMar>
              <w:bottom w:w="0" w:type="dxa"/>
            </w:tcMar>
            <w:vAlign w:val="center"/>
          </w:tcPr>
          <w:p>
            <w:pPr>
              <w:pStyle w:val="TableContents"/>
              <w:spacing w:before="0" w:after="283"/>
              <w:jc w:val="right"/>
              <w:rPr/>
            </w:pPr>
            <w:r>
              <w:rPr/>
              <w:t>11,820,900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8" w:type="dxa"/>
            <w:tcBorders/>
            <w:shd w:fill="FFFFFF" w:val="clear"/>
            <w:tcMar>
              <w:bottom w:w="0" w:type="dxa"/>
            </w:tcMar>
            <w:vAlign w:val="center"/>
          </w:tcPr>
          <w:p>
            <w:pPr>
              <w:pStyle w:val="TableContents"/>
              <w:spacing w:before="0" w:after="283"/>
              <w:jc w:val="left"/>
              <w:rPr/>
            </w:pPr>
            <w:r>
              <w:rPr/>
              <w:t> </w:t>
            </w:r>
          </w:p>
        </w:tc>
        <w:tc>
          <w:tcPr>
            <w:tcW w:w="736" w:type="dxa"/>
            <w:tcBorders/>
            <w:shd w:fill="FFFFFF" w:val="clear"/>
            <w:tcMar>
              <w:bottom w:w="0" w:type="dxa"/>
            </w:tcMar>
            <w:vAlign w:val="center"/>
          </w:tcPr>
          <w:p>
            <w:pPr>
              <w:pStyle w:val="TableContents"/>
              <w:spacing w:before="0" w:after="283"/>
              <w:jc w:val="right"/>
              <w:rPr/>
            </w:pPr>
            <w:r>
              <w:rPr/>
              <w:t>25.80</w:t>
            </w:r>
          </w:p>
        </w:tc>
        <w:tc>
          <w:tcPr>
            <w:tcW w:w="230" w:type="dxa"/>
            <w:tcBorders/>
            <w:shd w:fill="FFFFFF" w:val="clear"/>
            <w:tcMar>
              <w:bottom w:w="0" w:type="dxa"/>
            </w:tcMar>
            <w:vAlign w:val="center"/>
          </w:tcPr>
          <w:p>
            <w:pPr>
              <w:pStyle w:val="TableContents"/>
              <w:spacing w:before="0" w:after="283"/>
              <w:jc w:val="left"/>
              <w:rPr/>
            </w:pPr>
            <w:r>
              <w:rPr/>
              <w:t>%</w:t>
            </w:r>
          </w:p>
        </w:tc>
      </w:tr>
      <w:tr>
        <w:trPr/>
        <w:tc>
          <w:tcPr>
            <w:tcW w:w="5885" w:type="dxa"/>
            <w:tcBorders/>
            <w:shd w:fill="CCEE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Chardan NexTech Investments 2 LLC</w:t>
            </w:r>
            <w:r>
              <w:rPr>
                <w:rFonts w:ascii="Times New Roman;Times;Serif" w:hAnsi="Times New Roman;Times;Serif"/>
                <w:position w:val="7"/>
                <w:sz w:val="16"/>
                <w:sz w:val="20"/>
              </w:rPr>
              <w:t>(2)(3)</w:t>
            </w:r>
          </w:p>
        </w:tc>
        <w:tc>
          <w:tcPr>
            <w:tcW w:w="60" w:type="dxa"/>
            <w:tcBorders/>
            <w:shd w:fill="CCEEFF" w:val="clear"/>
            <w:tcMar>
              <w:bottom w:w="0" w:type="dxa"/>
            </w:tcMar>
            <w:vAlign w:val="center"/>
          </w:tcPr>
          <w:p>
            <w:pPr>
              <w:pStyle w:val="TableContents"/>
              <w:spacing w:before="0" w:after="283"/>
              <w:rPr/>
            </w:pPr>
            <w:r>
              <w:rPr/>
              <w:t> </w:t>
            </w:r>
          </w:p>
        </w:tc>
        <w:tc>
          <w:tcPr>
            <w:tcW w:w="67" w:type="dxa"/>
            <w:tcBorders/>
            <w:shd w:fill="CCEEFF" w:val="clear"/>
            <w:tcMar>
              <w:bottom w:w="0" w:type="dxa"/>
            </w:tcMar>
            <w:vAlign w:val="center"/>
          </w:tcPr>
          <w:p>
            <w:pPr>
              <w:pStyle w:val="TableContents"/>
              <w:spacing w:before="0" w:after="283"/>
              <w:jc w:val="left"/>
              <w:rPr/>
            </w:pPr>
            <w:r>
              <w:rPr/>
              <w:t> </w:t>
            </w:r>
          </w:p>
        </w:tc>
        <w:tc>
          <w:tcPr>
            <w:tcW w:w="1242" w:type="dxa"/>
            <w:tcBorders/>
            <w:shd w:fill="CCEEFF" w:val="clear"/>
            <w:tcMar>
              <w:bottom w:w="0" w:type="dxa"/>
            </w:tcMar>
            <w:vAlign w:val="center"/>
          </w:tcPr>
          <w:p>
            <w:pPr>
              <w:pStyle w:val="TableContents"/>
              <w:spacing w:before="0" w:after="283"/>
              <w:jc w:val="right"/>
              <w:rPr/>
            </w:pPr>
            <w:r>
              <w:rPr/>
              <w:t>3,030,500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8" w:type="dxa"/>
            <w:tcBorders/>
            <w:shd w:fill="CCEEFF" w:val="clear"/>
            <w:tcMar>
              <w:bottom w:w="0" w:type="dxa"/>
            </w:tcMar>
            <w:vAlign w:val="center"/>
          </w:tcPr>
          <w:p>
            <w:pPr>
              <w:pStyle w:val="TableContents"/>
              <w:spacing w:before="0" w:after="283"/>
              <w:jc w:val="left"/>
              <w:rPr/>
            </w:pPr>
            <w:r>
              <w:rPr/>
              <w:t> </w:t>
            </w:r>
          </w:p>
        </w:tc>
        <w:tc>
          <w:tcPr>
            <w:tcW w:w="736" w:type="dxa"/>
            <w:tcBorders/>
            <w:shd w:fill="CCEEFF" w:val="clear"/>
            <w:tcMar>
              <w:bottom w:w="0" w:type="dxa"/>
            </w:tcMar>
            <w:vAlign w:val="center"/>
          </w:tcPr>
          <w:p>
            <w:pPr>
              <w:pStyle w:val="TableContents"/>
              <w:spacing w:before="0" w:after="283"/>
              <w:jc w:val="right"/>
              <w:rPr/>
            </w:pPr>
            <w:r>
              <w:rPr/>
              <w:t>6.61</w:t>
            </w:r>
          </w:p>
        </w:tc>
        <w:tc>
          <w:tcPr>
            <w:tcW w:w="230" w:type="dxa"/>
            <w:tcBorders/>
            <w:shd w:fill="CCEEFF" w:val="clear"/>
            <w:tcMar>
              <w:bottom w:w="0" w:type="dxa"/>
            </w:tcMar>
            <w:vAlign w:val="center"/>
          </w:tcPr>
          <w:p>
            <w:pPr>
              <w:pStyle w:val="TableContents"/>
              <w:spacing w:before="0" w:after="283"/>
              <w:jc w:val="left"/>
              <w:rPr/>
            </w:pPr>
            <w:r>
              <w:rPr/>
              <w:t>%</w:t>
            </w:r>
          </w:p>
        </w:tc>
      </w:tr>
      <w:tr>
        <w:trPr/>
        <w:tc>
          <w:tcPr>
            <w:tcW w:w="5885" w:type="dxa"/>
            <w:tcBorders/>
            <w:shd w:fill="FFFFFF" w:val="clear"/>
            <w:tcMar>
              <w:bottom w:w="0" w:type="dxa"/>
            </w:tcMar>
            <w:vAlign w:val="center"/>
          </w:tcPr>
          <w:p>
            <w:pPr>
              <w:pStyle w:val="TableContents"/>
              <w:spacing w:before="0" w:after="283"/>
              <w:jc w:val="both"/>
              <w:rPr/>
            </w:pPr>
            <w:r>
              <w:rPr/>
              <w:t>Jonas Grossman</w:t>
            </w:r>
            <w:r>
              <w:rPr>
                <w:position w:val="8"/>
                <w:sz w:val="19"/>
              </w:rPr>
              <w:t>(2)(3)(4)</w:t>
            </w:r>
          </w:p>
        </w:tc>
        <w:tc>
          <w:tcPr>
            <w:tcW w:w="60" w:type="dxa"/>
            <w:tcBorders/>
            <w:shd w:fill="FFFFFF" w:val="clear"/>
            <w:tcMar>
              <w:bottom w:w="0" w:type="dxa"/>
            </w:tcMar>
            <w:vAlign w:val="center"/>
          </w:tcPr>
          <w:p>
            <w:pPr>
              <w:pStyle w:val="TableContents"/>
              <w:spacing w:before="0" w:after="283"/>
              <w:rPr/>
            </w:pPr>
            <w:r>
              <w:rPr/>
              <w:t> </w:t>
            </w:r>
          </w:p>
        </w:tc>
        <w:tc>
          <w:tcPr>
            <w:tcW w:w="67" w:type="dxa"/>
            <w:tcBorders/>
            <w:shd w:fill="FFFFFF" w:val="clear"/>
            <w:tcMar>
              <w:bottom w:w="0" w:type="dxa"/>
            </w:tcMar>
            <w:vAlign w:val="center"/>
          </w:tcPr>
          <w:p>
            <w:pPr>
              <w:pStyle w:val="TableContents"/>
              <w:spacing w:before="0" w:after="283"/>
              <w:jc w:val="left"/>
              <w:rPr/>
            </w:pPr>
            <w:r>
              <w:rPr/>
              <w:t> </w:t>
            </w:r>
          </w:p>
        </w:tc>
        <w:tc>
          <w:tcPr>
            <w:tcW w:w="1242" w:type="dxa"/>
            <w:tcBorders/>
            <w:shd w:fill="FFFFFF" w:val="clear"/>
            <w:tcMar>
              <w:bottom w:w="0" w:type="dxa"/>
            </w:tcMar>
            <w:vAlign w:val="center"/>
          </w:tcPr>
          <w:p>
            <w:pPr>
              <w:pStyle w:val="TableContents"/>
              <w:spacing w:before="0" w:after="283"/>
              <w:jc w:val="right"/>
              <w:rPr/>
            </w:pPr>
            <w:r>
              <w:rPr/>
              <w:t>3,469,500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8" w:type="dxa"/>
            <w:tcBorders/>
            <w:shd w:fill="FFFFFF" w:val="clear"/>
            <w:tcMar>
              <w:bottom w:w="0" w:type="dxa"/>
            </w:tcMar>
            <w:vAlign w:val="center"/>
          </w:tcPr>
          <w:p>
            <w:pPr>
              <w:pStyle w:val="TableContents"/>
              <w:spacing w:before="0" w:after="283"/>
              <w:jc w:val="left"/>
              <w:rPr/>
            </w:pPr>
            <w:r>
              <w:rPr/>
              <w:t> </w:t>
            </w:r>
          </w:p>
        </w:tc>
        <w:tc>
          <w:tcPr>
            <w:tcW w:w="736" w:type="dxa"/>
            <w:tcBorders/>
            <w:shd w:fill="FFFFFF" w:val="clear"/>
            <w:tcMar>
              <w:bottom w:w="0" w:type="dxa"/>
            </w:tcMar>
            <w:vAlign w:val="center"/>
          </w:tcPr>
          <w:p>
            <w:pPr>
              <w:pStyle w:val="TableContents"/>
              <w:spacing w:before="0" w:after="283"/>
              <w:jc w:val="right"/>
              <w:rPr/>
            </w:pPr>
            <w:r>
              <w:rPr/>
              <w:t>7.50</w:t>
            </w:r>
          </w:p>
        </w:tc>
        <w:tc>
          <w:tcPr>
            <w:tcW w:w="230" w:type="dxa"/>
            <w:tcBorders/>
            <w:shd w:fill="FFFFFF" w:val="clear"/>
            <w:tcMar>
              <w:bottom w:w="0" w:type="dxa"/>
            </w:tcMar>
            <w:vAlign w:val="center"/>
          </w:tcPr>
          <w:p>
            <w:pPr>
              <w:pStyle w:val="TableContents"/>
              <w:spacing w:before="0" w:after="283"/>
              <w:jc w:val="left"/>
              <w:rPr/>
            </w:pPr>
            <w:r>
              <w:rPr/>
              <w:t>%</w:t>
            </w:r>
          </w:p>
        </w:tc>
      </w:tr>
      <w:tr>
        <w:trPr/>
        <w:tc>
          <w:tcPr>
            <w:tcW w:w="5885" w:type="dxa"/>
            <w:tcBorders/>
            <w:shd w:fill="CCEE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Li Gong</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spacing w:before="0" w:after="283"/>
              <w:rPr/>
            </w:pPr>
            <w:r>
              <w:rPr/>
              <w:t> </w:t>
            </w:r>
          </w:p>
        </w:tc>
        <w:tc>
          <w:tcPr>
            <w:tcW w:w="67" w:type="dxa"/>
            <w:tcBorders/>
            <w:shd w:fill="CCEEFF" w:val="clear"/>
            <w:tcMar>
              <w:bottom w:w="0" w:type="dxa"/>
            </w:tcMar>
            <w:vAlign w:val="center"/>
          </w:tcPr>
          <w:p>
            <w:pPr>
              <w:pStyle w:val="TableContents"/>
              <w:spacing w:before="0" w:after="283"/>
              <w:jc w:val="left"/>
              <w:rPr/>
            </w:pPr>
            <w:r>
              <w:rPr/>
              <w:t> </w:t>
            </w:r>
          </w:p>
        </w:tc>
        <w:tc>
          <w:tcPr>
            <w:tcW w:w="1242" w:type="dxa"/>
            <w:tcBorders/>
            <w:shd w:fill="CCEEFF" w:val="clear"/>
            <w:tcMar>
              <w:bottom w:w="0" w:type="dxa"/>
            </w:tcMar>
            <w:vAlign w:val="center"/>
          </w:tcPr>
          <w:p>
            <w:pPr>
              <w:pStyle w:val="TableContents"/>
              <w:spacing w:before="0" w:after="283"/>
              <w:jc w:val="right"/>
              <w:rPr/>
            </w:pPr>
            <w:r>
              <w:rPr/>
              <w:t>3,073,434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8" w:type="dxa"/>
            <w:tcBorders/>
            <w:shd w:fill="CCEEFF" w:val="clear"/>
            <w:tcMar>
              <w:bottom w:w="0" w:type="dxa"/>
            </w:tcMar>
            <w:vAlign w:val="center"/>
          </w:tcPr>
          <w:p>
            <w:pPr>
              <w:pStyle w:val="TableContents"/>
              <w:spacing w:before="0" w:after="283"/>
              <w:jc w:val="left"/>
              <w:rPr/>
            </w:pPr>
            <w:r>
              <w:rPr/>
              <w:t> </w:t>
            </w:r>
          </w:p>
        </w:tc>
        <w:tc>
          <w:tcPr>
            <w:tcW w:w="736" w:type="dxa"/>
            <w:tcBorders/>
            <w:shd w:fill="CCEEFF" w:val="clear"/>
            <w:tcMar>
              <w:bottom w:w="0" w:type="dxa"/>
            </w:tcMar>
            <w:vAlign w:val="center"/>
          </w:tcPr>
          <w:p>
            <w:pPr>
              <w:pStyle w:val="TableContents"/>
              <w:spacing w:before="0" w:after="283"/>
              <w:jc w:val="right"/>
              <w:rPr/>
            </w:pPr>
            <w:r>
              <w:rPr/>
              <w:t>6.60</w:t>
            </w:r>
          </w:p>
        </w:tc>
        <w:tc>
          <w:tcPr>
            <w:tcW w:w="230" w:type="dxa"/>
            <w:tcBorders/>
            <w:shd w:fill="CCEEFF" w:val="clear"/>
            <w:tcMar>
              <w:bottom w:w="0" w:type="dxa"/>
            </w:tcMar>
            <w:vAlign w:val="center"/>
          </w:tcPr>
          <w:p>
            <w:pPr>
              <w:pStyle w:val="TableContents"/>
              <w:spacing w:before="0" w:after="283"/>
              <w:jc w:val="left"/>
              <w:rPr/>
            </w:pPr>
            <w:r>
              <w:rPr/>
              <w:t>%</w:t>
            </w:r>
          </w:p>
        </w:tc>
      </w:tr>
      <w:tr>
        <w:trPr/>
        <w:tc>
          <w:tcPr>
            <w:tcW w:w="5885" w:type="dxa"/>
            <w:tcBorders/>
            <w:shd w:fill="FFFFFF" w:val="clear"/>
            <w:tcMar>
              <w:bottom w:w="0" w:type="dxa"/>
            </w:tcMar>
            <w:vAlign w:val="center"/>
          </w:tcPr>
          <w:p>
            <w:pPr>
              <w:pStyle w:val="TableContents"/>
              <w:spacing w:before="0" w:after="283"/>
              <w:jc w:val="both"/>
              <w:rPr/>
            </w:pPr>
            <w:r>
              <w:rPr/>
              <w:t> </w:t>
            </w:r>
          </w:p>
        </w:tc>
        <w:tc>
          <w:tcPr>
            <w:tcW w:w="60" w:type="dxa"/>
            <w:tcBorders/>
            <w:shd w:fill="FFFFFF" w:val="clear"/>
            <w:tcMar>
              <w:bottom w:w="0" w:type="dxa"/>
            </w:tcMar>
            <w:vAlign w:val="center"/>
          </w:tcPr>
          <w:p>
            <w:pPr>
              <w:pStyle w:val="TableContents"/>
              <w:spacing w:before="0" w:after="283"/>
              <w:rPr/>
            </w:pPr>
            <w:r>
              <w:rPr/>
              <w:t> </w:t>
            </w:r>
          </w:p>
        </w:tc>
        <w:tc>
          <w:tcPr>
            <w:tcW w:w="67" w:type="dxa"/>
            <w:tcBorders/>
            <w:shd w:fill="FFFFFF" w:val="clear"/>
            <w:tcMar>
              <w:bottom w:w="0" w:type="dxa"/>
            </w:tcMar>
            <w:vAlign w:val="center"/>
          </w:tcPr>
          <w:p>
            <w:pPr>
              <w:pStyle w:val="TableContents"/>
              <w:spacing w:before="0" w:after="283"/>
              <w:jc w:val="left"/>
              <w:rPr/>
            </w:pPr>
            <w:r>
              <w:rPr/>
              <w:t> </w:t>
            </w:r>
          </w:p>
        </w:tc>
        <w:tc>
          <w:tcPr>
            <w:tcW w:w="124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8" w:type="dxa"/>
            <w:tcBorders/>
            <w:shd w:fill="FFFFFF" w:val="clear"/>
            <w:tcMar>
              <w:bottom w:w="0" w:type="dxa"/>
            </w:tcMar>
            <w:vAlign w:val="center"/>
          </w:tcPr>
          <w:p>
            <w:pPr>
              <w:pStyle w:val="TableContents"/>
              <w:spacing w:before="0" w:after="283"/>
              <w:jc w:val="left"/>
              <w:rPr/>
            </w:pPr>
            <w:r>
              <w:rPr/>
              <w:t> </w:t>
            </w:r>
          </w:p>
        </w:tc>
        <w:tc>
          <w:tcPr>
            <w:tcW w:w="736" w:type="dxa"/>
            <w:tcBorders/>
            <w:shd w:fill="FFFFFF" w:val="clear"/>
            <w:tcMar>
              <w:bottom w:w="0" w:type="dxa"/>
            </w:tcMar>
            <w:vAlign w:val="center"/>
          </w:tcPr>
          <w:p>
            <w:pPr>
              <w:pStyle w:val="TableContents"/>
              <w:spacing w:before="0" w:after="283"/>
              <w:jc w:val="right"/>
              <w:rPr/>
            </w:pPr>
            <w:r>
              <w:rPr/>
              <w:t> </w:t>
            </w:r>
          </w:p>
        </w:tc>
        <w:tc>
          <w:tcPr>
            <w:tcW w:w="230" w:type="dxa"/>
            <w:tcBorders/>
            <w:shd w:fill="FFFFFF" w:val="clear"/>
            <w:tcMar>
              <w:bottom w:w="0" w:type="dxa"/>
            </w:tcMar>
            <w:vAlign w:val="center"/>
          </w:tcPr>
          <w:p>
            <w:pPr>
              <w:pStyle w:val="TableContents"/>
              <w:spacing w:before="0" w:after="283"/>
              <w:jc w:val="left"/>
              <w:rPr/>
            </w:pPr>
            <w:r>
              <w:rPr/>
              <w:t> </w:t>
            </w:r>
          </w:p>
        </w:tc>
      </w:tr>
      <w:tr>
        <w:trPr/>
        <w:tc>
          <w:tcPr>
            <w:tcW w:w="5885" w:type="dxa"/>
            <w:tcBorders/>
            <w:shd w:fill="CCEEFF" w:val="clear"/>
            <w:tcMar>
              <w:bottom w:w="0" w:type="dxa"/>
            </w:tcMar>
            <w:vAlign w:val="center"/>
          </w:tcPr>
          <w:p>
            <w:pPr>
              <w:pStyle w:val="TableContents"/>
              <w:spacing w:before="0" w:after="283"/>
              <w:jc w:val="both"/>
              <w:rPr>
                <w:b/>
                <w:i/>
              </w:rPr>
            </w:pPr>
            <w:r>
              <w:rPr>
                <w:b/>
                <w:i/>
              </w:rPr>
              <w:t>Named Executive Officers and Directors:</w:t>
            </w:r>
          </w:p>
        </w:tc>
        <w:tc>
          <w:tcPr>
            <w:tcW w:w="60" w:type="dxa"/>
            <w:tcBorders/>
            <w:shd w:fill="CCEEFF" w:val="clear"/>
            <w:tcMar>
              <w:bottom w:w="0" w:type="dxa"/>
            </w:tcMar>
            <w:vAlign w:val="center"/>
          </w:tcPr>
          <w:p>
            <w:pPr>
              <w:pStyle w:val="TableContents"/>
              <w:spacing w:before="0" w:after="283"/>
              <w:rPr/>
            </w:pPr>
            <w:r>
              <w:rPr/>
              <w:t> </w:t>
            </w:r>
          </w:p>
        </w:tc>
        <w:tc>
          <w:tcPr>
            <w:tcW w:w="67" w:type="dxa"/>
            <w:tcBorders/>
            <w:shd w:fill="CCEEFF" w:val="clear"/>
            <w:tcMar>
              <w:bottom w:w="0" w:type="dxa"/>
            </w:tcMar>
            <w:vAlign w:val="center"/>
          </w:tcPr>
          <w:p>
            <w:pPr>
              <w:pStyle w:val="TableContents"/>
              <w:spacing w:before="0" w:after="283"/>
              <w:jc w:val="left"/>
              <w:rPr/>
            </w:pPr>
            <w:r>
              <w:rPr/>
              <w:t> </w:t>
            </w:r>
          </w:p>
        </w:tc>
        <w:tc>
          <w:tcPr>
            <w:tcW w:w="1242"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8" w:type="dxa"/>
            <w:tcBorders/>
            <w:shd w:fill="CCEEFF" w:val="clear"/>
            <w:tcMar>
              <w:bottom w:w="0" w:type="dxa"/>
            </w:tcMar>
            <w:vAlign w:val="center"/>
          </w:tcPr>
          <w:p>
            <w:pPr>
              <w:pStyle w:val="TableContents"/>
              <w:spacing w:before="0" w:after="283"/>
              <w:jc w:val="left"/>
              <w:rPr/>
            </w:pPr>
            <w:r>
              <w:rPr/>
              <w:t> </w:t>
            </w:r>
          </w:p>
        </w:tc>
        <w:tc>
          <w:tcPr>
            <w:tcW w:w="736" w:type="dxa"/>
            <w:tcBorders/>
            <w:shd w:fill="CCEEFF" w:val="clear"/>
            <w:tcMar>
              <w:bottom w:w="0" w:type="dxa"/>
            </w:tcMar>
            <w:vAlign w:val="center"/>
          </w:tcPr>
          <w:p>
            <w:pPr>
              <w:pStyle w:val="TableContents"/>
              <w:spacing w:before="0" w:after="283"/>
              <w:jc w:val="right"/>
              <w:rPr/>
            </w:pPr>
            <w:r>
              <w:rPr/>
              <w:t> </w:t>
            </w:r>
          </w:p>
        </w:tc>
        <w:tc>
          <w:tcPr>
            <w:tcW w:w="230" w:type="dxa"/>
            <w:tcBorders/>
            <w:shd w:fill="CCEEFF" w:val="clear"/>
            <w:tcMar>
              <w:bottom w:w="0" w:type="dxa"/>
            </w:tcMar>
            <w:vAlign w:val="center"/>
          </w:tcPr>
          <w:p>
            <w:pPr>
              <w:pStyle w:val="TableContents"/>
              <w:spacing w:before="0" w:after="283"/>
              <w:jc w:val="left"/>
              <w:rPr/>
            </w:pPr>
            <w:r>
              <w:rPr/>
              <w:t> </w:t>
            </w:r>
          </w:p>
        </w:tc>
      </w:tr>
      <w:tr>
        <w:trPr/>
        <w:tc>
          <w:tcPr>
            <w:tcW w:w="5885" w:type="dxa"/>
            <w:tcBorders/>
            <w:shd w:fill="FFFF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Dr. Denis Phares</w:t>
            </w:r>
            <w:r>
              <w:rPr>
                <w:rFonts w:ascii="Times New Roman;Times;Serif" w:hAnsi="Times New Roman;Times;Serif"/>
                <w:position w:val="7"/>
                <w:sz w:val="16"/>
                <w:sz w:val="20"/>
              </w:rPr>
              <w:t>(6)(7)</w:t>
            </w:r>
          </w:p>
        </w:tc>
        <w:tc>
          <w:tcPr>
            <w:tcW w:w="60" w:type="dxa"/>
            <w:tcBorders/>
            <w:shd w:fill="FFFFFF" w:val="clear"/>
            <w:tcMar>
              <w:bottom w:w="0" w:type="dxa"/>
            </w:tcMar>
            <w:vAlign w:val="center"/>
          </w:tcPr>
          <w:p>
            <w:pPr>
              <w:pStyle w:val="TableContents"/>
              <w:spacing w:before="0" w:after="283"/>
              <w:rPr/>
            </w:pPr>
            <w:r>
              <w:rPr/>
              <w:t> </w:t>
            </w:r>
          </w:p>
        </w:tc>
        <w:tc>
          <w:tcPr>
            <w:tcW w:w="67" w:type="dxa"/>
            <w:tcBorders/>
            <w:shd w:fill="FFFFFF" w:val="clear"/>
            <w:tcMar>
              <w:bottom w:w="0" w:type="dxa"/>
            </w:tcMar>
            <w:vAlign w:val="center"/>
          </w:tcPr>
          <w:p>
            <w:pPr>
              <w:pStyle w:val="TableContents"/>
              <w:spacing w:before="0" w:after="283"/>
              <w:jc w:val="left"/>
              <w:rPr/>
            </w:pPr>
            <w:r>
              <w:rPr/>
              <w:t> </w:t>
            </w:r>
          </w:p>
        </w:tc>
        <w:tc>
          <w:tcPr>
            <w:tcW w:w="1242" w:type="dxa"/>
            <w:tcBorders/>
            <w:shd w:fill="FFFFFF" w:val="clear"/>
            <w:tcMar>
              <w:bottom w:w="0" w:type="dxa"/>
            </w:tcMar>
            <w:vAlign w:val="center"/>
          </w:tcPr>
          <w:p>
            <w:pPr>
              <w:pStyle w:val="TableContents"/>
              <w:spacing w:before="0" w:after="283"/>
              <w:jc w:val="right"/>
              <w:rPr/>
            </w:pPr>
            <w:r>
              <w:rPr/>
              <w:t>16,251,136</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8" w:type="dxa"/>
            <w:tcBorders/>
            <w:shd w:fill="FFFFFF" w:val="clear"/>
            <w:tcMar>
              <w:bottom w:w="0" w:type="dxa"/>
            </w:tcMar>
            <w:vAlign w:val="center"/>
          </w:tcPr>
          <w:p>
            <w:pPr>
              <w:pStyle w:val="TableContents"/>
              <w:spacing w:before="0" w:after="283"/>
              <w:jc w:val="left"/>
              <w:rPr/>
            </w:pPr>
            <w:r>
              <w:rPr/>
              <w:t> </w:t>
            </w:r>
          </w:p>
        </w:tc>
        <w:tc>
          <w:tcPr>
            <w:tcW w:w="736" w:type="dxa"/>
            <w:tcBorders/>
            <w:shd w:fill="FFFFFF" w:val="clear"/>
            <w:tcMar>
              <w:bottom w:w="0" w:type="dxa"/>
            </w:tcMar>
            <w:vAlign w:val="center"/>
          </w:tcPr>
          <w:p>
            <w:pPr>
              <w:pStyle w:val="TableContents"/>
              <w:spacing w:before="0" w:after="283"/>
              <w:jc w:val="right"/>
              <w:rPr/>
            </w:pPr>
            <w:r>
              <w:rPr/>
              <w:t>35.35</w:t>
            </w:r>
          </w:p>
        </w:tc>
        <w:tc>
          <w:tcPr>
            <w:tcW w:w="230" w:type="dxa"/>
            <w:tcBorders/>
            <w:shd w:fill="FFFFFF" w:val="clear"/>
            <w:tcMar>
              <w:bottom w:w="0" w:type="dxa"/>
            </w:tcMar>
            <w:vAlign w:val="center"/>
          </w:tcPr>
          <w:p>
            <w:pPr>
              <w:pStyle w:val="TableContents"/>
              <w:spacing w:before="0" w:after="283"/>
              <w:jc w:val="left"/>
              <w:rPr/>
            </w:pPr>
            <w:r>
              <w:rPr/>
              <w:t>%</w:t>
            </w:r>
          </w:p>
        </w:tc>
      </w:tr>
      <w:tr>
        <w:trPr/>
        <w:tc>
          <w:tcPr>
            <w:tcW w:w="5885" w:type="dxa"/>
            <w:tcBorders/>
            <w:shd w:fill="CCEE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Sean Nichols</w:t>
            </w:r>
            <w:r>
              <w:rPr>
                <w:rFonts w:ascii="Times New Roman;Times;Serif" w:hAnsi="Times New Roman;Times;Serif"/>
                <w:position w:val="7"/>
                <w:sz w:val="16"/>
                <w:sz w:val="20"/>
              </w:rPr>
              <w:t>(6)(8)</w:t>
            </w:r>
          </w:p>
        </w:tc>
        <w:tc>
          <w:tcPr>
            <w:tcW w:w="60" w:type="dxa"/>
            <w:tcBorders/>
            <w:shd w:fill="CCEEFF" w:val="clear"/>
            <w:tcMar>
              <w:bottom w:w="0" w:type="dxa"/>
            </w:tcMar>
            <w:vAlign w:val="center"/>
          </w:tcPr>
          <w:p>
            <w:pPr>
              <w:pStyle w:val="TableContents"/>
              <w:spacing w:before="0" w:after="283"/>
              <w:rPr/>
            </w:pPr>
            <w:r>
              <w:rPr/>
              <w:t> </w:t>
            </w:r>
          </w:p>
        </w:tc>
        <w:tc>
          <w:tcPr>
            <w:tcW w:w="67" w:type="dxa"/>
            <w:tcBorders/>
            <w:shd w:fill="CCEEFF" w:val="clear"/>
            <w:tcMar>
              <w:bottom w:w="0" w:type="dxa"/>
            </w:tcMar>
            <w:vAlign w:val="center"/>
          </w:tcPr>
          <w:p>
            <w:pPr>
              <w:pStyle w:val="TableContents"/>
              <w:spacing w:before="0" w:after="283"/>
              <w:jc w:val="left"/>
              <w:rPr/>
            </w:pPr>
            <w:r>
              <w:rPr/>
              <w:t> </w:t>
            </w:r>
          </w:p>
        </w:tc>
        <w:tc>
          <w:tcPr>
            <w:tcW w:w="1242" w:type="dxa"/>
            <w:tcBorders/>
            <w:shd w:fill="CCEEFF" w:val="clear"/>
            <w:tcMar>
              <w:bottom w:w="0" w:type="dxa"/>
            </w:tcMar>
            <w:vAlign w:val="center"/>
          </w:tcPr>
          <w:p>
            <w:pPr>
              <w:pStyle w:val="TableContents"/>
              <w:spacing w:before="0" w:after="283"/>
              <w:jc w:val="right"/>
              <w:rPr/>
            </w:pPr>
            <w:r>
              <w:rPr/>
              <w:t>3,735,999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8" w:type="dxa"/>
            <w:tcBorders/>
            <w:shd w:fill="CCEEFF" w:val="clear"/>
            <w:tcMar>
              <w:bottom w:w="0" w:type="dxa"/>
            </w:tcMar>
            <w:vAlign w:val="center"/>
          </w:tcPr>
          <w:p>
            <w:pPr>
              <w:pStyle w:val="TableContents"/>
              <w:spacing w:before="0" w:after="283"/>
              <w:jc w:val="left"/>
              <w:rPr/>
            </w:pPr>
            <w:r>
              <w:rPr/>
              <w:t> </w:t>
            </w:r>
          </w:p>
        </w:tc>
        <w:tc>
          <w:tcPr>
            <w:tcW w:w="736" w:type="dxa"/>
            <w:tcBorders/>
            <w:shd w:fill="CCEEFF" w:val="clear"/>
            <w:tcMar>
              <w:bottom w:w="0" w:type="dxa"/>
            </w:tcMar>
            <w:vAlign w:val="center"/>
          </w:tcPr>
          <w:p>
            <w:pPr>
              <w:pStyle w:val="TableContents"/>
              <w:spacing w:before="0" w:after="283"/>
              <w:jc w:val="right"/>
              <w:rPr/>
            </w:pPr>
            <w:r>
              <w:rPr/>
              <w:t>8.12</w:t>
            </w:r>
          </w:p>
        </w:tc>
        <w:tc>
          <w:tcPr>
            <w:tcW w:w="230" w:type="dxa"/>
            <w:tcBorders/>
            <w:shd w:fill="CCEEFF" w:val="clear"/>
            <w:tcMar>
              <w:bottom w:w="0" w:type="dxa"/>
            </w:tcMar>
            <w:vAlign w:val="center"/>
          </w:tcPr>
          <w:p>
            <w:pPr>
              <w:pStyle w:val="TableContents"/>
              <w:spacing w:before="0" w:after="283"/>
              <w:jc w:val="left"/>
              <w:rPr/>
            </w:pPr>
            <w:r>
              <w:rPr/>
              <w:t>%</w:t>
            </w:r>
          </w:p>
        </w:tc>
      </w:tr>
      <w:tr>
        <w:trPr/>
        <w:tc>
          <w:tcPr>
            <w:tcW w:w="5885" w:type="dxa"/>
            <w:tcBorders/>
            <w:shd w:fill="FFFF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Nicole Harvey</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spacing w:before="0" w:after="283"/>
              <w:rPr/>
            </w:pPr>
            <w:r>
              <w:rPr/>
              <w:t> </w:t>
            </w:r>
          </w:p>
        </w:tc>
        <w:tc>
          <w:tcPr>
            <w:tcW w:w="67" w:type="dxa"/>
            <w:tcBorders/>
            <w:shd w:fill="FFFFFF" w:val="clear"/>
            <w:tcMar>
              <w:bottom w:w="0" w:type="dxa"/>
            </w:tcMar>
            <w:vAlign w:val="center"/>
          </w:tcPr>
          <w:p>
            <w:pPr>
              <w:pStyle w:val="TableContents"/>
              <w:spacing w:before="0" w:after="283"/>
              <w:jc w:val="left"/>
              <w:rPr/>
            </w:pPr>
            <w:r>
              <w:rPr/>
              <w:t> </w:t>
            </w:r>
          </w:p>
        </w:tc>
        <w:tc>
          <w:tcPr>
            <w:tcW w:w="1242" w:type="dxa"/>
            <w:tcBorders/>
            <w:shd w:fill="FFFFFF" w:val="clear"/>
            <w:tcMar>
              <w:bottom w:w="0" w:type="dxa"/>
            </w:tcMar>
            <w:vAlign w:val="center"/>
          </w:tcPr>
          <w:p>
            <w:pPr>
              <w:pStyle w:val="TableContents"/>
              <w:spacing w:before="0" w:after="283"/>
              <w:jc w:val="right"/>
              <w:rPr/>
            </w:pPr>
            <w:r>
              <w:rPr/>
              <w:t>141,809</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8" w:type="dxa"/>
            <w:tcBorders/>
            <w:shd w:fill="FFFFFF" w:val="clear"/>
            <w:tcMar>
              <w:bottom w:w="0" w:type="dxa"/>
            </w:tcMar>
            <w:vAlign w:val="center"/>
          </w:tcPr>
          <w:p>
            <w:pPr>
              <w:pStyle w:val="TableContents"/>
              <w:spacing w:before="0" w:after="283"/>
              <w:jc w:val="left"/>
              <w:rPr/>
            </w:pPr>
            <w:r>
              <w:rPr/>
              <w:t> </w:t>
            </w:r>
          </w:p>
        </w:tc>
        <w:tc>
          <w:tcPr>
            <w:tcW w:w="73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spacing w:before="0" w:after="283"/>
              <w:jc w:val="left"/>
              <w:rPr/>
            </w:pPr>
            <w:r>
              <w:rPr/>
              <w:t> </w:t>
            </w:r>
          </w:p>
        </w:tc>
      </w:tr>
      <w:tr>
        <w:trPr/>
        <w:tc>
          <w:tcPr>
            <w:tcW w:w="5885" w:type="dxa"/>
            <w:tcBorders/>
            <w:shd w:fill="CCEE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John Marchetti</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spacing w:before="0" w:after="283"/>
              <w:rPr/>
            </w:pPr>
            <w:r>
              <w:rPr/>
              <w:t> </w:t>
            </w:r>
          </w:p>
        </w:tc>
        <w:tc>
          <w:tcPr>
            <w:tcW w:w="67" w:type="dxa"/>
            <w:tcBorders/>
            <w:shd w:fill="CCEEFF" w:val="clear"/>
            <w:tcMar>
              <w:bottom w:w="0" w:type="dxa"/>
            </w:tcMar>
            <w:vAlign w:val="center"/>
          </w:tcPr>
          <w:p>
            <w:pPr>
              <w:pStyle w:val="TableContents"/>
              <w:spacing w:before="0" w:after="283"/>
              <w:jc w:val="left"/>
              <w:rPr/>
            </w:pPr>
            <w:r>
              <w:rPr/>
              <w:t> </w:t>
            </w:r>
          </w:p>
        </w:tc>
        <w:tc>
          <w:tcPr>
            <w:tcW w:w="1242" w:type="dxa"/>
            <w:tcBorders/>
            <w:shd w:fill="CCEEFF" w:val="clear"/>
            <w:tcMar>
              <w:bottom w:w="0" w:type="dxa"/>
            </w:tcMar>
            <w:vAlign w:val="center"/>
          </w:tcPr>
          <w:p>
            <w:pPr>
              <w:pStyle w:val="TableContents"/>
              <w:spacing w:before="0" w:after="283"/>
              <w:jc w:val="right"/>
              <w:rPr/>
            </w:pPr>
            <w:r>
              <w:rPr/>
              <w:t>189,562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8" w:type="dxa"/>
            <w:tcBorders/>
            <w:shd w:fill="CCEEFF" w:val="clear"/>
            <w:tcMar>
              <w:bottom w:w="0" w:type="dxa"/>
            </w:tcMar>
            <w:vAlign w:val="center"/>
          </w:tcPr>
          <w:p>
            <w:pPr>
              <w:pStyle w:val="TableContents"/>
              <w:spacing w:before="0" w:after="283"/>
              <w:jc w:val="left"/>
              <w:rPr/>
            </w:pPr>
            <w:r>
              <w:rPr/>
              <w:t> </w:t>
            </w:r>
          </w:p>
        </w:tc>
        <w:tc>
          <w:tcPr>
            <w:tcW w:w="736"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spacing w:before="0" w:after="283"/>
              <w:jc w:val="left"/>
              <w:rPr/>
            </w:pPr>
            <w:r>
              <w:rPr/>
              <w:t> </w:t>
            </w:r>
          </w:p>
        </w:tc>
      </w:tr>
      <w:tr>
        <w:trPr/>
        <w:tc>
          <w:tcPr>
            <w:tcW w:w="5885" w:type="dxa"/>
            <w:tcBorders/>
            <w:shd w:fill="FFFF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 xml:space="preserve">Tyler Bourns </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spacing w:before="0" w:after="283"/>
              <w:rPr/>
            </w:pPr>
            <w:r>
              <w:rPr/>
              <w:t> </w:t>
            </w:r>
          </w:p>
        </w:tc>
        <w:tc>
          <w:tcPr>
            <w:tcW w:w="67" w:type="dxa"/>
            <w:tcBorders/>
            <w:shd w:fill="FFFFFF" w:val="clear"/>
            <w:tcMar>
              <w:bottom w:w="0" w:type="dxa"/>
            </w:tcMar>
            <w:vAlign w:val="center"/>
          </w:tcPr>
          <w:p>
            <w:pPr>
              <w:pStyle w:val="TableContents"/>
              <w:spacing w:before="0" w:after="283"/>
              <w:jc w:val="left"/>
              <w:rPr/>
            </w:pPr>
            <w:r>
              <w:rPr/>
              <w:t> </w:t>
            </w:r>
          </w:p>
        </w:tc>
        <w:tc>
          <w:tcPr>
            <w:tcW w:w="1242" w:type="dxa"/>
            <w:tcBorders/>
            <w:shd w:fill="FFFFFF" w:val="clear"/>
            <w:tcMar>
              <w:bottom w:w="0" w:type="dxa"/>
            </w:tcMar>
            <w:vAlign w:val="center"/>
          </w:tcPr>
          <w:p>
            <w:pPr>
              <w:pStyle w:val="TableContents"/>
              <w:spacing w:before="0" w:after="283"/>
              <w:jc w:val="right"/>
              <w:rPr/>
            </w:pPr>
            <w:r>
              <w:rPr/>
              <w:t>58,512</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8" w:type="dxa"/>
            <w:tcBorders/>
            <w:shd w:fill="FFFFFF" w:val="clear"/>
            <w:tcMar>
              <w:bottom w:w="0" w:type="dxa"/>
            </w:tcMar>
            <w:vAlign w:val="center"/>
          </w:tcPr>
          <w:p>
            <w:pPr>
              <w:pStyle w:val="TableContents"/>
              <w:spacing w:before="0" w:after="283"/>
              <w:jc w:val="left"/>
              <w:rPr/>
            </w:pPr>
            <w:r>
              <w:rPr/>
              <w:t> </w:t>
            </w:r>
          </w:p>
        </w:tc>
        <w:tc>
          <w:tcPr>
            <w:tcW w:w="73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spacing w:before="0" w:after="283"/>
              <w:jc w:val="left"/>
              <w:rPr/>
            </w:pPr>
            <w:r>
              <w:rPr/>
              <w:t> </w:t>
            </w:r>
          </w:p>
        </w:tc>
      </w:tr>
      <w:tr>
        <w:trPr/>
        <w:tc>
          <w:tcPr>
            <w:tcW w:w="5885" w:type="dxa"/>
            <w:tcBorders/>
            <w:shd w:fill="CCEE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Luisa Ingargiola</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spacing w:before="0" w:after="283"/>
              <w:rPr/>
            </w:pPr>
            <w:r>
              <w:rPr/>
              <w:t> </w:t>
            </w:r>
          </w:p>
        </w:tc>
        <w:tc>
          <w:tcPr>
            <w:tcW w:w="67" w:type="dxa"/>
            <w:tcBorders/>
            <w:shd w:fill="CCEEFF" w:val="clear"/>
            <w:tcMar>
              <w:bottom w:w="0" w:type="dxa"/>
            </w:tcMar>
            <w:vAlign w:val="center"/>
          </w:tcPr>
          <w:p>
            <w:pPr>
              <w:pStyle w:val="TableContents"/>
              <w:spacing w:before="0" w:after="283"/>
              <w:jc w:val="left"/>
              <w:rPr/>
            </w:pPr>
            <w:r>
              <w:rPr/>
              <w:t> </w:t>
            </w:r>
          </w:p>
        </w:tc>
        <w:tc>
          <w:tcPr>
            <w:tcW w:w="1242" w:type="dxa"/>
            <w:tcBorders/>
            <w:shd w:fill="CCEEFF" w:val="clear"/>
            <w:tcMar>
              <w:bottom w:w="0" w:type="dxa"/>
            </w:tcMar>
            <w:vAlign w:val="center"/>
          </w:tcPr>
          <w:p>
            <w:pPr>
              <w:pStyle w:val="TableContents"/>
              <w:spacing w:before="0" w:after="283"/>
              <w:jc w:val="right"/>
              <w:rPr/>
            </w:pPr>
            <w:r>
              <w:rPr/>
              <w:t>59,598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8" w:type="dxa"/>
            <w:tcBorders/>
            <w:shd w:fill="CCEEFF" w:val="clear"/>
            <w:tcMar>
              <w:bottom w:w="0" w:type="dxa"/>
            </w:tcMar>
            <w:vAlign w:val="center"/>
          </w:tcPr>
          <w:p>
            <w:pPr>
              <w:pStyle w:val="TableContents"/>
              <w:spacing w:before="0" w:after="283"/>
              <w:jc w:val="left"/>
              <w:rPr/>
            </w:pPr>
            <w:r>
              <w:rPr/>
              <w:t> </w:t>
            </w:r>
          </w:p>
        </w:tc>
        <w:tc>
          <w:tcPr>
            <w:tcW w:w="736"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spacing w:before="0" w:after="283"/>
              <w:jc w:val="left"/>
              <w:rPr/>
            </w:pPr>
            <w:r>
              <w:rPr/>
              <w:t> </w:t>
            </w:r>
          </w:p>
        </w:tc>
      </w:tr>
      <w:tr>
        <w:trPr/>
        <w:tc>
          <w:tcPr>
            <w:tcW w:w="5885" w:type="dxa"/>
            <w:tcBorders/>
            <w:shd w:fill="FFFF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Brian Nelson</w:t>
            </w:r>
            <w:r>
              <w:rPr>
                <w:rFonts w:ascii="Times New Roman;Times;Serif" w:hAnsi="Times New Roman;Times;Serif"/>
                <w:position w:val="7"/>
                <w:sz w:val="16"/>
                <w:sz w:val="20"/>
              </w:rPr>
              <w:t>(13)</w:t>
            </w:r>
          </w:p>
        </w:tc>
        <w:tc>
          <w:tcPr>
            <w:tcW w:w="60" w:type="dxa"/>
            <w:tcBorders/>
            <w:shd w:fill="FFFFFF" w:val="clear"/>
            <w:tcMar>
              <w:bottom w:w="0" w:type="dxa"/>
            </w:tcMar>
            <w:vAlign w:val="center"/>
          </w:tcPr>
          <w:p>
            <w:pPr>
              <w:pStyle w:val="TableContents"/>
              <w:spacing w:before="0" w:after="283"/>
              <w:rPr/>
            </w:pPr>
            <w:r>
              <w:rPr/>
              <w:t> </w:t>
            </w:r>
          </w:p>
        </w:tc>
        <w:tc>
          <w:tcPr>
            <w:tcW w:w="67" w:type="dxa"/>
            <w:tcBorders/>
            <w:shd w:fill="FFFFFF" w:val="clear"/>
            <w:tcMar>
              <w:bottom w:w="0" w:type="dxa"/>
            </w:tcMar>
            <w:vAlign w:val="center"/>
          </w:tcPr>
          <w:p>
            <w:pPr>
              <w:pStyle w:val="TableContents"/>
              <w:spacing w:before="0" w:after="283"/>
              <w:jc w:val="left"/>
              <w:rPr/>
            </w:pPr>
            <w:r>
              <w:rPr/>
              <w:t> </w:t>
            </w:r>
          </w:p>
        </w:tc>
        <w:tc>
          <w:tcPr>
            <w:tcW w:w="1242" w:type="dxa"/>
            <w:tcBorders/>
            <w:shd w:fill="FFFFFF" w:val="clear"/>
            <w:tcMar>
              <w:bottom w:w="0" w:type="dxa"/>
            </w:tcMar>
            <w:vAlign w:val="center"/>
          </w:tcPr>
          <w:p>
            <w:pPr>
              <w:pStyle w:val="TableContents"/>
              <w:spacing w:before="0" w:after="283"/>
              <w:jc w:val="right"/>
              <w:rPr/>
            </w:pPr>
            <w:r>
              <w:rPr/>
              <w:t>27,594</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8" w:type="dxa"/>
            <w:tcBorders/>
            <w:shd w:fill="FFFFFF" w:val="clear"/>
            <w:tcMar>
              <w:bottom w:w="0" w:type="dxa"/>
            </w:tcMar>
            <w:vAlign w:val="center"/>
          </w:tcPr>
          <w:p>
            <w:pPr>
              <w:pStyle w:val="TableContents"/>
              <w:spacing w:before="0" w:after="283"/>
              <w:jc w:val="left"/>
              <w:rPr/>
            </w:pPr>
            <w:r>
              <w:rPr/>
              <w:t> </w:t>
            </w:r>
          </w:p>
        </w:tc>
        <w:tc>
          <w:tcPr>
            <w:tcW w:w="73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spacing w:before="0" w:after="283"/>
              <w:jc w:val="left"/>
              <w:rPr/>
            </w:pPr>
            <w:r>
              <w:rPr/>
              <w:t> </w:t>
            </w:r>
          </w:p>
        </w:tc>
      </w:tr>
      <w:tr>
        <w:trPr/>
        <w:tc>
          <w:tcPr>
            <w:tcW w:w="5885" w:type="dxa"/>
            <w:tcBorders/>
            <w:shd w:fill="CCEEFF" w:val="clear"/>
            <w:tcMar>
              <w:bottom w:w="0" w:type="dxa"/>
            </w:tcMar>
            <w:vAlign w:val="center"/>
          </w:tcPr>
          <w:p>
            <w:pPr>
              <w:pStyle w:val="TableContents"/>
              <w:spacing w:before="0" w:after="283"/>
              <w:jc w:val="both"/>
              <w:rPr/>
            </w:pPr>
            <w:r>
              <w:rPr/>
              <w:t>Perry Boyle</w:t>
            </w:r>
          </w:p>
        </w:tc>
        <w:tc>
          <w:tcPr>
            <w:tcW w:w="60" w:type="dxa"/>
            <w:tcBorders/>
            <w:shd w:fill="CCEEFF" w:val="clear"/>
            <w:tcMar>
              <w:bottom w:w="0" w:type="dxa"/>
            </w:tcMar>
            <w:vAlign w:val="center"/>
          </w:tcPr>
          <w:p>
            <w:pPr>
              <w:pStyle w:val="TableContents"/>
              <w:spacing w:before="0" w:after="283"/>
              <w:rPr/>
            </w:pPr>
            <w:r>
              <w:rPr/>
              <w:t> </w:t>
            </w:r>
          </w:p>
        </w:tc>
        <w:tc>
          <w:tcPr>
            <w:tcW w:w="67" w:type="dxa"/>
            <w:tcBorders/>
            <w:shd w:fill="CCEEFF" w:val="clear"/>
            <w:tcMar>
              <w:bottom w:w="0" w:type="dxa"/>
            </w:tcMar>
            <w:vAlign w:val="center"/>
          </w:tcPr>
          <w:p>
            <w:pPr>
              <w:pStyle w:val="TableContents"/>
              <w:spacing w:before="0" w:after="283"/>
              <w:jc w:val="left"/>
              <w:rPr/>
            </w:pPr>
            <w:r>
              <w:rPr/>
              <w:t> </w:t>
            </w:r>
          </w:p>
        </w:tc>
        <w:tc>
          <w:tcPr>
            <w:tcW w:w="1242" w:type="dxa"/>
            <w:tcBorders/>
            <w:shd w:fill="CCEEFF" w:val="clear"/>
            <w:tcMar>
              <w:bottom w:w="0" w:type="dxa"/>
            </w:tcMar>
            <w:vAlign w:val="center"/>
          </w:tcPr>
          <w:p>
            <w:pPr>
              <w:pStyle w:val="TableContents"/>
              <w:spacing w:before="0" w:after="283"/>
              <w:jc w:val="right"/>
              <w:rPr/>
            </w:pPr>
            <w:r>
              <w:rPr/>
              <w:t>22,000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8" w:type="dxa"/>
            <w:tcBorders/>
            <w:shd w:fill="CCEEFF" w:val="clear"/>
            <w:tcMar>
              <w:bottom w:w="0" w:type="dxa"/>
            </w:tcMar>
            <w:vAlign w:val="center"/>
          </w:tcPr>
          <w:p>
            <w:pPr>
              <w:pStyle w:val="TableContents"/>
              <w:spacing w:before="0" w:after="283"/>
              <w:jc w:val="left"/>
              <w:rPr/>
            </w:pPr>
            <w:r>
              <w:rPr/>
              <w:t> </w:t>
            </w:r>
          </w:p>
        </w:tc>
        <w:tc>
          <w:tcPr>
            <w:tcW w:w="736"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spacing w:before="0" w:after="283"/>
              <w:jc w:val="left"/>
              <w:rPr/>
            </w:pPr>
            <w:r>
              <w:rPr/>
              <w:t> </w:t>
            </w:r>
          </w:p>
        </w:tc>
      </w:tr>
      <w:tr>
        <w:trPr/>
        <w:tc>
          <w:tcPr>
            <w:tcW w:w="5885" w:type="dxa"/>
            <w:tcBorders/>
            <w:shd w:fill="FFFFFF" w:val="clear"/>
            <w:tcMar>
              <w:bottom w:w="0" w:type="dxa"/>
            </w:tcMar>
            <w:vAlign w:val="center"/>
          </w:tcPr>
          <w:p>
            <w:pPr>
              <w:pStyle w:val="TableContents"/>
              <w:spacing w:before="0" w:after="283"/>
              <w:jc w:val="both"/>
              <w:rPr/>
            </w:pPr>
            <w:r>
              <w:rPr/>
              <w:t>Jonathan Bellows</w:t>
            </w:r>
          </w:p>
        </w:tc>
        <w:tc>
          <w:tcPr>
            <w:tcW w:w="60" w:type="dxa"/>
            <w:tcBorders/>
            <w:shd w:fill="FFFFFF" w:val="clear"/>
            <w:tcMar>
              <w:bottom w:w="0" w:type="dxa"/>
            </w:tcMar>
            <w:vAlign w:val="center"/>
          </w:tcPr>
          <w:p>
            <w:pPr>
              <w:pStyle w:val="TableContents"/>
              <w:spacing w:before="0" w:after="283"/>
              <w:rPr/>
            </w:pPr>
            <w:r>
              <w:rPr/>
              <w:t> </w:t>
            </w:r>
          </w:p>
        </w:tc>
        <w:tc>
          <w:tcPr>
            <w:tcW w:w="67" w:type="dxa"/>
            <w:tcBorders/>
            <w:shd w:fill="FFFFFF" w:val="clear"/>
            <w:tcMar>
              <w:bottom w:w="0" w:type="dxa"/>
            </w:tcMar>
            <w:vAlign w:val="center"/>
          </w:tcPr>
          <w:p>
            <w:pPr>
              <w:pStyle w:val="TableContents"/>
              <w:spacing w:before="0" w:after="283"/>
              <w:jc w:val="left"/>
              <w:rPr/>
            </w:pPr>
            <w:r>
              <w:rPr/>
              <w:t> </w:t>
            </w:r>
          </w:p>
        </w:tc>
        <w:tc>
          <w:tcPr>
            <w:tcW w:w="1242" w:type="dxa"/>
            <w:tcBorders/>
            <w:shd w:fill="FFFFFF" w:val="clear"/>
            <w:tcMar>
              <w:bottom w:w="0" w:type="dxa"/>
            </w:tcMar>
            <w:vAlign w:val="center"/>
          </w:tcPr>
          <w:p>
            <w:pPr>
              <w:pStyle w:val="TableContents"/>
              <w:spacing w:before="0" w:after="283"/>
              <w:jc w:val="right"/>
              <w:rPr/>
            </w:pPr>
            <w:r>
              <w:rPr/>
              <w:t>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8" w:type="dxa"/>
            <w:tcBorders/>
            <w:shd w:fill="FFFFFF" w:val="clear"/>
            <w:tcMar>
              <w:bottom w:w="0" w:type="dxa"/>
            </w:tcMar>
            <w:vAlign w:val="center"/>
          </w:tcPr>
          <w:p>
            <w:pPr>
              <w:pStyle w:val="TableContents"/>
              <w:spacing w:before="0" w:after="283"/>
              <w:jc w:val="left"/>
              <w:rPr/>
            </w:pPr>
            <w:r>
              <w:rPr/>
              <w:t> </w:t>
            </w:r>
          </w:p>
        </w:tc>
        <w:tc>
          <w:tcPr>
            <w:tcW w:w="73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spacing w:before="0" w:after="283"/>
              <w:jc w:val="left"/>
              <w:rPr/>
            </w:pPr>
            <w:r>
              <w:rPr/>
              <w:t> </w:t>
            </w:r>
          </w:p>
        </w:tc>
      </w:tr>
      <w:tr>
        <w:trPr/>
        <w:tc>
          <w:tcPr>
            <w:tcW w:w="5885" w:type="dxa"/>
            <w:tcBorders/>
            <w:shd w:fill="CCEEFF" w:val="clear"/>
            <w:tcMar>
              <w:bottom w:w="0" w:type="dxa"/>
            </w:tcMar>
            <w:vAlign w:val="center"/>
          </w:tcPr>
          <w:p>
            <w:pPr>
              <w:pStyle w:val="TableContents"/>
              <w:spacing w:before="0" w:after="283"/>
              <w:jc w:val="both"/>
              <w:rPr/>
            </w:pPr>
            <w:r>
              <w:rPr/>
              <w:t>Rick Parod</w:t>
            </w:r>
          </w:p>
        </w:tc>
        <w:tc>
          <w:tcPr>
            <w:tcW w:w="60" w:type="dxa"/>
            <w:tcBorders/>
            <w:shd w:fill="CCEEFF" w:val="clear"/>
            <w:tcMar>
              <w:bottom w:w="0" w:type="dxa"/>
            </w:tcMar>
            <w:vAlign w:val="center"/>
          </w:tcPr>
          <w:p>
            <w:pPr>
              <w:pStyle w:val="TableContents"/>
              <w:spacing w:before="0" w:after="283"/>
              <w:rPr/>
            </w:pPr>
            <w:r>
              <w:rPr/>
              <w:t> </w:t>
            </w:r>
          </w:p>
        </w:tc>
        <w:tc>
          <w:tcPr>
            <w:tcW w:w="67" w:type="dxa"/>
            <w:tcBorders/>
            <w:shd w:fill="CCEEFF" w:val="clear"/>
            <w:tcMar>
              <w:bottom w:w="0" w:type="dxa"/>
            </w:tcMar>
            <w:vAlign w:val="center"/>
          </w:tcPr>
          <w:p>
            <w:pPr>
              <w:pStyle w:val="TableContents"/>
              <w:spacing w:before="0" w:after="283"/>
              <w:jc w:val="left"/>
              <w:rPr/>
            </w:pPr>
            <w:r>
              <w:rPr/>
              <w:t> </w:t>
            </w:r>
          </w:p>
        </w:tc>
        <w:tc>
          <w:tcPr>
            <w:tcW w:w="1242" w:type="dxa"/>
            <w:tcBorders/>
            <w:shd w:fill="CCEEFF" w:val="clear"/>
            <w:tcMar>
              <w:bottom w:w="0" w:type="dxa"/>
            </w:tcMar>
            <w:vAlign w:val="center"/>
          </w:tcPr>
          <w:p>
            <w:pPr>
              <w:pStyle w:val="TableContents"/>
              <w:spacing w:before="0" w:after="283"/>
              <w:jc w:val="right"/>
              <w:rPr/>
            </w:pPr>
            <w:r>
              <w:rPr/>
              <w:t>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8" w:type="dxa"/>
            <w:tcBorders/>
            <w:shd w:fill="CCEEFF" w:val="clear"/>
            <w:tcMar>
              <w:bottom w:w="0" w:type="dxa"/>
            </w:tcMar>
            <w:vAlign w:val="center"/>
          </w:tcPr>
          <w:p>
            <w:pPr>
              <w:pStyle w:val="TableContents"/>
              <w:spacing w:before="0" w:after="283"/>
              <w:jc w:val="left"/>
              <w:rPr/>
            </w:pPr>
            <w:r>
              <w:rPr/>
              <w:t> </w:t>
            </w:r>
          </w:p>
        </w:tc>
        <w:tc>
          <w:tcPr>
            <w:tcW w:w="736"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spacing w:before="0" w:after="283"/>
              <w:jc w:val="left"/>
              <w:rPr/>
            </w:pPr>
            <w:r>
              <w:rPr/>
              <w:t> </w:t>
            </w:r>
          </w:p>
        </w:tc>
      </w:tr>
      <w:tr>
        <w:trPr/>
        <w:tc>
          <w:tcPr>
            <w:tcW w:w="5885" w:type="dxa"/>
            <w:tcBorders/>
            <w:shd w:fill="FFFFFF" w:val="clear"/>
            <w:tcMar>
              <w:bottom w:w="0" w:type="dxa"/>
            </w:tcMar>
            <w:vAlign w:val="center"/>
          </w:tcPr>
          <w:p>
            <w:pPr>
              <w:pStyle w:val="TableContents"/>
              <w:spacing w:before="0" w:after="283"/>
              <w:jc w:val="both"/>
              <w:rPr/>
            </w:pPr>
            <w:r>
              <w:rPr/>
              <w:t>Karina Montilla Edmonds</w:t>
            </w:r>
          </w:p>
        </w:tc>
        <w:tc>
          <w:tcPr>
            <w:tcW w:w="60" w:type="dxa"/>
            <w:tcBorders/>
            <w:shd w:fill="FFFFFF" w:val="clear"/>
            <w:tcMar>
              <w:bottom w:w="0" w:type="dxa"/>
            </w:tcMar>
            <w:vAlign w:val="center"/>
          </w:tcPr>
          <w:p>
            <w:pPr>
              <w:pStyle w:val="TableContents"/>
              <w:spacing w:before="0" w:after="283"/>
              <w:rPr/>
            </w:pPr>
            <w:r>
              <w:rPr/>
              <w:t> </w:t>
            </w:r>
          </w:p>
        </w:tc>
        <w:tc>
          <w:tcPr>
            <w:tcW w:w="67" w:type="dxa"/>
            <w:tcBorders/>
            <w:shd w:fill="FFFFFF" w:val="clear"/>
            <w:tcMar>
              <w:bottom w:w="0" w:type="dxa"/>
            </w:tcMar>
            <w:vAlign w:val="center"/>
          </w:tcPr>
          <w:p>
            <w:pPr>
              <w:pStyle w:val="TableContents"/>
              <w:spacing w:before="0" w:after="283"/>
              <w:jc w:val="left"/>
              <w:rPr/>
            </w:pPr>
            <w:r>
              <w:rPr/>
              <w:t> </w:t>
            </w:r>
          </w:p>
        </w:tc>
        <w:tc>
          <w:tcPr>
            <w:tcW w:w="1242" w:type="dxa"/>
            <w:tcBorders/>
            <w:shd w:fill="FFFFFF" w:val="clear"/>
            <w:tcMar>
              <w:bottom w:w="0" w:type="dxa"/>
            </w:tcMar>
            <w:vAlign w:val="center"/>
          </w:tcPr>
          <w:p>
            <w:pPr>
              <w:pStyle w:val="TableContents"/>
              <w:spacing w:before="0" w:after="283"/>
              <w:jc w:val="right"/>
              <w:rPr/>
            </w:pPr>
            <w:r>
              <w:rPr/>
              <w:t>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8" w:type="dxa"/>
            <w:tcBorders/>
            <w:shd w:fill="FFFFFF" w:val="clear"/>
            <w:tcMar>
              <w:bottom w:w="0" w:type="dxa"/>
            </w:tcMar>
            <w:vAlign w:val="center"/>
          </w:tcPr>
          <w:p>
            <w:pPr>
              <w:pStyle w:val="TableContents"/>
              <w:spacing w:before="0" w:after="283"/>
              <w:jc w:val="left"/>
              <w:rPr/>
            </w:pPr>
            <w:r>
              <w:rPr/>
              <w:t> </w:t>
            </w:r>
          </w:p>
        </w:tc>
        <w:tc>
          <w:tcPr>
            <w:tcW w:w="73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spacing w:before="0" w:after="283"/>
              <w:jc w:val="left"/>
              <w:rPr/>
            </w:pPr>
            <w:r>
              <w:rPr/>
              <w:t> </w:t>
            </w:r>
          </w:p>
        </w:tc>
      </w:tr>
      <w:tr>
        <w:trPr/>
        <w:tc>
          <w:tcPr>
            <w:tcW w:w="5885" w:type="dxa"/>
            <w:tcBorders/>
            <w:shd w:fill="CCEEFF" w:val="clear"/>
            <w:tcMar>
              <w:bottom w:w="0" w:type="dxa"/>
            </w:tcMar>
            <w:vAlign w:val="center"/>
          </w:tcPr>
          <w:p>
            <w:pPr>
              <w:pStyle w:val="TableContents"/>
              <w:spacing w:before="0" w:after="283"/>
              <w:jc w:val="both"/>
              <w:rPr>
                <w:b/>
                <w:i/>
              </w:rPr>
            </w:pPr>
            <w:r>
              <w:rPr>
                <w:b/>
                <w:i/>
              </w:rPr>
              <w:t>All Executive Officers and Directors as a group (9 persons):</w:t>
            </w:r>
          </w:p>
        </w:tc>
        <w:tc>
          <w:tcPr>
            <w:tcW w:w="60" w:type="dxa"/>
            <w:tcBorders/>
            <w:shd w:fill="CCEEFF" w:val="clear"/>
            <w:tcMar>
              <w:bottom w:w="0" w:type="dxa"/>
            </w:tcMar>
            <w:vAlign w:val="center"/>
          </w:tcPr>
          <w:p>
            <w:pPr>
              <w:pStyle w:val="TableContents"/>
              <w:spacing w:before="0" w:after="283"/>
              <w:rPr/>
            </w:pPr>
            <w:r>
              <w:rPr/>
              <w:t> </w:t>
            </w:r>
          </w:p>
        </w:tc>
        <w:tc>
          <w:tcPr>
            <w:tcW w:w="67" w:type="dxa"/>
            <w:tcBorders/>
            <w:shd w:fill="CCEEFF" w:val="clear"/>
            <w:tcMar>
              <w:bottom w:w="0" w:type="dxa"/>
            </w:tcMar>
            <w:vAlign w:val="center"/>
          </w:tcPr>
          <w:p>
            <w:pPr>
              <w:pStyle w:val="TableContents"/>
              <w:spacing w:before="0" w:after="283"/>
              <w:jc w:val="left"/>
              <w:rPr/>
            </w:pPr>
            <w:r>
              <w:rPr/>
              <w:t> </w:t>
            </w:r>
          </w:p>
        </w:tc>
        <w:tc>
          <w:tcPr>
            <w:tcW w:w="1242" w:type="dxa"/>
            <w:tcBorders/>
            <w:shd w:fill="CCEEFF" w:val="clear"/>
            <w:tcMar>
              <w:bottom w:w="0" w:type="dxa"/>
            </w:tcMar>
            <w:vAlign w:val="center"/>
          </w:tcPr>
          <w:p>
            <w:pPr>
              <w:pStyle w:val="TableContents"/>
              <w:spacing w:before="0" w:after="283"/>
              <w:jc w:val="right"/>
              <w:rPr/>
            </w:pPr>
            <w:r>
              <w:rPr/>
              <w:t>20,344,401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8" w:type="dxa"/>
            <w:tcBorders/>
            <w:shd w:fill="CCEEFF" w:val="clear"/>
            <w:tcMar>
              <w:bottom w:w="0" w:type="dxa"/>
            </w:tcMar>
            <w:vAlign w:val="center"/>
          </w:tcPr>
          <w:p>
            <w:pPr>
              <w:pStyle w:val="TableContents"/>
              <w:spacing w:before="0" w:after="283"/>
              <w:jc w:val="left"/>
              <w:rPr/>
            </w:pPr>
            <w:r>
              <w:rPr/>
              <w:t> </w:t>
            </w:r>
          </w:p>
        </w:tc>
        <w:tc>
          <w:tcPr>
            <w:tcW w:w="736" w:type="dxa"/>
            <w:tcBorders/>
            <w:shd w:fill="CCEEFF" w:val="clear"/>
            <w:tcMar>
              <w:bottom w:w="0" w:type="dxa"/>
            </w:tcMar>
            <w:vAlign w:val="center"/>
          </w:tcPr>
          <w:p>
            <w:pPr>
              <w:pStyle w:val="TableContents"/>
              <w:spacing w:before="0" w:after="283"/>
              <w:jc w:val="right"/>
              <w:rPr/>
            </w:pPr>
            <w:r>
              <w:rPr/>
              <w:t>44.40</w:t>
            </w:r>
          </w:p>
        </w:tc>
        <w:tc>
          <w:tcPr>
            <w:tcW w:w="230" w:type="dxa"/>
            <w:tcBorders/>
            <w:shd w:fill="CCEEFF" w:val="clear"/>
            <w:tcMar>
              <w:bottom w:w="0" w:type="dxa"/>
            </w:tcMar>
            <w:vAlign w:val="center"/>
          </w:tcPr>
          <w:p>
            <w:pPr>
              <w:pStyle w:val="TableContents"/>
              <w:spacing w:before="0" w:after="283"/>
              <w:jc w:val="left"/>
              <w:rPr/>
            </w:pPr>
            <w:r>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one percent.</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8"/>
        <w:gridCol w:w="9977"/>
      </w:tblGrid>
      <w:tr>
        <w:trPr/>
        <w:tc>
          <w:tcPr>
            <w:tcW w:w="22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Dynavolt Technology (HK) Ltd. (“</w:t>
            </w:r>
            <w:r>
              <w:rPr>
                <w:rFonts w:ascii="Times New Roman;Times;Serif" w:hAnsi="Times New Roman;Times;Serif"/>
                <w:b/>
                <w:i w:val="false"/>
                <w:caps w:val="false"/>
                <w:smallCaps w:val="false"/>
                <w:sz w:val="20"/>
              </w:rPr>
              <w:t>Dynavolt</w:t>
            </w:r>
            <w:r>
              <w:rPr>
                <w:rFonts w:ascii="Times New Roman;Times;Serif" w:hAnsi="Times New Roman;Times;Serif"/>
                <w:b w:val="false"/>
                <w:i w:val="false"/>
                <w:caps w:val="false"/>
                <w:smallCaps w:val="false"/>
                <w:sz w:val="20"/>
              </w:rPr>
              <w:t>”) on October 12, 2022. The business address of Dynavolt is Flat/Room 02-03 26/F, Bea Tower Millennium City 5, 418 Kwun Tong Road, Kwun Tong, Hong Kong.</w:t>
            </w:r>
          </w:p>
        </w:tc>
      </w:tr>
    </w:tbl>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96</w:t>
            </w:r>
          </w:p>
        </w:tc>
      </w:tr>
    </w:tbl>
    <w:p>
      <w:pPr>
        <w:pStyle w:val="TextBody"/>
        <w:spacing w:before="120" w:after="283"/>
        <w:rPr/>
      </w:pPr>
      <w:r>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joint Schedule 13D/A filed by Sponsor and Jonas Grossman on January 9, 2023. Mr. Grossman is the managing member of the Sponsor and the President and managing partner of CCM, an affiliate of the Sponsor. As such, Mr. Grossman may be deemed to have beneficial ownership of the 3,030,500 shares of common stock held directly by Chardan. Mr. Grossman disclaims any beneficial ownership of the reported shares other than to the extent of any pecuniary interest he may have therein, directly or indirectly. </w:t>
            </w:r>
          </w:p>
        </w:tc>
      </w:tr>
      <w:tr>
        <w:trPr/>
        <w:tc>
          <w:tcPr>
            <w:tcW w:w="31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15,000 shares issued to CCM. Mr. Kerry Propper, Mr. Steven Urbach and Mr. Jonas Grossman, are CCM’s Chairman, Chief Executive Officer and President, respectively, and are each Members and Managers of Chardan Securities LLC, which holds a controlling interest in CCM. Mr. Urbach has all investment and voting power over the 15,000 shares held by CCM. The business address of Sponsor, CCM, and Mr. Grossman is 17 State Street, 21st Floor, New York, NY 10004. CCM, an affiliate of the Sponsor and Warrant Holdings, is a broker-dealer and a member of the Financial Industry Regulatory Authority, Inc.</w:t>
            </w:r>
          </w:p>
        </w:tc>
      </w:tr>
      <w:tr>
        <w:trPr/>
        <w:tc>
          <w:tcPr>
            <w:tcW w:w="31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439,000 private warrants issuable upon exercise of outstanding warrants within 60 days of April 17, 2023. Excludes 1,062,386 private warrants, which Warrant Holdings LLC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tc>
      </w:tr>
      <w:tr>
        <w:trPr/>
        <w:tc>
          <w:tcPr>
            <w:tcW w:w="31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709,254 shares of common stock issuable upon exercise of outstanding stock options exercisable within 60 days of April 17, 2023. The business address of Mr. Gong is 930 Tahoe Blvd. Suite 802, PMB 860, Incline Village, Nevada 89451.</w:t>
            </w:r>
          </w:p>
        </w:tc>
      </w:tr>
      <w:tr>
        <w:trPr/>
        <w:tc>
          <w:tcPr>
            <w:tcW w:w="31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40,000,000 shares of common stock not yet payable as the earnout contingencies have not yet been met and will not be met within 60 days of April 17, 2023.</w:t>
            </w:r>
          </w:p>
        </w:tc>
      </w:tr>
      <w:tr>
        <w:trPr/>
        <w:tc>
          <w:tcPr>
            <w:tcW w:w="31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1,217,906 shares held on behalf of the Phares 2021 GRAT dated July 9, 2021, of which Dr. Phares is the trustee, and (ii) 147,760 shares of common stock issuable upon exercise of outstanding stock options exercisable within 60 days of April 17, 2023.</w:t>
            </w:r>
          </w:p>
        </w:tc>
      </w:tr>
      <w:tr>
        <w:trPr/>
        <w:tc>
          <w:tcPr>
            <w:tcW w:w="31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Sean Nichols, our former Chief Operating Officer, on October 12, 2022 and information available to us. Includes 54,393 shares of common stock held on behalf of the Nichols GRAT I dated June 14, 2021, and 3,383,142 shares of common stock held on behalf of the Nichols Living Trust 2015, each of which Mr. Nichols is the trustee. On November 7, 2022, Mr. Nichols resigned from his position as our Chief Operating Officer. Also includes 177,316 shares of common stock issuable upon exercise of outstanding stock options exercisable within 60 days of April 17, 2023.</w:t>
            </w:r>
          </w:p>
        </w:tc>
      </w:tr>
      <w:tr>
        <w:trPr/>
        <w:tc>
          <w:tcPr>
            <w:tcW w:w="31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55,188 shares of common stock issuable upon exercise of outstanding stock options exercisable within 60 days of April 17, 2023. On April 26, 2023, Ms. Harvey’s employment with us ended.</w:t>
            </w:r>
          </w:p>
        </w:tc>
      </w:tr>
      <w:tr>
        <w:trPr/>
        <w:tc>
          <w:tcPr>
            <w:tcW w:w="31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103,439 shares of common stock issuable upon exercise of outstanding stock options exercisable within 60 days of April 17, 2023.</w:t>
            </w:r>
          </w:p>
        </w:tc>
      </w:tr>
      <w:tr>
        <w:trPr/>
        <w:tc>
          <w:tcPr>
            <w:tcW w:w="31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19,953 shares of common stock issuable upon exercise of outstanding stock options exercisable within 60 days of April 17, 2023.</w:t>
            </w:r>
          </w:p>
        </w:tc>
      </w:tr>
      <w:tr>
        <w:trPr/>
        <w:tc>
          <w:tcPr>
            <w:tcW w:w="31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59,598 shares of common stock issuable upon exercise of outstanding stock options exercisable within 60 days of April 17, 2023.</w:t>
            </w:r>
          </w:p>
        </w:tc>
      </w:tr>
      <w:tr>
        <w:trPr/>
        <w:tc>
          <w:tcPr>
            <w:tcW w:w="31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27,594 shares of common stock issuable upon exercise of outstanding stock options exercisable within 60 days of April 17, 2023.</w:t>
            </w:r>
          </w:p>
        </w:tc>
      </w:tr>
    </w:tbl>
    <w:p>
      <w:pPr>
        <w:pStyle w:val="TextBody"/>
        <w:jc w:val="center"/>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97</w:t>
            </w:r>
          </w:p>
        </w:tc>
      </w:tr>
    </w:tbl>
    <w:p>
      <w:pPr>
        <w:pStyle w:val="TextBody"/>
        <w:spacing w:before="120" w:after="283"/>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39" w:name="Na_007"/>
      <w:bookmarkEnd w:id="39"/>
      <w:r>
        <w:rPr>
          <w:rFonts w:ascii="Times New Roman;Times;Serif" w:hAnsi="Times New Roman;Times;Serif"/>
          <w:b/>
          <w:i w:val="false"/>
          <w:caps w:val="false"/>
          <w:smallCaps w:val="false"/>
          <w:sz w:val="20"/>
        </w:rPr>
        <w:t>SELLING SECURITYHOLDERS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offer and sale of these securities to satisfy certain registration rights we have granted to the selling securityholders pursuant to the terms of the Registration Rights Agreement, the Private Warrants, the Public Warrants, the $10 Warrants and the Penny Warrants. The selling securityholders may offer and sell, from time to time, any or all of the shares of common stock or Private Warrants, Public Warrants and Penny Warrants being offered for resale by this prospectus, which consists of up to:</w:t>
      </w:r>
    </w:p>
    <w:p>
      <w:pPr>
        <w:pStyle w:val="TextBody"/>
        <w:spacing w:before="0" w:after="0"/>
        <w:ind w:left="0" w:right="0" w:hanging="0"/>
        <w:jc w:val="both"/>
        <w:rPr>
          <w:caps w:val="false"/>
          <w:smallCaps w:val="false"/>
        </w:rPr>
      </w:pPr>
      <w:r>
        <w:rPr>
          <w:caps w:val="false"/>
          <w:smallCaps w:val="false"/>
        </w:rPr>
        <w:t> </w:t>
      </w:r>
    </w:p>
    <w:tbl>
      <w:tblPr>
        <w:tblW w:w="3325" w:type="dxa"/>
        <w:jc w:val="left"/>
        <w:tblInd w:w="0" w:type="dxa"/>
        <w:tblCellMar>
          <w:top w:w="0" w:type="dxa"/>
          <w:left w:w="0" w:type="dxa"/>
          <w:bottom w:w="0" w:type="dxa"/>
          <w:right w:w="0" w:type="dxa"/>
        </w:tblCellMar>
      </w:tblPr>
      <w:tblGrid>
        <w:gridCol w:w="75"/>
        <w:gridCol w:w="170"/>
        <w:gridCol w:w="308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31,290,514 Consideration Shares;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08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236,417 Option Shares;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08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3,162,500 Founder Shares;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08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1,501,386 Private Warrants;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08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9,422,529 Public Warrants;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08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Penny Warrants;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08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1,501,386 Private Warrant Shares;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08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457,142 $10 Warrant Shares;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08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1,343,056 Penny Warrant Shares;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08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 PIPE Investment Shares.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offer and sell any or all of the shares of common stock or Private Warrants and Penny Warrants set forth below pursuant to this prospectus. In this prospectus, the term “selling securityholders” includes (i) the entities identified in the table below (as such table may be amended from time to time by means of an amendment to the registration statement of which this prospectus forms a part or by a supplement to this prospectus) and (ii) any donees, pledgees, transferees or other successors-in-interest that acquire any of the securities covered by this prospectus after the date of this prospectus from the named selling securityholders as a gift, pledge, partnership distribution or other non-sale related transfer.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as of the date of this prospectus, information regarding the beneficial ownership of our common stock and Private Warrants and Penny Warrants of each selling securityholder, the number of shares of common stock and number of Private Warrants and Penny Warrants that may be sold by each selling securityholder under this prospectus and that each selling securityholder will beneficially own after this offering. The immediately following table also sets forth the percentage of common stock beneficially owned by a selling securityholder after giving effect to the sale by the selling securityholder of all offered securities, based on 45,820,750 shares of common stock outstanding as of April 17,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table below, we have assumed that (i) no holders of Public Warrants exercise any of the outstanding Warrants, (ii) after termination of this offering, none of the shares of common stock covered by this prospectus will be beneficially owned by the selling securityholders and (iii) the selling securityholders will not acquire beneficial ownership of any additional securities during the offering. In addition, we assume that the selling securityholders have not sold, transferred or otherwise disposed of, our securities in transactions exempt from the registration requirements of the Securities Act. See “</w:t>
      </w:r>
      <w:r>
        <w:rPr>
          <w:rFonts w:ascii="Times New Roman;Times;Serif" w:hAnsi="Times New Roman;Times;Serif"/>
          <w:b w:val="false"/>
          <w:i/>
          <w:caps w:val="false"/>
          <w:smallCaps w:val="false"/>
          <w:sz w:val="20"/>
        </w:rPr>
        <w:t>Certain Relationships and Related Person Transactions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advise you as to whether the selling securityholders will in fact sell any or all of such common stock or warrants. In addition, the selling securityholders may sell, transfer or otherwise dispose of, at any time and from time to time, common stock and warrants in transactions exempt from the registration requirements of the Securities Act after the date of this prospectus.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98</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selling securityholders have an incentive to sell because they purchased shares and/or warrants at prices below the initial public offering price of $10 per share and/or below the recent trading prices of our securities. Given the substantial number of shares of common stock being registered for potential resale by the selling securityholders pursuant to this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initial public offering price and may cause the trading prices of our securities to experience a further decline. Since many of our public stockholders purchased shares at prices above, and the exercise price of our warrants exceeds, the recent trading prices for shares of our common stock, other of our securityholders may not experience a positive rate of return if they were to sell at the same prices.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securityholders information for each additional selling securityholders, if any, will be set forth by a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shares of common stock or Private Warrants, shares underlying the Penny Warrants registered on its behalf.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further information regarding the selling securityholders’ method of distributing these shares of common stock and Private Warrants and Penny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the address for each selling securityholders is c/o Dragonfly Energy Holdings Corp., 1190 Trademark Drive #108, Reno, Nevada 89521.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3"/>
        <w:gridCol w:w="60"/>
        <w:gridCol w:w="60"/>
        <w:gridCol w:w="1100"/>
        <w:gridCol w:w="60"/>
        <w:gridCol w:w="60"/>
        <w:gridCol w:w="60"/>
        <w:gridCol w:w="980"/>
        <w:gridCol w:w="60"/>
        <w:gridCol w:w="60"/>
        <w:gridCol w:w="60"/>
        <w:gridCol w:w="1100"/>
        <w:gridCol w:w="60"/>
        <w:gridCol w:w="60"/>
        <w:gridCol w:w="60"/>
        <w:gridCol w:w="560"/>
        <w:gridCol w:w="215"/>
        <w:gridCol w:w="60"/>
        <w:gridCol w:w="60"/>
        <w:gridCol w:w="980"/>
        <w:gridCol w:w="60"/>
        <w:gridCol w:w="60"/>
        <w:gridCol w:w="60"/>
        <w:gridCol w:w="440"/>
        <w:gridCol w:w="215"/>
        <w:gridCol w:w="60"/>
        <w:gridCol w:w="80"/>
        <w:gridCol w:w="902"/>
        <w:gridCol w:w="61"/>
        <w:gridCol w:w="61"/>
        <w:gridCol w:w="137"/>
        <w:gridCol w:w="873"/>
        <w:gridCol w:w="78"/>
      </w:tblGrid>
      <w:tr>
        <w:trPr/>
        <w:tc>
          <w:tcPr>
            <w:tcW w:w="140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Securities Beneficially</w:t>
              <w:br/>
              <w:t>Owned Prior to</w:t>
              <w:br/>
              <w:t>the Offering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35"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Securities Being Offered</w:t>
              <w:br/>
              <w:t>in the Offering</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14"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Securities </w:t>
              <w:br/>
              <w:t>Beneficially</w:t>
              <w:br/>
              <w:t xml:space="preserve">Owned After the </w:t>
              <w:br/>
              <w:t>Offered</w:t>
              <w:br/>
              <w:t>Securities are Sold</w:t>
            </w:r>
          </w:p>
        </w:tc>
        <w:tc>
          <w:tcPr>
            <w:tcW w:w="78" w:type="dxa"/>
            <w:tcBorders/>
            <w:shd w:fill="auto" w:val="clear"/>
            <w:vAlign w:val="center"/>
          </w:tcPr>
          <w:p>
            <w:pPr>
              <w:pStyle w:val="TableContents"/>
              <w:spacing w:before="0" w:after="283"/>
              <w:rPr/>
            </w:pPr>
            <w:r>
              <w:rPr/>
              <w:t> </w:t>
            </w:r>
          </w:p>
        </w:tc>
      </w:tr>
      <w:tr>
        <w:trPr/>
        <w:tc>
          <w:tcPr>
            <w:tcW w:w="1403" w:type="dxa"/>
            <w:tcBorders>
              <w:bottom w:val="single" w:sz="12" w:space="0" w:color="000000"/>
            </w:tcBorders>
            <w:shd w:fill="auto" w:val="clear"/>
            <w:tcMar>
              <w:bottom w:w="28" w:type="dxa"/>
            </w:tcMar>
            <w:vAlign w:val="center"/>
          </w:tcPr>
          <w:p>
            <w:pPr>
              <w:pStyle w:val="TableContents"/>
              <w:spacing w:before="0" w:after="283"/>
              <w:rPr>
                <w:b/>
              </w:rPr>
            </w:pPr>
            <w:r>
              <w:rPr>
                <w:b/>
              </w:rPr>
              <w:t>Name</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 of</w:t>
              <w:br/>
              <w:t>Common</w:t>
              <w:br/>
              <w:t>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Warrants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 of</w:t>
              <w:br/>
              <w:t>Common</w:t>
              <w:br/>
              <w:t>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Warrants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2"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 of</w:t>
              <w:br/>
              <w:t>Common</w:t>
              <w:br/>
              <w:t>Stock</w:t>
            </w:r>
          </w:p>
        </w:tc>
        <w:tc>
          <w:tcPr>
            <w:tcW w:w="6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Warrants</w:t>
            </w:r>
          </w:p>
        </w:tc>
        <w:tc>
          <w:tcPr>
            <w:tcW w:w="78" w:type="dxa"/>
            <w:tcBorders/>
            <w:shd w:fill="auto" w:val="clear"/>
            <w:vAlign w:val="center"/>
          </w:tcPr>
          <w:p>
            <w:pPr>
              <w:pStyle w:val="TableContents"/>
              <w:spacing w:before="0" w:after="283"/>
              <w:rPr/>
            </w:pPr>
            <w:r>
              <w:rPr/>
              <w:t> </w:t>
            </w:r>
          </w:p>
        </w:tc>
      </w:tr>
      <w:tr>
        <w:trPr/>
        <w:tc>
          <w:tcPr>
            <w:tcW w:w="1403"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Dr. Denis Phares</w:t>
            </w:r>
            <w:r>
              <w:rPr>
                <w:rFonts w:ascii="Times New Roman;Times;Serif" w:hAnsi="Times New Roman;Times;Serif"/>
                <w:position w:val="-6"/>
                <w:sz w:val="16"/>
                <w:sz w:val="20"/>
              </w:rPr>
              <w:t>(1)(2)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16,251,136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15,899,110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34.70</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352,026</w:t>
            </w:r>
          </w:p>
        </w:tc>
        <w:tc>
          <w:tcPr>
            <w:tcW w:w="61"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w:t>
            </w:r>
          </w:p>
        </w:tc>
        <w:tc>
          <w:tcPr>
            <w:tcW w:w="78" w:type="dxa"/>
            <w:tcBorders/>
            <w:shd w:fill="CCEEFF" w:val="clear"/>
            <w:vAlign w:val="center"/>
          </w:tcPr>
          <w:p>
            <w:pPr>
              <w:pStyle w:val="TableContents"/>
              <w:spacing w:before="0" w:after="283"/>
              <w:jc w:val="left"/>
              <w:rPr/>
            </w:pPr>
            <w:r>
              <w:rPr/>
              <w:t> </w:t>
            </w:r>
          </w:p>
        </w:tc>
      </w:tr>
      <w:tr>
        <w:trPr/>
        <w:tc>
          <w:tcPr>
            <w:tcW w:w="1403" w:type="dxa"/>
            <w:tcBorders/>
            <w:shd w:fill="FFFFFF" w:val="clear"/>
            <w:vAlign w:val="center"/>
          </w:tcPr>
          <w:p>
            <w:pPr>
              <w:pStyle w:val="TableContents"/>
              <w:spacing w:before="0" w:after="283"/>
              <w:jc w:val="left"/>
              <w:rPr/>
            </w:pPr>
            <w:r>
              <w:rPr/>
              <w:t>Dynavolt Technology (HK) Ltd.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11,820,900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11,820,900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25.80</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pPr>
            <w:r>
              <w:rPr/>
              <w:t>—</w:t>
            </w:r>
          </w:p>
        </w:tc>
        <w:tc>
          <w:tcPr>
            <w:tcW w:w="61"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w:t>
            </w:r>
          </w:p>
        </w:tc>
        <w:tc>
          <w:tcPr>
            <w:tcW w:w="78" w:type="dxa"/>
            <w:tcBorders/>
            <w:shd w:fill="FFFFFF" w:val="clear"/>
            <w:vAlign w:val="center"/>
          </w:tcPr>
          <w:p>
            <w:pPr>
              <w:pStyle w:val="TableContents"/>
              <w:spacing w:before="0" w:after="283"/>
              <w:jc w:val="left"/>
              <w:rPr/>
            </w:pPr>
            <w:r>
              <w:rPr/>
              <w:t> </w:t>
            </w:r>
          </w:p>
        </w:tc>
      </w:tr>
      <w:tr>
        <w:trPr/>
        <w:tc>
          <w:tcPr>
            <w:tcW w:w="140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Jonas Grossman</w:t>
            </w:r>
            <w:r>
              <w:rPr>
                <w:rFonts w:ascii="Times New Roman;Times;Serif" w:hAnsi="Times New Roman;Times;Serif"/>
                <w:position w:val="-6"/>
                <w:sz w:val="16"/>
                <w:sz w:val="20"/>
              </w:rPr>
              <w:t>(3)(4)(5)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3,030,500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3,030,500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6.61</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w:t>
            </w:r>
          </w:p>
        </w:tc>
        <w:tc>
          <w:tcPr>
            <w:tcW w:w="61"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w:t>
            </w:r>
          </w:p>
        </w:tc>
        <w:tc>
          <w:tcPr>
            <w:tcW w:w="78" w:type="dxa"/>
            <w:tcBorders/>
            <w:shd w:fill="CCEEFF" w:val="clear"/>
            <w:vAlign w:val="center"/>
          </w:tcPr>
          <w:p>
            <w:pPr>
              <w:pStyle w:val="TableContents"/>
              <w:spacing w:before="0" w:after="283"/>
              <w:jc w:val="left"/>
              <w:rPr/>
            </w:pPr>
            <w:r>
              <w:rPr/>
              <w:t> </w:t>
            </w:r>
          </w:p>
        </w:tc>
      </w:tr>
      <w:tr>
        <w:trPr/>
        <w:tc>
          <w:tcPr>
            <w:tcW w:w="1403" w:type="dxa"/>
            <w:tcBorders/>
            <w:shd w:fill="FFFFFF" w:val="clear"/>
            <w:vAlign w:val="center"/>
          </w:tcPr>
          <w:p>
            <w:pPr>
              <w:pStyle w:val="TableContents"/>
              <w:spacing w:before="0" w:after="283"/>
              <w:jc w:val="left"/>
              <w:rPr/>
            </w:pPr>
            <w:r>
              <w:rPr>
                <w:rFonts w:ascii="Times New Roman;Times;Serif" w:hAnsi="Times New Roman;Times;Serif"/>
                <w:sz w:val="20"/>
              </w:rPr>
              <w:t>Chardan NexTech Investments 2 LLC</w:t>
            </w:r>
            <w:r>
              <w:rPr>
                <w:rFonts w:ascii="Times New Roman;Times;Serif" w:hAnsi="Times New Roman;Times;Serif"/>
                <w:position w:val="-6"/>
                <w:sz w:val="16"/>
                <w:sz w:val="20"/>
              </w:rPr>
              <w:t>(3)(4)</w:t>
            </w:r>
            <w:r>
              <w:rPr>
                <w:rFonts w:cs="Times New Roman;Times;Serif"/>
                <w:szCs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3,030,500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3,030,500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6.61</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pPr>
            <w:r>
              <w:rPr/>
              <w:t>—</w:t>
            </w:r>
          </w:p>
        </w:tc>
        <w:tc>
          <w:tcPr>
            <w:tcW w:w="61"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w:t>
            </w:r>
          </w:p>
        </w:tc>
        <w:tc>
          <w:tcPr>
            <w:tcW w:w="78" w:type="dxa"/>
            <w:tcBorders/>
            <w:shd w:fill="FFFFFF" w:val="clear"/>
            <w:vAlign w:val="center"/>
          </w:tcPr>
          <w:p>
            <w:pPr>
              <w:pStyle w:val="TableContents"/>
              <w:spacing w:before="0" w:after="283"/>
              <w:jc w:val="left"/>
              <w:rPr/>
            </w:pPr>
            <w:r>
              <w:rPr/>
              <w:t> </w:t>
            </w:r>
          </w:p>
        </w:tc>
      </w:tr>
      <w:tr>
        <w:trPr/>
        <w:tc>
          <w:tcPr>
            <w:tcW w:w="1403" w:type="dxa"/>
            <w:tcBorders/>
            <w:shd w:fill="CCEEFF" w:val="clear"/>
            <w:vAlign w:val="center"/>
          </w:tcPr>
          <w:p>
            <w:pPr>
              <w:pStyle w:val="TableContents"/>
              <w:spacing w:before="0" w:after="283"/>
              <w:jc w:val="left"/>
              <w:rPr/>
            </w:pPr>
            <w:r>
              <w:rPr>
                <w:rFonts w:ascii="Times New Roman;Times;Serif" w:hAnsi="Times New Roman;Times;Serif"/>
                <w:sz w:val="20"/>
              </w:rPr>
              <w:t>Chardan NexTech 2 Warrant</w:t>
              <w:br/>
              <w:t>Holdings LLC</w:t>
            </w:r>
            <w:r>
              <w:rPr>
                <w:rFonts w:cs="Times New Roman;Times;Serif"/>
                <w:szCs w:val="20"/>
              </w:rPr>
              <w:t>﻿</w:t>
            </w:r>
            <w:r>
              <w:rPr>
                <w:rFonts w:ascii="Times New Roman;Times;Serif" w:hAnsi="Times New Roman;Times;Serif"/>
                <w:position w:val="-6"/>
                <w:sz w:val="16"/>
                <w:sz w:val="20"/>
              </w:rPr>
              <w:t>(6)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1,501,386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1,501,386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3.17</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w:t>
            </w:r>
          </w:p>
        </w:tc>
        <w:tc>
          <w:tcPr>
            <w:tcW w:w="61"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w:t>
            </w:r>
          </w:p>
        </w:tc>
        <w:tc>
          <w:tcPr>
            <w:tcW w:w="78" w:type="dxa"/>
            <w:tcBorders/>
            <w:shd w:fill="CCEEFF" w:val="clear"/>
            <w:vAlign w:val="center"/>
          </w:tcPr>
          <w:p>
            <w:pPr>
              <w:pStyle w:val="TableContents"/>
              <w:spacing w:before="0" w:after="283"/>
              <w:jc w:val="left"/>
              <w:rPr/>
            </w:pPr>
            <w:r>
              <w:rPr/>
              <w:t> </w:t>
            </w:r>
          </w:p>
        </w:tc>
      </w:tr>
      <w:tr>
        <w:trPr/>
        <w:tc>
          <w:tcPr>
            <w:tcW w:w="140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Sean Nichols</w:t>
            </w:r>
            <w:r>
              <w:rPr>
                <w:rFonts w:ascii="Times New Roman;Times;Serif" w:hAnsi="Times New Roman;Times;Serif"/>
                <w:position w:val="-6"/>
                <w:sz w:val="16"/>
                <w:sz w:val="20"/>
              </w:rPr>
              <w:t>(1)(7)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3,735,999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3,558,683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7.77</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pPr>
            <w:r>
              <w:rPr/>
              <w:t>177,316</w:t>
            </w:r>
          </w:p>
        </w:tc>
        <w:tc>
          <w:tcPr>
            <w:tcW w:w="61"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w:t>
            </w:r>
          </w:p>
        </w:tc>
        <w:tc>
          <w:tcPr>
            <w:tcW w:w="78" w:type="dxa"/>
            <w:tcBorders/>
            <w:shd w:fill="FFFFFF" w:val="clear"/>
            <w:vAlign w:val="center"/>
          </w:tcPr>
          <w:p>
            <w:pPr>
              <w:pStyle w:val="TableContents"/>
              <w:spacing w:before="0" w:after="283"/>
              <w:jc w:val="left"/>
              <w:rPr/>
            </w:pPr>
            <w:r>
              <w:rPr/>
              <w:t> </w:t>
            </w:r>
          </w:p>
        </w:tc>
      </w:tr>
      <w:tr>
        <w:trPr/>
        <w:tc>
          <w:tcPr>
            <w:tcW w:w="140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John Marchetti</w:t>
            </w:r>
            <w:r>
              <w:rPr>
                <w:rFonts w:ascii="Times New Roman;Times;Serif" w:hAnsi="Times New Roman;Times;Serif"/>
                <w:position w:val="-6"/>
                <w:sz w:val="16"/>
                <w:sz w:val="20"/>
              </w:rPr>
              <w:t>(8)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322,550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236,417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86,133</w:t>
            </w:r>
          </w:p>
        </w:tc>
        <w:tc>
          <w:tcPr>
            <w:tcW w:w="61"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w:t>
            </w:r>
          </w:p>
        </w:tc>
        <w:tc>
          <w:tcPr>
            <w:tcW w:w="78" w:type="dxa"/>
            <w:tcBorders/>
            <w:shd w:fill="CCEEFF" w:val="clear"/>
            <w:vAlign w:val="center"/>
          </w:tcPr>
          <w:p>
            <w:pPr>
              <w:pStyle w:val="TableContents"/>
              <w:spacing w:before="0" w:after="283"/>
              <w:jc w:val="left"/>
              <w:rPr/>
            </w:pPr>
            <w:r>
              <w:rPr/>
              <w:t> </w:t>
            </w:r>
          </w:p>
        </w:tc>
      </w:tr>
      <w:tr>
        <w:trPr/>
        <w:tc>
          <w:tcPr>
            <w:tcW w:w="140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Nicole Harvey</w:t>
            </w:r>
            <w:r>
              <w:rPr>
                <w:rFonts w:ascii="Times New Roman;Times;Serif" w:hAnsi="Times New Roman;Times;Serif"/>
                <w:position w:val="-6"/>
                <w:sz w:val="16"/>
                <w:sz w:val="20"/>
              </w:rPr>
              <w:t>(9)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141,809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11,821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pPr>
            <w:r>
              <w:rPr/>
              <w:t>129,988</w:t>
            </w:r>
          </w:p>
        </w:tc>
        <w:tc>
          <w:tcPr>
            <w:tcW w:w="61"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w:t>
            </w:r>
          </w:p>
        </w:tc>
        <w:tc>
          <w:tcPr>
            <w:tcW w:w="78" w:type="dxa"/>
            <w:tcBorders/>
            <w:shd w:fill="FFFFFF" w:val="clear"/>
            <w:vAlign w:val="center"/>
          </w:tcPr>
          <w:p>
            <w:pPr>
              <w:pStyle w:val="TableContents"/>
              <w:spacing w:before="0" w:after="283"/>
              <w:jc w:val="left"/>
              <w:rPr/>
            </w:pPr>
            <w:r>
              <w:rPr/>
              <w:t> </w:t>
            </w:r>
          </w:p>
        </w:tc>
      </w:tr>
      <w:tr>
        <w:trPr/>
        <w:tc>
          <w:tcPr>
            <w:tcW w:w="1403" w:type="dxa"/>
            <w:tcBorders/>
            <w:shd w:fill="CCEEFF" w:val="clear"/>
            <w:vAlign w:val="center"/>
          </w:tcPr>
          <w:p>
            <w:pPr>
              <w:pStyle w:val="TableContents"/>
              <w:spacing w:before="0" w:after="283"/>
              <w:jc w:val="left"/>
              <w:rPr/>
            </w:pPr>
            <w:r>
              <w:rPr>
                <w:rFonts w:ascii="Times New Roman;Times;Serif" w:hAnsi="Times New Roman;Times;Serif"/>
                <w:sz w:val="20"/>
              </w:rPr>
              <w:t>Chardan Capital Markets LLC</w:t>
            </w:r>
            <w:r>
              <w:rPr>
                <w:rFonts w:cs="Times New Roman;Times;Serif"/>
                <w:szCs w:val="20"/>
              </w:rPr>
              <w:t>﻿</w:t>
            </w:r>
            <w:r>
              <w:rPr>
                <w:rFonts w:ascii="Times New Roman;Times;Serif" w:hAnsi="Times New Roman;Times;Serif"/>
                <w:position w:val="-6"/>
                <w:sz w:val="16"/>
                <w:sz w:val="20"/>
              </w:rPr>
              <w:t>(10)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w:t>
            </w:r>
          </w:p>
        </w:tc>
        <w:tc>
          <w:tcPr>
            <w:tcW w:w="61"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w:t>
            </w:r>
          </w:p>
        </w:tc>
        <w:tc>
          <w:tcPr>
            <w:tcW w:w="78" w:type="dxa"/>
            <w:tcBorders/>
            <w:shd w:fill="CCEEFF" w:val="clear"/>
            <w:vAlign w:val="center"/>
          </w:tcPr>
          <w:p>
            <w:pPr>
              <w:pStyle w:val="TableContents"/>
              <w:spacing w:before="0" w:after="283"/>
              <w:jc w:val="left"/>
              <w:rPr/>
            </w:pPr>
            <w:r>
              <w:rPr/>
              <w:t> </w:t>
            </w:r>
          </w:p>
        </w:tc>
      </w:tr>
      <w:tr>
        <w:trPr/>
        <w:tc>
          <w:tcPr>
            <w:tcW w:w="1403" w:type="dxa"/>
            <w:tcBorders/>
            <w:shd w:fill="FFFFFF" w:val="clear"/>
            <w:vAlign w:val="center"/>
          </w:tcPr>
          <w:p>
            <w:pPr>
              <w:pStyle w:val="TableContents"/>
              <w:spacing w:before="0" w:after="283"/>
              <w:jc w:val="left"/>
              <w:rPr/>
            </w:pPr>
            <w:r>
              <w:rPr/>
              <w:t>Jonathan Biele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22,000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22,000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pPr>
            <w:r>
              <w:rPr/>
              <w:t>—</w:t>
            </w:r>
          </w:p>
        </w:tc>
        <w:tc>
          <w:tcPr>
            <w:tcW w:w="61"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w:t>
            </w:r>
          </w:p>
        </w:tc>
        <w:tc>
          <w:tcPr>
            <w:tcW w:w="78" w:type="dxa"/>
            <w:tcBorders/>
            <w:shd w:fill="FFFFFF" w:val="clear"/>
            <w:vAlign w:val="center"/>
          </w:tcPr>
          <w:p>
            <w:pPr>
              <w:pStyle w:val="TableContents"/>
              <w:spacing w:before="0" w:after="283"/>
              <w:jc w:val="left"/>
              <w:rPr/>
            </w:pPr>
            <w:r>
              <w:rPr/>
              <w:t> </w:t>
            </w:r>
          </w:p>
        </w:tc>
      </w:tr>
      <w:tr>
        <w:trPr/>
        <w:tc>
          <w:tcPr>
            <w:tcW w:w="1403" w:type="dxa"/>
            <w:tcBorders/>
            <w:shd w:fill="CCEEFF" w:val="clear"/>
            <w:vAlign w:val="center"/>
          </w:tcPr>
          <w:p>
            <w:pPr>
              <w:pStyle w:val="TableContents"/>
              <w:spacing w:before="0" w:after="283"/>
              <w:jc w:val="left"/>
              <w:rPr/>
            </w:pPr>
            <w:r>
              <w:rPr/>
              <w:t>Perry Boyle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w:t>
            </w:r>
          </w:p>
        </w:tc>
        <w:tc>
          <w:tcPr>
            <w:tcW w:w="61"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w:t>
            </w:r>
          </w:p>
        </w:tc>
        <w:tc>
          <w:tcPr>
            <w:tcW w:w="78" w:type="dxa"/>
            <w:tcBorders/>
            <w:shd w:fill="CCEEFF" w:val="clear"/>
            <w:vAlign w:val="center"/>
          </w:tcPr>
          <w:p>
            <w:pPr>
              <w:pStyle w:val="TableContents"/>
              <w:spacing w:before="0" w:after="283"/>
              <w:jc w:val="left"/>
              <w:rPr/>
            </w:pPr>
            <w:r>
              <w:rPr/>
              <w:t> </w:t>
            </w:r>
          </w:p>
        </w:tc>
      </w:tr>
      <w:tr>
        <w:trPr/>
        <w:tc>
          <w:tcPr>
            <w:tcW w:w="1403" w:type="dxa"/>
            <w:tcBorders/>
            <w:shd w:fill="FFFFFF" w:val="clear"/>
            <w:vAlign w:val="center"/>
          </w:tcPr>
          <w:p>
            <w:pPr>
              <w:pStyle w:val="TableContents"/>
              <w:spacing w:before="0" w:after="283"/>
              <w:jc w:val="left"/>
              <w:rPr/>
            </w:pPr>
            <w:r>
              <w:rPr/>
              <w:t>Roderick Hardamon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22,000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22,000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pPr>
            <w:r>
              <w:rPr/>
              <w:t>—</w:t>
            </w:r>
          </w:p>
        </w:tc>
        <w:tc>
          <w:tcPr>
            <w:tcW w:w="61"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w:t>
            </w:r>
          </w:p>
        </w:tc>
        <w:tc>
          <w:tcPr>
            <w:tcW w:w="78" w:type="dxa"/>
            <w:tcBorders/>
            <w:shd w:fill="FFFFFF" w:val="clear"/>
            <w:vAlign w:val="center"/>
          </w:tcPr>
          <w:p>
            <w:pPr>
              <w:pStyle w:val="TableContents"/>
              <w:spacing w:before="0" w:after="283"/>
              <w:jc w:val="left"/>
              <w:rPr/>
            </w:pPr>
            <w:r>
              <w:rPr/>
              <w:t> </w:t>
            </w:r>
          </w:p>
        </w:tc>
      </w:tr>
      <w:tr>
        <w:trPr/>
        <w:tc>
          <w:tcPr>
            <w:tcW w:w="1403" w:type="dxa"/>
            <w:tcBorders/>
            <w:shd w:fill="CCEEFF" w:val="clear"/>
            <w:vAlign w:val="center"/>
          </w:tcPr>
          <w:p>
            <w:pPr>
              <w:pStyle w:val="TableContents"/>
              <w:spacing w:before="0" w:after="283"/>
              <w:jc w:val="left"/>
              <w:rPr/>
            </w:pPr>
            <w:r>
              <w:rPr/>
              <w:t>Jory Des Jardins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w:t>
            </w:r>
          </w:p>
        </w:tc>
        <w:tc>
          <w:tcPr>
            <w:tcW w:w="61"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w:t>
            </w:r>
          </w:p>
        </w:tc>
        <w:tc>
          <w:tcPr>
            <w:tcW w:w="78" w:type="dxa"/>
            <w:tcBorders/>
            <w:shd w:fill="CCEEFF" w:val="clear"/>
            <w:vAlign w:val="center"/>
          </w:tcPr>
          <w:p>
            <w:pPr>
              <w:pStyle w:val="TableContents"/>
              <w:spacing w:before="0" w:after="283"/>
              <w:jc w:val="left"/>
              <w:rPr/>
            </w:pPr>
            <w:r>
              <w:rPr/>
              <w:t> </w:t>
            </w:r>
          </w:p>
        </w:tc>
      </w:tr>
      <w:tr>
        <w:trPr/>
        <w:tc>
          <w:tcPr>
            <w:tcW w:w="1403" w:type="dxa"/>
            <w:tcBorders/>
            <w:shd w:fill="FFFFFF" w:val="clear"/>
            <w:vAlign w:val="center"/>
          </w:tcPr>
          <w:p>
            <w:pPr>
              <w:pStyle w:val="TableContents"/>
              <w:spacing w:before="0" w:after="283"/>
              <w:jc w:val="left"/>
              <w:rPr/>
            </w:pPr>
            <w:r>
              <w:rPr/>
              <w:t>Hitesh Thakrar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22,000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22,000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pPr>
            <w:r>
              <w:rPr/>
              <w:t>—</w:t>
            </w:r>
          </w:p>
        </w:tc>
        <w:tc>
          <w:tcPr>
            <w:tcW w:w="61"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w:t>
            </w:r>
          </w:p>
        </w:tc>
        <w:tc>
          <w:tcPr>
            <w:tcW w:w="78" w:type="dxa"/>
            <w:tcBorders/>
            <w:shd w:fill="FFFFFF" w:val="clear"/>
            <w:vAlign w:val="center"/>
          </w:tcPr>
          <w:p>
            <w:pPr>
              <w:pStyle w:val="TableContents"/>
              <w:spacing w:before="0" w:after="283"/>
              <w:jc w:val="left"/>
              <w:rPr/>
            </w:pPr>
            <w:r>
              <w:rPr/>
              <w:t> </w:t>
            </w:r>
          </w:p>
        </w:tc>
      </w:tr>
      <w:tr>
        <w:trPr/>
        <w:tc>
          <w:tcPr>
            <w:tcW w:w="1403" w:type="dxa"/>
            <w:tcBorders/>
            <w:shd w:fill="CCEEFF" w:val="clear"/>
            <w:vAlign w:val="center"/>
          </w:tcPr>
          <w:p>
            <w:pPr>
              <w:pStyle w:val="TableContents"/>
              <w:spacing w:before="0" w:after="283"/>
              <w:jc w:val="left"/>
              <w:rPr/>
            </w:pPr>
            <w:r>
              <w:rPr/>
              <w:t>Todd Thomson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w:t>
            </w:r>
          </w:p>
        </w:tc>
        <w:tc>
          <w:tcPr>
            <w:tcW w:w="61"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w:t>
            </w:r>
          </w:p>
        </w:tc>
        <w:tc>
          <w:tcPr>
            <w:tcW w:w="78" w:type="dxa"/>
            <w:tcBorders/>
            <w:shd w:fill="CCEEFF" w:val="clear"/>
            <w:vAlign w:val="center"/>
          </w:tcPr>
          <w:p>
            <w:pPr>
              <w:pStyle w:val="TableContents"/>
              <w:spacing w:before="0" w:after="283"/>
              <w:jc w:val="left"/>
              <w:rPr/>
            </w:pPr>
            <w:r>
              <w:rPr/>
              <w:t> </w:t>
            </w:r>
          </w:p>
        </w:tc>
      </w:tr>
      <w:tr>
        <w:trPr/>
        <w:tc>
          <w:tcPr>
            <w:tcW w:w="1403" w:type="dxa"/>
            <w:tcBorders/>
            <w:shd w:fill="FFFF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BP Holdings XVII LP</w:t>
            </w:r>
            <w:r>
              <w:rPr>
                <w:rFonts w:ascii="Times New Roman;Times;Serif" w:hAnsi="Times New Roman;Times;Serif"/>
                <w:position w:val="-6"/>
                <w:sz w:val="16"/>
                <w:sz w:val="20"/>
              </w:rPr>
              <w:t>(11)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274,285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1,056,228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274,285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1,055,834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2.25</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pPr>
            <w:r>
              <w:rPr/>
              <w:t>—</w:t>
            </w:r>
          </w:p>
        </w:tc>
        <w:tc>
          <w:tcPr>
            <w:tcW w:w="61"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394</w:t>
            </w:r>
          </w:p>
        </w:tc>
        <w:tc>
          <w:tcPr>
            <w:tcW w:w="78" w:type="dxa"/>
            <w:tcBorders/>
            <w:shd w:fill="FFFFFF" w:val="clear"/>
            <w:vAlign w:val="center"/>
          </w:tcPr>
          <w:p>
            <w:pPr>
              <w:pStyle w:val="TableContents"/>
              <w:spacing w:before="0" w:after="283"/>
              <w:jc w:val="left"/>
              <w:rPr/>
            </w:pPr>
            <w:r>
              <w:rPr/>
              <w:t> </w:t>
            </w:r>
          </w:p>
        </w:tc>
      </w:tr>
      <w:tr>
        <w:trPr/>
        <w:tc>
          <w:tcPr>
            <w:tcW w:w="1403" w:type="dxa"/>
            <w:tcBorders/>
            <w:shd w:fill="CCEEFF" w:val="clear"/>
            <w:vAlign w:val="center"/>
          </w:tcPr>
          <w:p>
            <w:pPr>
              <w:pStyle w:val="TableContents"/>
              <w:spacing w:before="0" w:after="283"/>
              <w:jc w:val="left"/>
              <w:rPr/>
            </w:pPr>
            <w:r>
              <w:rPr>
                <w:rFonts w:ascii="Times New Roman;Times;Serif" w:hAnsi="Times New Roman;Times;Serif"/>
                <w:sz w:val="20"/>
              </w:rPr>
              <w:t>Energy Impact Credit Fund II LP</w:t>
            </w:r>
            <w:r>
              <w:rPr>
                <w:rFonts w:cs="Times New Roman;Times;Serif"/>
                <w:szCs w:val="20"/>
              </w:rPr>
              <w:t>﻿</w:t>
            </w:r>
            <w:r>
              <w:rPr>
                <w:rFonts w:ascii="Times New Roman;Times;Serif" w:hAnsi="Times New Roman;Times;Serif"/>
                <w:position w:val="-6"/>
                <w:sz w:val="16"/>
                <w:sz w:val="20"/>
              </w:rPr>
              <w:t>(12)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121,920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191,638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121,920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191,567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w:t>
            </w:r>
          </w:p>
        </w:tc>
        <w:tc>
          <w:tcPr>
            <w:tcW w:w="61"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71</w:t>
            </w:r>
          </w:p>
        </w:tc>
        <w:tc>
          <w:tcPr>
            <w:tcW w:w="78" w:type="dxa"/>
            <w:tcBorders/>
            <w:shd w:fill="CCEEFF" w:val="clear"/>
            <w:vAlign w:val="center"/>
          </w:tcPr>
          <w:p>
            <w:pPr>
              <w:pStyle w:val="TableContents"/>
              <w:spacing w:before="0" w:after="283"/>
              <w:jc w:val="left"/>
              <w:rPr/>
            </w:pPr>
            <w:r>
              <w:rPr/>
              <w:t> </w:t>
            </w:r>
          </w:p>
        </w:tc>
      </w:tr>
      <w:tr>
        <w:trPr/>
        <w:tc>
          <w:tcPr>
            <w:tcW w:w="1403" w:type="dxa"/>
            <w:tcBorders/>
            <w:shd w:fill="FFFFFF" w:val="clear"/>
            <w:vAlign w:val="center"/>
          </w:tcPr>
          <w:p>
            <w:pPr>
              <w:pStyle w:val="TableContents"/>
              <w:spacing w:before="0" w:after="283"/>
              <w:jc w:val="left"/>
              <w:rPr/>
            </w:pPr>
            <w:r>
              <w:rPr>
                <w:rFonts w:ascii="Times New Roman;Times;Serif" w:hAnsi="Times New Roman;Times;Serif"/>
                <w:sz w:val="20"/>
              </w:rPr>
              <w:t>Energy Impact Credit Fund I LP</w:t>
            </w:r>
            <w:r>
              <w:rPr>
                <w:rFonts w:cs="Times New Roman;Times;Serif"/>
                <w:szCs w:val="20"/>
              </w:rPr>
              <w:t>﻿</w:t>
            </w:r>
            <w:r>
              <w:rPr>
                <w:rFonts w:ascii="Times New Roman;Times;Serif" w:hAnsi="Times New Roman;Times;Serif"/>
                <w:position w:val="-6"/>
                <w:sz w:val="16"/>
                <w:sz w:val="20"/>
              </w:rPr>
              <w:t>(13)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60,937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95,691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60,937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95,655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440" w:type="dxa"/>
            <w:tcBorders/>
            <w:shd w:fill="FFFFFF" w:val="clear"/>
            <w:vAlign w:val="center"/>
          </w:tcPr>
          <w:p>
            <w:pPr>
              <w:pStyle w:val="TableContents"/>
              <w:spacing w:before="0" w:after="283"/>
              <w:jc w:val="right"/>
              <w:rPr/>
            </w:pPr>
            <w:r>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pPr>
            <w:r>
              <w:rPr/>
              <w:t>—</w:t>
            </w:r>
          </w:p>
        </w:tc>
        <w:tc>
          <w:tcPr>
            <w:tcW w:w="61"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36</w:t>
            </w:r>
          </w:p>
        </w:tc>
        <w:tc>
          <w:tcPr>
            <w:tcW w:w="78"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less than one percent.</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5"/>
        <w:gridCol w:w="9935"/>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40,000,000 Earnout Shares of common stock as the earnout contingencies have not yet been met.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1,217,906 shares held on behalf of the Phares 2021 GRAT dated July 9, 2021, of which Dr. Phares is trustee, and (ii) 147,760 shares of common stock issuable upon exercise of outstanding stock options exercisable within 60 days of April 17, 2023.</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Jonas Grossman is the managing member of Sponsor. As such, Mr. Grossman may be deemed to have beneficial ownership of the common stock held directly by Sponsor. Mr. Grossman disclaims any beneficial ownership of the reported shares other than to the extent of any pecuniary interest he may have therein, directly or indirectly. Certain other employees of CCM or its affiliates, have direct or indirect membership interests in Sponsor, and thus have pecuniary interests in certain of the reported shares. The business address of Sponsor and Mr. Grossman is 17 State Street, 21st Floor, New York, NY 10004.</w:t>
            </w:r>
          </w:p>
        </w:tc>
      </w:tr>
    </w:tbl>
    <w:p>
      <w:pPr>
        <w:pStyle w:val="TextBody"/>
        <w:spacing w:before="0" w:after="0"/>
        <w:ind w:left="720" w:right="0" w:hanging="36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99</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94"/>
        <w:gridCol w:w="9836"/>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3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joint Schedule 13D/A filed by the Sponsor and Mr. Grossman on January 9, 2023.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3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1,501,386 CNTQ private warrants, which Warrant Holdings has agreed not to exercise to the extent that Warrant Holdings and its affiliates would be deemed to beneficially own more than 7.5% of the shares of common stock outstanding immediately after giving effect to such exercise. Warrant Holdings is an affiliate of the Sponsor. The business address of Warrant Holdings is 17 State Street, 21st Floor, New York, NY 10004.</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3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1,501,386 CNTQ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3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Sean Nichols, our former Chief Operating Officer, on October 12, 2022 and information available to us. Includes 54,393 shares of common stock held on behalf of the Nichols GRAT I dated June 14, 2021, and 3,383,142 shares of common stock held on behalf of the Nichols Living Trust 2015, each of which Mr. Nichols is the trustee. On November 7, 2022, Mr. Nichols resigned from his position as our Chief Operating Officer. Also includes 177,316 shares of common stock issuable upon exercise of outstanding stock options exercisable within 60 days of April 17, 2023.</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3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103,439 shares of common stock issuable upon exercise of outstanding stock options exercisable within 60 days of April 17, 2023 and 132,978 shares of common stock issuable upon exercise of outstanding stock options that are not exercisable within 60 days of April 17, 2023.</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3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55,188 shares of common stock issuable upon exercise of outstanding stock options exercisable within 60 days of April 17, 2023. On April 26, 2023, Ms. Harvey’s employment with us ended.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3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 We have excluded from the number of shares beneficially owned prior to the offering all of the shares that CCM may be required to purchase upon the terms of the ChEF Equity Facility, because the issuance of such shares of common stock is solely at our discretion and is subject to conditions and limitations contained in the Purchase Agreement, the satisfaction of which are entirely outside of CCM’s control.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3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274,285 shares issued upon exercise of the $10 Warrants and 1,056,228 shares underlying the Penny Warrants.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3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121,920 shares issued upon exercise of the $10 Warrants and 191,638 shares underlying the Penny Warrants.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3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60,937 shares issued upon exercise of the $10 Warrants and 95,691 shares underlying the Penny Warrants.</w:t>
            </w:r>
          </w:p>
        </w:tc>
      </w:tr>
    </w:tbl>
    <w:p>
      <w:pPr>
        <w:pStyle w:val="TextBody"/>
        <w:spacing w:before="0" w:after="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410"/>
      </w:tblGrid>
      <w:tr>
        <w:trPr/>
        <w:tc>
          <w:tcPr>
            <w:tcW w:w="410" w:type="dxa"/>
            <w:tcBorders/>
            <w:shd w:fill="auto" w:val="clear"/>
            <w:vAlign w:val="center"/>
          </w:tcPr>
          <w:p>
            <w:pPr>
              <w:pStyle w:val="TableContents"/>
              <w:spacing w:before="0" w:after="283"/>
              <w:jc w:val="center"/>
              <w:rPr/>
            </w:pPr>
            <w:r>
              <w:rPr/>
              <w:t>100</w:t>
            </w:r>
          </w:p>
        </w:tc>
      </w:tr>
    </w:tbl>
    <w:p>
      <w:pPr>
        <w:pStyle w:val="TextBody"/>
        <w:spacing w:before="120" w:after="283"/>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40" w:name="Na_008"/>
      <w:bookmarkEnd w:id="40"/>
      <w:r>
        <w:rPr>
          <w:rFonts w:ascii="Times New Roman;Times;Serif" w:hAnsi="Times New Roman;Times;Serif"/>
          <w:b/>
          <w:i w:val="false"/>
          <w:caps w:val="false"/>
          <w:smallCaps w:val="false"/>
          <w:sz w:val="20"/>
        </w:rPr>
        <w:t>U.S. FEDERAL INCOME TAX CONSIDERATIONS FOR NON-U.S. HOLDERS</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consequences to Non-U.S. Holders (as defined below) of the acquisition, ownership and disposition of shares of common stock. This discussion is limited to certain U.S. federal income tax considerations to beneficial owners of the common stock who purchase common stock from the selling securityholders pursuant to this offering and hold the common stock as a capital asset within the meaning of Section 1221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 or financial services entities;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expatriates or former long-term residents of the United States;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five percent or more (by vote or value) of our shares;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the “applicable financial statement” accounting rules under Section 451(b) of the Code;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acquired our common stock pursuant to an exercise of employee share options, in connection with employee share incentive plans or otherwise as compensation;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or traders subject to a mark-to-market method of accounting with respect to our common stock;</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our common stock as part of a “straddle,” constructive sale, hedge, conversion or other integrated or similar transaction;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entities or arrangements classified as partnerships or other pass-through entities for U.S. federal income tax purposes) and any beneficial owners of such partnerships;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w:t>
            </w:r>
          </w:p>
        </w:tc>
      </w:tr>
    </w:tbl>
    <w:p>
      <w:pPr>
        <w:pStyle w:val="TextBody"/>
        <w:ind w:left="0" w:right="0" w:hanging="36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do not expect to seek, a ruling from the U.S.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pStyle w:val="TextBody"/>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410"/>
      </w:tblGrid>
      <w:tr>
        <w:trPr/>
        <w:tc>
          <w:tcPr>
            <w:tcW w:w="410" w:type="dxa"/>
            <w:tcBorders/>
            <w:shd w:fill="auto" w:val="clear"/>
            <w:vAlign w:val="center"/>
          </w:tcPr>
          <w:p>
            <w:pPr>
              <w:pStyle w:val="TableContents"/>
              <w:spacing w:before="0" w:after="283"/>
              <w:jc w:val="center"/>
              <w:rPr/>
            </w:pPr>
            <w:r>
              <w:rPr/>
              <w:t>101</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ONLY A SUMMARY OF CERTAIN U.S. FEDERAL INCOME TAX CONSIDERATIONS FOR NON-U.S. HOLDERS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“Non-U.S. Holder” means a beneficial owner of our common stock who or that is for U.S. federal income tax purposes: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non-resident alien individual (other than certain former citizens and residents of the United States subject to U.S. tax as expatriates);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corporation; or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or trust that is not a U.S. Holder;</w:t>
            </w:r>
          </w:p>
        </w:tc>
      </w:tr>
    </w:tbl>
    <w:p>
      <w:pPr>
        <w:pStyle w:val="TextBody"/>
        <w:ind w:left="0" w:right="0" w:hanging="36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generally does not include an individual who is present in the United States for 183 days or more in the taxable year of the disposition of our common stock. If you are such an individual, you should consult your tax advisor regarding the U.S. federal income tax consequences of the acquisition, ownership or sale or other disposition of our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Distributions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Our Common Stock” below. In addition, if we determine that we are likely to be classified as a “United States real property holding corporation” (see “</w:t>
      </w:r>
      <w:r>
        <w:rPr>
          <w:rFonts w:ascii="Times New Roman;Times;Serif" w:hAnsi="Times New Roman;Times;Serif"/>
          <w:b w:val="false"/>
          <w:i/>
          <w:caps w:val="false"/>
          <w:smallCaps w:val="false"/>
          <w:sz w:val="20"/>
        </w:rPr>
        <w:t>Non-U.S. Holders — Gain on Sale, Taxable Exchange or Other Taxable Disposition of Our Common Stock</w:t>
      </w:r>
      <w:r>
        <w:rPr>
          <w:rFonts w:ascii="Times New Roman;Times;Serif" w:hAnsi="Times New Roman;Times;Serif"/>
          <w:b w:val="false"/>
          <w:i w:val="false"/>
          <w:caps w:val="false"/>
          <w:smallCaps w:val="false"/>
          <w:sz w:val="20"/>
        </w:rPr>
        <w:t>” below), we generally will withhold 15% of any distribution that exceeds our current and accumulated earnings and profits.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Sale, Taxable Exchange or Other Taxable Disposition of Our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unless: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tc>
      </w:tr>
    </w:tbl>
    <w:p>
      <w:pPr>
        <w:pStyle w:val="TextBody"/>
        <w:jc w:val="center"/>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410"/>
      </w:tblGrid>
      <w:tr>
        <w:trPr/>
        <w:tc>
          <w:tcPr>
            <w:tcW w:w="410" w:type="dxa"/>
            <w:tcBorders/>
            <w:shd w:fill="auto" w:val="clear"/>
            <w:vAlign w:val="center"/>
          </w:tcPr>
          <w:p>
            <w:pPr>
              <w:pStyle w:val="TableContents"/>
              <w:spacing w:before="0" w:after="283"/>
              <w:jc w:val="center"/>
              <w:rPr/>
            </w:pPr>
            <w:r>
              <w:rPr/>
              <w:t>102</w:t>
            </w:r>
          </w:p>
        </w:tc>
      </w:tr>
    </w:tbl>
    <w:p>
      <w:pPr>
        <w:pStyle w:val="TextBody"/>
        <w:spacing w:before="120" w:after="283"/>
        <w:rPr/>
      </w:pPr>
      <w:r>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tc>
      </w:tr>
    </w:tbl>
    <w:p>
      <w:pPr>
        <w:pStyle w:val="TextBody"/>
        <w:ind w:left="0" w:right="0" w:hanging="36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second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expect to be a United States real property holding corporation immediately after the Business Combination is completed.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Foreign Account Tax Compliance Act (FATCA)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Withholding Taxes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commonly referred to as “FATCA” impose withholding of 30% on payments of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common stock.</w:t>
      </w:r>
    </w:p>
    <w:p>
      <w:pPr>
        <w:pStyle w:val="TextBody"/>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410"/>
      </w:tblGrid>
      <w:tr>
        <w:trPr/>
        <w:tc>
          <w:tcPr>
            <w:tcW w:w="410" w:type="dxa"/>
            <w:tcBorders/>
            <w:shd w:fill="auto" w:val="clear"/>
            <w:vAlign w:val="center"/>
          </w:tcPr>
          <w:p>
            <w:pPr>
              <w:pStyle w:val="TableContents"/>
              <w:spacing w:before="0" w:after="283"/>
              <w:jc w:val="center"/>
              <w:rPr/>
            </w:pPr>
            <w:r>
              <w:rPr/>
              <w:t>103</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sz w:val="20"/>
        </w:rPr>
      </w:pPr>
      <w:bookmarkStart w:id="41" w:name="Na_010"/>
      <w:bookmarkEnd w:id="41"/>
      <w:r>
        <w:rPr>
          <w:rFonts w:ascii="Times New Roman;Times;Serif" w:hAnsi="Times New Roman;Times;Serif"/>
          <w:b/>
          <w:i w:val="false"/>
          <w:caps/>
          <w:sz w:val="20"/>
        </w:rPr>
        <w:t>Plan of Distribution</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securityholder and any of their pledgees, assignees, transferees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securityholder may use any one or more of the following methods when selling securities:</w:t>
      </w:r>
    </w:p>
    <w:p>
      <w:pPr>
        <w:pStyle w:val="TextBody"/>
        <w:spacing w:before="0" w:after="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subscribers;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securityholders to sell a specified number of such securities at a stipulated price per security;</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combination of any such methods of sale; or</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also sell securities under Rule 144 or any other exemption from registration under the Securities Act, if available, rather than under this prospectus.</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us that it does not have any written or oral agreement or understanding, directly or indirectly, with any person to distribute the securities.</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securityholders against certain losses, claims, damages and liabilities, including liabilities under the Securities Act.</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all of the securities have been sold pursuant to this prospectus or Rule 144 under the Securities Act or any other rule of similar effect or (ii) they may be sold pursuant to Rule 144 without volume or manner-of-sale restrictions, as determined by us.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or Public Warrants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or Public Warrants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pStyle w:val="TextBody"/>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410"/>
      </w:tblGrid>
      <w:tr>
        <w:trPr/>
        <w:tc>
          <w:tcPr>
            <w:tcW w:w="410" w:type="dxa"/>
            <w:tcBorders/>
            <w:shd w:fill="auto" w:val="clear"/>
            <w:vAlign w:val="center"/>
          </w:tcPr>
          <w:p>
            <w:pPr>
              <w:pStyle w:val="TableContents"/>
              <w:spacing w:before="0" w:after="283"/>
              <w:jc w:val="center"/>
              <w:rPr/>
            </w:pPr>
            <w:r>
              <w:rPr/>
              <w:t>104</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42" w:name="Na_011"/>
      <w:bookmarkEnd w:id="42"/>
      <w:r>
        <w:rPr>
          <w:rFonts w:ascii="Times New Roman;Times;Serif" w:hAnsi="Times New Roman;Times;Serif"/>
          <w:b/>
          <w:i w:val="false"/>
          <w:caps w:val="false"/>
          <w:smallCaps w:val="false"/>
          <w:sz w:val="20"/>
        </w:rPr>
        <w:t>LEGAL MATTERS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including the common stock issuable upon exercise of the warrants, will be passed upon for us by Parsons Behle &amp; Latimer. The validity of the warrants offered hereby is being passed upon for us by Lowenstein Sandler, LLP, New York, New York.</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43" w:name="Na_012"/>
      <w:bookmarkEnd w:id="43"/>
      <w:r>
        <w:rPr>
          <w:rFonts w:ascii="Times New Roman;Times;Serif" w:hAnsi="Times New Roman;Times;Serif"/>
          <w:b/>
          <w:i w:val="false"/>
          <w:caps w:val="false"/>
          <w:smallCaps w:val="false"/>
          <w:sz w:val="20"/>
        </w:rPr>
        <w:t>EXPERTS</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Dragonfly Energy Holdings Corp. as of December 31, 2022 and December 31, 2021, and for the years then ended, included in this prospectus and in this Registration Statement, have been so included in reliance on the report of BDO USA,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Registrant’s Certifying Accountant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Audit Committee informed WithumSmith+Brown, PC (“</w:t>
      </w:r>
      <w:r>
        <w:rPr>
          <w:rFonts w:ascii="Times New Roman;Times;Serif" w:hAnsi="Times New Roman;Times;Serif"/>
          <w:b/>
          <w:i w:val="false"/>
          <w:caps w:val="false"/>
          <w:smallCaps w:val="false"/>
          <w:sz w:val="20"/>
        </w:rPr>
        <w:t>Withum</w:t>
      </w:r>
      <w:r>
        <w:rPr>
          <w:rFonts w:ascii="Times New Roman;Times;Serif" w:hAnsi="Times New Roman;Times;Serif"/>
          <w:b w:val="false"/>
          <w:i w:val="false"/>
          <w:caps w:val="false"/>
          <w:smallCaps w:val="false"/>
          <w:sz w:val="20"/>
        </w:rPr>
        <w:t>”), our independent registered public accounting firm prior to the Transactions, that Withum will be dismissed effective following the completion of our review for the nine month period ended September 30, 2022, which consists only of the pre-Transactions accounts of CNTQ.</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of Withum on CNTQ’s financial statements as of September 30, 2022, and for the fiscal year ended December 31, 2021, did not contain an adverse opinion or a disclaimer of opinion, and were not qualified or modified as to uncertainties, audit scope or accounting principles except for an explanatory paragraph regarding substantial doubt about CNTQ’s ability to continue as a going concern.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2021 and December 31, 2020, and the subsequent period through the date of Withum’s dismissal, there were no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During the fiscal years ended December 31, 2021 and December 31, 2020, and the subsequent period through September 30, 2022, there were no reportable events as defined in Item 304(a)(1)(v) of Regulation S-K under the Exchange Act other than the previously disclosed material weakness over financial reporting.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Withum with a copy of the foregoing disclosures.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Audit Committee approved the engagement of BDO USA, LLP as our independent registered public accounting firm to audit our consolidated financial statements for the year ended December 31, 2022. BDO USA, LLP served as the independent registered public accounting firm of Legacy Dragonfly prior to the Transactions, including the audit of the consolidated financial statements of Legacy Dragonfly for the fiscal year ended December 31, 2021. During the fiscal year ended December 31, 2021 and the subsequent period through the date of Withum’s dismissal, Legacy Dragonfly did not consult with BDO USA, LLP with respect to (i) the application of accounting principles to a specified transaction, either completed or proposed, the type of audit opinion that might be rendered on Legacy Dragonfly’s financial statements, and neither a written report nor oral advice was provided to Legacy Dragonfly that BDO USA, LLP concluded was an important factor considered by BDO USA, LLP in reaching a decision as to any accounting, auditing or financial reporting issue, or (ii) any other matter that was the subject of a disagreement or a reportable event (each as defined above).</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44" w:name="Na_013"/>
      <w:bookmarkEnd w:id="44"/>
      <w:r>
        <w:rPr>
          <w:rFonts w:ascii="Times New Roman;Times;Serif" w:hAnsi="Times New Roman;Times;Serif"/>
          <w:b/>
          <w:i w:val="false"/>
          <w:caps w:val="false"/>
          <w:smallCaps w:val="false"/>
          <w:sz w:val="20"/>
        </w:rPr>
        <w:t>WHERE YOU CAN FIND MORE INFORMATION</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exhibits.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file annual, quarterly and current reports, prospectus and other information with the SEC. Our SEC filings are available to the public on a website maintained by the SEC located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We also maintain a website at </w:t>
      </w:r>
      <w:r>
        <w:rPr>
          <w:rFonts w:ascii="Times New Roman;Times;Serif" w:hAnsi="Times New Roman;Times;Serif"/>
          <w:b w:val="false"/>
          <w:i/>
          <w:caps w:val="false"/>
          <w:smallCaps w:val="false"/>
          <w:sz w:val="20"/>
        </w:rPr>
        <w:t>https://www.dragonflyenergy.com/</w:t>
      </w:r>
      <w:r>
        <w:rPr>
          <w:rFonts w:ascii="Times New Roman;Times;Serif" w:hAnsi="Times New Roman;Times;Serif"/>
          <w:b w:val="false"/>
          <w:i w:val="false"/>
          <w:caps w:val="false"/>
          <w:smallCaps w:val="false"/>
          <w:sz w:val="20"/>
        </w:rPr>
        <w:t>. Through our website, we make available, free of charge, annual, quarterly and current reports, prospectus and other information as soon as reasonably practicable after they are electronically filed with, or furnished to, the SEC. The information contained on, or that may be accessed through, our website is not part of, and is not incorporated into, this prospectus.</w:t>
      </w:r>
    </w:p>
    <w:p>
      <w:pPr>
        <w:pStyle w:val="TextBody"/>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410"/>
      </w:tblGrid>
      <w:tr>
        <w:trPr/>
        <w:tc>
          <w:tcPr>
            <w:tcW w:w="410" w:type="dxa"/>
            <w:tcBorders/>
            <w:shd w:fill="auto" w:val="clear"/>
            <w:vAlign w:val="center"/>
          </w:tcPr>
          <w:p>
            <w:pPr>
              <w:pStyle w:val="TableContents"/>
              <w:spacing w:before="0" w:after="283"/>
              <w:jc w:val="center"/>
              <w:rPr/>
            </w:pPr>
            <w:r>
              <w:rPr/>
              <w:t>105</w:t>
            </w:r>
          </w:p>
        </w:tc>
      </w:tr>
    </w:tbl>
    <w:p>
      <w:pPr>
        <w:pStyle w:val="TextBody"/>
        <w:spacing w:before="120" w:after="283"/>
        <w:rPr/>
      </w:pPr>
      <w:r>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45" w:name="Naf_001"/>
      <w:bookmarkEnd w:id="45"/>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 </w:t>
      </w:r>
    </w:p>
    <w:p>
      <w:pPr>
        <w:pStyle w:val="TextBody"/>
        <w:spacing w:before="0" w:after="0"/>
        <w:ind w:left="0" w:right="0" w:hanging="0"/>
        <w:jc w:val="center"/>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9005"/>
        <w:gridCol w:w="305"/>
      </w:tblGrid>
      <w:tr>
        <w:trPr/>
        <w:tc>
          <w:tcPr>
            <w:tcW w:w="9005" w:type="dxa"/>
            <w:tcBorders/>
            <w:shd w:fill="CCECFF" w:val="clear"/>
            <w:vAlign w:val="center"/>
          </w:tcPr>
          <w:p>
            <w:pPr>
              <w:pStyle w:val="TableContents"/>
              <w:spacing w:before="0" w:after="283"/>
              <w:rPr/>
            </w:pPr>
            <w:hyperlink w:anchor="a_017">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w:t>
            </w:r>
          </w:p>
        </w:tc>
        <w:tc>
          <w:tcPr>
            <w:tcW w:w="305" w:type="dxa"/>
            <w:tcBorders/>
            <w:shd w:fill="CCEC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005" w:type="dxa"/>
            <w:tcBorders/>
            <w:shd w:fill="auto" w:val="clear"/>
            <w:vAlign w:val="center"/>
          </w:tcPr>
          <w:p>
            <w:pPr>
              <w:pStyle w:val="TableContents"/>
              <w:spacing w:before="0" w:after="283"/>
              <w:rPr/>
            </w:pPr>
            <w:hyperlink w:anchor="a_018">
              <w:r>
                <w:rPr>
                  <w:rStyle w:val="InternetLink"/>
                  <w:rFonts w:ascii="Times New Roman;Times;Serif" w:hAnsi="Times New Roman;Times;Serif"/>
                  <w:b w:val="false"/>
                  <w:i w:val="false"/>
                  <w:caps w:val="false"/>
                  <w:smallCaps w:val="false"/>
                  <w:sz w:val="20"/>
                </w:rPr>
                <w:t>Consolidated Balance Sheets as of December 31, 2022 and 2021</w:t>
              </w:r>
            </w:hyperlink>
          </w:p>
        </w:tc>
        <w:tc>
          <w:tcPr>
            <w:tcW w:w="30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005" w:type="dxa"/>
            <w:tcBorders/>
            <w:shd w:fill="CCECFF" w:val="clear"/>
            <w:vAlign w:val="center"/>
          </w:tcPr>
          <w:p>
            <w:pPr>
              <w:pStyle w:val="TableContents"/>
              <w:spacing w:before="0" w:after="283"/>
              <w:rPr/>
            </w:pPr>
            <w:hyperlink w:anchor="a_019">
              <w:r>
                <w:rPr>
                  <w:rStyle w:val="InternetLink"/>
                  <w:rFonts w:ascii="Times New Roman;Times;Serif" w:hAnsi="Times New Roman;Times;Serif"/>
                  <w:b w:val="false"/>
                  <w:i w:val="false"/>
                  <w:caps w:val="false"/>
                  <w:smallCaps w:val="false"/>
                  <w:sz w:val="20"/>
                </w:rPr>
                <w:t>Consolidated Statements of Operations for the years ended December 31, 2022 and 2021</w:t>
              </w:r>
            </w:hyperlink>
          </w:p>
        </w:tc>
        <w:tc>
          <w:tcPr>
            <w:tcW w:w="305" w:type="dxa"/>
            <w:tcBorders/>
            <w:shd w:fill="CCEC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005" w:type="dxa"/>
            <w:tcBorders/>
            <w:shd w:fill="auto" w:val="clear"/>
            <w:vAlign w:val="center"/>
          </w:tcPr>
          <w:p>
            <w:pPr>
              <w:pStyle w:val="TableContents"/>
              <w:spacing w:before="0" w:after="283"/>
              <w:rPr/>
            </w:pPr>
            <w:hyperlink w:anchor="a_020">
              <w:r>
                <w:rPr>
                  <w:rStyle w:val="InternetLink"/>
                  <w:rFonts w:ascii="Times New Roman;Times;Serif" w:hAnsi="Times New Roman;Times;Serif"/>
                  <w:b w:val="false"/>
                  <w:i w:val="false"/>
                  <w:caps w:val="false"/>
                  <w:smallCaps w:val="false"/>
                  <w:sz w:val="20"/>
                </w:rPr>
                <w:t>Consolidated Statements of Changes in Stockholders’ Equity for the years ended December 31, 2022 and 2021</w:t>
              </w:r>
            </w:hyperlink>
          </w:p>
        </w:tc>
        <w:tc>
          <w:tcPr>
            <w:tcW w:w="30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005" w:type="dxa"/>
            <w:tcBorders/>
            <w:shd w:fill="CCECFF" w:val="clear"/>
            <w:vAlign w:val="center"/>
          </w:tcPr>
          <w:p>
            <w:pPr>
              <w:pStyle w:val="TableContents"/>
              <w:spacing w:before="0" w:after="283"/>
              <w:rPr/>
            </w:pPr>
            <w:hyperlink w:anchor="a_021">
              <w:r>
                <w:rPr>
                  <w:rStyle w:val="InternetLink"/>
                  <w:rFonts w:ascii="Times New Roman;Times;Serif" w:hAnsi="Times New Roman;Times;Serif"/>
                  <w:b w:val="false"/>
                  <w:i w:val="false"/>
                  <w:caps w:val="false"/>
                  <w:smallCaps w:val="false"/>
                  <w:sz w:val="20"/>
                </w:rPr>
                <w:t>Statements of Cash Flows for the years ended December 31, 2022 and 2021</w:t>
              </w:r>
            </w:hyperlink>
          </w:p>
        </w:tc>
        <w:tc>
          <w:tcPr>
            <w:tcW w:w="305" w:type="dxa"/>
            <w:tcBorders/>
            <w:shd w:fill="CCEC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005" w:type="dxa"/>
            <w:tcBorders/>
            <w:shd w:fill="auto" w:val="clear"/>
            <w:vAlign w:val="center"/>
          </w:tcPr>
          <w:p>
            <w:pPr>
              <w:pStyle w:val="TableContents"/>
              <w:spacing w:before="0" w:after="283"/>
              <w:rPr/>
            </w:pPr>
            <w:hyperlink w:anchor="a_022">
              <w:r>
                <w:rPr>
                  <w:rStyle w:val="InternetLink"/>
                  <w:rFonts w:ascii="Times New Roman;Times;Serif" w:hAnsi="Times New Roman;Times;Serif"/>
                  <w:b w:val="false"/>
                  <w:i w:val="false"/>
                  <w:caps w:val="false"/>
                  <w:smallCaps w:val="false"/>
                  <w:sz w:val="20"/>
                </w:rPr>
                <w:t>Notes to Financial Statements</w:t>
              </w:r>
            </w:hyperlink>
          </w:p>
        </w:tc>
        <w:tc>
          <w:tcPr>
            <w:tcW w:w="30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spacing w:before="0" w:after="0"/>
        <w:ind w:left="0" w:right="0" w:hanging="0"/>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F-1</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46" w:name="a_017"/>
      <w:bookmarkEnd w:id="46"/>
      <w:r>
        <w:rPr>
          <w:rFonts w:ascii="Times New Roman;Times;Serif" w:hAnsi="Times New Roman;Times;Serif"/>
          <w:b/>
          <w:i w:val="false"/>
          <w:caps w:val="false"/>
          <w:smallCaps w:val="false"/>
          <w:sz w:val="20"/>
        </w:rPr>
        <w:t>Report of Independent 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Dragonfly Energy Holdings Corp. (the “Company”) as of December 31, 2022 and 2021, the related consolidated statements of operations,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pStyle w:val="TextBody"/>
        <w:spacing w:before="0" w:after="0"/>
        <w:ind w:left="0" w:right="0" w:firstLine="360"/>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Spokane, Washington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17, 2023</w:t>
      </w:r>
    </w:p>
    <w:p>
      <w:pPr>
        <w:pStyle w:val="TextBody"/>
        <w:spacing w:before="0" w:after="0"/>
        <w:ind w:left="0" w:right="0" w:hanging="0"/>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F-2</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47" w:name="a_018"/>
      <w:bookmarkEnd w:id="47"/>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spacing w:before="0" w:after="0"/>
        <w:ind w:left="0" w:right="0" w:hanging="0"/>
        <w:jc w:val="center"/>
        <w:rPr>
          <w:caps w:val="false"/>
          <w:smallCaps w:val="false"/>
        </w:rPr>
      </w:pPr>
      <w:r>
        <w:rPr>
          <w:caps w:val="false"/>
          <w:smallCaps w:val="false"/>
        </w:rPr>
        <w:t> </w:t>
      </w:r>
    </w:p>
    <w:p>
      <w:pPr>
        <w:pStyle w:val="Normal"/>
        <w:spacing w:before="0" w:after="0"/>
        <w:ind w:left="0" w:right="0" w:hanging="0"/>
        <w:rPr>
          <w:sz w:val="4"/>
          <w:szCs w:val="4"/>
        </w:rPr>
      </w:pPr>
      <w:r>
        <w:rPr>
          <w:sz w:val="4"/>
          <w:szCs w:val="4"/>
        </w:rPr>
      </w:r>
      <w:bookmarkStart w:id="48" w:name="xdx_30C_111_pn3n3_z9MpqcFm7WC"/>
      <w:bookmarkStart w:id="49" w:name="xdx_30C_111_pn3n3_z9MpqcFm7WC"/>
      <w:bookmarkEnd w:id="49"/>
    </w:p>
    <w:tbl>
      <w:tblPr>
        <w:tblW w:w="10205" w:type="dxa"/>
        <w:jc w:val="left"/>
        <w:tblInd w:w="0" w:type="dxa"/>
        <w:tblCellMar>
          <w:top w:w="0" w:type="dxa"/>
          <w:left w:w="0" w:type="dxa"/>
          <w:bottom w:w="0" w:type="dxa"/>
          <w:right w:w="0" w:type="dxa"/>
        </w:tblCellMar>
      </w:tblPr>
      <w:tblGrid>
        <w:gridCol w:w="8165"/>
        <w:gridCol w:w="60"/>
        <w:gridCol w:w="140"/>
        <w:gridCol w:w="755"/>
        <w:gridCol w:w="95"/>
        <w:gridCol w:w="60"/>
        <w:gridCol w:w="140"/>
        <w:gridCol w:w="680"/>
        <w:gridCol w:w="110"/>
      </w:tblGrid>
      <w:tr>
        <w:trPr/>
        <w:tc>
          <w:tcPr>
            <w:tcW w:w="816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bookmarkStart w:id="50" w:name="xdx_49E_20221231_z8QopvI5amCd"/>
            <w:bookmarkEnd w:id="50"/>
          </w:p>
        </w:tc>
        <w:tc>
          <w:tcPr>
            <w:tcW w:w="75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bookmarkStart w:id="51" w:name="xdx_492_20211231_zt7FDaBJmL0j"/>
            <w:bookmarkEnd w:id="51"/>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16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shd w:fill="auto" w:val="clear"/>
            <w:vAlign w:val="center"/>
          </w:tcPr>
          <w:p>
            <w:pPr>
              <w:pStyle w:val="TableContents"/>
              <w:spacing w:before="0" w:after="283"/>
              <w:rPr/>
            </w:pPr>
            <w:r>
              <w:rPr/>
              <w:t> </w:t>
            </w:r>
            <w:bookmarkStart w:id="52" w:name="xdx_40D_eus-gaap--AssetsCurrentAbstract_"/>
            <w:bookmarkEnd w:id="52"/>
          </w:p>
        </w:tc>
      </w:tr>
      <w:tr>
        <w:trPr/>
        <w:tc>
          <w:tcPr>
            <w:tcW w:w="816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bookmarkStart w:id="53" w:name="xdx_40D_eus-gaap--CashAndCashEquivalents"/>
            <w:bookmarkEnd w:id="53"/>
          </w:p>
        </w:tc>
      </w:tr>
      <w:tr>
        <w:trPr/>
        <w:tc>
          <w:tcPr>
            <w:tcW w:w="816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Cash</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17,781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25,586</w:t>
            </w:r>
          </w:p>
        </w:tc>
        <w:tc>
          <w:tcPr>
            <w:tcW w:w="110" w:type="dxa"/>
            <w:tcBorders/>
            <w:shd w:fill="FFFFFF" w:val="clear"/>
            <w:vAlign w:val="center"/>
          </w:tcPr>
          <w:p>
            <w:pPr>
              <w:pStyle w:val="TableContents"/>
              <w:spacing w:before="0" w:after="283"/>
              <w:jc w:val="left"/>
              <w:rPr/>
            </w:pPr>
            <w:r>
              <w:rPr/>
              <w:t> </w:t>
            </w:r>
            <w:bookmarkStart w:id="54" w:name="xdx_401_eus-gaap--RestrictedCashCurrent_"/>
            <w:bookmarkEnd w:id="54"/>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3,044</w:t>
            </w:r>
          </w:p>
        </w:tc>
        <w:tc>
          <w:tcPr>
            <w:tcW w:w="110" w:type="dxa"/>
            <w:tcBorders/>
            <w:shd w:fill="CCEEFF" w:val="clear"/>
            <w:vAlign w:val="center"/>
          </w:tcPr>
          <w:p>
            <w:pPr>
              <w:pStyle w:val="TableContents"/>
              <w:spacing w:before="0" w:after="283"/>
              <w:jc w:val="left"/>
              <w:rPr/>
            </w:pPr>
            <w:r>
              <w:rPr/>
              <w:t> </w:t>
            </w:r>
            <w:bookmarkStart w:id="55" w:name="xdx_40D_eus-gaap--AccountsReceivableNetC"/>
            <w:bookmarkEnd w:id="55"/>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Accounts receivable, net of allowance for doubtful accounts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1,444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783</w:t>
            </w:r>
          </w:p>
        </w:tc>
        <w:tc>
          <w:tcPr>
            <w:tcW w:w="110" w:type="dxa"/>
            <w:tcBorders/>
            <w:shd w:fill="FFFFFF" w:val="clear"/>
            <w:vAlign w:val="center"/>
          </w:tcPr>
          <w:p>
            <w:pPr>
              <w:pStyle w:val="TableContents"/>
              <w:spacing w:before="0" w:after="283"/>
              <w:jc w:val="left"/>
              <w:rPr/>
            </w:pPr>
            <w:r>
              <w:rPr/>
              <w:t> </w:t>
            </w:r>
            <w:bookmarkStart w:id="56" w:name="xdx_408_eus-gaap--InventoryNet_i01I_maAC"/>
            <w:bookmarkEnd w:id="56"/>
          </w:p>
        </w:tc>
      </w:tr>
      <w:tr>
        <w:trPr/>
        <w:tc>
          <w:tcPr>
            <w:tcW w:w="816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Inventory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49,846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27,127</w:t>
            </w:r>
          </w:p>
        </w:tc>
        <w:tc>
          <w:tcPr>
            <w:tcW w:w="110" w:type="dxa"/>
            <w:tcBorders/>
            <w:shd w:fill="CCEEFF" w:val="clear"/>
            <w:vAlign w:val="center"/>
          </w:tcPr>
          <w:p>
            <w:pPr>
              <w:pStyle w:val="TableContents"/>
              <w:spacing w:before="0" w:after="283"/>
              <w:jc w:val="left"/>
              <w:rPr/>
            </w:pPr>
            <w:r>
              <w:rPr/>
              <w:t> </w:t>
            </w:r>
            <w:bookmarkStart w:id="57" w:name="xdx_40C_ecustom--PrepaidExpenseOtherThan"/>
            <w:bookmarkEnd w:id="57"/>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1,624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293</w:t>
            </w:r>
          </w:p>
        </w:tc>
        <w:tc>
          <w:tcPr>
            <w:tcW w:w="110" w:type="dxa"/>
            <w:tcBorders/>
            <w:shd w:fill="FFFFFF" w:val="clear"/>
            <w:vAlign w:val="center"/>
          </w:tcPr>
          <w:p>
            <w:pPr>
              <w:pStyle w:val="TableContents"/>
              <w:spacing w:before="0" w:after="283"/>
              <w:jc w:val="left"/>
              <w:rPr/>
            </w:pPr>
            <w:r>
              <w:rPr/>
              <w:t> </w:t>
            </w:r>
            <w:bookmarkStart w:id="58" w:name="xdx_400_eus-gaap--Supplies_i01I_maACzdsP"/>
            <w:bookmarkEnd w:id="58"/>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2,002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7,461</w:t>
            </w:r>
          </w:p>
        </w:tc>
        <w:tc>
          <w:tcPr>
            <w:tcW w:w="110" w:type="dxa"/>
            <w:tcBorders/>
            <w:shd w:fill="CCEEFF" w:val="clear"/>
            <w:vAlign w:val="center"/>
          </w:tcPr>
          <w:p>
            <w:pPr>
              <w:pStyle w:val="TableContents"/>
              <w:spacing w:before="0" w:after="283"/>
              <w:jc w:val="left"/>
              <w:rPr/>
            </w:pPr>
            <w:r>
              <w:rPr/>
              <w:t> </w:t>
            </w:r>
            <w:bookmarkStart w:id="59" w:name="xdx_402_eus-gaap--PrepaidTaxes_i01I_maAC"/>
            <w:bookmarkEnd w:id="59"/>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Prepaid income tax</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525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spacing w:before="0" w:after="283"/>
              <w:jc w:val="left"/>
              <w:rPr/>
            </w:pPr>
            <w:r>
              <w:rPr/>
              <w:t> </w:t>
            </w:r>
            <w:bookmarkStart w:id="60" w:name="xdx_400_eus-gaap--OtherAssetsCurrent_i01"/>
            <w:bookmarkEnd w:id="60"/>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1,787</w:t>
            </w:r>
          </w:p>
        </w:tc>
        <w:tc>
          <w:tcPr>
            <w:tcW w:w="110" w:type="dxa"/>
            <w:tcBorders/>
            <w:shd w:fill="CCEEFF" w:val="clear"/>
            <w:vAlign w:val="center"/>
          </w:tcPr>
          <w:p>
            <w:pPr>
              <w:pStyle w:val="TableContents"/>
              <w:spacing w:before="0" w:after="283"/>
              <w:jc w:val="left"/>
              <w:rPr/>
            </w:pPr>
            <w:r>
              <w:rPr/>
              <w:t> </w:t>
            </w:r>
            <w:bookmarkStart w:id="61" w:name="xdx_404_eus-gaap--AssetsCurrent_i01TI_mt"/>
            <w:bookmarkEnd w:id="61"/>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73,489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66,081</w:t>
            </w:r>
          </w:p>
        </w:tc>
        <w:tc>
          <w:tcPr>
            <w:tcW w:w="110" w:type="dxa"/>
            <w:tcBorders/>
            <w:shd w:fill="FFFFFF" w:val="clear"/>
            <w:vAlign w:val="center"/>
          </w:tcPr>
          <w:p>
            <w:pPr>
              <w:pStyle w:val="TableContents"/>
              <w:spacing w:before="0" w:after="283"/>
              <w:jc w:val="left"/>
              <w:rPr/>
            </w:pPr>
            <w:r>
              <w:rPr/>
              <w:t> </w:t>
            </w:r>
            <w:bookmarkStart w:id="62" w:name="xdx_402_eus-gaap--PropertyPlantAndEquipm"/>
            <w:bookmarkEnd w:id="62"/>
          </w:p>
        </w:tc>
      </w:tr>
      <w:tr>
        <w:trPr/>
        <w:tc>
          <w:tcPr>
            <w:tcW w:w="816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Property and Equipment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bookmarkStart w:id="63" w:name="xdx_40E_eus-gaap--MachineryAndEquipmentG"/>
            <w:bookmarkEnd w:id="63"/>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Machinery and equipment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10,214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3,615</w:t>
            </w:r>
          </w:p>
        </w:tc>
        <w:tc>
          <w:tcPr>
            <w:tcW w:w="110" w:type="dxa"/>
            <w:tcBorders/>
            <w:shd w:fill="FFFFFF" w:val="clear"/>
            <w:vAlign w:val="center"/>
          </w:tcPr>
          <w:p>
            <w:pPr>
              <w:pStyle w:val="TableContents"/>
              <w:spacing w:before="0" w:after="283"/>
              <w:jc w:val="left"/>
              <w:rPr/>
            </w:pPr>
            <w:r>
              <w:rPr/>
              <w:t> </w:t>
            </w:r>
            <w:bookmarkStart w:id="64" w:name="xdx_40A_eus-gaap--FurnitureAndFixturesGr"/>
            <w:bookmarkEnd w:id="64"/>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Office furniture and equipment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201</w:t>
            </w:r>
          </w:p>
        </w:tc>
        <w:tc>
          <w:tcPr>
            <w:tcW w:w="110" w:type="dxa"/>
            <w:tcBorders/>
            <w:shd w:fill="CCEEFF" w:val="clear"/>
            <w:vAlign w:val="center"/>
          </w:tcPr>
          <w:p>
            <w:pPr>
              <w:pStyle w:val="TableContents"/>
              <w:spacing w:before="0" w:after="283"/>
              <w:jc w:val="left"/>
              <w:rPr/>
            </w:pPr>
            <w:r>
              <w:rPr/>
              <w:t> </w:t>
            </w:r>
            <w:bookmarkStart w:id="65" w:name="xdx_406_eus-gaap--LeaseholdImprovementsG"/>
            <w:bookmarkEnd w:id="65"/>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1,709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1,307</w:t>
            </w:r>
          </w:p>
        </w:tc>
        <w:tc>
          <w:tcPr>
            <w:tcW w:w="110" w:type="dxa"/>
            <w:tcBorders/>
            <w:shd w:fill="FFFFFF" w:val="clear"/>
            <w:vAlign w:val="center"/>
          </w:tcPr>
          <w:p>
            <w:pPr>
              <w:pStyle w:val="TableContents"/>
              <w:spacing w:before="0" w:after="283"/>
              <w:jc w:val="left"/>
              <w:rPr/>
            </w:pPr>
            <w:r>
              <w:rPr/>
              <w:t> </w:t>
            </w:r>
            <w:bookmarkStart w:id="66" w:name="xdx_404_ecustom--VehicleGross_i01I_maPPA"/>
            <w:bookmarkEnd w:id="66"/>
          </w:p>
        </w:tc>
      </w:tr>
      <w:tr>
        <w:trPr/>
        <w:tc>
          <w:tcPr>
            <w:tcW w:w="816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Vehicle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195</w:t>
            </w:r>
          </w:p>
        </w:tc>
        <w:tc>
          <w:tcPr>
            <w:tcW w:w="110" w:type="dxa"/>
            <w:tcBorders/>
            <w:shd w:fill="CCEEFF" w:val="clear"/>
            <w:vAlign w:val="center"/>
          </w:tcPr>
          <w:p>
            <w:pPr>
              <w:pStyle w:val="TableContents"/>
              <w:spacing w:before="0" w:after="283"/>
              <w:jc w:val="left"/>
              <w:rPr/>
            </w:pPr>
            <w:r>
              <w:rPr/>
              <w:t> </w:t>
            </w:r>
            <w:bookmarkStart w:id="67" w:name="xdx_409_eus-gaap--PropertyPlantAndEquipm"/>
            <w:bookmarkEnd w:id="67"/>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12,393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5,318</w:t>
            </w:r>
          </w:p>
        </w:tc>
        <w:tc>
          <w:tcPr>
            <w:tcW w:w="110" w:type="dxa"/>
            <w:tcBorders/>
            <w:shd w:fill="FFFFFF" w:val="clear"/>
            <w:vAlign w:val="center"/>
          </w:tcPr>
          <w:p>
            <w:pPr>
              <w:pStyle w:val="TableContents"/>
              <w:spacing w:before="0" w:after="283"/>
              <w:jc w:val="left"/>
              <w:rPr/>
            </w:pPr>
            <w:r>
              <w:rPr/>
              <w:t> </w:t>
            </w:r>
            <w:bookmarkStart w:id="68" w:name="xdx_40B_eus-gaap--AccumulatedDepreciatio"/>
            <w:bookmarkEnd w:id="68"/>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(1,633</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(857</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9" w:name="xdx_409_eus-gaap--PropertyPlantAndEquipm"/>
            <w:bookmarkEnd w:id="69"/>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10,760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4,461</w:t>
            </w:r>
          </w:p>
        </w:tc>
        <w:tc>
          <w:tcPr>
            <w:tcW w:w="110" w:type="dxa"/>
            <w:tcBorders/>
            <w:shd w:fill="FFFFFF" w:val="clear"/>
            <w:vAlign w:val="center"/>
          </w:tcPr>
          <w:p>
            <w:pPr>
              <w:pStyle w:val="TableContents"/>
              <w:spacing w:before="0" w:after="283"/>
              <w:jc w:val="left"/>
              <w:rPr/>
            </w:pPr>
            <w:r>
              <w:rPr/>
              <w:t> </w:t>
            </w:r>
            <w:bookmarkStart w:id="70" w:name="xdx_40F_eus-gaap--OperatingLeaseRightOfU"/>
            <w:bookmarkEnd w:id="70"/>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Operating lease right of use asset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4,513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5,709</w:t>
            </w:r>
          </w:p>
        </w:tc>
        <w:tc>
          <w:tcPr>
            <w:tcW w:w="110" w:type="dxa"/>
            <w:tcBorders/>
            <w:shd w:fill="CCEEFF" w:val="clear"/>
            <w:vAlign w:val="center"/>
          </w:tcPr>
          <w:p>
            <w:pPr>
              <w:pStyle w:val="TableContents"/>
              <w:spacing w:before="0" w:after="283"/>
              <w:jc w:val="left"/>
              <w:rPr/>
            </w:pPr>
            <w:r>
              <w:rPr/>
              <w:t> </w:t>
            </w:r>
            <w:bookmarkStart w:id="71" w:name="xdx_401_eus-gaap--Assets_iTI_mtAzQCo_zbB"/>
            <w:bookmarkEnd w:id="71"/>
          </w:p>
        </w:tc>
      </w:tr>
      <w:tr>
        <w:trPr/>
        <w:tc>
          <w:tcPr>
            <w:tcW w:w="816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88,762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76,251</w:t>
            </w:r>
          </w:p>
        </w:tc>
        <w:tc>
          <w:tcPr>
            <w:tcW w:w="110" w:type="dxa"/>
            <w:tcBorders/>
            <w:shd w:fill="FFFFFF" w:val="clear"/>
            <w:vAlign w:val="center"/>
          </w:tcPr>
          <w:p>
            <w:pPr>
              <w:pStyle w:val="TableContents"/>
              <w:spacing w:before="0" w:after="283"/>
              <w:jc w:val="left"/>
              <w:rPr/>
            </w:pPr>
            <w:r>
              <w:rPr/>
              <w:t> </w:t>
            </w:r>
            <w:bookmarkStart w:id="72" w:name="xdx_40C_eus-gaap--LiabilitiesCurrentAbst"/>
            <w:bookmarkEnd w:id="72"/>
          </w:p>
        </w:tc>
      </w:tr>
      <w:tr>
        <w:trPr/>
        <w:tc>
          <w:tcPr>
            <w:tcW w:w="816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bookmarkStart w:id="73" w:name="xdx_406_eus-gaap--AccountsPayableCurrent"/>
            <w:bookmarkEnd w:id="73"/>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13,475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11,360</w:t>
            </w:r>
          </w:p>
        </w:tc>
        <w:tc>
          <w:tcPr>
            <w:tcW w:w="110" w:type="dxa"/>
            <w:tcBorders/>
            <w:shd w:fill="FFFFFF" w:val="clear"/>
            <w:vAlign w:val="center"/>
          </w:tcPr>
          <w:p>
            <w:pPr>
              <w:pStyle w:val="TableContents"/>
              <w:spacing w:before="0" w:after="283"/>
              <w:jc w:val="left"/>
              <w:rPr/>
            </w:pPr>
            <w:r>
              <w:rPr/>
              <w:t> </w:t>
            </w:r>
            <w:bookmarkStart w:id="74" w:name="xdx_40E_eus-gaap--EmployeeRelatedLiabili"/>
            <w:bookmarkEnd w:id="74"/>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Accrued payroll and other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6,295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2,608</w:t>
            </w:r>
          </w:p>
        </w:tc>
        <w:tc>
          <w:tcPr>
            <w:tcW w:w="110" w:type="dxa"/>
            <w:tcBorders/>
            <w:shd w:fill="CCEEFF" w:val="clear"/>
            <w:vAlign w:val="center"/>
          </w:tcPr>
          <w:p>
            <w:pPr>
              <w:pStyle w:val="TableContents"/>
              <w:spacing w:before="0" w:after="283"/>
              <w:jc w:val="left"/>
              <w:rPr/>
            </w:pPr>
            <w:r>
              <w:rPr/>
              <w:t> </w:t>
            </w:r>
            <w:bookmarkStart w:id="75" w:name="xdx_40B_eus-gaap--ContractWithCustomerLi"/>
            <w:bookmarkEnd w:id="75"/>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238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434</w:t>
            </w:r>
          </w:p>
        </w:tc>
        <w:tc>
          <w:tcPr>
            <w:tcW w:w="110" w:type="dxa"/>
            <w:tcBorders/>
            <w:shd w:fill="FFFFFF" w:val="clear"/>
            <w:vAlign w:val="center"/>
          </w:tcPr>
          <w:p>
            <w:pPr>
              <w:pStyle w:val="TableContents"/>
              <w:spacing w:before="0" w:after="283"/>
              <w:jc w:val="left"/>
              <w:rPr/>
            </w:pPr>
            <w:r>
              <w:rPr/>
              <w:t> </w:t>
            </w:r>
            <w:bookmarkStart w:id="76" w:name="xdx_406_ecustom--UncertainTaxPositionLia"/>
            <w:bookmarkEnd w:id="76"/>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Uncertain tax position liability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bookmarkStart w:id="77" w:name="xdx_404_eus-gaap--AccruedIncomeTaxesCurr"/>
            <w:bookmarkEnd w:id="77"/>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Income tax payable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631</w:t>
            </w:r>
          </w:p>
        </w:tc>
        <w:tc>
          <w:tcPr>
            <w:tcW w:w="110" w:type="dxa"/>
            <w:tcBorders/>
            <w:shd w:fill="FFFFFF" w:val="clear"/>
            <w:vAlign w:val="center"/>
          </w:tcPr>
          <w:p>
            <w:pPr>
              <w:pStyle w:val="TableContents"/>
              <w:spacing w:before="0" w:after="283"/>
              <w:jc w:val="left"/>
              <w:rPr/>
            </w:pPr>
            <w:r>
              <w:rPr/>
              <w:t> </w:t>
            </w:r>
            <w:bookmarkStart w:id="78" w:name="xdx_401_eus-gaap--NotesPayableCurrent_i0"/>
            <w:bookmarkEnd w:id="78"/>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Notes payable, current portion, net of debt issuance costs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19,242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1,875</w:t>
            </w:r>
          </w:p>
        </w:tc>
        <w:tc>
          <w:tcPr>
            <w:tcW w:w="110" w:type="dxa"/>
            <w:tcBorders/>
            <w:shd w:fill="CCEEFF" w:val="clear"/>
            <w:vAlign w:val="center"/>
          </w:tcPr>
          <w:p>
            <w:pPr>
              <w:pStyle w:val="TableContents"/>
              <w:spacing w:before="0" w:after="283"/>
              <w:jc w:val="left"/>
              <w:rPr/>
            </w:pPr>
            <w:r>
              <w:rPr/>
              <w:t> </w:t>
            </w:r>
            <w:bookmarkStart w:id="79" w:name="xdx_40A_eus-gaap--OperatingLeaseLiabilit"/>
            <w:bookmarkEnd w:id="79"/>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Operating lease liability, current portion</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1,188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1,082</w:t>
            </w:r>
          </w:p>
        </w:tc>
        <w:tc>
          <w:tcPr>
            <w:tcW w:w="110" w:type="dxa"/>
            <w:tcBorders/>
            <w:shd w:fill="FFFFFF" w:val="clear"/>
            <w:vAlign w:val="center"/>
          </w:tcPr>
          <w:p>
            <w:pPr>
              <w:pStyle w:val="TableContents"/>
              <w:spacing w:before="0" w:after="283"/>
              <w:jc w:val="left"/>
              <w:rPr/>
            </w:pPr>
            <w:r>
              <w:rPr/>
              <w:t> </w:t>
            </w:r>
            <w:bookmarkStart w:id="80" w:name="xdx_40C_eus-gaap--LiabilitiesCurrent_i01"/>
            <w:bookmarkEnd w:id="80"/>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40,566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17,990</w:t>
            </w:r>
          </w:p>
        </w:tc>
        <w:tc>
          <w:tcPr>
            <w:tcW w:w="110" w:type="dxa"/>
            <w:tcBorders/>
            <w:shd w:fill="CCEEFF" w:val="clear"/>
            <w:vAlign w:val="center"/>
          </w:tcPr>
          <w:p>
            <w:pPr>
              <w:pStyle w:val="TableContents"/>
              <w:spacing w:before="0" w:after="283"/>
              <w:jc w:val="left"/>
              <w:rPr/>
            </w:pPr>
            <w:r>
              <w:rPr/>
              <w:t> </w:t>
            </w:r>
            <w:bookmarkStart w:id="81" w:name="xdx_40A_eus-gaap--LiabilitiesNoncurrentA"/>
            <w:bookmarkEnd w:id="81"/>
          </w:p>
        </w:tc>
      </w:tr>
      <w:tr>
        <w:trPr/>
        <w:tc>
          <w:tcPr>
            <w:tcW w:w="816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Long-Term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bookmarkStart w:id="82" w:name="xdx_409_eus-gaap--LongTermNotesPayable_i"/>
            <w:bookmarkEnd w:id="82"/>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Notes payable-noncurrent, net of debt issuance costs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37,053</w:t>
            </w:r>
          </w:p>
        </w:tc>
        <w:tc>
          <w:tcPr>
            <w:tcW w:w="110" w:type="dxa"/>
            <w:tcBorders/>
            <w:shd w:fill="CCEEFF" w:val="clear"/>
            <w:vAlign w:val="center"/>
          </w:tcPr>
          <w:p>
            <w:pPr>
              <w:pStyle w:val="TableContents"/>
              <w:spacing w:before="0" w:after="283"/>
              <w:jc w:val="left"/>
              <w:rPr/>
            </w:pPr>
            <w:r>
              <w:rPr/>
              <w:t> </w:t>
            </w:r>
            <w:bookmarkStart w:id="83" w:name="xdx_40E_eus-gaap--DeferredIncomeTaxLiabi"/>
            <w:bookmarkEnd w:id="83"/>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453</w:t>
            </w:r>
          </w:p>
        </w:tc>
        <w:tc>
          <w:tcPr>
            <w:tcW w:w="110" w:type="dxa"/>
            <w:tcBorders/>
            <w:shd w:fill="FFFFFF" w:val="clear"/>
            <w:vAlign w:val="center"/>
          </w:tcPr>
          <w:p>
            <w:pPr>
              <w:pStyle w:val="TableContents"/>
              <w:spacing w:before="0" w:after="283"/>
              <w:jc w:val="left"/>
              <w:rPr/>
            </w:pPr>
            <w:r>
              <w:rPr/>
              <w:t> </w:t>
            </w:r>
            <w:bookmarkStart w:id="84" w:name="xdx_40E_ecustom--WarrantLiabilityNoncurr"/>
            <w:bookmarkEnd w:id="84"/>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Warrant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32,831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bookmarkStart w:id="85" w:name="xdx_40C_eus-gaap--OtherAccruedLiabilitie"/>
            <w:bookmarkEnd w:id="85"/>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Accrued expenses, long-term</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492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spacing w:before="0" w:after="283"/>
              <w:jc w:val="left"/>
              <w:rPr/>
            </w:pPr>
            <w:r>
              <w:rPr/>
              <w:t> </w:t>
            </w:r>
            <w:bookmarkStart w:id="86" w:name="xdx_408_eus-gaap--OperatingLeaseLiabilit"/>
            <w:bookmarkEnd w:id="86"/>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Operating lease liability, net of current portion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3,541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4,694</w:t>
            </w:r>
          </w:p>
        </w:tc>
        <w:tc>
          <w:tcPr>
            <w:tcW w:w="110" w:type="dxa"/>
            <w:tcBorders/>
            <w:shd w:fill="CCEEFF" w:val="clear"/>
            <w:vAlign w:val="center"/>
          </w:tcPr>
          <w:p>
            <w:pPr>
              <w:pStyle w:val="TableContents"/>
              <w:spacing w:before="0" w:after="283"/>
              <w:jc w:val="left"/>
              <w:rPr/>
            </w:pPr>
            <w:r>
              <w:rPr/>
              <w:t> </w:t>
            </w:r>
            <w:bookmarkStart w:id="87" w:name="xdx_40B_eus-gaap--LiabilitiesNoncurrent_"/>
            <w:bookmarkEnd w:id="87"/>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Long-Term Liabilities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36,864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42,200</w:t>
            </w:r>
          </w:p>
        </w:tc>
        <w:tc>
          <w:tcPr>
            <w:tcW w:w="110" w:type="dxa"/>
            <w:tcBorders/>
            <w:shd w:fill="FFFFFF" w:val="clear"/>
            <w:vAlign w:val="center"/>
          </w:tcPr>
          <w:p>
            <w:pPr>
              <w:pStyle w:val="TableContents"/>
              <w:spacing w:before="0" w:after="283"/>
              <w:jc w:val="left"/>
              <w:rPr/>
            </w:pPr>
            <w:r>
              <w:rPr/>
              <w:t> </w:t>
            </w:r>
            <w:bookmarkStart w:id="88" w:name="xdx_40E_eus-gaap--Liabilities_i01TI_mtLz"/>
            <w:bookmarkEnd w:id="88"/>
          </w:p>
        </w:tc>
      </w:tr>
      <w:tr>
        <w:trPr/>
        <w:tc>
          <w:tcPr>
            <w:tcW w:w="816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77,430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60,190</w:t>
            </w:r>
          </w:p>
        </w:tc>
        <w:tc>
          <w:tcPr>
            <w:tcW w:w="110" w:type="dxa"/>
            <w:tcBorders/>
            <w:shd w:fill="CCEEFF" w:val="clear"/>
            <w:vAlign w:val="center"/>
          </w:tcPr>
          <w:p>
            <w:pPr>
              <w:pStyle w:val="TableContents"/>
              <w:spacing w:before="0" w:after="283"/>
              <w:jc w:val="left"/>
              <w:rPr/>
            </w:pPr>
            <w:r>
              <w:rPr/>
              <w:t> </w:t>
            </w:r>
            <w:bookmarkStart w:id="89" w:name="xdx_406_eus-gaap--CommitmentsAndContinge"/>
            <w:bookmarkEnd w:id="89"/>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Commitments and Contingencies (See Note 6)</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spacing w:before="0" w:after="283"/>
              <w:jc w:val="left"/>
              <w:rPr/>
            </w:pPr>
            <w:r>
              <w:rPr/>
              <w:t> </w:t>
            </w:r>
            <w:bookmarkStart w:id="90" w:name="xdx_40E_eus-gaap--StockholdersEquityAbst"/>
            <w:bookmarkEnd w:id="90"/>
          </w:p>
        </w:tc>
      </w:tr>
      <w:tr>
        <w:trPr/>
        <w:tc>
          <w:tcPr>
            <w:tcW w:w="8165"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bookmarkStart w:id="91" w:name="xdx_402_eus-gaap--CommonStockValue_i01I_"/>
            <w:bookmarkEnd w:id="91"/>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 xml:space="preserve">Common stock, </w:t>
            </w:r>
            <w:bookmarkStart w:id="92" w:name="xdx_908_eus-gaap--CommonStockSharesAutho"/>
            <w:bookmarkStart w:id="93" w:name="xdx_902_eus-gaap--CommonStockSharesAutho"/>
            <w:bookmarkEnd w:id="92"/>
            <w:bookmarkEnd w:id="93"/>
            <w:r>
              <w:rPr>
                <w:rFonts w:ascii="Times New Roman;Times;Serif" w:hAnsi="Times New Roman;Times;Serif"/>
              </w:rPr>
              <w:t>170,000,000 shares, $</w:t>
            </w:r>
            <w:bookmarkStart w:id="94" w:name="xdx_90C_eus-gaap--CommonStockParOrStated"/>
            <w:bookmarkStart w:id="95" w:name="xdx_901_eus-gaap--CommonStockParOrStated"/>
            <w:bookmarkEnd w:id="94"/>
            <w:bookmarkEnd w:id="95"/>
            <w:r>
              <w:rPr>
                <w:rFonts w:ascii="Times New Roman;Times;Serif" w:hAnsi="Times New Roman;Times;Serif"/>
              </w:rPr>
              <w:t xml:space="preserve">0.0001 par value, authorized, </w:t>
            </w:r>
            <w:bookmarkStart w:id="96" w:name="xdx_906_eus-gaap--CommonStockSharesOutst"/>
            <w:bookmarkStart w:id="97" w:name="xdx_901_eus-gaap--CommonStockSharesIssue"/>
            <w:bookmarkEnd w:id="96"/>
            <w:bookmarkEnd w:id="97"/>
            <w:r>
              <w:rPr>
                <w:rFonts w:ascii="Times New Roman;Times;Serif" w:hAnsi="Times New Roman;Times;Serif"/>
              </w:rPr>
              <w:t xml:space="preserve">43,272,728 and </w:t>
            </w:r>
            <w:bookmarkStart w:id="98" w:name="xdx_900_eus-gaap--CommonStockSharesOutst"/>
            <w:bookmarkStart w:id="99" w:name="xdx_90F_eus-gaap--CommonStockSharesIssue"/>
            <w:bookmarkEnd w:id="98"/>
            <w:bookmarkEnd w:id="99"/>
            <w:r>
              <w:rPr>
                <w:rFonts w:ascii="Times New Roman;Times;Serif" w:hAnsi="Times New Roman;Times;Serif"/>
              </w:rPr>
              <w:t>36,496,998 shares issued and outstanding as of December 31, 2022 and 2021, respectively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FFFFFF" w:val="clear"/>
            <w:vAlign w:val="center"/>
          </w:tcPr>
          <w:p>
            <w:pPr>
              <w:pStyle w:val="TableContents"/>
              <w:spacing w:before="0" w:after="283"/>
              <w:jc w:val="left"/>
              <w:rPr/>
            </w:pPr>
            <w:r>
              <w:rPr/>
              <w:t> </w:t>
            </w:r>
            <w:bookmarkStart w:id="100" w:name="xdx_402_eus-gaap--PreferredStockValue_i0"/>
            <w:bookmarkEnd w:id="100"/>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 xml:space="preserve">Preferred stock, </w:t>
            </w:r>
            <w:bookmarkStart w:id="101" w:name="xdx_902_eus-gaap--PreferredStockSharesAu"/>
            <w:bookmarkStart w:id="102" w:name="xdx_905_eus-gaap--PreferredStockSharesAu"/>
            <w:bookmarkEnd w:id="101"/>
            <w:bookmarkEnd w:id="102"/>
            <w:r>
              <w:rPr>
                <w:rFonts w:ascii="Times New Roman;Times;Serif" w:hAnsi="Times New Roman;Times;Serif"/>
              </w:rPr>
              <w:t>5,000,000 shares, $</w:t>
            </w:r>
            <w:bookmarkStart w:id="103" w:name="xdx_901_eus-gaap--PreferredStockParOrSta"/>
            <w:bookmarkStart w:id="104" w:name="xdx_900_eus-gaap--PreferredStockParOrSta"/>
            <w:bookmarkEnd w:id="103"/>
            <w:bookmarkEnd w:id="104"/>
            <w:r>
              <w:rPr>
                <w:rFonts w:ascii="Times New Roman;Times;Serif" w:hAnsi="Times New Roman;Times;Serif"/>
              </w:rPr>
              <w:t xml:space="preserve">0.0001 par value, authorized, </w:t>
            </w:r>
            <w:bookmarkStart w:id="105" w:name="xdx_908_eus-gaap--PreferredStockSharesOu"/>
            <w:bookmarkStart w:id="106" w:name="xdx_902_eus-gaap--PreferredStockSharesIs"/>
            <w:bookmarkStart w:id="107" w:name="xdx_904_eus-gaap--PreferredStockSharesOu"/>
            <w:bookmarkStart w:id="108" w:name="xdx_904_eus-gaap--PreferredStockSharesIs"/>
            <w:bookmarkEnd w:id="105"/>
            <w:bookmarkEnd w:id="106"/>
            <w:bookmarkEnd w:id="107"/>
            <w:bookmarkEnd w:id="108"/>
            <w:r>
              <w:rPr>
                <w:rFonts w:ascii="Times New Roman;Times;Serif" w:hAnsi="Times New Roman;Times;Serif"/>
              </w:rPr>
              <w:t>no shares issued and outstanding as of December 31, 2022 and 2021, respectively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bookmarkStart w:id="109" w:name="xdx_409_eus-gaap--AdditionalPaidInCapita"/>
            <w:bookmarkEnd w:id="109"/>
          </w:p>
        </w:tc>
      </w:tr>
      <w:tr>
        <w:trPr/>
        <w:tc>
          <w:tcPr>
            <w:tcW w:w="8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38,461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3,619</w:t>
            </w:r>
          </w:p>
        </w:tc>
        <w:tc>
          <w:tcPr>
            <w:tcW w:w="110" w:type="dxa"/>
            <w:tcBorders/>
            <w:shd w:fill="FFFFFF" w:val="clear"/>
            <w:vAlign w:val="center"/>
          </w:tcPr>
          <w:p>
            <w:pPr>
              <w:pStyle w:val="TableContents"/>
              <w:spacing w:before="0" w:after="283"/>
              <w:jc w:val="left"/>
              <w:rPr/>
            </w:pPr>
            <w:r>
              <w:rPr/>
              <w:t> </w:t>
            </w:r>
            <w:bookmarkStart w:id="110" w:name="xdx_40E_eus-gaap--RetainedEarningsAccumu"/>
            <w:bookmarkEnd w:id="110"/>
          </w:p>
        </w:tc>
      </w:tr>
      <w:tr>
        <w:trPr/>
        <w:tc>
          <w:tcPr>
            <w:tcW w:w="8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Retained (deficit) earnings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(27,133</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12,438</w:t>
            </w:r>
          </w:p>
        </w:tc>
        <w:tc>
          <w:tcPr>
            <w:tcW w:w="110" w:type="dxa"/>
            <w:tcBorders/>
            <w:shd w:fill="CCEEFF" w:val="clear"/>
            <w:vAlign w:val="center"/>
          </w:tcPr>
          <w:p>
            <w:pPr>
              <w:pStyle w:val="TableContents"/>
              <w:spacing w:before="0" w:after="283"/>
              <w:jc w:val="left"/>
              <w:rPr/>
            </w:pPr>
            <w:r>
              <w:rPr/>
              <w:t> </w:t>
            </w:r>
            <w:bookmarkStart w:id="111" w:name="xdx_405_eus-gaap--StockholdersEquity_i01"/>
            <w:bookmarkEnd w:id="111"/>
          </w:p>
        </w:tc>
      </w:tr>
      <w:tr>
        <w:trPr/>
        <w:tc>
          <w:tcPr>
            <w:tcW w:w="816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Equity</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11,332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16,061</w:t>
            </w:r>
          </w:p>
        </w:tc>
        <w:tc>
          <w:tcPr>
            <w:tcW w:w="110" w:type="dxa"/>
            <w:tcBorders/>
            <w:shd w:fill="FFFFFF" w:val="clear"/>
            <w:vAlign w:val="center"/>
          </w:tcPr>
          <w:p>
            <w:pPr>
              <w:pStyle w:val="TableContents"/>
              <w:spacing w:before="0" w:after="283"/>
              <w:jc w:val="left"/>
              <w:rPr/>
            </w:pPr>
            <w:r>
              <w:rPr/>
              <w:t> </w:t>
            </w:r>
            <w:bookmarkStart w:id="112" w:name="xdx_401_eus-gaap--LiabilitiesAndStockhol"/>
            <w:bookmarkEnd w:id="112"/>
          </w:p>
        </w:tc>
      </w:tr>
      <w:tr>
        <w:trPr/>
        <w:tc>
          <w:tcPr>
            <w:tcW w:w="816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88,762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76,251</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F-3</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13" w:name="a_019"/>
      <w:bookmarkEnd w:id="113"/>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w:t>
      </w:r>
      <w:r>
        <w:rPr>
          <w:rFonts w:ascii="Times New Roman;Times;Serif" w:hAnsi="Times New Roman;Times;Serif"/>
          <w:b/>
          <w:i w:val="false"/>
          <w:caps/>
          <w:sz w:val="20"/>
        </w:rPr>
        <w:t>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spacing w:before="0" w:after="0"/>
        <w:ind w:left="0" w:right="0" w:hanging="0"/>
        <w:jc w:val="center"/>
        <w:rPr>
          <w:caps w:val="false"/>
          <w:smallCaps w:val="false"/>
        </w:rPr>
      </w:pPr>
      <w:r>
        <w:rPr>
          <w:caps w:val="false"/>
          <w:smallCaps w:val="false"/>
        </w:rPr>
        <w:t> </w:t>
      </w:r>
    </w:p>
    <w:p>
      <w:pPr>
        <w:pStyle w:val="Normal"/>
        <w:spacing w:before="0" w:after="0"/>
        <w:rPr>
          <w:sz w:val="4"/>
          <w:szCs w:val="4"/>
        </w:rPr>
      </w:pPr>
      <w:r>
        <w:rPr>
          <w:sz w:val="4"/>
          <w:szCs w:val="4"/>
        </w:rPr>
      </w:r>
      <w:bookmarkStart w:id="114" w:name="xdx_301_113_pn3n3_zUYTNnoIKCIj"/>
      <w:bookmarkStart w:id="115" w:name="xdx_301_113_pn3n3_zUYTNnoIKCIj"/>
      <w:bookmarkEnd w:id="115"/>
    </w:p>
    <w:tbl>
      <w:tblPr>
        <w:tblW w:w="7325" w:type="dxa"/>
        <w:jc w:val="left"/>
        <w:tblInd w:w="0" w:type="dxa"/>
        <w:tblCellMar>
          <w:top w:w="0" w:type="dxa"/>
          <w:left w:w="0" w:type="dxa"/>
          <w:bottom w:w="0" w:type="dxa"/>
          <w:right w:w="0" w:type="dxa"/>
        </w:tblCellMar>
      </w:tblPr>
      <w:tblGrid>
        <w:gridCol w:w="4520"/>
        <w:gridCol w:w="60"/>
        <w:gridCol w:w="140"/>
        <w:gridCol w:w="1100"/>
        <w:gridCol w:w="95"/>
        <w:gridCol w:w="60"/>
        <w:gridCol w:w="140"/>
        <w:gridCol w:w="1100"/>
        <w:gridCol w:w="110"/>
      </w:tblGrid>
      <w:tr>
        <w:trPr/>
        <w:tc>
          <w:tcPr>
            <w:tcW w:w="452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116" w:name="xdx_496_20220101__20221231_zikGnyYoIaQ9"/>
            <w:bookmarkEnd w:id="116"/>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117" w:name="xdx_499_20210101__20211231_zhRTJm1AdWg1"/>
            <w:bookmarkEnd w:id="117"/>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5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shd w:fill="auto" w:val="clear"/>
            <w:vAlign w:val="center"/>
          </w:tcPr>
          <w:p>
            <w:pPr>
              <w:pStyle w:val="TableContents"/>
              <w:spacing w:before="0" w:after="283"/>
              <w:rPr/>
            </w:pPr>
            <w:r>
              <w:rPr/>
              <w:t> </w:t>
            </w:r>
            <w:bookmarkStart w:id="118" w:name="xdx_40E_eus-gaap--RevenueFromContractWit"/>
            <w:bookmarkEnd w:id="118"/>
          </w:p>
        </w:tc>
      </w:tr>
      <w:tr>
        <w:trPr/>
        <w:tc>
          <w:tcPr>
            <w:tcW w:w="452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Net Sales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86,251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78,000</w:t>
            </w:r>
          </w:p>
        </w:tc>
        <w:tc>
          <w:tcPr>
            <w:tcW w:w="110" w:type="dxa"/>
            <w:tcBorders/>
            <w:shd w:fill="CCEEFF" w:val="clear"/>
            <w:vAlign w:val="center"/>
          </w:tcPr>
          <w:p>
            <w:pPr>
              <w:pStyle w:val="TableContents"/>
              <w:spacing w:before="0" w:after="283"/>
              <w:jc w:val="left"/>
              <w:rPr/>
            </w:pPr>
            <w:r>
              <w:rPr/>
              <w:t> </w:t>
            </w:r>
            <w:bookmarkStart w:id="119" w:name="xdx_40A_eus-gaap--CostOfGoodsAndServices"/>
            <w:bookmarkEnd w:id="119"/>
          </w:p>
        </w:tc>
      </w:tr>
      <w:tr>
        <w:trPr/>
        <w:tc>
          <w:tcPr>
            <w:tcW w:w="452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Cost of Goods Sold</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62,247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48,375</w:t>
            </w:r>
          </w:p>
        </w:tc>
        <w:tc>
          <w:tcPr>
            <w:tcW w:w="110" w:type="dxa"/>
            <w:tcBorders/>
            <w:shd w:fill="FFFFFF" w:val="clear"/>
            <w:vAlign w:val="center"/>
          </w:tcPr>
          <w:p>
            <w:pPr>
              <w:pStyle w:val="TableContents"/>
              <w:spacing w:before="0" w:after="283"/>
              <w:jc w:val="left"/>
              <w:rPr/>
            </w:pPr>
            <w:r>
              <w:rPr/>
              <w:t> </w:t>
            </w:r>
            <w:bookmarkStart w:id="120" w:name="xdx_40F_eus-gaap--GrossProfit_iT_mtGPzM3"/>
            <w:bookmarkEnd w:id="120"/>
          </w:p>
        </w:tc>
      </w:tr>
      <w:tr>
        <w:trPr/>
        <w:tc>
          <w:tcPr>
            <w:tcW w:w="452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24,004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29,625</w:t>
            </w:r>
          </w:p>
        </w:tc>
        <w:tc>
          <w:tcPr>
            <w:tcW w:w="110" w:type="dxa"/>
            <w:tcBorders/>
            <w:shd w:fill="CCEEFF" w:val="clear"/>
            <w:vAlign w:val="center"/>
          </w:tcPr>
          <w:p>
            <w:pPr>
              <w:pStyle w:val="TableContents"/>
              <w:spacing w:before="0" w:after="283"/>
              <w:jc w:val="left"/>
              <w:rPr/>
            </w:pPr>
            <w:r>
              <w:rPr/>
              <w:t> </w:t>
            </w:r>
            <w:bookmarkStart w:id="121" w:name="xdx_40C_eus-gaap--OperatingExpensesAbstr"/>
            <w:bookmarkEnd w:id="121"/>
          </w:p>
        </w:tc>
      </w:tr>
      <w:tr>
        <w:trPr/>
        <w:tc>
          <w:tcPr>
            <w:tcW w:w="452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22" w:name="xdx_401_eus-gaap--ResearchAndDevelopment"/>
            <w:bookmarkEnd w:id="122"/>
          </w:p>
        </w:tc>
      </w:tr>
      <w:tr>
        <w:trPr/>
        <w:tc>
          <w:tcPr>
            <w:tcW w:w="452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2,764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2,689</w:t>
            </w:r>
          </w:p>
        </w:tc>
        <w:tc>
          <w:tcPr>
            <w:tcW w:w="110" w:type="dxa"/>
            <w:tcBorders/>
            <w:shd w:fill="CCEEFF" w:val="clear"/>
            <w:vAlign w:val="center"/>
          </w:tcPr>
          <w:p>
            <w:pPr>
              <w:pStyle w:val="TableContents"/>
              <w:spacing w:before="0" w:after="283"/>
              <w:jc w:val="left"/>
              <w:rPr/>
            </w:pPr>
            <w:r>
              <w:rPr/>
              <w:t> </w:t>
            </w:r>
            <w:bookmarkStart w:id="123" w:name="xdx_407_eus-gaap--GeneralAndAdministrati"/>
            <w:bookmarkEnd w:id="123"/>
          </w:p>
        </w:tc>
      </w:tr>
      <w:tr>
        <w:trPr/>
        <w:tc>
          <w:tcPr>
            <w:tcW w:w="452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41,566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10,621</w:t>
            </w:r>
          </w:p>
        </w:tc>
        <w:tc>
          <w:tcPr>
            <w:tcW w:w="110" w:type="dxa"/>
            <w:tcBorders/>
            <w:shd w:fill="FFFFFF" w:val="clear"/>
            <w:vAlign w:val="center"/>
          </w:tcPr>
          <w:p>
            <w:pPr>
              <w:pStyle w:val="TableContents"/>
              <w:spacing w:before="0" w:after="283"/>
              <w:jc w:val="left"/>
              <w:rPr/>
            </w:pPr>
            <w:r>
              <w:rPr/>
              <w:t> </w:t>
            </w:r>
            <w:bookmarkStart w:id="124" w:name="xdx_405_eus-gaap--SellingAndMarketingExp"/>
            <w:bookmarkEnd w:id="124"/>
          </w:p>
        </w:tc>
      </w:tr>
      <w:tr>
        <w:trPr/>
        <w:tc>
          <w:tcPr>
            <w:tcW w:w="452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13,671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9,848</w:t>
            </w:r>
          </w:p>
        </w:tc>
        <w:tc>
          <w:tcPr>
            <w:tcW w:w="110" w:type="dxa"/>
            <w:tcBorders/>
            <w:shd w:fill="CCEEFF" w:val="clear"/>
            <w:vAlign w:val="center"/>
          </w:tcPr>
          <w:p>
            <w:pPr>
              <w:pStyle w:val="TableContents"/>
              <w:spacing w:before="0" w:after="283"/>
              <w:jc w:val="left"/>
              <w:rPr/>
            </w:pPr>
            <w:r>
              <w:rPr/>
              <w:t> </w:t>
            </w:r>
            <w:bookmarkStart w:id="125" w:name="xdx_40B_eus-gaap--OperatingExpenses_i01T"/>
            <w:bookmarkEnd w:id="125"/>
          </w:p>
        </w:tc>
      </w:tr>
      <w:tr>
        <w:trPr/>
        <w:tc>
          <w:tcPr>
            <w:tcW w:w="452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58,001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23,158</w:t>
            </w:r>
          </w:p>
        </w:tc>
        <w:tc>
          <w:tcPr>
            <w:tcW w:w="110" w:type="dxa"/>
            <w:tcBorders/>
            <w:shd w:fill="FFFFFF" w:val="clear"/>
            <w:vAlign w:val="center"/>
          </w:tcPr>
          <w:p>
            <w:pPr>
              <w:pStyle w:val="TableContents"/>
              <w:spacing w:before="0" w:after="283"/>
              <w:jc w:val="left"/>
              <w:rPr/>
            </w:pPr>
            <w:r>
              <w:rPr/>
              <w:t> </w:t>
            </w:r>
            <w:bookmarkStart w:id="126" w:name="xdx_403_eus-gaap--OperatingIncomeLoss_iT"/>
            <w:bookmarkEnd w:id="126"/>
          </w:p>
        </w:tc>
      </w:tr>
      <w:tr>
        <w:trPr/>
        <w:tc>
          <w:tcPr>
            <w:tcW w:w="452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(Loss) Income From Operations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(33,997</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6,467</w:t>
            </w:r>
          </w:p>
        </w:tc>
        <w:tc>
          <w:tcPr>
            <w:tcW w:w="110" w:type="dxa"/>
            <w:tcBorders/>
            <w:shd w:fill="CCEEFF" w:val="clear"/>
            <w:vAlign w:val="center"/>
          </w:tcPr>
          <w:p>
            <w:pPr>
              <w:pStyle w:val="TableContents"/>
              <w:spacing w:before="0" w:after="283"/>
              <w:jc w:val="left"/>
              <w:rPr/>
            </w:pPr>
            <w:r>
              <w:rPr/>
              <w:t> </w:t>
            </w:r>
            <w:bookmarkStart w:id="127" w:name="xdx_409_eus-gaap--NonoperatingIncomeExpe"/>
            <w:bookmarkEnd w:id="127"/>
          </w:p>
        </w:tc>
      </w:tr>
      <w:tr>
        <w:trPr/>
        <w:tc>
          <w:tcPr>
            <w:tcW w:w="452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28" w:name="xdx_403_eus-gaap--OtherNonoperatingIncom"/>
            <w:bookmarkEnd w:id="128"/>
          </w:p>
        </w:tc>
      </w:tr>
      <w:tr>
        <w:trPr/>
        <w:tc>
          <w:tcPr>
            <w:tcW w:w="452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w:t>
            </w:r>
          </w:p>
        </w:tc>
        <w:tc>
          <w:tcPr>
            <w:tcW w:w="110" w:type="dxa"/>
            <w:tcBorders/>
            <w:shd w:fill="CCEEFF" w:val="clear"/>
            <w:vAlign w:val="center"/>
          </w:tcPr>
          <w:p>
            <w:pPr>
              <w:pStyle w:val="TableContents"/>
              <w:spacing w:before="0" w:after="283"/>
              <w:jc w:val="left"/>
              <w:rPr/>
            </w:pPr>
            <w:r>
              <w:rPr/>
              <w:t> </w:t>
            </w:r>
            <w:bookmarkStart w:id="129" w:name="xdx_404_eus-gaap--InterestExpense_i01N_d"/>
            <w:bookmarkEnd w:id="129"/>
          </w:p>
        </w:tc>
      </w:tr>
      <w:tr>
        <w:trPr/>
        <w:tc>
          <w:tcPr>
            <w:tcW w:w="452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(6,945</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(519</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130" w:name="xdx_408_eus-gaap--FairValueAdjustmentOfW"/>
            <w:bookmarkEnd w:id="130"/>
          </w:p>
        </w:tc>
      </w:tr>
      <w:tr>
        <w:trPr/>
        <w:tc>
          <w:tcPr>
            <w:tcW w:w="452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5,446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bookmarkStart w:id="131" w:name="xdx_400_eus-gaap--GainsLossesOnExtinguis"/>
            <w:bookmarkEnd w:id="131"/>
          </w:p>
        </w:tc>
      </w:tr>
      <w:tr>
        <w:trPr/>
        <w:tc>
          <w:tcPr>
            <w:tcW w:w="452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Debt extinguishment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(4,824</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spacing w:before="0" w:after="283"/>
              <w:jc w:val="left"/>
              <w:rPr/>
            </w:pPr>
            <w:r>
              <w:rPr/>
              <w:t> </w:t>
            </w:r>
            <w:bookmarkStart w:id="132" w:name="xdx_40E_eus-gaap--NonoperatingIncomeExpe"/>
            <w:bookmarkEnd w:id="132"/>
          </w:p>
        </w:tc>
      </w:tr>
      <w:tr>
        <w:trPr/>
        <w:tc>
          <w:tcPr>
            <w:tcW w:w="452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Other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(6,283</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(518</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133" w:name="xdx_404_eus-gaap--IncomeLossFromContinui"/>
            <w:bookmarkEnd w:id="133"/>
          </w:p>
        </w:tc>
      </w:tr>
      <w:tr>
        <w:trPr/>
        <w:tc>
          <w:tcPr>
            <w:tcW w:w="452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(Loss) Income Before Taxes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(40,280</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5,949</w:t>
            </w:r>
          </w:p>
        </w:tc>
        <w:tc>
          <w:tcPr>
            <w:tcW w:w="110" w:type="dxa"/>
            <w:tcBorders/>
            <w:shd w:fill="FFFFFF" w:val="clear"/>
            <w:vAlign w:val="center"/>
          </w:tcPr>
          <w:p>
            <w:pPr>
              <w:pStyle w:val="TableContents"/>
              <w:spacing w:before="0" w:after="283"/>
              <w:jc w:val="left"/>
              <w:rPr/>
            </w:pPr>
            <w:r>
              <w:rPr/>
              <w:t> </w:t>
            </w:r>
            <w:bookmarkStart w:id="134" w:name="xdx_40A_eus-gaap--IncomeTaxExpenseBenefi"/>
            <w:bookmarkEnd w:id="134"/>
          </w:p>
        </w:tc>
      </w:tr>
      <w:tr>
        <w:trPr/>
        <w:tc>
          <w:tcPr>
            <w:tcW w:w="452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Income Tax (benefit)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1,611</w:t>
            </w:r>
          </w:p>
        </w:tc>
        <w:tc>
          <w:tcPr>
            <w:tcW w:w="110" w:type="dxa"/>
            <w:tcBorders/>
            <w:shd w:fill="CCEEFF" w:val="clear"/>
            <w:vAlign w:val="center"/>
          </w:tcPr>
          <w:p>
            <w:pPr>
              <w:pStyle w:val="TableContents"/>
              <w:spacing w:before="0" w:after="283"/>
              <w:jc w:val="left"/>
              <w:rPr/>
            </w:pPr>
            <w:r>
              <w:rPr/>
              <w:t> </w:t>
            </w:r>
            <w:bookmarkStart w:id="135" w:name="xdx_404_eus-gaap--NetIncomeLoss_iT_mtNIL"/>
            <w:bookmarkEnd w:id="135"/>
          </w:p>
        </w:tc>
      </w:tr>
      <w:tr>
        <w:trPr/>
        <w:tc>
          <w:tcPr>
            <w:tcW w:w="452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Net (Loss) Income</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4,338</w:t>
            </w:r>
          </w:p>
        </w:tc>
        <w:tc>
          <w:tcPr>
            <w:tcW w:w="110" w:type="dxa"/>
            <w:tcBorders/>
            <w:shd w:fill="FFFFFF" w:val="clear"/>
            <w:vAlign w:val="center"/>
          </w:tcPr>
          <w:p>
            <w:pPr>
              <w:pStyle w:val="TableContents"/>
              <w:spacing w:before="0" w:after="283"/>
              <w:jc w:val="left"/>
              <w:rPr/>
            </w:pPr>
            <w:r>
              <w:rPr/>
              <w:t> </w:t>
            </w:r>
            <w:bookmarkStart w:id="136" w:name="xdx_405_eus-gaap--EarningsPerShareBasic_"/>
            <w:bookmarkEnd w:id="136"/>
          </w:p>
        </w:tc>
      </w:tr>
      <w:tr>
        <w:trPr/>
        <w:tc>
          <w:tcPr>
            <w:tcW w:w="452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(Loss) Earnings Per Share – Basic</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0.12</w:t>
            </w:r>
          </w:p>
        </w:tc>
        <w:tc>
          <w:tcPr>
            <w:tcW w:w="110" w:type="dxa"/>
            <w:tcBorders/>
            <w:shd w:fill="CCEEFF" w:val="clear"/>
            <w:vAlign w:val="center"/>
          </w:tcPr>
          <w:p>
            <w:pPr>
              <w:pStyle w:val="TableContents"/>
              <w:spacing w:before="0" w:after="283"/>
              <w:jc w:val="left"/>
              <w:rPr/>
            </w:pPr>
            <w:r>
              <w:rPr/>
              <w:t> </w:t>
            </w:r>
            <w:bookmarkStart w:id="137" w:name="xdx_40D_eus-gaap--EarningsPerShareDilute"/>
            <w:bookmarkEnd w:id="137"/>
          </w:p>
        </w:tc>
      </w:tr>
      <w:tr>
        <w:trPr/>
        <w:tc>
          <w:tcPr>
            <w:tcW w:w="452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(Loss) Earnings Per Share – Diluted</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0.11</w:t>
            </w:r>
          </w:p>
        </w:tc>
        <w:tc>
          <w:tcPr>
            <w:tcW w:w="110" w:type="dxa"/>
            <w:tcBorders/>
            <w:shd w:fill="FFFFFF" w:val="clear"/>
            <w:vAlign w:val="center"/>
          </w:tcPr>
          <w:p>
            <w:pPr>
              <w:pStyle w:val="TableContents"/>
              <w:spacing w:before="0" w:after="283"/>
              <w:jc w:val="left"/>
              <w:rPr/>
            </w:pPr>
            <w:r>
              <w:rPr/>
              <w:t> </w:t>
            </w:r>
            <w:bookmarkStart w:id="138" w:name="xdx_40F_eus-gaap--WeightedAverageNumberO"/>
            <w:bookmarkEnd w:id="138"/>
          </w:p>
        </w:tc>
      </w:tr>
      <w:tr>
        <w:trPr/>
        <w:tc>
          <w:tcPr>
            <w:tcW w:w="452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Weighted Average Number of Shares – Basic</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35,579,137</w:t>
            </w:r>
          </w:p>
        </w:tc>
        <w:tc>
          <w:tcPr>
            <w:tcW w:w="110" w:type="dxa"/>
            <w:tcBorders/>
            <w:shd w:fill="CCEEFF" w:val="clear"/>
            <w:vAlign w:val="center"/>
          </w:tcPr>
          <w:p>
            <w:pPr>
              <w:pStyle w:val="TableContents"/>
              <w:spacing w:before="0" w:after="283"/>
              <w:jc w:val="left"/>
              <w:rPr/>
            </w:pPr>
            <w:r>
              <w:rPr/>
              <w:t> </w:t>
            </w:r>
            <w:bookmarkStart w:id="139" w:name="xdx_408_eus-gaap--WeightedAverageNumberO"/>
            <w:bookmarkEnd w:id="139"/>
          </w:p>
        </w:tc>
      </w:tr>
      <w:tr>
        <w:trPr/>
        <w:tc>
          <w:tcPr>
            <w:tcW w:w="452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Weighted Average Number of Shares – Diluted</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37,742,337</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spacing w:before="0" w:after="0"/>
        <w:ind w:left="0" w:right="0" w:hanging="0"/>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F-4</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40" w:name="a_020"/>
      <w:bookmarkEnd w:id="140"/>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spacing w:before="0" w:after="0"/>
        <w:ind w:left="0" w:right="0" w:hanging="0"/>
        <w:jc w:val="center"/>
        <w:rPr>
          <w:caps w:val="false"/>
          <w:smallCaps w:val="false"/>
        </w:rPr>
      </w:pPr>
      <w:r>
        <w:rPr>
          <w:caps w:val="false"/>
          <w:smallCaps w:val="false"/>
        </w:rPr>
        <w:t> </w:t>
      </w:r>
    </w:p>
    <w:p>
      <w:pPr>
        <w:pStyle w:val="Normal"/>
        <w:spacing w:before="0" w:after="0"/>
        <w:rPr>
          <w:sz w:val="4"/>
          <w:szCs w:val="4"/>
        </w:rPr>
      </w:pPr>
      <w:r>
        <w:rPr>
          <w:sz w:val="4"/>
          <w:szCs w:val="4"/>
        </w:rPr>
      </w:r>
      <w:bookmarkStart w:id="141" w:name="xdx_306_114_pn3n3_z3BtcUIqLMwj"/>
      <w:bookmarkStart w:id="142" w:name="xdx_306_114_pn3n3_z3BtcUIqLMwj"/>
      <w:bookmarkEnd w:id="142"/>
    </w:p>
    <w:tbl>
      <w:tblPr>
        <w:tblW w:w="10205" w:type="dxa"/>
        <w:jc w:val="left"/>
        <w:tblInd w:w="0" w:type="dxa"/>
        <w:tblCellMar>
          <w:top w:w="0" w:type="dxa"/>
          <w:left w:w="0" w:type="dxa"/>
          <w:bottom w:w="0" w:type="dxa"/>
          <w:right w:w="0" w:type="dxa"/>
        </w:tblCellMar>
      </w:tblPr>
      <w:tblGrid>
        <w:gridCol w:w="2006"/>
        <w:gridCol w:w="60"/>
        <w:gridCol w:w="60"/>
        <w:gridCol w:w="1175"/>
        <w:gridCol w:w="95"/>
        <w:gridCol w:w="60"/>
        <w:gridCol w:w="155"/>
        <w:gridCol w:w="705"/>
        <w:gridCol w:w="95"/>
        <w:gridCol w:w="60"/>
        <w:gridCol w:w="60"/>
        <w:gridCol w:w="1100"/>
        <w:gridCol w:w="60"/>
        <w:gridCol w:w="60"/>
        <w:gridCol w:w="172"/>
        <w:gridCol w:w="688"/>
        <w:gridCol w:w="60"/>
        <w:gridCol w:w="60"/>
        <w:gridCol w:w="198"/>
        <w:gridCol w:w="967"/>
        <w:gridCol w:w="60"/>
        <w:gridCol w:w="60"/>
        <w:gridCol w:w="160"/>
        <w:gridCol w:w="867"/>
        <w:gridCol w:w="95"/>
        <w:gridCol w:w="60"/>
        <w:gridCol w:w="140"/>
        <w:gridCol w:w="755"/>
        <w:gridCol w:w="112"/>
      </w:tblGrid>
      <w:tr>
        <w:trPr/>
        <w:tc>
          <w:tcPr>
            <w:tcW w:w="200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143" w:name="xdx_4B6_us-gaap--StatementEquityComponen"/>
            <w:bookmarkEnd w:id="143"/>
          </w:p>
        </w:tc>
        <w:tc>
          <w:tcPr>
            <w:tcW w:w="705"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144" w:name="xdx_4B3_us-gaap--StatementEquityComponen"/>
            <w:bookmarkEnd w:id="144"/>
          </w:p>
        </w:tc>
        <w:tc>
          <w:tcPr>
            <w:tcW w:w="688"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145" w:name="xdx_4BD_us-gaap--StatementEquityComponen"/>
            <w:bookmarkEnd w:id="145"/>
          </w:p>
        </w:tc>
        <w:tc>
          <w:tcPr>
            <w:tcW w:w="967"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146" w:name="xdx_4B1_us-gaap--StatementEquityComponen"/>
            <w:bookmarkEnd w:id="146"/>
          </w:p>
        </w:tc>
        <w:tc>
          <w:tcPr>
            <w:tcW w:w="867"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147" w:name="xdx_4B2_zudbw95ftfVf"/>
            <w:bookmarkEnd w:id="147"/>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112" w:type="dxa"/>
            <w:tcBorders/>
            <w:shd w:fill="CCEEFF" w:val="clear"/>
            <w:vAlign w:val="center"/>
          </w:tcPr>
          <w:p>
            <w:pPr>
              <w:pStyle w:val="TableContents"/>
              <w:spacing w:before="0" w:after="283"/>
              <w:jc w:val="left"/>
              <w:rPr/>
            </w:pPr>
            <w:r>
              <w:rPr/>
              <w:t> </w:t>
            </w:r>
          </w:p>
        </w:tc>
      </w:tr>
      <w:tr>
        <w:trPr/>
        <w:tc>
          <w:tcPr>
            <w:tcW w:w="200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50" w:type="dxa"/>
            <w:gridSpan w:val="6"/>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Redeemable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95" w:type="dxa"/>
            <w:tcBorders/>
            <w:shd w:fill="auto" w:val="clear"/>
            <w:vAlign w:val="center"/>
          </w:tcPr>
          <w:p>
            <w:pPr>
              <w:pStyle w:val="TableContents"/>
              <w:spacing w:before="0" w:after="283"/>
              <w:rPr/>
            </w:pPr>
            <w:r>
              <w:rPr/>
              <w:t> </w:t>
            </w:r>
          </w:p>
        </w:tc>
        <w:tc>
          <w:tcPr>
            <w:tcW w:w="60" w:type="dxa"/>
            <w:tcBorders>
              <w:left w:val="single" w:sz="12" w:space="0" w:color="000000"/>
            </w:tcBorders>
            <w:shd w:fill="auto" w:val="clear"/>
            <w:tcMar>
              <w:left w:w="28" w:type="dxa"/>
            </w:tcMar>
            <w:vAlign w:val="center"/>
          </w:tcPr>
          <w:p>
            <w:pPr>
              <w:pStyle w:val="TableContents"/>
              <w:spacing w:before="0" w:after="283"/>
              <w:rPr/>
            </w:pPr>
            <w:r>
              <w:rPr/>
              <w:t> </w:t>
            </w:r>
          </w:p>
        </w:tc>
        <w:tc>
          <w:tcPr>
            <w:tcW w:w="214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5" w:type="dxa"/>
            <w:gridSpan w:val="2"/>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Additional Paid-In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7" w:type="dxa"/>
            <w:gridSpan w:val="2"/>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Retained Earnings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r>
      <w:tr>
        <w:trPr/>
        <w:tc>
          <w:tcPr>
            <w:tcW w:w="200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shd w:fill="auto" w:val="clear"/>
            <w:vAlign w:val="center"/>
          </w:tcPr>
          <w:p>
            <w:pPr>
              <w:pStyle w:val="TableContents"/>
              <w:spacing w:before="0" w:after="283"/>
              <w:rPr/>
            </w:pPr>
            <w:r>
              <w:rPr/>
              <w:t> </w:t>
            </w:r>
          </w:p>
        </w:tc>
        <w:tc>
          <w:tcPr>
            <w:tcW w:w="60" w:type="dxa"/>
            <w:tcBorders>
              <w:left w:val="single" w:sz="12" w:space="0" w:color="000000"/>
            </w:tcBorders>
            <w:shd w:fill="auto" w:val="clear"/>
            <w:tcMar>
              <w:left w:w="28" w:type="dxa"/>
            </w:tcM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Total</w:t>
            </w:r>
          </w:p>
        </w:tc>
        <w:tc>
          <w:tcPr>
            <w:tcW w:w="112" w:type="dxa"/>
            <w:tcBorders/>
            <w:shd w:fill="auto" w:val="clear"/>
            <w:vAlign w:val="center"/>
          </w:tcPr>
          <w:p>
            <w:pPr>
              <w:pStyle w:val="TableContents"/>
              <w:spacing w:before="0" w:after="283"/>
              <w:rPr/>
            </w:pPr>
            <w:r>
              <w:rPr/>
              <w:t> </w:t>
            </w:r>
          </w:p>
        </w:tc>
      </w:tr>
      <w:tr>
        <w:trPr/>
        <w:tc>
          <w:tcPr>
            <w:tcW w:w="200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left w:val="single" w:sz="12" w:space="0" w:color="000000"/>
            </w:tcBorders>
            <w:shd w:fill="auto" w:val="clear"/>
            <w:tcMar>
              <w:left w:w="28" w:type="dxa"/>
            </w:tcM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7"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bookmarkStart w:id="148" w:name="xdx_438_c20210101__20211231_eus-gaap--St"/>
            <w:bookmarkEnd w:id="148"/>
          </w:p>
        </w:tc>
      </w:tr>
      <w:tr>
        <w:trPr/>
        <w:tc>
          <w:tcPr>
            <w:tcW w:w="2006"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Balance - January 1, 2021</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149" w:name="xdx_986_eus-gaap--SharesOutstanding_iS_p"/>
            <w:bookmarkEnd w:id="149"/>
          </w:p>
        </w:tc>
        <w:tc>
          <w:tcPr>
            <w:tcW w:w="117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10,000,000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150" w:name="xdx_985_eus-gaap--SharesOutstanding_iS_p"/>
            <w:bookmarkEnd w:id="150"/>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20,040,470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single" w:sz="12" w:space="0" w:color="000000"/>
            </w:tcBorders>
            <w:shd w:fill="CCEEFF" w:val="clear"/>
            <w:tcMar>
              <w:bottom w:w="28" w:type="dxa"/>
            </w:tcMar>
            <w:vAlign w:val="center"/>
          </w:tcPr>
          <w:p>
            <w:pPr>
              <w:pStyle w:val="TableContents"/>
              <w:spacing w:before="0" w:after="283"/>
              <w:jc w:val="right"/>
              <w:rPr/>
            </w:pPr>
            <w:r>
              <w:rPr/>
              <w:t>       </w:t>
            </w:r>
            <w:r>
              <w:rPr>
                <w:rFonts w:ascii="Times New Roman;Times;Serif" w:hAnsi="Times New Roman;Times;Serif"/>
              </w:rPr>
              <w:t>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967"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67"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8,100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8,555</w:t>
            </w:r>
          </w:p>
        </w:tc>
        <w:tc>
          <w:tcPr>
            <w:tcW w:w="112" w:type="dxa"/>
            <w:tcBorders/>
            <w:shd w:fill="CCEEFF" w:val="clear"/>
            <w:vAlign w:val="center"/>
          </w:tcPr>
          <w:p>
            <w:pPr>
              <w:pStyle w:val="TableContents"/>
              <w:spacing w:before="0" w:after="283"/>
              <w:jc w:val="left"/>
              <w:rPr/>
            </w:pPr>
            <w:r>
              <w:rPr/>
              <w:t> </w:t>
            </w:r>
          </w:p>
        </w:tc>
      </w:tr>
      <w:tr>
        <w:trPr/>
        <w:tc>
          <w:tcPr>
            <w:tcW w:w="200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68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67"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2" w:type="dxa"/>
            <w:tcBorders/>
            <w:shd w:fill="FFFFFF" w:val="clear"/>
            <w:vAlign w:val="center"/>
          </w:tcPr>
          <w:p>
            <w:pPr>
              <w:pStyle w:val="TableContents"/>
              <w:spacing w:before="0" w:after="283"/>
              <w:jc w:val="left"/>
              <w:rPr/>
            </w:pPr>
            <w:r>
              <w:rPr/>
              <w:t> </w:t>
            </w:r>
            <w:bookmarkStart w:id="151" w:name="xdx_407_ecustom--StockIssuedDuringPeriod"/>
            <w:bookmarkEnd w:id="151"/>
          </w:p>
        </w:tc>
      </w:tr>
      <w:tr>
        <w:trPr/>
        <w:tc>
          <w:tcPr>
            <w:tcW w:w="2006"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Retroactive application of recapitalization</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152" w:name="xdx_986_ecustom--StockIssuedDuringPeriod"/>
            <w:bookmarkEnd w:id="152"/>
          </w:p>
        </w:tc>
        <w:tc>
          <w:tcPr>
            <w:tcW w:w="117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(10,000,000</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left w:val="single" w:sz="12" w:space="0" w:color="000000"/>
            </w:tcBorders>
            <w:shd w:fill="CCEEFF" w:val="clear"/>
            <w:tcMar>
              <w:left w:w="28" w:type="dxa"/>
            </w:tcM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153" w:name="xdx_98D_ecustom--StockIssuedDuringPeriod"/>
            <w:bookmarkEnd w:id="153"/>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15,469,477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2,000</w:t>
            </w:r>
          </w:p>
        </w:tc>
        <w:tc>
          <w:tcPr>
            <w:tcW w:w="112" w:type="dxa"/>
            <w:tcBorders/>
            <w:shd w:fill="CCEEFF" w:val="clear"/>
            <w:vAlign w:val="center"/>
          </w:tcPr>
          <w:p>
            <w:pPr>
              <w:pStyle w:val="TableContents"/>
              <w:spacing w:before="0" w:after="283"/>
              <w:jc w:val="left"/>
              <w:rPr/>
            </w:pPr>
            <w:r>
              <w:rPr/>
              <w:t> </w:t>
            </w:r>
            <w:bookmarkStart w:id="154" w:name="xdx_40A_ecustom--StockholdersEquityAdjus"/>
            <w:bookmarkEnd w:id="154"/>
          </w:p>
        </w:tc>
      </w:tr>
      <w:tr>
        <w:trPr/>
        <w:tc>
          <w:tcPr>
            <w:tcW w:w="2006"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Adjusted balance, beginning of period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55" w:name="xdx_981_ecustom--StockholdersEquityAdjus"/>
            <w:bookmarkEnd w:id="155"/>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35,509,947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6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2,451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6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8,100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10,555</w:t>
            </w:r>
          </w:p>
        </w:tc>
        <w:tc>
          <w:tcPr>
            <w:tcW w:w="112" w:type="dxa"/>
            <w:tcBorders/>
            <w:shd w:fill="FFFFFF" w:val="clear"/>
            <w:vAlign w:val="center"/>
          </w:tcPr>
          <w:p>
            <w:pPr>
              <w:pStyle w:val="TableContents"/>
              <w:spacing w:before="0" w:after="283"/>
              <w:jc w:val="left"/>
              <w:rPr/>
            </w:pPr>
            <w:r>
              <w:rPr/>
              <w:t> </w:t>
            </w:r>
            <w:bookmarkStart w:id="156" w:name="xdx_406_eus-gaap--NetIncomeLoss_pn3n3_zM"/>
            <w:bookmarkEnd w:id="156"/>
          </w:p>
        </w:tc>
      </w:tr>
      <w:tr>
        <w:trPr/>
        <w:tc>
          <w:tcPr>
            <w:tcW w:w="2006"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70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 </w:t>
            </w:r>
          </w:p>
        </w:tc>
        <w:tc>
          <w:tcPr>
            <w:tcW w:w="68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96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6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4,338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4,338</w:t>
            </w:r>
          </w:p>
        </w:tc>
        <w:tc>
          <w:tcPr>
            <w:tcW w:w="112" w:type="dxa"/>
            <w:tcBorders/>
            <w:shd w:fill="CCEEFF" w:val="clear"/>
            <w:vAlign w:val="center"/>
          </w:tcPr>
          <w:p>
            <w:pPr>
              <w:pStyle w:val="TableContents"/>
              <w:spacing w:before="0" w:after="283"/>
              <w:jc w:val="left"/>
              <w:rPr/>
            </w:pPr>
            <w:r>
              <w:rPr/>
              <w:t> </w:t>
            </w:r>
            <w:bookmarkStart w:id="157" w:name="xdx_400_eus-gaap--AdjustmentsToAdditiona"/>
            <w:bookmarkEnd w:id="157"/>
          </w:p>
        </w:tc>
      </w:tr>
      <w:tr>
        <w:trPr/>
        <w:tc>
          <w:tcPr>
            <w:tcW w:w="2006"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Stock compensation expense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6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734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6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734</w:t>
            </w:r>
          </w:p>
        </w:tc>
        <w:tc>
          <w:tcPr>
            <w:tcW w:w="112" w:type="dxa"/>
            <w:tcBorders/>
            <w:shd w:fill="FFFFFF" w:val="clear"/>
            <w:vAlign w:val="center"/>
          </w:tcPr>
          <w:p>
            <w:pPr>
              <w:pStyle w:val="TableContents"/>
              <w:spacing w:before="0" w:after="283"/>
              <w:jc w:val="left"/>
              <w:rPr/>
            </w:pPr>
            <w:r>
              <w:rPr/>
              <w:t> </w:t>
            </w:r>
            <w:bookmarkStart w:id="158" w:name="xdx_403_eus-gaap--StockIssuedDuringPerio"/>
            <w:bookmarkEnd w:id="158"/>
          </w:p>
        </w:tc>
      </w:tr>
      <w:tr>
        <w:trPr/>
        <w:tc>
          <w:tcPr>
            <w:tcW w:w="2006"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Exercise of stock options</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159" w:name="xdx_98E_eus-gaap--StockIssuedDuringPerio"/>
            <w:bookmarkEnd w:id="159"/>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987,051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434</w:t>
            </w:r>
          </w:p>
        </w:tc>
        <w:tc>
          <w:tcPr>
            <w:tcW w:w="112" w:type="dxa"/>
            <w:tcBorders/>
            <w:shd w:fill="CCEEFF" w:val="clear"/>
            <w:vAlign w:val="center"/>
          </w:tcPr>
          <w:p>
            <w:pPr>
              <w:pStyle w:val="TableContents"/>
              <w:spacing w:before="0" w:after="283"/>
              <w:jc w:val="left"/>
              <w:rPr/>
            </w:pPr>
            <w:r>
              <w:rPr/>
              <w:t> </w:t>
            </w:r>
          </w:p>
        </w:tc>
      </w:tr>
      <w:tr>
        <w:trPr/>
        <w:tc>
          <w:tcPr>
            <w:tcW w:w="200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68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67"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2" w:type="dxa"/>
            <w:tcBorders/>
            <w:shd w:fill="FFFFFF" w:val="clear"/>
            <w:vAlign w:val="center"/>
          </w:tcPr>
          <w:p>
            <w:pPr>
              <w:pStyle w:val="TableContents"/>
              <w:spacing w:before="0" w:after="283"/>
              <w:jc w:val="left"/>
              <w:rPr/>
            </w:pPr>
            <w:r>
              <w:rPr/>
              <w:t> </w:t>
            </w:r>
            <w:bookmarkStart w:id="160" w:name="xdx_43F_c20210101__20211231_eus-gaap--St"/>
            <w:bookmarkEnd w:id="160"/>
          </w:p>
        </w:tc>
      </w:tr>
      <w:tr>
        <w:trPr/>
        <w:tc>
          <w:tcPr>
            <w:tcW w:w="2006"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Balance - December 31, 2021</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161" w:name="xdx_985_eus-gaap--SharesOutstanding_iE_p"/>
            <w:bookmarkEnd w:id="161"/>
          </w:p>
        </w:tc>
        <w:tc>
          <w:tcPr>
            <w:tcW w:w="117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162" w:name="xdx_985_eus-gaap--SharesOutstanding_iE_p"/>
            <w:bookmarkEnd w:id="162"/>
          </w:p>
        </w:tc>
        <w:tc>
          <w:tcPr>
            <w:tcW w:w="110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36,496,998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2"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8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96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6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12,438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16,061</w:t>
            </w:r>
          </w:p>
        </w:tc>
        <w:tc>
          <w:tcPr>
            <w:tcW w:w="112" w:type="dxa"/>
            <w:tcBorders/>
            <w:shd w:fill="CCEEFF" w:val="clear"/>
            <w:vAlign w:val="center"/>
          </w:tcPr>
          <w:p>
            <w:pPr>
              <w:pStyle w:val="TableContents"/>
              <w:spacing w:before="0" w:after="283"/>
              <w:jc w:val="left"/>
              <w:rPr/>
            </w:pPr>
            <w:r>
              <w:rPr/>
              <w:t> </w:t>
            </w:r>
          </w:p>
        </w:tc>
      </w:tr>
      <w:tr>
        <w:trPr/>
        <w:tc>
          <w:tcPr>
            <w:tcW w:w="200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68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67"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2" w:type="dxa"/>
            <w:tcBorders/>
            <w:shd w:fill="FFFFFF" w:val="clear"/>
            <w:vAlign w:val="center"/>
          </w:tcPr>
          <w:p>
            <w:pPr>
              <w:pStyle w:val="TableContents"/>
              <w:spacing w:before="0" w:after="283"/>
              <w:jc w:val="left"/>
              <w:rPr/>
            </w:pPr>
            <w:r>
              <w:rPr/>
              <w:t> </w:t>
            </w:r>
            <w:bookmarkStart w:id="163" w:name="xdx_43B_c20220101__20221231_eus-gaap--St"/>
            <w:bookmarkEnd w:id="163"/>
          </w:p>
        </w:tc>
      </w:tr>
      <w:tr>
        <w:trPr/>
        <w:tc>
          <w:tcPr>
            <w:tcW w:w="2006"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Balance -January 1, 2022, after giving effect to the recapitalization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64" w:name="xdx_98D_eus-gaap--SharesOutstanding_iS_p"/>
            <w:bookmarkEnd w:id="164"/>
          </w:p>
        </w:tc>
        <w:tc>
          <w:tcPr>
            <w:tcW w:w="117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70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65" w:name="xdx_98B_eus-gaap--SharesOutstanding_iS_p"/>
            <w:bookmarkEnd w:id="165"/>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36,496,998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 </w:t>
            </w:r>
          </w:p>
        </w:tc>
        <w:tc>
          <w:tcPr>
            <w:tcW w:w="68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96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6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12,438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16,061</w:t>
            </w:r>
          </w:p>
        </w:tc>
        <w:tc>
          <w:tcPr>
            <w:tcW w:w="112" w:type="dxa"/>
            <w:tcBorders/>
            <w:shd w:fill="CCEEFF" w:val="clear"/>
            <w:vAlign w:val="center"/>
          </w:tcPr>
          <w:p>
            <w:pPr>
              <w:pStyle w:val="TableContents"/>
              <w:spacing w:before="0" w:after="283"/>
              <w:jc w:val="left"/>
              <w:rPr/>
            </w:pPr>
            <w:r>
              <w:rPr/>
              <w:t> </w:t>
            </w:r>
            <w:bookmarkStart w:id="166" w:name="xdx_43E_c20220101__20221231_eus-gaap--St"/>
            <w:bookmarkEnd w:id="166"/>
          </w:p>
        </w:tc>
      </w:tr>
      <w:tr>
        <w:trPr/>
        <w:tc>
          <w:tcPr>
            <w:tcW w:w="2006" w:type="dxa"/>
            <w:tcBorders/>
            <w:shd w:fill="FFFF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67" w:name="xdx_987_eus-gaap--SharesOutstanding_iS_p"/>
            <w:bookmarkEnd w:id="167"/>
          </w:p>
        </w:tc>
        <w:tc>
          <w:tcPr>
            <w:tcW w:w="11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68" w:name="xdx_98D_eus-gaap--SharesOutstanding_iS_p"/>
            <w:bookmarkEnd w:id="168"/>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36,496,998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6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3,619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6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12,438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16,061</w:t>
            </w:r>
          </w:p>
        </w:tc>
        <w:tc>
          <w:tcPr>
            <w:tcW w:w="112" w:type="dxa"/>
            <w:tcBorders/>
            <w:shd w:fill="FFFFFF" w:val="clear"/>
            <w:vAlign w:val="center"/>
          </w:tcPr>
          <w:p>
            <w:pPr>
              <w:pStyle w:val="TableContents"/>
              <w:spacing w:before="0" w:after="283"/>
              <w:jc w:val="left"/>
              <w:rPr/>
            </w:pPr>
            <w:r>
              <w:rPr/>
              <w:t> </w:t>
            </w:r>
          </w:p>
        </w:tc>
      </w:tr>
      <w:tr>
        <w:trPr/>
        <w:tc>
          <w:tcPr>
            <w:tcW w:w="200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68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67"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2" w:type="dxa"/>
            <w:tcBorders/>
            <w:shd w:fill="FFFFFF" w:val="clear"/>
            <w:vAlign w:val="center"/>
          </w:tcPr>
          <w:p>
            <w:pPr>
              <w:pStyle w:val="TableContents"/>
              <w:spacing w:before="0" w:after="283"/>
              <w:jc w:val="left"/>
              <w:rPr/>
            </w:pPr>
            <w:r>
              <w:rPr/>
              <w:t> </w:t>
            </w:r>
            <w:bookmarkStart w:id="169" w:name="xdx_40E_eus-gaap--NetIncomeLoss_i01_pn3n"/>
            <w:bookmarkEnd w:id="169"/>
          </w:p>
        </w:tc>
      </w:tr>
      <w:tr>
        <w:trPr/>
        <w:tc>
          <w:tcPr>
            <w:tcW w:w="2006"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70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 </w:t>
            </w:r>
          </w:p>
        </w:tc>
        <w:tc>
          <w:tcPr>
            <w:tcW w:w="68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96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6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(39,571</w:t>
            </w:r>
          </w:p>
        </w:tc>
        <w:tc>
          <w:tcPr>
            <w:tcW w:w="112"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170" w:name="xdx_409_eus-gaap--NetIncomeLoss_pn3n3_zS"/>
            <w:bookmarkEnd w:id="170"/>
          </w:p>
        </w:tc>
      </w:tr>
      <w:tr>
        <w:trPr/>
        <w:tc>
          <w:tcPr>
            <w:tcW w:w="2006"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6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6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(39,571</w:t>
            </w:r>
          </w:p>
        </w:tc>
        <w:tc>
          <w:tcPr>
            <w:tcW w:w="112"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171" w:name="xdx_407_eus-gaap--StockIssuedDuringPerio"/>
            <w:bookmarkEnd w:id="171"/>
          </w:p>
        </w:tc>
      </w:tr>
      <w:tr>
        <w:trPr/>
        <w:tc>
          <w:tcPr>
            <w:tcW w:w="2006"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Stock purchase agreement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72" w:name="xdx_986_eus-gaap--StockIssuedDuringPerio"/>
            <w:bookmarkEnd w:id="172"/>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1,498,301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6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6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15,000</w:t>
            </w:r>
          </w:p>
        </w:tc>
        <w:tc>
          <w:tcPr>
            <w:tcW w:w="112" w:type="dxa"/>
            <w:tcBorders/>
            <w:shd w:fill="FFFFFF" w:val="clear"/>
            <w:vAlign w:val="center"/>
          </w:tcPr>
          <w:p>
            <w:pPr>
              <w:pStyle w:val="TableContents"/>
              <w:spacing w:before="0" w:after="283"/>
              <w:jc w:val="left"/>
              <w:rPr/>
            </w:pPr>
            <w:r>
              <w:rPr/>
              <w:t> </w:t>
            </w:r>
            <w:bookmarkStart w:id="173" w:name="xdx_40B_eus-gaap--StockIssuedDuringPerio"/>
            <w:bookmarkEnd w:id="173"/>
          </w:p>
        </w:tc>
      </w:tr>
      <w:tr>
        <w:trPr/>
        <w:tc>
          <w:tcPr>
            <w:tcW w:w="2006"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Exercise of stock options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70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74" w:name="xdx_980_eus-gaap--StockIssuedDuringPerio"/>
            <w:bookmarkEnd w:id="174"/>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581,351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 </w:t>
            </w:r>
          </w:p>
        </w:tc>
        <w:tc>
          <w:tcPr>
            <w:tcW w:w="68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96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6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706</w:t>
            </w:r>
          </w:p>
        </w:tc>
        <w:tc>
          <w:tcPr>
            <w:tcW w:w="112" w:type="dxa"/>
            <w:tcBorders/>
            <w:shd w:fill="CCEEFF" w:val="clear"/>
            <w:vAlign w:val="center"/>
          </w:tcPr>
          <w:p>
            <w:pPr>
              <w:pStyle w:val="TableContents"/>
              <w:spacing w:before="0" w:after="283"/>
              <w:jc w:val="left"/>
              <w:rPr/>
            </w:pPr>
            <w:r>
              <w:rPr/>
              <w:t> </w:t>
            </w:r>
            <w:bookmarkStart w:id="175" w:name="xdx_400_ecustom--StockIssuedDuringPeriod"/>
            <w:bookmarkEnd w:id="175"/>
          </w:p>
        </w:tc>
      </w:tr>
      <w:tr>
        <w:trPr/>
        <w:tc>
          <w:tcPr>
            <w:tcW w:w="2006"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Reverse capitalization, net of transaction costs (See Note 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76" w:name="xdx_98A_ecustom--StockIssuedDuringPeriod"/>
            <w:bookmarkEnd w:id="176"/>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4,238,936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6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6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FFFFFF" w:val="clear"/>
            <w:vAlign w:val="center"/>
          </w:tcPr>
          <w:p>
            <w:pPr>
              <w:pStyle w:val="TableContents"/>
              <w:spacing w:before="0" w:after="283"/>
              <w:rPr>
                <w:sz w:val="4"/>
                <w:szCs w:val="4"/>
              </w:rPr>
            </w:pPr>
            <w:r>
              <w:rPr>
                <w:sz w:val="4"/>
                <w:szCs w:val="4"/>
              </w:rPr>
            </w:r>
            <w:bookmarkStart w:id="177" w:name="xdx_40B_eus-gaap--StockIssuedDuringPerio"/>
            <w:bookmarkStart w:id="178" w:name="xdx_40B_eus-gaap--StockIssuedDuringPerio"/>
            <w:bookmarkEnd w:id="178"/>
          </w:p>
        </w:tc>
      </w:tr>
      <w:tr>
        <w:trPr/>
        <w:tc>
          <w:tcPr>
            <w:tcW w:w="2006"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Cashless exercise of liability classified warrants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70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79" w:name="xdx_984_eus-gaap--StockIssuedDuringPerio"/>
            <w:bookmarkEnd w:id="179"/>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457,142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 </w:t>
            </w:r>
          </w:p>
        </w:tc>
        <w:tc>
          <w:tcPr>
            <w:tcW w:w="68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96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16,669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6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16,669</w:t>
            </w:r>
          </w:p>
        </w:tc>
        <w:tc>
          <w:tcPr>
            <w:tcW w:w="112" w:type="dxa"/>
            <w:tcBorders/>
            <w:shd w:fill="CCEEFF" w:val="clear"/>
            <w:vAlign w:val="center"/>
          </w:tcPr>
          <w:p>
            <w:pPr>
              <w:pStyle w:val="TableContents"/>
              <w:spacing w:before="0" w:after="283"/>
              <w:jc w:val="left"/>
              <w:rPr/>
            </w:pPr>
            <w:r>
              <w:rPr/>
              <w:t> </w:t>
            </w:r>
            <w:bookmarkStart w:id="180" w:name="xdx_407_eus-gaap--AdjustmentsToAdditiona"/>
            <w:bookmarkEnd w:id="180"/>
          </w:p>
        </w:tc>
      </w:tr>
      <w:tr>
        <w:trPr/>
        <w:tc>
          <w:tcPr>
            <w:tcW w:w="2006"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Stock compensation expense</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67"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2,467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2,467</w:t>
            </w:r>
          </w:p>
        </w:tc>
        <w:tc>
          <w:tcPr>
            <w:tcW w:w="112" w:type="dxa"/>
            <w:tcBorders/>
            <w:shd w:fill="FFFFFF" w:val="clear"/>
            <w:vAlign w:val="center"/>
          </w:tcPr>
          <w:p>
            <w:pPr>
              <w:pStyle w:val="TableContents"/>
              <w:spacing w:before="0" w:after="283"/>
              <w:jc w:val="left"/>
              <w:rPr/>
            </w:pPr>
            <w:r>
              <w:rPr/>
              <w:t> </w:t>
            </w:r>
            <w:bookmarkStart w:id="181" w:name="xdx_439_c20220101__20221231_eus-gaap--St"/>
            <w:bookmarkEnd w:id="181"/>
          </w:p>
        </w:tc>
      </w:tr>
      <w:tr>
        <w:trPr/>
        <w:tc>
          <w:tcPr>
            <w:tcW w:w="2006"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Balance - December 31, 2022</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182" w:name="xdx_98F_eus-gaap--SharesOutstanding_iE_p"/>
            <w:bookmarkEnd w:id="182"/>
          </w:p>
        </w:tc>
        <w:tc>
          <w:tcPr>
            <w:tcW w:w="117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183" w:name="xdx_98E_eus-gaap--SharesOutstanding_iE_p"/>
            <w:bookmarkEnd w:id="183"/>
          </w:p>
        </w:tc>
        <w:tc>
          <w:tcPr>
            <w:tcW w:w="110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43,272,728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2"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96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38,461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6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(27,133</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11,332</w:t>
            </w:r>
          </w:p>
        </w:tc>
        <w:tc>
          <w:tcPr>
            <w:tcW w:w="112" w:type="dxa"/>
            <w:tcBorders/>
            <w:shd w:fill="CCEEFF" w:val="clear"/>
            <w:vAlign w:val="center"/>
          </w:tcPr>
          <w:p>
            <w:pPr>
              <w:pStyle w:val="TableContents"/>
              <w:spacing w:before="0" w:after="283"/>
              <w:jc w:val="left"/>
              <w:rPr/>
            </w:pPr>
            <w:r>
              <w:rPr/>
              <w:t> </w:t>
            </w:r>
            <w:bookmarkStart w:id="184" w:name="xdx_43E_c20220101__20221231_eus-gaap--St"/>
            <w:bookmarkEnd w:id="184"/>
          </w:p>
        </w:tc>
      </w:tr>
      <w:tr>
        <w:trPr/>
        <w:tc>
          <w:tcPr>
            <w:tcW w:w="2006" w:type="dxa"/>
            <w:tcBorders/>
            <w:shd w:fill="FFFF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185" w:name="xdx_98F_eus-gaap--SharesOutstanding_iE_p"/>
            <w:bookmarkEnd w:id="185"/>
          </w:p>
        </w:tc>
        <w:tc>
          <w:tcPr>
            <w:tcW w:w="117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186" w:name="xdx_983_eus-gaap--SharesOutstanding_iE_p"/>
            <w:bookmarkEnd w:id="186"/>
          </w:p>
        </w:tc>
        <w:tc>
          <w:tcPr>
            <w:tcW w:w="110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43,272,728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96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38,461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6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(27,133</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11,332</w:t>
            </w:r>
          </w:p>
        </w:tc>
        <w:tc>
          <w:tcPr>
            <w:tcW w:w="112"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F-5</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87" w:name="a_021"/>
      <w:bookmarkEnd w:id="187"/>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spacing w:before="0" w:after="0"/>
        <w:ind w:left="0" w:right="0" w:hanging="0"/>
        <w:jc w:val="center"/>
        <w:rPr>
          <w:caps w:val="false"/>
          <w:smallCaps w:val="false"/>
        </w:rPr>
      </w:pPr>
      <w:r>
        <w:rPr>
          <w:caps w:val="false"/>
          <w:smallCaps w:val="false"/>
        </w:rPr>
        <w:t> </w:t>
      </w:r>
    </w:p>
    <w:p>
      <w:pPr>
        <w:pStyle w:val="Normal"/>
        <w:spacing w:before="0" w:after="0"/>
        <w:rPr>
          <w:sz w:val="4"/>
          <w:szCs w:val="4"/>
        </w:rPr>
      </w:pPr>
      <w:r>
        <w:rPr>
          <w:sz w:val="4"/>
          <w:szCs w:val="4"/>
        </w:rPr>
      </w:r>
      <w:bookmarkStart w:id="188" w:name="xdx_309_112_pn3n3_zczGCq4uSqI1"/>
      <w:bookmarkStart w:id="189" w:name="xdx_309_112_pn3n3_zczGCq4uSqI1"/>
      <w:bookmarkEnd w:id="189"/>
    </w:p>
    <w:tbl>
      <w:tblPr>
        <w:tblW w:w="10205" w:type="dxa"/>
        <w:jc w:val="left"/>
        <w:tblInd w:w="0" w:type="dxa"/>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190" w:name="xdx_499_20220101__20221231_zFsHJiEo7eGc"/>
            <w:bookmarkEnd w:id="190"/>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191" w:name="xdx_497_20210101__20211231_zJyS6DtXB3b2"/>
            <w:bookmarkEnd w:id="191"/>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8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shd w:fill="auto" w:val="clear"/>
            <w:vAlign w:val="center"/>
          </w:tcPr>
          <w:p>
            <w:pPr>
              <w:pStyle w:val="TableContents"/>
              <w:spacing w:before="0" w:after="283"/>
              <w:rPr/>
            </w:pPr>
            <w:r>
              <w:rPr/>
              <w:t> </w:t>
            </w:r>
            <w:bookmarkStart w:id="192" w:name="xdx_400_eus-gaap--NetCashProvidedByUsedI"/>
            <w:bookmarkEnd w:id="192"/>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193" w:name="xdx_40E_eus-gaap--NetIncomeLoss_i01_maNC"/>
            <w:bookmarkEnd w:id="193"/>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4,338</w:t>
            </w:r>
          </w:p>
        </w:tc>
        <w:tc>
          <w:tcPr>
            <w:tcW w:w="110" w:type="dxa"/>
            <w:tcBorders/>
            <w:shd w:fill="FFFFFF" w:val="clear"/>
            <w:vAlign w:val="center"/>
          </w:tcPr>
          <w:p>
            <w:pPr>
              <w:pStyle w:val="TableContents"/>
              <w:spacing w:before="0" w:after="283"/>
              <w:jc w:val="left"/>
              <w:rPr/>
            </w:pPr>
            <w:r>
              <w:rPr/>
              <w:t> </w:t>
            </w:r>
            <w:bookmarkStart w:id="194" w:name="xdx_40A_eus-gaap--AdjustmentsToReconcile"/>
            <w:bookmarkEnd w:id="194"/>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Adjustments to Reconcile Net (Loss) Income to Net 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195" w:name="xdx_408_eus-gaap--AdjustmentsToReconcile"/>
            <w:bookmarkEnd w:id="195"/>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Adjustments to Reconcile Net (Loss) Income to Net Cash Provided by (Used in) Operating Activities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Provided by (Used in) Operating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196" w:name="xdx_404_eus-gaap--ShareBasedCompensation"/>
            <w:bookmarkEnd w:id="196"/>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2,467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734</w:t>
            </w:r>
          </w:p>
        </w:tc>
        <w:tc>
          <w:tcPr>
            <w:tcW w:w="110" w:type="dxa"/>
            <w:tcBorders/>
            <w:shd w:fill="FFFFFF" w:val="clear"/>
            <w:vAlign w:val="center"/>
          </w:tcPr>
          <w:p>
            <w:pPr>
              <w:pStyle w:val="TableContents"/>
              <w:spacing w:before="0" w:after="283"/>
              <w:jc w:val="left"/>
              <w:rPr/>
            </w:pPr>
            <w:r>
              <w:rPr/>
              <w:t> </w:t>
            </w:r>
            <w:bookmarkStart w:id="197" w:name="xdx_401_eus-gaap--GainsLossesOnExtinguis"/>
            <w:bookmarkEnd w:id="197"/>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Debt extinguishment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4,824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bookmarkStart w:id="198" w:name="xdx_400_eus-gaap--AmortizationOfDebtDisc"/>
            <w:bookmarkEnd w:id="198"/>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Amortization of debt discount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1,822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206</w:t>
            </w:r>
          </w:p>
        </w:tc>
        <w:tc>
          <w:tcPr>
            <w:tcW w:w="110" w:type="dxa"/>
            <w:tcBorders/>
            <w:shd w:fill="FFFFFF" w:val="clear"/>
            <w:vAlign w:val="center"/>
          </w:tcPr>
          <w:p>
            <w:pPr>
              <w:pStyle w:val="TableContents"/>
              <w:spacing w:before="0" w:after="283"/>
              <w:jc w:val="left"/>
              <w:rPr/>
            </w:pPr>
            <w:r>
              <w:rPr/>
              <w:t> </w:t>
            </w:r>
            <w:bookmarkStart w:id="199" w:name="xdx_401_eus-gaap--FairValueAdjustmentOfW"/>
            <w:bookmarkEnd w:id="199"/>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(5,446</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bookmarkStart w:id="200" w:name="xdx_404_eus-gaap--DeferredIncomeTaxExpen"/>
            <w:bookmarkEnd w:id="200"/>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(453</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122</w:t>
            </w:r>
          </w:p>
        </w:tc>
        <w:tc>
          <w:tcPr>
            <w:tcW w:w="110" w:type="dxa"/>
            <w:tcBorders/>
            <w:shd w:fill="FFFFFF" w:val="clear"/>
            <w:vAlign w:val="center"/>
          </w:tcPr>
          <w:p>
            <w:pPr>
              <w:pStyle w:val="TableContents"/>
              <w:spacing w:before="0" w:after="283"/>
              <w:jc w:val="left"/>
              <w:rPr/>
            </w:pPr>
            <w:r>
              <w:rPr/>
              <w:t> </w:t>
            </w:r>
            <w:bookmarkStart w:id="201" w:name="xdx_407_eus-gaap--PaidInKindInterest_i02"/>
            <w:bookmarkEnd w:id="201"/>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Non-cash interest expense (paid-in-kind)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1,192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bookmarkStart w:id="202" w:name="xdx_408_eus-gaap--ProvisionForDoubtfulAc"/>
            <w:bookmarkEnd w:id="202"/>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Provision for doubtful accounts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50</w:t>
            </w:r>
          </w:p>
        </w:tc>
        <w:tc>
          <w:tcPr>
            <w:tcW w:w="110" w:type="dxa"/>
            <w:tcBorders/>
            <w:shd w:fill="FFFFFF" w:val="clear"/>
            <w:vAlign w:val="center"/>
          </w:tcPr>
          <w:p>
            <w:pPr>
              <w:pStyle w:val="TableContents"/>
              <w:spacing w:before="0" w:after="283"/>
              <w:jc w:val="left"/>
              <w:rPr/>
            </w:pPr>
            <w:r>
              <w:rPr/>
              <w:t> </w:t>
            </w:r>
            <w:bookmarkStart w:id="203" w:name="xdx_40A_eus-gaap--DepreciationDepletionA"/>
            <w:bookmarkEnd w:id="203"/>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891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617</w:t>
            </w:r>
          </w:p>
        </w:tc>
        <w:tc>
          <w:tcPr>
            <w:tcW w:w="110" w:type="dxa"/>
            <w:tcBorders/>
            <w:shd w:fill="CCEEFF" w:val="clear"/>
            <w:vAlign w:val="center"/>
          </w:tcPr>
          <w:p>
            <w:pPr>
              <w:pStyle w:val="TableContents"/>
              <w:spacing w:before="0" w:after="283"/>
              <w:jc w:val="left"/>
              <w:rPr/>
            </w:pPr>
            <w:r>
              <w:rPr/>
              <w:t> </w:t>
            </w:r>
            <w:bookmarkStart w:id="204" w:name="xdx_409_eus-gaap--GainLossOnSaleOfProper"/>
            <w:bookmarkEnd w:id="204"/>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Loss on disposal of property and equipment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124</w:t>
            </w:r>
          </w:p>
        </w:tc>
        <w:tc>
          <w:tcPr>
            <w:tcW w:w="110" w:type="dxa"/>
            <w:tcBorders/>
            <w:shd w:fill="FFFFFF" w:val="clear"/>
            <w:vAlign w:val="center"/>
          </w:tcPr>
          <w:p>
            <w:pPr>
              <w:pStyle w:val="TableContents"/>
              <w:spacing w:before="0" w:after="283"/>
              <w:jc w:val="left"/>
              <w:rPr/>
            </w:pPr>
            <w:r>
              <w:rPr/>
              <w:t> </w:t>
            </w:r>
            <w:bookmarkStart w:id="205" w:name="xdx_403_ecustom--AssumptionOfWarrantLiab"/>
            <w:bookmarkEnd w:id="205"/>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Assumption of Warrant Liability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1,990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bookmarkStart w:id="206" w:name="xdx_407_eus-gaap--IncreaseDecreaseInOper"/>
            <w:bookmarkEnd w:id="206"/>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Changes in Assets and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207" w:name="xdx_40C_eus-gaap--IncreaseDecreaseInAcco"/>
            <w:bookmarkEnd w:id="207"/>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(769</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1,007</w:t>
            </w:r>
          </w:p>
        </w:tc>
        <w:tc>
          <w:tcPr>
            <w:tcW w:w="110" w:type="dxa"/>
            <w:tcBorders/>
            <w:shd w:fill="CCEEFF" w:val="clear"/>
            <w:vAlign w:val="center"/>
          </w:tcPr>
          <w:p>
            <w:pPr>
              <w:pStyle w:val="TableContents"/>
              <w:spacing w:before="0" w:after="283"/>
              <w:jc w:val="left"/>
              <w:rPr/>
            </w:pPr>
            <w:r>
              <w:rPr/>
              <w:t> </w:t>
            </w:r>
            <w:bookmarkStart w:id="208" w:name="xdx_401_eus-gaap--IncreaseDecreaseInInve"/>
            <w:bookmarkEnd w:id="208"/>
          </w:p>
        </w:tc>
      </w:tr>
      <w:tr>
        <w:trPr/>
        <w:tc>
          <w:tcPr>
            <w:tcW w:w="809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Inventories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(22,719</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(21,179</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209" w:name="xdx_401_eus-gaap--IncreaseDecreaseInPrep"/>
            <w:bookmarkEnd w:id="209"/>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(1,467</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58</w:t>
            </w:r>
          </w:p>
        </w:tc>
        <w:tc>
          <w:tcPr>
            <w:tcW w:w="110" w:type="dxa"/>
            <w:tcBorders/>
            <w:shd w:fill="CCEEFF" w:val="clear"/>
            <w:vAlign w:val="center"/>
          </w:tcPr>
          <w:p>
            <w:pPr>
              <w:pStyle w:val="TableContents"/>
              <w:spacing w:before="0" w:after="283"/>
              <w:jc w:val="left"/>
              <w:rPr/>
            </w:pPr>
            <w:r>
              <w:rPr/>
              <w:t> </w:t>
            </w:r>
            <w:bookmarkStart w:id="210" w:name="xdx_40F_ecustom--IncreaseDecreaseInPrepa"/>
            <w:bookmarkEnd w:id="210"/>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5,459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(6,353</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211" w:name="xdx_40F_eus-gaap--IncreaseDecreaseInOthe"/>
            <w:bookmarkEnd w:id="211"/>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1,520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(1,214</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212" w:name="xdx_40B_eus-gaap--IncreaseDecreaseInOthe"/>
            <w:bookmarkEnd w:id="212"/>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1,196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1,029</w:t>
            </w:r>
          </w:p>
        </w:tc>
        <w:tc>
          <w:tcPr>
            <w:tcW w:w="110" w:type="dxa"/>
            <w:tcBorders/>
            <w:shd w:fill="FFFFFF" w:val="clear"/>
            <w:vAlign w:val="center"/>
          </w:tcPr>
          <w:p>
            <w:pPr>
              <w:pStyle w:val="TableContents"/>
              <w:spacing w:before="0" w:after="283"/>
              <w:jc w:val="left"/>
              <w:rPr/>
            </w:pPr>
            <w:r>
              <w:rPr/>
              <w:t> </w:t>
            </w:r>
            <w:bookmarkStart w:id="213" w:name="xdx_403_eus-gaap--IncreaseDecreaseInAccr"/>
            <w:bookmarkEnd w:id="213"/>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Income taxes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(1,156</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(651</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214" w:name="xdx_40A_eus-gaap--IncreaseDecreaseInAcco"/>
            <w:bookmarkEnd w:id="214"/>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4,428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8,903</w:t>
            </w:r>
          </w:p>
        </w:tc>
        <w:tc>
          <w:tcPr>
            <w:tcW w:w="110" w:type="dxa"/>
            <w:tcBorders/>
            <w:shd w:fill="FFFFFF" w:val="clear"/>
            <w:vAlign w:val="center"/>
          </w:tcPr>
          <w:p>
            <w:pPr>
              <w:pStyle w:val="TableContents"/>
              <w:spacing w:before="0" w:after="283"/>
              <w:jc w:val="left"/>
              <w:rPr/>
            </w:pPr>
            <w:r>
              <w:rPr/>
              <w:t> </w:t>
            </w:r>
            <w:bookmarkStart w:id="215" w:name="xdx_40E_ecustom--IncreaseDecreaseInUnrec"/>
            <w:bookmarkEnd w:id="215"/>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Uncertain tax position liability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216" w:name="xdx_40C_eus-gaap--IncreaseDecreaseInCont"/>
            <w:bookmarkEnd w:id="216"/>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(196</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(1,345</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217" w:name="xdx_400_eus-gaap--AdjustmentsToReconcile"/>
            <w:bookmarkEnd w:id="217"/>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Adjustments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(6,125</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(17,911</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218" w:name="xdx_40D_eus-gaap--NetCashProvidedByUsedI"/>
            <w:bookmarkEnd w:id="218"/>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(45,696</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(13,573</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219" w:name="xdx_407_eus-gaap--NetCashProvidedByUsedI"/>
            <w:bookmarkEnd w:id="219"/>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220" w:name="xdx_401_eus-gaap--ProceedsFromSaleOfProp"/>
            <w:bookmarkEnd w:id="220"/>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Proceeds from disposal of property and equipment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61</w:t>
            </w:r>
          </w:p>
        </w:tc>
        <w:tc>
          <w:tcPr>
            <w:tcW w:w="110" w:type="dxa"/>
            <w:tcBorders/>
            <w:shd w:fill="FFFFFF" w:val="clear"/>
            <w:vAlign w:val="center"/>
          </w:tcPr>
          <w:p>
            <w:pPr>
              <w:pStyle w:val="TableContents"/>
              <w:spacing w:before="0" w:after="283"/>
              <w:jc w:val="left"/>
              <w:rPr/>
            </w:pPr>
            <w:r>
              <w:rPr/>
              <w:t> </w:t>
            </w:r>
            <w:bookmarkStart w:id="221" w:name="xdx_403_eus-gaap--PaymentsToAcquirePrope"/>
            <w:bookmarkEnd w:id="221"/>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(6,862</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(2,970</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222" w:name="xdx_402_eus-gaap--NetCashProvidedByUsedI"/>
            <w:bookmarkEnd w:id="222"/>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(6,827</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(2,909</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223" w:name="xdx_40D_eus-gaap--NetCashProvidedByUsedI"/>
            <w:bookmarkEnd w:id="223"/>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224" w:name="xdx_406_eus-gaap--ProceedsFromBankDebt_i"/>
            <w:bookmarkEnd w:id="224"/>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Proceeds from term loan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75,000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spacing w:before="0" w:after="283"/>
              <w:jc w:val="left"/>
              <w:rPr/>
            </w:pPr>
            <w:r>
              <w:rPr/>
              <w:t> </w:t>
            </w:r>
            <w:bookmarkStart w:id="225" w:name="xdx_40A_eus-gaap--ProceedsFromNotesPayab"/>
            <w:bookmarkEnd w:id="225"/>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Proceeds from note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45,000</w:t>
            </w:r>
          </w:p>
        </w:tc>
        <w:tc>
          <w:tcPr>
            <w:tcW w:w="110" w:type="dxa"/>
            <w:tcBorders/>
            <w:shd w:fill="CCEEFF" w:val="clear"/>
            <w:vAlign w:val="center"/>
          </w:tcPr>
          <w:p>
            <w:pPr>
              <w:pStyle w:val="TableContents"/>
              <w:spacing w:before="0" w:after="283"/>
              <w:jc w:val="left"/>
              <w:rPr/>
            </w:pPr>
            <w:r>
              <w:rPr/>
              <w:t> </w:t>
            </w:r>
            <w:bookmarkStart w:id="226" w:name="xdx_40D_eus-gaap--RepaymentsOfNotesPayab"/>
            <w:bookmarkEnd w:id="226"/>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Repayment from note payable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(45,000</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spacing w:before="0" w:after="283"/>
              <w:jc w:val="left"/>
              <w:rPr/>
            </w:pPr>
            <w:r>
              <w:rPr/>
              <w:t> </w:t>
            </w:r>
            <w:bookmarkStart w:id="227" w:name="xdx_402_eus-gaap--PaymentsOfDebtIssuance"/>
            <w:bookmarkEnd w:id="227"/>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Payments of debt issuance costs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(4,032</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(6,278</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228" w:name="xdx_405_eus-gaap--ProceedsFromStockOptio"/>
            <w:bookmarkEnd w:id="228"/>
          </w:p>
        </w:tc>
      </w:tr>
      <w:tr>
        <w:trPr/>
        <w:tc>
          <w:tcPr>
            <w:tcW w:w="809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Proceeds from exercise of options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706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184</w:t>
            </w:r>
          </w:p>
        </w:tc>
        <w:tc>
          <w:tcPr>
            <w:tcW w:w="110" w:type="dxa"/>
            <w:tcBorders/>
            <w:shd w:fill="FFFFFF" w:val="clear"/>
            <w:vAlign w:val="center"/>
          </w:tcPr>
          <w:p>
            <w:pPr>
              <w:pStyle w:val="TableContents"/>
              <w:spacing w:before="0" w:after="283"/>
              <w:jc w:val="left"/>
              <w:rPr/>
            </w:pPr>
            <w:r>
              <w:rPr/>
              <w:t> </w:t>
            </w:r>
            <w:bookmarkStart w:id="229" w:name="xdx_402_eus-gaap--ProceedsFromIssuanceOf"/>
            <w:bookmarkEnd w:id="229"/>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Proceeds from stock purchase agreement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bookmarkStart w:id="230" w:name="xdx_408_eus-gaap--ProceedsFromLongTermLi"/>
            <w:bookmarkEnd w:id="230"/>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Proceeds from revolving note agreement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5,000</w:t>
            </w:r>
          </w:p>
        </w:tc>
        <w:tc>
          <w:tcPr>
            <w:tcW w:w="110" w:type="dxa"/>
            <w:tcBorders/>
            <w:shd w:fill="FFFFFF" w:val="clear"/>
            <w:vAlign w:val="center"/>
          </w:tcPr>
          <w:p>
            <w:pPr>
              <w:pStyle w:val="TableContents"/>
              <w:spacing w:before="0" w:after="283"/>
              <w:jc w:val="left"/>
              <w:rPr/>
            </w:pPr>
            <w:r>
              <w:rPr/>
              <w:t> </w:t>
            </w:r>
            <w:bookmarkStart w:id="231" w:name="xdx_407_eus-gaap--RepaymentsOfLongTermLi"/>
            <w:bookmarkEnd w:id="231"/>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Repayments of revolving note agreement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(5,000</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232" w:name="xdx_403_eus-gaap--NetCashProvidedByUsedI"/>
            <w:bookmarkEnd w:id="232"/>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41,674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38,906</w:t>
            </w:r>
          </w:p>
        </w:tc>
        <w:tc>
          <w:tcPr>
            <w:tcW w:w="110" w:type="dxa"/>
            <w:tcBorders/>
            <w:shd w:fill="FFFFFF" w:val="clear"/>
            <w:vAlign w:val="center"/>
          </w:tcPr>
          <w:p>
            <w:pPr>
              <w:pStyle w:val="TableContents"/>
              <w:spacing w:before="0" w:after="283"/>
              <w:jc w:val="left"/>
              <w:rPr/>
            </w:pPr>
            <w:r>
              <w:rPr/>
              <w:t> </w:t>
            </w:r>
            <w:bookmarkStart w:id="233" w:name="xdx_40F_eus-gaap--CashCashEquivalentsRes"/>
            <w:bookmarkEnd w:id="233"/>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(Decrease) Increase in Cash and Restricted 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(10,849</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22,424</w:t>
            </w:r>
          </w:p>
        </w:tc>
        <w:tc>
          <w:tcPr>
            <w:tcW w:w="110" w:type="dxa"/>
            <w:tcBorders/>
            <w:shd w:fill="CCEEFF" w:val="clear"/>
            <w:vAlign w:val="center"/>
          </w:tcPr>
          <w:p>
            <w:pPr>
              <w:pStyle w:val="TableContents"/>
              <w:spacing w:before="0" w:after="283"/>
              <w:jc w:val="left"/>
              <w:rPr/>
            </w:pPr>
            <w:r>
              <w:rPr/>
              <w:t> </w:t>
            </w:r>
            <w:bookmarkStart w:id="234" w:name="xdx_407_eus-gaap--CashCashEquivalentsRes"/>
            <w:bookmarkEnd w:id="234"/>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Beginning cash and restricted cash</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28,630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6,206</w:t>
            </w:r>
          </w:p>
        </w:tc>
        <w:tc>
          <w:tcPr>
            <w:tcW w:w="110" w:type="dxa"/>
            <w:tcBorders/>
            <w:shd w:fill="FFFFFF" w:val="clear"/>
            <w:vAlign w:val="center"/>
          </w:tcPr>
          <w:p>
            <w:pPr>
              <w:pStyle w:val="TableContents"/>
              <w:spacing w:before="0" w:after="283"/>
              <w:jc w:val="left"/>
              <w:rPr/>
            </w:pPr>
            <w:r>
              <w:rPr/>
              <w:t> </w:t>
            </w:r>
            <w:bookmarkStart w:id="235" w:name="xdx_40A_eus-gaap--CashCashEquivalentsRes"/>
            <w:bookmarkEnd w:id="235"/>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Ending cash and restricted cash</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17,781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28,630</w:t>
            </w:r>
          </w:p>
        </w:tc>
        <w:tc>
          <w:tcPr>
            <w:tcW w:w="110" w:type="dxa"/>
            <w:tcBorders/>
            <w:shd w:fill="CCEEFF" w:val="clear"/>
            <w:vAlign w:val="center"/>
          </w:tcPr>
          <w:p>
            <w:pPr>
              <w:pStyle w:val="TableContents"/>
              <w:spacing w:before="0" w:after="283"/>
              <w:jc w:val="left"/>
              <w:rPr/>
            </w:pPr>
            <w:r>
              <w:rPr/>
              <w:t> </w:t>
            </w:r>
            <w:bookmarkStart w:id="236" w:name="xdx_40F_eus-gaap--SupplementalCashFlowIn"/>
            <w:bookmarkEnd w:id="236"/>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Supplemental Disclosures of Cash Flow Information: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237" w:name="xdx_400_eus-gaap--IncomeTaxesPaidNet_i01"/>
            <w:bookmarkEnd w:id="237"/>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773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2,390</w:t>
            </w:r>
          </w:p>
        </w:tc>
        <w:tc>
          <w:tcPr>
            <w:tcW w:w="110" w:type="dxa"/>
            <w:tcBorders/>
            <w:shd w:fill="CCEEFF" w:val="clear"/>
            <w:vAlign w:val="center"/>
          </w:tcPr>
          <w:p>
            <w:pPr>
              <w:pStyle w:val="TableContents"/>
              <w:spacing w:before="0" w:after="283"/>
              <w:jc w:val="left"/>
              <w:rPr/>
            </w:pPr>
            <w:r>
              <w:rPr/>
              <w:t> </w:t>
            </w:r>
            <w:bookmarkStart w:id="238" w:name="xdx_406_eus-gaap--InterestPaidNet_i01_pp"/>
            <w:bookmarkEnd w:id="238"/>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2,252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313</w:t>
            </w:r>
          </w:p>
        </w:tc>
        <w:tc>
          <w:tcPr>
            <w:tcW w:w="110" w:type="dxa"/>
            <w:tcBorders/>
            <w:shd w:fill="FFFFFF" w:val="clear"/>
            <w:vAlign w:val="center"/>
          </w:tcPr>
          <w:p>
            <w:pPr>
              <w:pStyle w:val="TableContents"/>
              <w:spacing w:before="0" w:after="283"/>
              <w:jc w:val="left"/>
              <w:rPr/>
            </w:pPr>
            <w:r>
              <w:rPr/>
              <w:t> </w:t>
            </w:r>
            <w:bookmarkStart w:id="239" w:name="xdx_405_eus-gaap--CashFlowNoncashInvesti"/>
            <w:bookmarkEnd w:id="239"/>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Supplemental Non-Cash Items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240" w:name="xdx_40D_ecustom--NonCashReceivableOfOpti"/>
            <w:bookmarkEnd w:id="240"/>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Receivable of options exercised</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250</w:t>
            </w:r>
          </w:p>
        </w:tc>
        <w:tc>
          <w:tcPr>
            <w:tcW w:w="110" w:type="dxa"/>
            <w:tcBorders/>
            <w:shd w:fill="FFFFFF" w:val="clear"/>
            <w:vAlign w:val="center"/>
          </w:tcPr>
          <w:p>
            <w:pPr>
              <w:pStyle w:val="TableContents"/>
              <w:spacing w:before="0" w:after="283"/>
              <w:jc w:val="left"/>
              <w:rPr/>
            </w:pPr>
            <w:r>
              <w:rPr/>
              <w:t> </w:t>
            </w:r>
            <w:bookmarkStart w:id="241" w:name="xdx_40F_eus-gaap--CapitalExpendituresInc"/>
            <w:bookmarkEnd w:id="241"/>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Purchases of property and equipment, not yet paid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255</w:t>
            </w:r>
          </w:p>
        </w:tc>
        <w:tc>
          <w:tcPr>
            <w:tcW w:w="110" w:type="dxa"/>
            <w:tcBorders/>
            <w:shd w:fill="CCEEFF" w:val="clear"/>
            <w:vAlign w:val="center"/>
          </w:tcPr>
          <w:p>
            <w:pPr>
              <w:pStyle w:val="TableContents"/>
              <w:spacing w:before="0" w:after="283"/>
              <w:jc w:val="left"/>
              <w:rPr/>
            </w:pPr>
            <w:r>
              <w:rPr/>
              <w:t> </w:t>
            </w:r>
            <w:bookmarkStart w:id="242" w:name="xdx_408_eus-gaap--RightOfUseAssetObtaine"/>
            <w:bookmarkEnd w:id="242"/>
          </w:p>
        </w:tc>
      </w:tr>
      <w:tr>
        <w:trPr/>
        <w:tc>
          <w:tcPr>
            <w:tcW w:w="80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Recognition of right of use asset obtained in exchange for operating lease liability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5,745</w:t>
            </w:r>
          </w:p>
        </w:tc>
        <w:tc>
          <w:tcPr>
            <w:tcW w:w="110" w:type="dxa"/>
            <w:tcBorders/>
            <w:shd w:fill="FFFFFF" w:val="clear"/>
            <w:vAlign w:val="center"/>
          </w:tcPr>
          <w:p>
            <w:pPr>
              <w:pStyle w:val="TableContents"/>
              <w:spacing w:before="0" w:after="283"/>
              <w:jc w:val="left"/>
              <w:rPr/>
            </w:pPr>
            <w:r>
              <w:rPr/>
              <w:t> </w:t>
            </w:r>
            <w:bookmarkStart w:id="243" w:name="xdx_406_ecustom--CashlessExerciseOfLiabi"/>
            <w:bookmarkEnd w:id="243"/>
          </w:p>
        </w:tc>
      </w:tr>
      <w:tr>
        <w:trPr/>
        <w:tc>
          <w:tcPr>
            <w:tcW w:w="80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Cashless exercise of liability classified warrants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16,669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F-6</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bookmarkStart w:id="244" w:name="a_022"/>
      <w:bookmarkEnd w:id="244"/>
      <w:r>
        <w:rPr>
          <w:rFonts w:ascii="Times New Roman;Times;Serif" w:hAnsi="Times New Roman;Times;Serif"/>
          <w:b/>
          <w:i w:val="false"/>
          <w:caps w:val="false"/>
          <w:smallCaps w:val="false"/>
          <w:sz w:val="20"/>
        </w:rPr>
        <w:t>NOTES TO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45" w:name="xdx_803_eus-gaap--NatureOfOperations_z0z"/>
      <w:bookmarkEnd w:id="245"/>
      <w:r>
        <w:rPr>
          <w:rFonts w:ascii="Times New Roman;Times;Serif" w:hAnsi="Times New Roman;Times;Serif"/>
          <w:b/>
          <w:i w:val="false"/>
          <w:caps w:val="false"/>
          <w:smallCaps w:val="false"/>
          <w:sz w:val="20"/>
        </w:rPr>
        <w:t>NOTE 1 — </w:t>
      </w:r>
      <w:bookmarkStart w:id="246" w:name="xdx_829_ztnKfgykOZ1k"/>
      <w:bookmarkEnd w:id="246"/>
      <w:r>
        <w:rPr>
          <w:rFonts w:ascii="Times New Roman;Times;Serif" w:hAnsi="Times New Roman;Times;Serif"/>
          <w:b/>
          <w:i w:val="false"/>
          <w:caps w:val="false"/>
          <w:smallCaps w:val="false"/>
          <w:sz w:val="20"/>
        </w:rPr>
        <w:t>NATURE OF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w:t>
      </w:r>
      <w:r>
        <w:rPr>
          <w:rFonts w:ascii="Times New Roman;Times;Serif" w:hAnsi="Times New Roman;Times;Serif"/>
          <w:b/>
          <w:i w:val="false"/>
          <w:caps w:val="false"/>
          <w:smallCaps w:val="false"/>
          <w:sz w:val="20"/>
        </w:rPr>
        <w:t>New Dragonfly</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a merger transaction between Chardan NexTech Acquisition 2 Corporation (“</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Dragonfly Energy Corp.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and Bronco Merger Sub, Inc.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was completed pursuant to which Merger Sub was merged with and into Legacy Dragonfly, with Legacy Dragonfly surviving the merger. As a result of the merger, Legacy Dragonfly became a wholly owned subsidiary of New Dragonfly.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w:t>
      </w:r>
      <w:r>
        <w:rPr>
          <w:rFonts w:ascii="Times New Roman;Times;Serif" w:hAnsi="Times New Roman;Times;Serif"/>
          <w:b w:val="false"/>
          <w:i/>
          <w:caps w:val="false"/>
          <w:smallCaps w:val="false"/>
          <w:sz w:val="20"/>
        </w:rPr>
        <w:t>Note 3 – Reverse Capitalization</w:t>
      </w:r>
      <w:r>
        <w:rPr>
          <w:rFonts w:ascii="Times New Roman;Times;Serif" w:hAnsi="Times New Roman;Times;Serif"/>
          <w:b w:val="false"/>
          <w:i w:val="false"/>
          <w:caps w:val="false"/>
          <w:smallCaps w:val="false"/>
          <w:sz w:val="20"/>
        </w:rPr>
        <w:t xml:space="preserve"> for further details of the merger.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47" w:name="xdx_802_eus-gaap--SignificantAccountingP"/>
      <w:bookmarkEnd w:id="247"/>
      <w:r>
        <w:rPr>
          <w:rFonts w:ascii="Times New Roman;Times;Serif" w:hAnsi="Times New Roman;Times;Serif"/>
          <w:b/>
          <w:i w:val="false"/>
          <w:caps w:val="false"/>
          <w:smallCaps w:val="false"/>
          <w:sz w:val="20"/>
        </w:rPr>
        <w:t>NOTE 2 — </w:t>
      </w:r>
      <w:bookmarkStart w:id="248" w:name="xdx_821_zSgu9RIhMMWe"/>
      <w:bookmarkEnd w:id="248"/>
      <w:r>
        <w:rPr>
          <w:rFonts w:ascii="Times New Roman;Times;Serif" w:hAnsi="Times New Roman;Times;Serif"/>
          <w:b/>
          <w:i w:val="false"/>
          <w:caps w:val="false"/>
          <w:smallCaps w:val="false"/>
          <w:sz w:val="20"/>
        </w:rPr>
        <w:t>SUMMARY OF SIGNIFICANT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49" w:name="xdx_849_eus-gaap--BasisOfAccountingPolic"/>
      <w:bookmarkEnd w:id="249"/>
      <w:r>
        <w:rPr>
          <w:rFonts w:ascii="Times New Roman;Times;Serif" w:hAnsi="Times New Roman;Times;Serif"/>
          <w:b w:val="false"/>
          <w:i/>
          <w:caps w:val="false"/>
          <w:smallCaps w:val="false"/>
          <w:sz w:val="20"/>
          <w:u w:val="single"/>
        </w:rPr>
        <w:t>Basis of Presentation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pursuant to the rules and regulations of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in accordance with generally accepted accounting principles generally accepted in the United States of America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and present the consolidated financial statements of the Company and its wholly owned subsidiary.</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caps w:val="false"/>
          <w:smallCaps w:val="false"/>
          <w:sz w:val="20"/>
          <w:u w:val="single"/>
        </w:rPr>
      </w:pPr>
      <w:bookmarkStart w:id="250" w:name="xdx_862_zhHkLvHvo0S1"/>
      <w:bookmarkStart w:id="251" w:name="xdx_848_ecustom--GoingConcernPolicyTextB"/>
      <w:bookmarkEnd w:id="250"/>
      <w:bookmarkEnd w:id="251"/>
      <w:r>
        <w:rPr>
          <w:rFonts w:ascii="Times New Roman;Times;Serif" w:hAnsi="Times New Roman;Times;Serif"/>
          <w:b w:val="false"/>
          <w:i/>
          <w:caps w:val="false"/>
          <w:smallCaps w:val="false"/>
          <w:sz w:val="20"/>
          <w:u w:val="single"/>
        </w:rPr>
        <w:t>Going Concern</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the Company incurred losses and had a negative cash flow from operations. As of December 31, 2022, the Company had $</w:t>
      </w:r>
      <w:bookmarkStart w:id="252" w:name="xdx_90E_eus-gaap--CashAndCashEquivalents"/>
      <w:bookmarkEnd w:id="252"/>
      <w:r>
        <w:rPr>
          <w:rFonts w:ascii="Times New Roman;Times;Serif" w:hAnsi="Times New Roman;Times;Serif"/>
          <w:b w:val="false"/>
          <w:i w:val="false"/>
          <w:caps w:val="false"/>
          <w:smallCaps w:val="false"/>
          <w:sz w:val="20"/>
        </w:rPr>
        <w:t>17,781 in cash and cash equivalents and working capital of $</w:t>
      </w:r>
      <w:bookmarkStart w:id="253" w:name="xdx_907_ecustom--WorkingCapital_pn3n3_c2"/>
      <w:bookmarkEnd w:id="253"/>
      <w:r>
        <w:rPr>
          <w:rFonts w:ascii="Times New Roman;Times;Serif" w:hAnsi="Times New Roman;Times;Serif"/>
          <w:b w:val="false"/>
          <w:i w:val="false"/>
          <w:caps w:val="false"/>
          <w:smallCaps w:val="false"/>
          <w:sz w:val="20"/>
        </w:rPr>
        <w:t>32,923. The Company’s ability to achieve profitability and positive cash flow depends on its ability to increase revenue, contain its expenses and maintain compliance with the financial covenants in its outstanding indebtedness agreements.</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w:t>
      </w:r>
      <w:bookmarkStart w:id="254" w:name="xdx_902_eus-gaap--DebtInstrumentFaceAmou"/>
      <w:bookmarkEnd w:id="254"/>
      <w:r>
        <w:rPr>
          <w:rFonts w:ascii="Times New Roman;Times;Serif" w:hAnsi="Times New Roman;Times;Serif"/>
          <w:b w:val="false"/>
          <w:i w:val="false"/>
          <w:caps w:val="false"/>
          <w:smallCaps w:val="false"/>
          <w:sz w:val="20"/>
        </w:rPr>
        <w:t>75,000 (the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the Company is obligated to comply with certain financial covenants, which include maintaining a maximum senior leverage ratio, minimum liquidity, a springing fixed charge coverage ratio, and maximum capital expenditures (See Note 7).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need to raise additional debt and/or equity financings to fund its operations and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55" w:name="xdx_84B_ecustom--RecentlyAdoptedAccounti"/>
      <w:bookmarkEnd w:id="255"/>
      <w:r>
        <w:rPr>
          <w:rFonts w:ascii="Times New Roman;Times;Serif" w:hAnsi="Times New Roman;Times;Serif"/>
          <w:b w:val="false"/>
          <w:i/>
          <w:caps w:val="false"/>
          <w:smallCaps w:val="false"/>
          <w:sz w:val="20"/>
          <w:u w:val="single"/>
        </w:rPr>
        <w:t>Recently adopted accounting standards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the Financial Accounting Standards Board (“</w:t>
      </w:r>
      <w:r>
        <w:rPr>
          <w:rFonts w:ascii="Times New Roman;Times;Serif" w:hAnsi="Times New Roman;Times;Serif"/>
          <w:b/>
          <w:i w:val="false"/>
          <w:caps w:val="false"/>
          <w:smallCaps w:val="false"/>
          <w:sz w:val="20"/>
        </w:rPr>
        <w:t>FASB</w:t>
      </w:r>
      <w:r>
        <w:rPr>
          <w:rFonts w:ascii="Times New Roman;Times;Serif" w:hAnsi="Times New Roman;Times;Serif"/>
          <w:b w:val="false"/>
          <w:i w:val="false"/>
          <w:caps w:val="false"/>
          <w:smallCaps w:val="false"/>
          <w:sz w:val="20"/>
        </w:rPr>
        <w:t>”) issued Accounting Standards Update (“</w:t>
      </w:r>
      <w:r>
        <w:rPr>
          <w:rFonts w:ascii="Times New Roman;Times;Serif" w:hAnsi="Times New Roman;Times;Serif"/>
          <w:b/>
          <w:i w:val="false"/>
          <w:caps w:val="false"/>
          <w:smallCaps w:val="false"/>
          <w:sz w:val="20"/>
        </w:rPr>
        <w:t>ASU</w:t>
      </w:r>
      <w:r>
        <w:rPr>
          <w:rFonts w:ascii="Times New Roman;Times;Serif" w:hAnsi="Times New Roman;Times;Serif"/>
          <w:b w:val="false"/>
          <w:i w:val="false"/>
          <w:caps w:val="false"/>
          <w:smallCaps w:val="false"/>
          <w:sz w:val="20"/>
        </w:rPr>
        <w:t>”) 2021-04, Earnings Per Share (Topic 260), Debt Modifications and Extinguishments (Subtopic 470 50), Compensation – Stock Based Compensation (Topic 718), and Derivatives and Hedging –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F-7</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56" w:name="xdx_84E_eus-gaap--NewAccountingPronounce"/>
      <w:bookmarkEnd w:id="256"/>
      <w:r>
        <w:rPr>
          <w:rFonts w:ascii="Times New Roman;Times;Serif" w:hAnsi="Times New Roman;Times;Serif"/>
          <w:b w:val="false"/>
          <w:i/>
          <w:caps w:val="false"/>
          <w:smallCaps w:val="false"/>
          <w:sz w:val="20"/>
          <w:u w:val="single"/>
        </w:rPr>
        <w:t>Recently issued accounting pronouncements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2020, the FASB issued ASU 2020-06, </w:t>
      </w:r>
      <w:r>
        <w:rPr>
          <w:rFonts w:ascii="Times New Roman;Times;Serif" w:hAnsi="Times New Roman;Times;Serif"/>
          <w:b w:val="false"/>
          <w:i/>
          <w:caps w:val="false"/>
          <w:smallCaps w:val="false"/>
          <w:sz w:val="20"/>
        </w:rPr>
        <w:t xml:space="preserve">Debt—Debt with Conversion and Other Options (Subtopic 470-20) and Derivatives and Hedging—Contracts in Entity’s Own Equity (Subtopic 815-40)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ASU 2020-06</w:t>
      </w:r>
      <w:r>
        <w:rPr>
          <w:rFonts w:ascii="Times New Roman;Times;Serif" w:hAnsi="Times New Roman;Times;Serif"/>
          <w:b w:val="false"/>
          <w:i w:val="false"/>
          <w:caps w:val="false"/>
          <w:smallCaps w:val="false"/>
          <w:sz w:val="20"/>
        </w:rPr>
        <w:t>”)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57" w:name="xdx_84F_eus-gaap--CashAndCashEquivalents"/>
      <w:bookmarkEnd w:id="257"/>
      <w:r>
        <w:rPr>
          <w:rFonts w:ascii="Times New Roman;Times;Serif" w:hAnsi="Times New Roman;Times;Serif"/>
          <w:b w:val="false"/>
          <w:i/>
          <w:caps w:val="false"/>
          <w:smallCaps w:val="false"/>
          <w:sz w:val="20"/>
          <w:u w:val="single"/>
        </w:rPr>
        <w:t>Cash, Restricted Cash, and Cash Equivalents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all short-term debt securities purchased with a maturity of three months or less to be cash equivalents. There were </w:t>
      </w:r>
      <w:bookmarkStart w:id="258" w:name="xdx_90B_eus-gaap--CashEquivalentsAtCarry"/>
      <w:bookmarkStart w:id="259" w:name="xdx_900_eus-gaap--CashEquivalentsAtCarry"/>
      <w:bookmarkEnd w:id="258"/>
      <w:bookmarkEnd w:id="259"/>
      <w:r>
        <w:rPr>
          <w:rFonts w:ascii="Times New Roman;Times;Serif" w:hAnsi="Times New Roman;Times;Serif"/>
          <w:b w:val="false"/>
          <w:i w:val="false"/>
          <w:caps w:val="false"/>
          <w:smallCaps w:val="false"/>
          <w:sz w:val="20"/>
        </w:rPr>
        <w:t xml:space="preserve">no cash equivalents as of December 31, 2022 or 2021. The Company also maintained a restricted cash balance to satisfy its note payable requirements as of December 31, 2021 (Refer to Note 7). There were </w:t>
      </w:r>
      <w:bookmarkStart w:id="260" w:name="xdx_903_eus-gaap--RestrictedCash_iI_do_c"/>
      <w:bookmarkEnd w:id="260"/>
      <w:r>
        <w:rPr>
          <w:rFonts w:ascii="Times New Roman;Times;Serif" w:hAnsi="Times New Roman;Times;Serif"/>
          <w:b w:val="false"/>
          <w:i w:val="false"/>
          <w:caps w:val="false"/>
          <w:smallCaps w:val="false"/>
          <w:sz w:val="20"/>
        </w:rPr>
        <w:t>no restricted cash balances as of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61" w:name="xdx_84B_eus-gaap--TradeAndOtherAccountsR"/>
      <w:bookmarkEnd w:id="261"/>
      <w:r>
        <w:rPr>
          <w:rFonts w:ascii="Times New Roman;Times;Serif" w:hAnsi="Times New Roman;Times;Serif"/>
          <w:b w:val="false"/>
          <w:i/>
          <w:caps w:val="false"/>
          <w:smallCaps w:val="false"/>
          <w:sz w:val="20"/>
          <w:u w:val="single"/>
        </w:rPr>
        <w:t>Accounts Receivable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trade receivables are recorded when billed and represent claims against third parties that will be settled in cash. Generally, payment is due from customers within </w:t>
      </w:r>
      <w:bookmarkStart w:id="262" w:name="xdx_90D_ecustom--PeriodWithinWhichPaymen"/>
      <w:bookmarkEnd w:id="262"/>
      <w:r>
        <w:rPr>
          <w:rFonts w:ascii="Times New Roman;Times;Serif" w:hAnsi="Times New Roman;Times;Serif"/>
          <w:b w:val="false"/>
          <w:i w:val="false"/>
          <w:caps w:val="false"/>
          <w:smallCaps w:val="false"/>
          <w:sz w:val="20"/>
        </w:rPr>
        <w:t>30-60 days of the invoice date and the contracts do not have significant financing components. Trade accounts receivables are recorded gross and are net of any applicable allowance. The Company has an allowance for doubtful accounts as of December 31, 2022 and 2021 of $</w:t>
      </w:r>
      <w:bookmarkStart w:id="263" w:name="xdx_90F_eus-gaap--AllowanceForDoubtfulAc"/>
      <w:bookmarkEnd w:id="263"/>
      <w:r>
        <w:rPr>
          <w:rFonts w:ascii="Times New Roman;Times;Serif" w:hAnsi="Times New Roman;Times;Serif"/>
          <w:b w:val="false"/>
          <w:i w:val="false"/>
          <w:caps w:val="false"/>
          <w:smallCaps w:val="false"/>
          <w:sz w:val="20"/>
        </w:rPr>
        <w:t>90 and $</w:t>
      </w:r>
      <w:bookmarkStart w:id="264" w:name="xdx_90F_eus-gaap--AllowanceForDoubtfulAc"/>
      <w:bookmarkEnd w:id="264"/>
      <w:r>
        <w:rPr>
          <w:rFonts w:ascii="Times New Roman;Times;Serif" w:hAnsi="Times New Roman;Times;Serif"/>
          <w:b w:val="false"/>
          <w:i w:val="false"/>
          <w:caps w:val="false"/>
          <w:smallCaps w:val="false"/>
          <w:sz w:val="20"/>
        </w:rPr>
        <w:t>50,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65" w:name="xdx_849_eus-gaap--InventoryPolicyTextBlo"/>
      <w:bookmarkEnd w:id="265"/>
      <w:r>
        <w:rPr>
          <w:rFonts w:ascii="Times New Roman;Times;Serif" w:hAnsi="Times New Roman;Times;Serif"/>
          <w:b w:val="false"/>
          <w:i/>
          <w:caps w:val="false"/>
          <w:smallCaps w:val="false"/>
          <w:sz w:val="20"/>
          <w:u w:val="single"/>
        </w:rPr>
        <w:t>Inventory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(Note 5),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2022 and 2021, no such reserves were necessary.</w:t>
      </w:r>
    </w:p>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F-8</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66" w:name="xdx_846_eus-gaap--PropertyPlantAndEquipm"/>
      <w:bookmarkEnd w:id="266"/>
      <w:r>
        <w:rPr>
          <w:rFonts w:ascii="Times New Roman;Times;Serif" w:hAnsi="Times New Roman;Times;Serif"/>
          <w:b w:val="false"/>
          <w:i/>
          <w:caps w:val="false"/>
          <w:smallCaps w:val="false"/>
          <w:sz w:val="20"/>
          <w:u w:val="single"/>
        </w:rPr>
        <w:t>Property and Equipment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 Depreciation expense for the years ended December 31, 2022 and 2021 was $</w:t>
      </w:r>
      <w:bookmarkStart w:id="267" w:name="xdx_907_eus-gaap--Depreciation_pn3n3_c20"/>
      <w:bookmarkEnd w:id="267"/>
      <w:r>
        <w:rPr>
          <w:rFonts w:ascii="Times New Roman;Times;Serif" w:hAnsi="Times New Roman;Times;Serif"/>
          <w:b w:val="false"/>
          <w:i w:val="false"/>
          <w:caps w:val="false"/>
          <w:smallCaps w:val="false"/>
          <w:sz w:val="20"/>
        </w:rPr>
        <w:t>891 and $</w:t>
      </w:r>
      <w:bookmarkStart w:id="268" w:name="xdx_90B_eus-gaap--Depreciation_pn3n3_c20"/>
      <w:bookmarkEnd w:id="268"/>
      <w:r>
        <w:rPr>
          <w:rFonts w:ascii="Times New Roman;Times;Serif" w:hAnsi="Times New Roman;Times;Serif"/>
          <w:b w:val="false"/>
          <w:i w:val="false"/>
          <w:caps w:val="false"/>
          <w:smallCaps w:val="false"/>
          <w:sz w:val="20"/>
        </w:rPr>
        <w:t>617, respectively. The various classes of property and equipment and estimated useful lives are as follows:</w:t>
      </w:r>
    </w:p>
    <w:p>
      <w:pPr>
        <w:pStyle w:val="TextBody"/>
        <w:spacing w:before="0" w:after="0"/>
        <w:ind w:left="0" w:right="0" w:hanging="0"/>
        <w:jc w:val="both"/>
        <w:rPr>
          <w:caps w:val="false"/>
          <w:smallCaps w:val="false"/>
        </w:rPr>
      </w:pPr>
      <w:bookmarkStart w:id="269" w:name="xdx_89D_eus-gaap--PropertyPlantAndEquipm"/>
      <w:bookmarkEnd w:id="269"/>
      <w:r>
        <w:rPr>
          <w:caps w:val="false"/>
          <w:smallCaps w:val="false"/>
        </w:rPr>
        <w:t> </w:t>
      </w:r>
      <w:bookmarkStart w:id="270" w:name="xdx_8B2_zdiVltlKKBxl"/>
      <w:bookmarkEnd w:id="270"/>
      <w:r>
        <w:rPr>
          <w:rFonts w:ascii="Times New Roman;Times;Serif" w:hAnsi="Times New Roman;Times;Serif"/>
          <w:b w:val="false"/>
          <w:i w:val="false"/>
          <w:caps w:val="false"/>
          <w:smallCaps w:val="false"/>
          <w:sz w:val="20"/>
        </w:rPr>
        <w:t>SCHEDULE OF VARIOUS CLASSES OF PROPERTY AND EQUIPMENT AND ESTIMATED USEFUL LIVES</w:t>
      </w:r>
    </w:p>
    <w:tbl>
      <w:tblPr>
        <w:tblW w:w="4660" w:type="dxa"/>
        <w:jc w:val="left"/>
        <w:tblInd w:w="0" w:type="dxa"/>
        <w:tblCellMar>
          <w:top w:w="0" w:type="dxa"/>
          <w:left w:w="0" w:type="dxa"/>
          <w:bottom w:w="0" w:type="dxa"/>
          <w:right w:w="0" w:type="dxa"/>
        </w:tblCellMar>
      </w:tblPr>
      <w:tblGrid>
        <w:gridCol w:w="2540"/>
        <w:gridCol w:w="2120"/>
      </w:tblGrid>
      <w:tr>
        <w:trPr/>
        <w:tc>
          <w:tcPr>
            <w:tcW w:w="25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and equipment</w:t>
            </w:r>
          </w:p>
        </w:tc>
        <w:tc>
          <w:tcPr>
            <w:tcW w:w="21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271" w:name="xdx_90E_eus-gaap--PropertyPlantAndEquipm"/>
            <w:bookmarkEnd w:id="271"/>
            <w:r>
              <w:rPr>
                <w:rFonts w:ascii="Times New Roman;Times;Serif" w:hAnsi="Times New Roman;Times;Serif"/>
                <w:b w:val="false"/>
                <w:i w:val="false"/>
                <w:caps w:val="false"/>
                <w:smallCaps w:val="false"/>
                <w:sz w:val="20"/>
              </w:rPr>
              <w:t xml:space="preserve">3 to </w:t>
            </w:r>
            <w:bookmarkStart w:id="272" w:name="xdx_90F_eus-gaap--PropertyPlantAndEquipm"/>
            <w:bookmarkEnd w:id="272"/>
            <w:r>
              <w:rPr>
                <w:rFonts w:ascii="Times New Roman;Times;Serif" w:hAnsi="Times New Roman;Times;Serif"/>
                <w:b w:val="false"/>
                <w:i w:val="false"/>
                <w:caps w:val="false"/>
                <w:smallCaps w:val="false"/>
                <w:sz w:val="20"/>
              </w:rPr>
              <w:t>7 years</w:t>
            </w:r>
          </w:p>
        </w:tc>
      </w:tr>
      <w:tr>
        <w:trPr/>
        <w:tc>
          <w:tcPr>
            <w:tcW w:w="2540" w:type="dxa"/>
            <w:tcBorders/>
            <w:shd w:fill="auto" w:val="clear"/>
            <w:vAlign w:val="center"/>
          </w:tcPr>
          <w:p>
            <w:pPr>
              <w:pStyle w:val="TableContents"/>
              <w:spacing w:before="0" w:after="283"/>
              <w:rPr>
                <w:caps w:val="false"/>
                <w:smallCaps w:val="false"/>
              </w:rPr>
            </w:pPr>
            <w:r>
              <w:rPr>
                <w:caps w:val="false"/>
                <w:smallCaps w:val="false"/>
              </w:rPr>
              <w:t> </w:t>
            </w:r>
          </w:p>
        </w:tc>
        <w:tc>
          <w:tcPr>
            <w:tcW w:w="212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w:t>
            </w:r>
          </w:p>
        </w:tc>
        <w:tc>
          <w:tcPr>
            <w:tcW w:w="21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273" w:name="xdx_905_eus-gaap--PropertyPlantAndEquipm"/>
            <w:bookmarkEnd w:id="273"/>
            <w:r>
              <w:rPr>
                <w:rFonts w:ascii="Times New Roman;Times;Serif" w:hAnsi="Times New Roman;Times;Serif"/>
                <w:b w:val="false"/>
                <w:i w:val="false"/>
                <w:caps w:val="false"/>
                <w:smallCaps w:val="false"/>
                <w:sz w:val="20"/>
              </w:rPr>
              <w:t>5 years</w:t>
            </w:r>
          </w:p>
        </w:tc>
      </w:tr>
      <w:tr>
        <w:trPr/>
        <w:tc>
          <w:tcPr>
            <w:tcW w:w="2540" w:type="dxa"/>
            <w:tcBorders/>
            <w:shd w:fill="auto" w:val="clear"/>
            <w:vAlign w:val="center"/>
          </w:tcPr>
          <w:p>
            <w:pPr>
              <w:pStyle w:val="TableContents"/>
              <w:spacing w:before="0" w:after="283"/>
              <w:rPr>
                <w:caps w:val="false"/>
                <w:smallCaps w:val="false"/>
              </w:rPr>
            </w:pPr>
            <w:r>
              <w:rPr>
                <w:caps w:val="false"/>
                <w:smallCaps w:val="false"/>
              </w:rPr>
              <w:t> </w:t>
            </w:r>
          </w:p>
        </w:tc>
        <w:tc>
          <w:tcPr>
            <w:tcW w:w="212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21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274" w:name="xdx_90F_eus-gaap--PropertyPlantAndEquipm"/>
            <w:bookmarkEnd w:id="274"/>
            <w:r>
              <w:rPr>
                <w:rFonts w:ascii="Times New Roman;Times;Serif" w:hAnsi="Times New Roman;Times;Serif"/>
                <w:b w:val="false"/>
                <w:i w:val="false"/>
                <w:caps w:val="false"/>
                <w:smallCaps w:val="false"/>
                <w:sz w:val="20"/>
              </w:rPr>
              <w:t xml:space="preserve">3 to </w:t>
            </w:r>
            <w:bookmarkStart w:id="275" w:name="xdx_90B_eus-gaap--PropertyPlantAndEquipm"/>
            <w:bookmarkEnd w:id="275"/>
            <w:r>
              <w:rPr>
                <w:rFonts w:ascii="Times New Roman;Times;Serif" w:hAnsi="Times New Roman;Times;Serif"/>
                <w:b w:val="false"/>
                <w:i w:val="false"/>
                <w:caps w:val="false"/>
                <w:smallCaps w:val="false"/>
                <w:sz w:val="20"/>
              </w:rPr>
              <w:t xml:space="preserve">7 years </w:t>
            </w:r>
          </w:p>
        </w:tc>
      </w:tr>
      <w:tr>
        <w:trPr/>
        <w:tc>
          <w:tcPr>
            <w:tcW w:w="2540" w:type="dxa"/>
            <w:tcBorders/>
            <w:shd w:fill="auto" w:val="clear"/>
            <w:vAlign w:val="center"/>
          </w:tcPr>
          <w:p>
            <w:pPr>
              <w:pStyle w:val="TableContents"/>
              <w:spacing w:before="0" w:after="283"/>
              <w:rPr>
                <w:caps w:val="false"/>
                <w:smallCaps w:val="false"/>
              </w:rPr>
            </w:pPr>
            <w:r>
              <w:rPr>
                <w:caps w:val="false"/>
                <w:smallCaps w:val="false"/>
              </w:rPr>
              <w:t> </w:t>
            </w:r>
          </w:p>
        </w:tc>
        <w:tc>
          <w:tcPr>
            <w:tcW w:w="212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21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276" w:name="xdx_90D_eus-gaap--PropertyPlantAndEquipm"/>
            <w:bookmarkEnd w:id="276"/>
            <w:r>
              <w:rPr>
                <w:rFonts w:ascii="Times New Roman;Times;Serif" w:hAnsi="Times New Roman;Times;Serif"/>
                <w:b w:val="false"/>
                <w:i w:val="false"/>
                <w:caps w:val="false"/>
                <w:smallCaps w:val="false"/>
                <w:sz w:val="20"/>
              </w:rPr>
              <w:t>Remaining Term of Lease</w:t>
            </w:r>
          </w:p>
        </w:tc>
      </w:tr>
    </w:tbl>
    <w:p>
      <w:pPr>
        <w:pStyle w:val="TextBody"/>
        <w:spacing w:before="0" w:after="0"/>
        <w:ind w:left="0" w:right="0" w:hanging="0"/>
        <w:jc w:val="both"/>
        <w:rPr>
          <w:caps w:val="false"/>
          <w:smallCaps w:val="false"/>
        </w:rPr>
      </w:pPr>
      <w:bookmarkStart w:id="277" w:name="xdx_8AF_z7QDqCEN8i1l"/>
      <w:bookmarkEnd w:id="277"/>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78" w:name="xdx_846_eus-gaap--UseOfEstimates_zaeSyb5"/>
      <w:bookmarkEnd w:id="278"/>
      <w:r>
        <w:rPr>
          <w:rFonts w:ascii="Times New Roman;Times;Serif" w:hAnsi="Times New Roman;Times;Serif"/>
          <w:b w:val="false"/>
          <w:i/>
          <w:caps w:val="false"/>
          <w:smallCaps w:val="false"/>
          <w:sz w:val="20"/>
          <w:u w:val="single"/>
        </w:rPr>
        <w:t>Use of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79" w:name="xdx_848_eus-gaap--ImpairmentOrDisposalOf"/>
      <w:bookmarkEnd w:id="279"/>
      <w:r>
        <w:rPr>
          <w:rFonts w:ascii="Times New Roman;Times;Serif" w:hAnsi="Times New Roman;Times;Serif"/>
          <w:b w:val="false"/>
          <w:i/>
          <w:caps w:val="false"/>
          <w:smallCaps w:val="false"/>
          <w:sz w:val="20"/>
          <w:u w:val="single"/>
        </w:rPr>
        <w:t>Impairment of Long-Lived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80" w:name="xdx_840_ecustom--WarrantsPolicyTextBlock"/>
      <w:bookmarkEnd w:id="280"/>
      <w:r>
        <w:rPr>
          <w:rFonts w:ascii="Times New Roman;Times;Serif" w:hAnsi="Times New Roman;Times;Serif"/>
          <w:b w:val="false"/>
          <w:i/>
          <w:caps w:val="false"/>
          <w:smallCaps w:val="false"/>
          <w:sz w:val="20"/>
          <w:u w:val="single"/>
        </w:rPr>
        <w:t>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w:t>
      </w:r>
      <w:r>
        <w:rPr>
          <w:rFonts w:ascii="Times New Roman;Times;Serif" w:hAnsi="Times New Roman;Times;Serif"/>
          <w:b/>
          <w:i w:val="false"/>
          <w:caps w:val="false"/>
          <w:smallCaps w:val="false"/>
          <w:sz w:val="20"/>
        </w:rPr>
        <w:t>ASC 480</w:t>
      </w:r>
      <w:r>
        <w:rPr>
          <w:rFonts w:ascii="Times New Roman;Times;Serif" w:hAnsi="Times New Roman;Times;Serif"/>
          <w:b w:val="false"/>
          <w:i w:val="false"/>
          <w:caps w:val="false"/>
          <w:smallCaps w:val="false"/>
          <w:sz w:val="20"/>
        </w:rPr>
        <w:t>”), and ASC 815, Derivatives and Hedging (“</w:t>
      </w:r>
      <w:r>
        <w:rPr>
          <w:rFonts w:ascii="Times New Roman;Times;Serif" w:hAnsi="Times New Roman;Times;Serif"/>
          <w:b/>
          <w:i w:val="false"/>
          <w:caps w:val="false"/>
          <w:smallCaps w:val="false"/>
          <w:sz w:val="20"/>
        </w:rPr>
        <w:t>ASC 815</w:t>
      </w:r>
      <w:r>
        <w:rPr>
          <w:rFonts w:ascii="Times New Roman;Times;Serif" w:hAnsi="Times New Roman;Times;Serif"/>
          <w:b w:val="false"/>
          <w:i w:val="false"/>
          <w:caps w:val="false"/>
          <w:smallCaps w:val="false"/>
          <w:sz w:val="20"/>
        </w:rPr>
        <w:t>”),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81" w:name="xdx_845_eus-gaap--CommitmentsAndContinge"/>
      <w:bookmarkEnd w:id="281"/>
      <w:r>
        <w:rPr>
          <w:rFonts w:ascii="Times New Roman;Times;Serif" w:hAnsi="Times New Roman;Times;Serif"/>
          <w:b w:val="false"/>
          <w:i/>
          <w:caps w:val="false"/>
          <w:smallCaps w:val="false"/>
          <w:sz w:val="20"/>
          <w:u w:val="single"/>
        </w:rPr>
        <w:t>Commitments and Contingencies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82" w:name="xdx_847_eus-gaap--RevenueFromContractWit"/>
      <w:bookmarkEnd w:id="282"/>
      <w:r>
        <w:rPr>
          <w:rFonts w:ascii="Times New Roman;Times;Serif" w:hAnsi="Times New Roman;Times;Serif"/>
          <w:b w:val="false"/>
          <w:i/>
          <w:caps w:val="false"/>
          <w:smallCaps w:val="false"/>
          <w:sz w:val="20"/>
          <w:u w:val="single"/>
        </w:rPr>
        <w:t>Revenue Recognition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Consolidated Statements of Operations.</w:t>
      </w:r>
    </w:p>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F-9</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OEMs are due within </w:t>
      </w:r>
      <w:bookmarkStart w:id="283" w:name="xdx_906_ecustom--PaymentTermForDistribut"/>
      <w:bookmarkEnd w:id="283"/>
      <w:r>
        <w:rPr>
          <w:rFonts w:ascii="Times New Roman;Times;Serif" w:hAnsi="Times New Roman;Times;Serif"/>
          <w:b w:val="false"/>
          <w:i w:val="false"/>
          <w:caps w:val="false"/>
          <w:smallCaps w:val="false"/>
          <w:sz w:val="20"/>
        </w:rPr>
        <w:t>30-</w:t>
      </w:r>
      <w:bookmarkStart w:id="284" w:name="xdx_909_ecustom--PaymentTermForDistribut"/>
      <w:bookmarkEnd w:id="284"/>
      <w:r>
        <w:rPr>
          <w:rFonts w:ascii="Times New Roman;Times;Serif" w:hAnsi="Times New Roman;Times;Serif"/>
          <w:b w:val="false"/>
          <w:i w:val="false"/>
          <w:caps w:val="false"/>
          <w:smallCaps w:val="false"/>
          <w:sz w:val="20"/>
        </w:rPr>
        <w:t>60 days after shipment. In such instances, the Company records a customer deposit liability. The Company recognizes these contract liabilities as sales after the revenue criteria are met. The company had $</w:t>
      </w:r>
      <w:bookmarkStart w:id="285" w:name="xdx_908_eus-gaap--ContractWithCustomerLi"/>
      <w:bookmarkEnd w:id="285"/>
      <w:r>
        <w:rPr>
          <w:rFonts w:ascii="Times New Roman;Times;Serif" w:hAnsi="Times New Roman;Times;Serif"/>
          <w:b w:val="false"/>
          <w:i w:val="false"/>
          <w:caps w:val="false"/>
          <w:smallCaps w:val="false"/>
          <w:sz w:val="20"/>
        </w:rPr>
        <w:t>1,779 of contract liabilities as of January 1, 2021. As of December 31, 2022 and 2021, the contract liability related to the Company’s customer deposits approximated $</w:t>
      </w:r>
      <w:bookmarkStart w:id="286" w:name="xdx_90E_eus-gaap--ContractWithCustomerLi"/>
      <w:bookmarkEnd w:id="286"/>
      <w:r>
        <w:rPr>
          <w:rFonts w:ascii="Times New Roman;Times;Serif" w:hAnsi="Times New Roman;Times;Serif"/>
          <w:b w:val="false"/>
          <w:i w:val="false"/>
          <w:caps w:val="false"/>
          <w:smallCaps w:val="false"/>
          <w:sz w:val="20"/>
        </w:rPr>
        <w:t>238 and $</w:t>
      </w:r>
      <w:bookmarkStart w:id="287" w:name="xdx_901_eus-gaap--ContractWithCustomerLi"/>
      <w:bookmarkEnd w:id="287"/>
      <w:r>
        <w:rPr>
          <w:rFonts w:ascii="Times New Roman;Times;Serif" w:hAnsi="Times New Roman;Times;Serif"/>
          <w:b w:val="false"/>
          <w:i w:val="false"/>
          <w:caps w:val="false"/>
          <w:smallCaps w:val="false"/>
          <w:sz w:val="20"/>
        </w:rPr>
        <w:t>434, respectively. The entire contract liability balance as of December 31, 2021 was recognized as revenue during the year ended December 31, 2022. The entire contract liability balance as of January 1, 2021 was recognized as revenue during the year ended 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288" w:name="xdx_86C_z1ZZlQzBTXn9"/>
      <w:bookmarkStart w:id="289" w:name="xdx_842_ecustom--DisaggregationOfRevenue"/>
      <w:bookmarkEnd w:id="288"/>
      <w:bookmarkEnd w:id="289"/>
      <w:r>
        <w:rPr>
          <w:rFonts w:ascii="Times New Roman;Times;Serif" w:hAnsi="Times New Roman;Times;Serif"/>
          <w:b w:val="false"/>
          <w:i/>
          <w:caps w:val="false"/>
          <w:smallCaps w:val="false"/>
          <w:sz w:val="20"/>
          <w:u w:val="single"/>
        </w:rPr>
        <w:t>Disaggregation of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90" w:name="xdx_89A_eus-gaap--DisaggregationOfRevenu"/>
      <w:bookmarkEnd w:id="290"/>
      <w:r>
        <w:rPr>
          <w:rFonts w:ascii="Times New Roman;Times;Serif" w:hAnsi="Times New Roman;Times;Serif"/>
          <w:b w:val="false"/>
          <w:i w:val="false"/>
          <w:caps w:val="false"/>
          <w:smallCaps w:val="false"/>
          <w:sz w:val="20"/>
        </w:rPr>
        <w:t>The following table present our disaggregated revenues by distribution channel:</w:t>
      </w:r>
    </w:p>
    <w:p>
      <w:pPr>
        <w:pStyle w:val="TextBody"/>
        <w:spacing w:before="0" w:after="0"/>
        <w:ind w:left="0" w:right="0" w:hanging="0"/>
        <w:jc w:val="both"/>
        <w:rPr>
          <w:caps w:val="false"/>
          <w:smallCaps w:val="false"/>
        </w:rPr>
      </w:pPr>
      <w:r>
        <w:rPr>
          <w:caps w:val="false"/>
          <w:smallCaps w:val="false"/>
        </w:rPr>
        <w:t> </w:t>
      </w:r>
      <w:bookmarkStart w:id="291" w:name="xdx_8BA_zsZEasDW4rg7"/>
      <w:bookmarkEnd w:id="291"/>
      <w:r>
        <w:rPr>
          <w:rFonts w:ascii="Times New Roman;Times;Serif" w:hAnsi="Times New Roman;Times;Serif"/>
          <w:b w:val="false"/>
          <w:i w:val="false"/>
          <w:caps w:val="false"/>
          <w:smallCaps w:val="false"/>
          <w:sz w:val="20"/>
        </w:rPr>
        <w:t>SCHEDULE OF DISAGGREGATED REVENUES BY DISTRIBUTION CHANNEL</w:t>
      </w:r>
    </w:p>
    <w:tbl>
      <w:tblPr>
        <w:tblW w:w="4990" w:type="dxa"/>
        <w:jc w:val="left"/>
        <w:tblInd w:w="0" w:type="dxa"/>
        <w:tblCellMar>
          <w:top w:w="0" w:type="dxa"/>
          <w:left w:w="0" w:type="dxa"/>
          <w:bottom w:w="28" w:type="dxa"/>
          <w:right w:w="0" w:type="dxa"/>
        </w:tblCellMar>
      </w:tblPr>
      <w:tblGrid>
        <w:gridCol w:w="3095"/>
        <w:gridCol w:w="60"/>
        <w:gridCol w:w="140"/>
        <w:gridCol w:w="680"/>
        <w:gridCol w:w="60"/>
        <w:gridCol w:w="60"/>
        <w:gridCol w:w="140"/>
        <w:gridCol w:w="680"/>
        <w:gridCol w:w="75"/>
      </w:tblGrid>
      <w:tr>
        <w:trPr/>
        <w:tc>
          <w:tcPr>
            <w:tcW w:w="3095" w:type="dxa"/>
            <w:tcBorders>
              <w:bottom w:val="single" w:sz="12" w:space="0" w:color="000000"/>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Sales</w:t>
            </w:r>
          </w:p>
        </w:tc>
        <w:tc>
          <w:tcPr>
            <w:tcW w:w="60" w:type="dxa"/>
            <w:tcBorders/>
            <w:shd w:fill="auto" w:val="clear"/>
            <w:tcMar>
              <w:bottom w:w="0" w:type="dxa"/>
            </w:tcMar>
            <w:vAlign w:val="center"/>
          </w:tcPr>
          <w:p>
            <w:pPr>
              <w:pStyle w:val="TableContents"/>
              <w:spacing w:before="0" w:after="283"/>
              <w:rPr/>
            </w:pPr>
            <w:r>
              <w:rPr/>
              <w:t> </w:t>
            </w:r>
            <w:bookmarkStart w:id="292" w:name="xdx_497_20220101__20221231_zlAN1Civ0pWk"/>
            <w:bookmarkEnd w:id="292"/>
          </w:p>
        </w:tc>
        <w:tc>
          <w:tcPr>
            <w:tcW w:w="82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2022</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bookmarkStart w:id="293" w:name="xdx_49D_20210101__20211231_zNMsDDa8xWGg"/>
            <w:bookmarkEnd w:id="293"/>
          </w:p>
        </w:tc>
        <w:tc>
          <w:tcPr>
            <w:tcW w:w="82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2021</w:t>
            </w:r>
          </w:p>
        </w:tc>
        <w:tc>
          <w:tcPr>
            <w:tcW w:w="75" w:type="dxa"/>
            <w:tcBorders/>
            <w:shd w:fill="auto" w:val="clear"/>
            <w:tcMar>
              <w:bottom w:w="0" w:type="dxa"/>
            </w:tcMar>
            <w:vAlign w:val="center"/>
          </w:tcPr>
          <w:p>
            <w:pPr>
              <w:pStyle w:val="TableContents"/>
              <w:spacing w:before="0" w:after="283"/>
              <w:rPr/>
            </w:pPr>
            <w:r>
              <w:rPr/>
              <w:t> </w:t>
            </w:r>
            <w:bookmarkStart w:id="294" w:name="xdx_400_eus-gaap--RevenueFromContractWit"/>
            <w:bookmarkEnd w:id="294"/>
          </w:p>
        </w:tc>
      </w:tr>
      <w:tr>
        <w:trPr/>
        <w:tc>
          <w:tcPr>
            <w:tcW w:w="3095"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Retail</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43,344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59,042</w:t>
            </w:r>
          </w:p>
        </w:tc>
        <w:tc>
          <w:tcPr>
            <w:tcW w:w="75" w:type="dxa"/>
            <w:tcBorders/>
            <w:shd w:fill="CCEEFF" w:val="clear"/>
            <w:tcMar>
              <w:bottom w:w="0" w:type="dxa"/>
            </w:tcMar>
            <w:vAlign w:val="center"/>
          </w:tcPr>
          <w:p>
            <w:pPr>
              <w:pStyle w:val="TableContents"/>
              <w:spacing w:before="0" w:after="283"/>
              <w:jc w:val="left"/>
              <w:rPr/>
            </w:pPr>
            <w:r>
              <w:rPr/>
              <w:t> </w:t>
            </w:r>
            <w:bookmarkStart w:id="295" w:name="xdx_40B_eus-gaap--RevenueFromContractWit"/>
            <w:bookmarkEnd w:id="295"/>
          </w:p>
        </w:tc>
      </w:tr>
      <w:tr>
        <w:trPr/>
        <w:tc>
          <w:tcPr>
            <w:tcW w:w="3095" w:type="dxa"/>
            <w:tcBorders/>
            <w:shd w:fill="FFFF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Distributor</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680"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9,102</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680"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10,733</w:t>
            </w:r>
          </w:p>
        </w:tc>
        <w:tc>
          <w:tcPr>
            <w:tcW w:w="75" w:type="dxa"/>
            <w:tcBorders/>
            <w:shd w:fill="FFFFFF" w:val="clear"/>
            <w:tcMar>
              <w:bottom w:w="0" w:type="dxa"/>
            </w:tcMar>
            <w:vAlign w:val="center"/>
          </w:tcPr>
          <w:p>
            <w:pPr>
              <w:pStyle w:val="TableContents"/>
              <w:spacing w:before="0" w:after="283"/>
              <w:jc w:val="left"/>
              <w:rPr/>
            </w:pPr>
            <w:r>
              <w:rPr/>
              <w:t> </w:t>
            </w:r>
            <w:bookmarkStart w:id="296" w:name="xdx_400_eus-gaap--RevenueFromContractWit"/>
            <w:bookmarkEnd w:id="296"/>
          </w:p>
        </w:tc>
      </w:tr>
      <w:tr>
        <w:trPr/>
        <w:tc>
          <w:tcPr>
            <w:tcW w:w="309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Original equipment manufacture</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 </w:t>
            </w:r>
          </w:p>
        </w:tc>
        <w:tc>
          <w:tcPr>
            <w:tcW w:w="680" w:type="dxa"/>
            <w:tcBorders>
              <w:bottom w:val="single" w:sz="12" w:space="0" w:color="000000"/>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33,805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 </w:t>
            </w:r>
          </w:p>
        </w:tc>
        <w:tc>
          <w:tcPr>
            <w:tcW w:w="680" w:type="dxa"/>
            <w:tcBorders>
              <w:bottom w:val="single" w:sz="12" w:space="0" w:color="000000"/>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8,225</w:t>
            </w:r>
          </w:p>
        </w:tc>
        <w:tc>
          <w:tcPr>
            <w:tcW w:w="75" w:type="dxa"/>
            <w:tcBorders/>
            <w:shd w:fill="CCEEFF" w:val="clear"/>
            <w:tcMar>
              <w:bottom w:w="0" w:type="dxa"/>
            </w:tcMar>
            <w:vAlign w:val="center"/>
          </w:tcPr>
          <w:p>
            <w:pPr>
              <w:pStyle w:val="TableContents"/>
              <w:spacing w:before="0" w:after="283"/>
              <w:jc w:val="left"/>
              <w:rPr/>
            </w:pPr>
            <w:r>
              <w:rPr/>
              <w:t> </w:t>
            </w:r>
            <w:bookmarkStart w:id="297" w:name="xdx_40A_eus-gaap--RevenueFromContractWit"/>
            <w:bookmarkEnd w:id="297"/>
          </w:p>
        </w:tc>
      </w:tr>
      <w:tr>
        <w:trPr/>
        <w:tc>
          <w:tcPr>
            <w:tcW w:w="3095" w:type="dxa"/>
            <w:tcBorders/>
            <w:shd w:fill="FFFF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spacing w:before="0" w:after="283"/>
              <w:rPr/>
            </w:pPr>
            <w:r>
              <w:rPr/>
              <w:t> </w:t>
            </w:r>
          </w:p>
        </w:tc>
        <w:tc>
          <w:tcPr>
            <w:tcW w:w="140"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86,251</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78,000</w:t>
            </w:r>
          </w:p>
        </w:tc>
        <w:tc>
          <w:tcPr>
            <w:tcW w:w="75" w:type="dxa"/>
            <w:tcBorders/>
            <w:shd w:fill="FFFFFF" w:val="clear"/>
            <w:tcMar>
              <w:bottom w:w="0" w:type="dxa"/>
            </w:tcMar>
            <w:vAlign w:val="center"/>
          </w:tcPr>
          <w:p>
            <w:pPr>
              <w:pStyle w:val="TableContents"/>
              <w:spacing w:before="0" w:after="283"/>
              <w:jc w:val="left"/>
              <w:rPr/>
            </w:pPr>
            <w:r>
              <w:rPr/>
              <w:t> </w:t>
            </w:r>
            <w:bookmarkStart w:id="298" w:name="xdx_408_eus-gaap--RevenueFromContractWit"/>
            <w:bookmarkEnd w:id="298"/>
          </w:p>
        </w:tc>
      </w:tr>
      <w:tr>
        <w:trPr/>
        <w:tc>
          <w:tcPr>
            <w:tcW w:w="3095" w:type="dxa"/>
            <w:tcBorders/>
            <w:shd w:fill="FFFF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Total sales</w:t>
            </w:r>
          </w:p>
        </w:tc>
        <w:tc>
          <w:tcPr>
            <w:tcW w:w="60" w:type="dxa"/>
            <w:tcBorders/>
            <w:shd w:fill="FFFFFF" w:val="clear"/>
            <w:tcMar>
              <w:bottom w:w="0" w:type="dxa"/>
            </w:tcMar>
            <w:vAlign w:val="center"/>
          </w:tcPr>
          <w:p>
            <w:pPr>
              <w:pStyle w:val="TableContents"/>
              <w:spacing w:before="0" w:after="283"/>
              <w:rPr/>
            </w:pPr>
            <w:r>
              <w:rPr/>
              <w:t> </w:t>
            </w:r>
          </w:p>
        </w:tc>
        <w:tc>
          <w:tcPr>
            <w:tcW w:w="140"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86,251</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78,000</w:t>
            </w:r>
          </w:p>
        </w:tc>
        <w:tc>
          <w:tcPr>
            <w:tcW w:w="75" w:type="dxa"/>
            <w:tcBorders/>
            <w:shd w:fill="FFFFFF"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299" w:name="xdx_8A6_zTJXZhysIpbi"/>
      <w:bookmarkEnd w:id="299"/>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300" w:name="xdx_86C_zusSbzqZF1k1"/>
      <w:bookmarkStart w:id="301" w:name="xdx_84C_ecustom--ShippingAndHandlingCost"/>
      <w:bookmarkEnd w:id="300"/>
      <w:bookmarkEnd w:id="301"/>
      <w:r>
        <w:rPr>
          <w:rFonts w:ascii="Times New Roman;Times;Serif" w:hAnsi="Times New Roman;Times;Serif"/>
          <w:b w:val="false"/>
          <w:i/>
          <w:caps w:val="false"/>
          <w:smallCaps w:val="false"/>
          <w:sz w:val="20"/>
          <w:u w:val="single"/>
        </w:rPr>
        <w:t>Shipping and Handling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w:t>
      </w:r>
      <w:bookmarkStart w:id="302" w:name="xdx_908_ecustom--ShippingAndHandlingCost"/>
      <w:bookmarkEnd w:id="302"/>
      <w:r>
        <w:rPr>
          <w:rFonts w:ascii="Times New Roman;Times;Serif" w:hAnsi="Times New Roman;Times;Serif"/>
          <w:b w:val="false"/>
          <w:i w:val="false"/>
          <w:caps w:val="false"/>
          <w:smallCaps w:val="false"/>
          <w:sz w:val="20"/>
        </w:rPr>
        <w:t>5,440 and $</w:t>
      </w:r>
      <w:bookmarkStart w:id="303" w:name="xdx_90F_ecustom--ShippingAndHandlingCost"/>
      <w:bookmarkEnd w:id="303"/>
      <w:r>
        <w:rPr>
          <w:rFonts w:ascii="Times New Roman;Times;Serif" w:hAnsi="Times New Roman;Times;Serif"/>
          <w:b w:val="false"/>
          <w:i w:val="false"/>
          <w:caps w:val="false"/>
          <w:smallCaps w:val="false"/>
          <w:sz w:val="20"/>
        </w:rPr>
        <w:t>5,105 for the years ended December 31, 2022 and 2021,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304" w:name="xdx_864_zep8SYN4hJ6b"/>
      <w:bookmarkStart w:id="305" w:name="xdx_84B_ecustom--ProductWarrantyPolicyTe"/>
      <w:bookmarkEnd w:id="304"/>
      <w:bookmarkEnd w:id="305"/>
      <w:r>
        <w:rPr>
          <w:rFonts w:ascii="Times New Roman;Times;Serif" w:hAnsi="Times New Roman;Times;Serif"/>
          <w:b w:val="false"/>
          <w:i/>
          <w:caps w:val="false"/>
          <w:smallCaps w:val="false"/>
          <w:sz w:val="20"/>
          <w:u w:val="single"/>
        </w:rPr>
        <w:t>Product Warranty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306" w:name="xdx_904_ecustom--ProductWarrantyTermProv"/>
      <w:bookmarkEnd w:id="306"/>
      <w:r>
        <w:rPr>
          <w:rFonts w:ascii="Times New Roman;Times;Serif" w:hAnsi="Times New Roman;Times;Serif"/>
          <w:b w:val="false"/>
          <w:i w:val="false"/>
          <w:caps w:val="false"/>
          <w:smallCaps w:val="false"/>
          <w:sz w:val="20"/>
        </w:rPr>
        <w:t xml:space="preserve">5 to </w:t>
      </w:r>
      <w:bookmarkStart w:id="307" w:name="xdx_90B_ecustom--ProductWarrantyTermProv"/>
      <w:bookmarkEnd w:id="307"/>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and records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2022 and 2021 to be $</w:t>
      </w:r>
      <w:bookmarkStart w:id="308" w:name="xdx_90D_eus-gaap--ProductWarrantyAccrual"/>
      <w:bookmarkEnd w:id="308"/>
      <w:r>
        <w:rPr>
          <w:rFonts w:ascii="Times New Roman;Times;Serif" w:hAnsi="Times New Roman;Times;Serif"/>
          <w:b w:val="false"/>
          <w:i w:val="false"/>
          <w:caps w:val="false"/>
          <w:smallCaps w:val="false"/>
          <w:sz w:val="20"/>
        </w:rPr>
        <w:t>328 and $</w:t>
      </w:r>
      <w:bookmarkStart w:id="309" w:name="xdx_901_eus-gaap--ProductWarrantyAccrual"/>
      <w:bookmarkEnd w:id="309"/>
      <w:r>
        <w:rPr>
          <w:rFonts w:ascii="Times New Roman;Times;Serif" w:hAnsi="Times New Roman;Times;Serif"/>
          <w:b w:val="false"/>
          <w:i w:val="false"/>
          <w:caps w:val="false"/>
          <w:smallCaps w:val="false"/>
          <w:sz w:val="20"/>
        </w:rPr>
        <w:t>0, respectively.</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F-10</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310" w:name="xdx_84E_eus-gaap--ConcentrationRiskCredi"/>
      <w:bookmarkEnd w:id="310"/>
      <w:r>
        <w:rPr>
          <w:rFonts w:ascii="Times New Roman;Times;Serif" w:hAnsi="Times New Roman;Times;Serif"/>
          <w:b w:val="false"/>
          <w:i/>
          <w:caps w:val="false"/>
          <w:smallCaps w:val="false"/>
          <w:sz w:val="20"/>
          <w:u w:val="single"/>
        </w:rPr>
        <w:t>Concentrations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Receivables from </w:t>
      </w:r>
      <w:bookmarkStart w:id="311" w:name="xdx_909_ecustom--NumberOfCustomers_pid_d"/>
      <w:bookmarkEnd w:id="311"/>
      <w:r>
        <w:rPr>
          <w:rFonts w:ascii="Times New Roman;Times;Serif" w:hAnsi="Times New Roman;Times;Serif"/>
          <w:b w:val="false"/>
          <w:i w:val="false"/>
          <w:caps w:val="false"/>
          <w:smallCaps w:val="false"/>
          <w:sz w:val="20"/>
        </w:rPr>
        <w:t xml:space="preserve">three customers comprised approximately </w:t>
      </w:r>
      <w:bookmarkStart w:id="312" w:name="xdx_909_eus-gaap--ConcentrationRiskPerce"/>
      <w:bookmarkEnd w:id="312"/>
      <w:r>
        <w:rPr>
          <w:rFonts w:ascii="Times New Roman;Times;Serif" w:hAnsi="Times New Roman;Times;Serif"/>
          <w:b w:val="false"/>
          <w:i w:val="false"/>
          <w:caps w:val="false"/>
          <w:smallCaps w:val="false"/>
          <w:sz w:val="20"/>
        </w:rPr>
        <w:t xml:space="preserve">18%, </w:t>
      </w:r>
      <w:bookmarkStart w:id="313" w:name="xdx_906_eus-gaap--ConcentrationRiskPerce"/>
      <w:bookmarkEnd w:id="313"/>
      <w:r>
        <w:rPr>
          <w:rFonts w:ascii="Times New Roman;Times;Serif" w:hAnsi="Times New Roman;Times;Serif"/>
          <w:b w:val="false"/>
          <w:i w:val="false"/>
          <w:caps w:val="false"/>
          <w:smallCaps w:val="false"/>
          <w:sz w:val="20"/>
        </w:rPr>
        <w:t xml:space="preserve">10% and </w:t>
      </w:r>
      <w:bookmarkStart w:id="314" w:name="xdx_903_eus-gaap--ConcentrationRiskPerce"/>
      <w:bookmarkEnd w:id="314"/>
      <w:r>
        <w:rPr>
          <w:rFonts w:ascii="Times New Roman;Times;Serif" w:hAnsi="Times New Roman;Times;Serif"/>
          <w:b w:val="false"/>
          <w:i w:val="false"/>
          <w:caps w:val="false"/>
          <w:smallCaps w:val="false"/>
          <w:sz w:val="20"/>
        </w:rPr>
        <w:t xml:space="preserve">10%, respectively, of accounts receivable as of December 31, 2022. Receivables from </w:t>
      </w:r>
      <w:bookmarkStart w:id="315" w:name="xdx_907_ecustom--NumberOfCustomers_pid_d"/>
      <w:bookmarkEnd w:id="315"/>
      <w:r>
        <w:rPr>
          <w:rFonts w:ascii="Times New Roman;Times;Serif" w:hAnsi="Times New Roman;Times;Serif"/>
          <w:b w:val="false"/>
          <w:i w:val="false"/>
          <w:caps w:val="false"/>
          <w:smallCaps w:val="false"/>
          <w:sz w:val="20"/>
        </w:rPr>
        <w:t xml:space="preserve">two customers comprised approximately </w:t>
      </w:r>
      <w:bookmarkStart w:id="316" w:name="xdx_906_eus-gaap--ConcentrationRiskPerce"/>
      <w:bookmarkEnd w:id="316"/>
      <w:r>
        <w:rPr>
          <w:rFonts w:ascii="Times New Roman;Times;Serif" w:hAnsi="Times New Roman;Times;Serif"/>
          <w:b w:val="false"/>
          <w:i w:val="false"/>
          <w:caps w:val="false"/>
          <w:smallCaps w:val="false"/>
          <w:sz w:val="20"/>
        </w:rPr>
        <w:t xml:space="preserve">42% and </w:t>
      </w:r>
      <w:bookmarkStart w:id="317" w:name="xdx_904_eus-gaap--ConcentrationRiskPerce"/>
      <w:bookmarkEnd w:id="317"/>
      <w:r>
        <w:rPr>
          <w:rFonts w:ascii="Times New Roman;Times;Serif" w:hAnsi="Times New Roman;Times;Serif"/>
          <w:b w:val="false"/>
          <w:i w:val="false"/>
          <w:caps w:val="false"/>
          <w:smallCaps w:val="false"/>
          <w:sz w:val="20"/>
        </w:rPr>
        <w:t>16%, respectively, of accounts receivable as of December 31, 2021. There are no other significant accounts receivable concentrations.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w:t>
      </w:r>
      <w:bookmarkStart w:id="318" w:name="xdx_909_ecustom--NumberOfVendors_pid_dc_"/>
      <w:bookmarkEnd w:id="318"/>
      <w:r>
        <w:rPr>
          <w:rFonts w:ascii="Times New Roman;Times;Serif" w:hAnsi="Times New Roman;Times;Serif"/>
          <w:b w:val="false"/>
          <w:i w:val="false"/>
          <w:caps w:val="false"/>
          <w:smallCaps w:val="false"/>
          <w:sz w:val="20"/>
        </w:rPr>
        <w:t xml:space="preserve">one customer accounted for approximately </w:t>
      </w:r>
      <w:bookmarkStart w:id="319" w:name="xdx_90D_eus-gaap--ConcentrationRiskPerce"/>
      <w:bookmarkEnd w:id="319"/>
      <w:r>
        <w:rPr>
          <w:rFonts w:ascii="Times New Roman;Times;Serif" w:hAnsi="Times New Roman;Times;Serif"/>
          <w:b w:val="false"/>
          <w:i w:val="false"/>
          <w:caps w:val="false"/>
          <w:smallCaps w:val="false"/>
          <w:sz w:val="20"/>
        </w:rPr>
        <w:t>22% of the Company’s sales for year ended December 31, 2022. There were no significant revenue concentrations for the year ended 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Payables to </w:t>
      </w:r>
      <w:bookmarkStart w:id="320" w:name="xdx_90D_ecustom--NumberOfCustomers_pid_d"/>
      <w:bookmarkEnd w:id="320"/>
      <w:r>
        <w:rPr>
          <w:rFonts w:ascii="Times New Roman;Times;Serif" w:hAnsi="Times New Roman;Times;Serif"/>
          <w:b w:val="false"/>
          <w:i w:val="false"/>
          <w:caps w:val="false"/>
          <w:smallCaps w:val="false"/>
          <w:sz w:val="20"/>
        </w:rPr>
        <w:t xml:space="preserve">one vendor comprised approximately </w:t>
      </w:r>
      <w:bookmarkStart w:id="321" w:name="xdx_90B_eus-gaap--ConcentrationRiskPerce"/>
      <w:bookmarkEnd w:id="321"/>
      <w:r>
        <w:rPr>
          <w:rFonts w:ascii="Times New Roman;Times;Serif" w:hAnsi="Times New Roman;Times;Serif"/>
          <w:b w:val="false"/>
          <w:i w:val="false"/>
          <w:caps w:val="false"/>
          <w:smallCaps w:val="false"/>
          <w:sz w:val="20"/>
        </w:rPr>
        <w:t>61% of accounts payables as of December 31, 2022. There were no significant payable concentrations as of 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2022, </w:t>
      </w:r>
      <w:bookmarkStart w:id="322" w:name="xdx_90E_ecustom--NumberOfVendors_pid_dc_"/>
      <w:bookmarkEnd w:id="322"/>
      <w:r>
        <w:rPr>
          <w:rFonts w:ascii="Times New Roman;Times;Serif" w:hAnsi="Times New Roman;Times;Serif"/>
          <w:b w:val="false"/>
          <w:i w:val="false"/>
          <w:caps w:val="false"/>
          <w:smallCaps w:val="false"/>
          <w:sz w:val="20"/>
        </w:rPr>
        <w:t xml:space="preserve">one vendor accounted for approximately </w:t>
      </w:r>
      <w:bookmarkStart w:id="323" w:name="xdx_902_eus-gaap--ConcentrationRiskPerce"/>
      <w:bookmarkEnd w:id="323"/>
      <w:r>
        <w:rPr>
          <w:rFonts w:ascii="Times New Roman;Times;Serif" w:hAnsi="Times New Roman;Times;Serif"/>
          <w:b w:val="false"/>
          <w:i w:val="false"/>
          <w:caps w:val="false"/>
          <w:smallCaps w:val="false"/>
          <w:sz w:val="20"/>
        </w:rPr>
        <w:t xml:space="preserve">28% of the Company’s total purchases, respectively. For the year ended December 31, 2021, </w:t>
      </w:r>
      <w:bookmarkStart w:id="324" w:name="xdx_908_ecustom--NumberOfVendors_pid_dc_"/>
      <w:bookmarkEnd w:id="324"/>
      <w:r>
        <w:rPr>
          <w:rFonts w:ascii="Times New Roman;Times;Serif" w:hAnsi="Times New Roman;Times;Serif"/>
          <w:b w:val="false"/>
          <w:i w:val="false"/>
          <w:caps w:val="false"/>
          <w:smallCaps w:val="false"/>
          <w:sz w:val="20"/>
        </w:rPr>
        <w:t xml:space="preserve">three vendors accounted for approximately </w:t>
      </w:r>
      <w:bookmarkStart w:id="325" w:name="xdx_909_eus-gaap--ConcentrationRiskPerce"/>
      <w:bookmarkEnd w:id="325"/>
      <w:r>
        <w:rPr>
          <w:rFonts w:ascii="Times New Roman;Times;Serif" w:hAnsi="Times New Roman;Times;Serif"/>
          <w:b w:val="false"/>
          <w:i w:val="false"/>
          <w:caps w:val="false"/>
          <w:smallCaps w:val="false"/>
          <w:sz w:val="20"/>
        </w:rPr>
        <w:t xml:space="preserve">27%, </w:t>
      </w:r>
      <w:bookmarkStart w:id="326" w:name="xdx_90F_eus-gaap--ConcentrationRiskPerce"/>
      <w:bookmarkEnd w:id="326"/>
      <w:r>
        <w:rPr>
          <w:rFonts w:ascii="Times New Roman;Times;Serif" w:hAnsi="Times New Roman;Times;Serif"/>
          <w:b w:val="false"/>
          <w:i w:val="false"/>
          <w:caps w:val="false"/>
          <w:smallCaps w:val="false"/>
          <w:sz w:val="20"/>
        </w:rPr>
        <w:t xml:space="preserve">10% and </w:t>
      </w:r>
      <w:bookmarkStart w:id="327" w:name="xdx_907_eus-gaap--ConcentrationRiskPerce"/>
      <w:bookmarkEnd w:id="327"/>
      <w:r>
        <w:rPr>
          <w:rFonts w:ascii="Times New Roman;Times;Serif" w:hAnsi="Times New Roman;Times;Serif"/>
          <w:b w:val="false"/>
          <w:i w:val="false"/>
          <w:caps w:val="false"/>
          <w:smallCaps w:val="false"/>
          <w:sz w:val="20"/>
        </w:rPr>
        <w:t>10% of the Company’s total purchases,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328" w:name="xdx_842_eus-gaap--DeferredChargesPolicyT"/>
      <w:bookmarkEnd w:id="328"/>
      <w:r>
        <w:rPr>
          <w:rFonts w:ascii="Times New Roman;Times;Serif" w:hAnsi="Times New Roman;Times;Serif"/>
          <w:b w:val="false"/>
          <w:i/>
          <w:caps w:val="false"/>
          <w:smallCaps w:val="false"/>
          <w:sz w:val="20"/>
          <w:u w:val="single"/>
        </w:rPr>
        <w:t>Deferred Financing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329" w:name="xdx_841_eus-gaap--ResearchAndDevelopment"/>
      <w:bookmarkEnd w:id="329"/>
      <w:r>
        <w:rPr>
          <w:rFonts w:ascii="Times New Roman;Times;Serif" w:hAnsi="Times New Roman;Times;Serif"/>
          <w:b w:val="false"/>
          <w:i/>
          <w:caps w:val="false"/>
          <w:smallCaps w:val="false"/>
          <w:sz w:val="20"/>
          <w:u w:val="single"/>
        </w:rPr>
        <w:t>Research and Development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330" w:name="xdx_84B_eus-gaap--AdvertisingCostsPolicy"/>
      <w:bookmarkEnd w:id="330"/>
      <w:r>
        <w:rPr>
          <w:rFonts w:ascii="Times New Roman;Times;Serif" w:hAnsi="Times New Roman;Times;Serif"/>
          <w:b w:val="false"/>
          <w:i/>
          <w:caps w:val="false"/>
          <w:smallCaps w:val="false"/>
          <w:sz w:val="20"/>
          <w:u w:val="single"/>
        </w:rPr>
        <w:t>Advertising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they are incurred and are included in selling and marketing expenses. Advertising expenses amounted to $</w:t>
      </w:r>
      <w:bookmarkStart w:id="331" w:name="xdx_904_eus-gaap--AdvertisingExpense_pn3"/>
      <w:bookmarkEnd w:id="331"/>
      <w:r>
        <w:rPr>
          <w:rFonts w:ascii="Times New Roman;Times;Serif" w:hAnsi="Times New Roman;Times;Serif"/>
          <w:b w:val="false"/>
          <w:i w:val="false"/>
          <w:caps w:val="false"/>
          <w:smallCaps w:val="false"/>
          <w:sz w:val="20"/>
        </w:rPr>
        <w:t>2,334 and $</w:t>
      </w:r>
      <w:bookmarkStart w:id="332" w:name="xdx_906_eus-gaap--AdvertisingExpense_pn3"/>
      <w:bookmarkEnd w:id="332"/>
      <w:r>
        <w:rPr>
          <w:rFonts w:ascii="Times New Roman;Times;Serif" w:hAnsi="Times New Roman;Times;Serif"/>
          <w:b w:val="false"/>
          <w:i w:val="false"/>
          <w:caps w:val="false"/>
          <w:smallCaps w:val="false"/>
          <w:sz w:val="20"/>
        </w:rPr>
        <w:t>1,690 for the years ended December 31, 2022 and 2021,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333" w:name="xdx_844_eus-gaap--CompensationRelatedCos"/>
      <w:bookmarkEnd w:id="333"/>
      <w:r>
        <w:rPr>
          <w:rFonts w:ascii="Times New Roman;Times;Serif" w:hAnsi="Times New Roman;Times;Serif"/>
          <w:b w:val="false"/>
          <w:i/>
          <w:caps w:val="false"/>
          <w:smallCaps w:val="false"/>
          <w:sz w:val="20"/>
          <w:u w:val="single"/>
        </w:rPr>
        <w:t>Stock-Based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 based compensation arrangements with employees and non employee consultants using a fair value method which requires the recognition of compensation expense for costs related to all stock based payments, including stock options (Note 14).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spacing w:before="0" w:after="0"/>
        <w:ind w:left="0" w:right="0" w:hanging="0"/>
        <w:jc w:val="both"/>
        <w:rPr>
          <w:caps w:val="false"/>
          <w:smallCaps w:val="false"/>
        </w:rPr>
      </w:pPr>
      <w:bookmarkStart w:id="334" w:name="xdx_85E_zXKQhCqzgGYg"/>
      <w:bookmarkEnd w:id="334"/>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F-11</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335" w:name="xdx_849_eus-gaap--IncomeTaxPolicyTextBlo"/>
      <w:bookmarkEnd w:id="335"/>
      <w:r>
        <w:rPr>
          <w:rFonts w:ascii="Times New Roman;Times;Serif" w:hAnsi="Times New Roman;Times;Serif"/>
          <w:b w:val="false"/>
          <w:i/>
          <w:caps w:val="false"/>
          <w:smallCaps w:val="false"/>
          <w:sz w:val="20"/>
          <w:u w:val="single"/>
        </w:rPr>
        <w:t>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(Note 9)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tax benefit for an uncertain tax position only if it is more likely than not that the tax position will be sustained on examination by taxing authorities, based on the technical merits of the position. The Company has a liability of $</w:t>
      </w:r>
      <w:bookmarkStart w:id="336" w:name="xdx_909_eus-gaap--UnrecognizedTaxBenefit"/>
      <w:bookmarkEnd w:id="336"/>
      <w:r>
        <w:rPr>
          <w:rFonts w:ascii="Times New Roman;Times;Serif" w:hAnsi="Times New Roman;Times;Serif"/>
          <w:b w:val="false"/>
          <w:i w:val="false"/>
          <w:caps w:val="false"/>
          <w:smallCaps w:val="false"/>
          <w:sz w:val="20"/>
        </w:rPr>
        <w:t>128 and $</w:t>
      </w:r>
      <w:bookmarkStart w:id="337" w:name="xdx_909_eus-gaap--UnrecognizedTaxBenefit"/>
      <w:bookmarkEnd w:id="337"/>
      <w:r>
        <w:rPr>
          <w:rFonts w:ascii="Times New Roman;Times;Serif" w:hAnsi="Times New Roman;Times;Serif"/>
          <w:b w:val="false"/>
          <w:i w:val="false"/>
          <w:caps w:val="false"/>
          <w:smallCaps w:val="false"/>
          <w:sz w:val="20"/>
        </w:rPr>
        <w:t>0 as of December 31, 2022 and 2021, respectively, of uncertain tax positions.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338" w:name="xdx_840_eus-gaap--EarningsPerSharePolicy"/>
      <w:bookmarkEnd w:id="338"/>
      <w:r>
        <w:rPr>
          <w:rFonts w:ascii="Times New Roman;Times;Serif" w:hAnsi="Times New Roman;Times;Serif"/>
          <w:b w:val="false"/>
          <w:i/>
          <w:caps w:val="false"/>
          <w:smallCaps w:val="false"/>
          <w:sz w:val="20"/>
          <w:u w:val="single"/>
        </w:rPr>
        <w:t>Net (Loss) Earnings per Common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common shares included in the computation of diluted net (loss) earnings gives effect to all potentially dilutive common equivalent shares, including outstanding stock options and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w:t>
      </w:r>
      <w:r>
        <w:rPr>
          <w:rFonts w:ascii="Times New Roman;Times;Serif" w:hAnsi="Times New Roman;Times;Serif"/>
          <w:b w:val="false"/>
          <w:i/>
          <w:caps w:val="false"/>
          <w:smallCaps w:val="false"/>
          <w:sz w:val="20"/>
        </w:rPr>
        <w:t>Note 3 - Reverse Capitalization</w:t>
      </w:r>
      <w:r>
        <w:rPr>
          <w:rFonts w:ascii="Times New Roman;Times;Serif" w:hAnsi="Times New Roman;Times;Serif"/>
          <w:b w:val="false"/>
          <w:i w:val="false"/>
          <w:caps w:val="false"/>
          <w:smallCaps w:val="false"/>
          <w:sz w:val="20"/>
        </w:rPr>
        <w:t xml:space="preserve"> for details and discussion of the retrospective adjustment of net loss per share.</w:t>
      </w:r>
    </w:p>
    <w:p>
      <w:pPr>
        <w:pStyle w:val="TextBody"/>
        <w:spacing w:before="0" w:after="0"/>
        <w:ind w:left="0" w:right="0" w:hanging="0"/>
        <w:jc w:val="both"/>
        <w:rPr>
          <w:caps w:val="false"/>
          <w:smallCaps w:val="false"/>
        </w:rPr>
      </w:pPr>
      <w:bookmarkStart w:id="339" w:name="xdx_85A_z5obT12cpXBl"/>
      <w:bookmarkEnd w:id="339"/>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340" w:name="xdx_84F_eus-gaap--LesseeLeasesPolicyText"/>
      <w:bookmarkEnd w:id="340"/>
      <w:r>
        <w:rPr>
          <w:rFonts w:ascii="Times New Roman;Times;Serif" w:hAnsi="Times New Roman;Times;Serif"/>
          <w:b w:val="false"/>
          <w:i/>
          <w:caps w:val="false"/>
          <w:smallCaps w:val="false"/>
          <w:sz w:val="20"/>
          <w:u w:val="single"/>
        </w:rPr>
        <w:t>Leases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Financial Accounting Standards Board (“FASB”) Accounting Standard Update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bookmarkStart w:id="341" w:name="xdx_84E_eus-gaap--SegmentReportingPolicy"/>
      <w:bookmarkEnd w:id="341"/>
      <w:r>
        <w:rPr>
          <w:rFonts w:ascii="Times New Roman;Times;Serif" w:hAnsi="Times New Roman;Times;Serif"/>
          <w:b w:val="false"/>
          <w:i/>
          <w:caps w:val="false"/>
          <w:smallCaps w:val="false"/>
          <w:sz w:val="20"/>
          <w:u w:val="single"/>
        </w:rPr>
        <w:t>Segment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w:t>
      </w:r>
      <w:bookmarkStart w:id="342" w:name="xdx_90E_eus-gaap--NumberOfOperatingSegme"/>
      <w:bookmarkEnd w:id="342"/>
      <w:r>
        <w:rPr>
          <w:rFonts w:ascii="Times New Roman;Times;Serif" w:hAnsi="Times New Roman;Times;Serif"/>
          <w:b w:val="false"/>
          <w:i w:val="false"/>
          <w:caps w:val="false"/>
          <w:smallCaps w:val="false"/>
          <w:sz w:val="20"/>
        </w:rPr>
        <w:t>one operating segment.</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F-12</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bookmarkStart w:id="343" w:name="xdx_80B_ecustom--ReverseCapitalizationDi"/>
      <w:bookmarkEnd w:id="343"/>
      <w:r>
        <w:rPr>
          <w:rFonts w:ascii="Times New Roman;Times;Serif" w:hAnsi="Times New Roman;Times;Serif"/>
          <w:b/>
          <w:i w:val="false"/>
          <w:caps/>
          <w:sz w:val="20"/>
        </w:rPr>
        <w:t xml:space="preserve">Note 3 – </w:t>
      </w:r>
      <w:bookmarkStart w:id="344" w:name="xdx_82C_zsZt1got7dPh"/>
      <w:bookmarkEnd w:id="344"/>
      <w:r>
        <w:rPr>
          <w:rFonts w:ascii="Times New Roman;Times;Serif" w:hAnsi="Times New Roman;Times;Serif"/>
          <w:b/>
          <w:i w:val="false"/>
          <w:caps/>
          <w:sz w:val="20"/>
        </w:rPr>
        <w:t>REVERSE CAPITALIZATION</w:t>
      </w:r>
    </w:p>
    <w:p>
      <w:pPr>
        <w:pStyle w:val="TextBody"/>
        <w:spacing w:before="0" w:after="0"/>
        <w:ind w:left="0" w:right="0" w:hanging="0"/>
        <w:jc w:val="both"/>
        <w:rPr>
          <w:caps/>
        </w:rPr>
      </w:pPr>
      <w:r>
        <w:rPr>
          <w:caps/>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guidance applicable to these circumstances, the equity structure has been restated in all comparable periods up to October 7, 2022, to reflect the number of shares of the Company’s common stock, $</w:t>
      </w:r>
      <w:bookmarkStart w:id="345" w:name="xdx_903_eus-gaap--CommonStockParOrStated"/>
      <w:bookmarkEnd w:id="345"/>
      <w:r>
        <w:rPr>
          <w:rFonts w:ascii="Times New Roman;Times;Serif" w:hAnsi="Times New Roman;Times;Serif"/>
          <w:b w:val="false"/>
          <w:i w:val="false"/>
          <w:caps w:val="false"/>
          <w:smallCaps w:val="false"/>
          <w:sz w:val="20"/>
        </w:rPr>
        <w:t xml:space="preserve">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w:t>
      </w:r>
      <w:bookmarkStart w:id="346" w:name="xdx_90A_ecustom--RecapitalizationExchang"/>
      <w:bookmarkEnd w:id="346"/>
      <w:r>
        <w:rPr>
          <w:rFonts w:ascii="Times New Roman;Times;Serif" w:hAnsi="Times New Roman;Times;Serif"/>
          <w:b w:val="false"/>
          <w:i w:val="false"/>
          <w:caps w:val="false"/>
          <w:smallCaps w:val="false"/>
          <w:sz w:val="20"/>
        </w:rPr>
        <w:t>1.182 established in the merger. Legacy Dragonfly’s convertible preferred stock previously classified as temporary equity was retroactively adjusted, converted into common stock and reclassified to permanent equity as a result of the reverse recapitalization.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before the closing of the merger, and prior to the PIPE Financing, and the funds remaining after such redemptions, totaling approximately $</w:t>
      </w:r>
      <w:bookmarkStart w:id="347" w:name="xdx_907_ecustom--RemainingFundsAfterRede"/>
      <w:bookmarkEnd w:id="347"/>
      <w:r>
        <w:rPr>
          <w:rFonts w:ascii="Times New Roman;Times;Serif" w:hAnsi="Times New Roman;Times;Serif"/>
          <w:b w:val="false"/>
          <w:i w:val="false"/>
          <w:caps w:val="false"/>
          <w:smallCaps w:val="false"/>
          <w:sz w:val="20"/>
        </w:rPr>
        <w:t xml:space="preserve">6,265, became available to finance transaction expenses and the future operations of New Dragonfly. In connection with the merger, CNTQ entered into agreements with new investors and existing Legacy Dragonfly investors to subscribe and purchase an aggregate of approximately </w:t>
      </w:r>
      <w:bookmarkStart w:id="348" w:name="xdx_905_eus-gaap--StockRepurchasedDuring"/>
      <w:bookmarkEnd w:id="348"/>
      <w:r>
        <w:rPr>
          <w:rFonts w:ascii="Times New Roman;Times;Serif" w:hAnsi="Times New Roman;Times;Serif"/>
          <w:b w:val="false"/>
          <w:i w:val="false"/>
          <w:caps w:val="false"/>
          <w:smallCaps w:val="false"/>
          <w:sz w:val="20"/>
        </w:rPr>
        <w:t>500,000 shares of CNTQ Class A common stock (the “</w:t>
      </w:r>
      <w:r>
        <w:rPr>
          <w:rFonts w:ascii="Times New Roman;Times;Serif" w:hAnsi="Times New Roman;Times;Serif"/>
          <w:b/>
          <w:i w:val="false"/>
          <w:caps w:val="false"/>
          <w:smallCaps w:val="false"/>
          <w:sz w:val="20"/>
        </w:rPr>
        <w:t>PIPE Financing</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Financing was consummated on September 26, 2022 and resulted in gross proceeds of an additional approximately $</w:t>
      </w:r>
      <w:bookmarkStart w:id="349" w:name="xdx_90F_eus-gaap--ProceedsFromShortTermD"/>
      <w:bookmarkEnd w:id="349"/>
      <w:r>
        <w:rPr>
          <w:rFonts w:ascii="Times New Roman;Times;Serif" w:hAnsi="Times New Roman;Times;Serif"/>
          <w:b w:val="false"/>
          <w:i w:val="false"/>
          <w:caps w:val="false"/>
          <w:smallCaps w:val="false"/>
          <w:sz w:val="20"/>
        </w:rPr>
        <w:t>5,017, prior to payment of the transaction costs. As part of the PIPE Financing, the Company entered an initial Term Loan for an aggregate principal amount of $</w:t>
      </w:r>
      <w:bookmarkStart w:id="350" w:name="xdx_903_eus-gaap--DebtInstrumentFaceAmou"/>
      <w:bookmarkEnd w:id="350"/>
      <w:r>
        <w:rPr>
          <w:rFonts w:ascii="Times New Roman;Times;Serif" w:hAnsi="Times New Roman;Times;Serif"/>
          <w:b w:val="false"/>
          <w:i w:val="false"/>
          <w:caps w:val="false"/>
          <w:smallCaps w:val="false"/>
          <w:sz w:val="20"/>
        </w:rPr>
        <w:t>75,000. The Company incurred debt issuance costs of $</w:t>
      </w:r>
      <w:bookmarkStart w:id="351" w:name="xdx_900_eus-gaap--PaymentsOfDebtIssuance"/>
      <w:bookmarkEnd w:id="351"/>
      <w:r>
        <w:rPr>
          <w:rFonts w:ascii="Times New Roman;Times;Serif" w:hAnsi="Times New Roman;Times;Serif"/>
          <w:b w:val="false"/>
          <w:i w:val="false"/>
          <w:caps w:val="false"/>
          <w:smallCaps w:val="false"/>
          <w:sz w:val="20"/>
        </w:rPr>
        <w:t>1,950 of original issuance discount and additional $</w:t>
      </w:r>
      <w:bookmarkStart w:id="352" w:name="xdx_90B_eus-gaap--PaymentsOfFinancingCos"/>
      <w:bookmarkEnd w:id="352"/>
      <w:r>
        <w:rPr>
          <w:rFonts w:ascii="Times New Roman;Times;Serif" w:hAnsi="Times New Roman;Times;Serif"/>
          <w:b w:val="false"/>
          <w:i w:val="false"/>
          <w:caps w:val="false"/>
          <w:smallCaps w:val="false"/>
          <w:sz w:val="20"/>
        </w:rPr>
        <w:t>2,081 of transaction costs that were allocated to the Term Loan, resulting in net cash proceeds of $</w:t>
      </w:r>
      <w:bookmarkStart w:id="353" w:name="xdx_901_eus-gaap--ProceedsFromLoans_pn3n"/>
      <w:bookmarkEnd w:id="353"/>
      <w:r>
        <w:rPr>
          <w:rFonts w:ascii="Times New Roman;Times;Serif" w:hAnsi="Times New Roman;Times;Serif"/>
          <w:b w:val="false"/>
          <w:i w:val="false"/>
          <w:caps w:val="false"/>
          <w:smallCaps w:val="false"/>
          <w:sz w:val="20"/>
        </w:rPr>
        <w:t>70,969. In addition, $</w:t>
      </w:r>
      <w:bookmarkStart w:id="354" w:name="xdx_902_eus-gaap--DebtInstrumentUnamorti"/>
      <w:bookmarkEnd w:id="354"/>
      <w:r>
        <w:rPr>
          <w:rFonts w:ascii="Times New Roman;Times;Serif" w:hAnsi="Times New Roman;Times;Serif"/>
          <w:b w:val="false"/>
          <w:i w:val="false"/>
          <w:caps w:val="false"/>
          <w:smallCaps w:val="false"/>
          <w:sz w:val="20"/>
        </w:rPr>
        <w:t>52,956 of Term Loan warrants based on their combined relative fair values was recorded as a debt discount resulting in initial carrying amount of debt of $</w:t>
      </w:r>
      <w:bookmarkStart w:id="355" w:name="xdx_902_eus-gaap--DebtInstrumentCarrying"/>
      <w:bookmarkEnd w:id="355"/>
      <w:r>
        <w:rPr>
          <w:rFonts w:ascii="Times New Roman;Times;Serif" w:hAnsi="Times New Roman;Times;Serif"/>
          <w:b w:val="false"/>
          <w:i w:val="false"/>
          <w:caps w:val="false"/>
          <w:smallCaps w:val="false"/>
          <w:sz w:val="20"/>
        </w:rPr>
        <w:t>18,013. Pursuant to the terms of the loan agreement, the Term Loan was advanced in one tranche on the closing date and the funds were used to refinance on the closing date prior indebtedness of $</w:t>
      </w:r>
      <w:bookmarkStart w:id="356" w:name="xdx_90C_eus-gaap--ExtinguishmentOfDebtAm"/>
      <w:bookmarkEnd w:id="356"/>
      <w:r>
        <w:rPr>
          <w:rFonts w:ascii="Times New Roman;Times;Serif" w:hAnsi="Times New Roman;Times;Serif"/>
          <w:b w:val="false"/>
          <w:i w:val="false"/>
          <w:caps w:val="false"/>
          <w:smallCaps w:val="false"/>
          <w:sz w:val="20"/>
        </w:rPr>
        <w:t>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w:t>
      </w:r>
      <w:bookmarkStart w:id="357" w:name="xdx_901_ecustom--TransactionCosts_pn3n3_"/>
      <w:bookmarkEnd w:id="357"/>
      <w:r>
        <w:rPr>
          <w:rFonts w:ascii="Times New Roman;Times;Serif" w:hAnsi="Times New Roman;Times;Serif"/>
          <w:b w:val="false"/>
          <w:i w:val="false"/>
          <w:caps w:val="false"/>
          <w:smallCaps w:val="false"/>
          <w:sz w:val="20"/>
        </w:rPr>
        <w:t>13,221 were allocated to all instruments assumed and issued in the merger on a relative fair value basis. As such, the Company allocated $</w:t>
      </w:r>
      <w:bookmarkStart w:id="358" w:name="xdx_90B_ecustom--TransactionCosts_pn3n3_"/>
      <w:bookmarkEnd w:id="358"/>
      <w:r>
        <w:rPr>
          <w:rFonts w:ascii="Times New Roman;Times;Serif" w:hAnsi="Times New Roman;Times;Serif"/>
          <w:b w:val="false"/>
          <w:i w:val="false"/>
          <w:caps w:val="false"/>
          <w:smallCaps w:val="false"/>
          <w:sz w:val="20"/>
        </w:rPr>
        <w:t>2,081 to the Term Loan, $</w:t>
      </w:r>
      <w:bookmarkStart w:id="359" w:name="xdx_90C_ecustom--TransactionCosts_pn3n3_"/>
      <w:bookmarkEnd w:id="359"/>
      <w:r>
        <w:rPr>
          <w:rFonts w:ascii="Times New Roman;Times;Serif" w:hAnsi="Times New Roman;Times;Serif"/>
          <w:b w:val="false"/>
          <w:i w:val="false"/>
          <w:caps w:val="false"/>
          <w:smallCaps w:val="false"/>
          <w:sz w:val="20"/>
        </w:rPr>
        <w:t>9,633 to equity instruments, which was expensed in general and administrative expenses as the offering costs exceeded the proceeds received, and $</w:t>
      </w:r>
      <w:bookmarkStart w:id="360" w:name="xdx_908_ecustom--TransactionCosts_pn3n3_"/>
      <w:bookmarkEnd w:id="360"/>
      <w:r>
        <w:rPr>
          <w:rFonts w:ascii="Times New Roman;Times;Serif" w:hAnsi="Times New Roman;Times;Serif"/>
          <w:b w:val="false"/>
          <w:i w:val="false"/>
          <w:caps w:val="false"/>
          <w:smallCaps w:val="false"/>
          <w:sz w:val="20"/>
        </w:rPr>
        <w:t>1,507 to the warrant liabilities assumed and warrant liabilities issued with the term debt, which was expensed within the general and administrative expenses within the statement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terms of the merger, the Company assumed $</w:t>
      </w:r>
      <w:bookmarkStart w:id="361" w:name="xdx_90B_ecustom--TransactionCosts_pn3n3_"/>
      <w:bookmarkEnd w:id="361"/>
      <w:r>
        <w:rPr>
          <w:rFonts w:ascii="Times New Roman;Times;Serif" w:hAnsi="Times New Roman;Times;Serif"/>
          <w:b w:val="false"/>
          <w:i w:val="false"/>
          <w:caps w:val="false"/>
          <w:smallCaps w:val="false"/>
          <w:sz w:val="20"/>
        </w:rPr>
        <w:t>18,072 of CNTQ accrued and unpaid transaction expenses, of which all were paid upon consummation of the merger. As detailed below, $</w:t>
      </w:r>
      <w:bookmarkStart w:id="362" w:name="xdx_907_ecustom--ProceedsFromIssuanceOfL"/>
      <w:bookmarkEnd w:id="362"/>
      <w:r>
        <w:rPr>
          <w:rFonts w:ascii="Times New Roman;Times;Serif" w:hAnsi="Times New Roman;Times;Serif"/>
          <w:b w:val="false"/>
          <w:i w:val="false"/>
          <w:caps w:val="false"/>
          <w:smallCaps w:val="false"/>
          <w:sz w:val="20"/>
        </w:rPr>
        <w:t>10,197 of these costs were expensed as the amount exceeded the proceeds received and such costs were determined not be a return to investors.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closing of the merger, the Company’s certificate of incorporation was amended and restated to, among other things, increase the total number of authorized shares of all classes of capital stock to </w:t>
      </w:r>
      <w:bookmarkStart w:id="363" w:name="xdx_901_eus-gaap--CapitalUnitsAuthorized"/>
      <w:bookmarkEnd w:id="363"/>
      <w:r>
        <w:rPr>
          <w:rFonts w:ascii="Times New Roman;Times;Serif" w:hAnsi="Times New Roman;Times;Serif"/>
          <w:b w:val="false"/>
          <w:i w:val="false"/>
          <w:caps w:val="false"/>
          <w:smallCaps w:val="false"/>
          <w:sz w:val="20"/>
        </w:rPr>
        <w:t xml:space="preserve">175,000,000 common shares, of which </w:t>
      </w:r>
      <w:bookmarkStart w:id="364" w:name="xdx_901_eus-gaap--CommonStockSharesAutho"/>
      <w:bookmarkEnd w:id="364"/>
      <w:r>
        <w:rPr>
          <w:rFonts w:ascii="Times New Roman;Times;Serif" w:hAnsi="Times New Roman;Times;Serif"/>
          <w:b w:val="false"/>
          <w:i w:val="false"/>
          <w:caps w:val="false"/>
          <w:smallCaps w:val="false"/>
          <w:sz w:val="20"/>
        </w:rPr>
        <w:t xml:space="preserve">170,000,000 were designated as common stock and </w:t>
      </w:r>
      <w:bookmarkStart w:id="365" w:name="xdx_901_eus-gaap--PreferredStockSharesAu"/>
      <w:bookmarkEnd w:id="365"/>
      <w:r>
        <w:rPr>
          <w:rFonts w:ascii="Times New Roman;Times;Serif" w:hAnsi="Times New Roman;Times;Serif"/>
          <w:b w:val="false"/>
          <w:i w:val="false"/>
          <w:caps w:val="false"/>
          <w:smallCaps w:val="false"/>
          <w:sz w:val="20"/>
        </w:rPr>
        <w:t>5,000,000 were designated as preferred stock, both having a par value of $</w:t>
      </w:r>
      <w:bookmarkStart w:id="366" w:name="xdx_908_eus-gaap--CommonStockParOrStated"/>
      <w:bookmarkStart w:id="367" w:name="xdx_902_eus-gaap--PreferredStockParOrSta"/>
      <w:bookmarkEnd w:id="366"/>
      <w:bookmarkEnd w:id="367"/>
      <w:r>
        <w:rPr>
          <w:rFonts w:ascii="Times New Roman;Times;Serif" w:hAnsi="Times New Roman;Times;Serif"/>
          <w:b w:val="false"/>
          <w:i w:val="false"/>
          <w:caps w:val="false"/>
          <w:smallCaps w:val="false"/>
          <w:sz w:val="20"/>
        </w:rPr>
        <w:t>0.0001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68" w:name="xdx_89B_ecustom--ScheduleOfMergerCashFlo"/>
      <w:bookmarkEnd w:id="368"/>
      <w:r>
        <w:rPr>
          <w:rFonts w:ascii="Times New Roman;Times;Serif" w:hAnsi="Times New Roman;Times;Serif"/>
          <w:b w:val="false"/>
          <w:i w:val="false"/>
          <w:caps w:val="false"/>
          <w:smallCaps w:val="false"/>
          <w:sz w:val="20"/>
        </w:rPr>
        <w:t>The following table summarizes the elements of the merger allocated to the Consolidated Statements of Operations:</w:t>
      </w:r>
    </w:p>
    <w:p>
      <w:pPr>
        <w:pStyle w:val="TextBody"/>
        <w:spacing w:before="0" w:after="0"/>
        <w:ind w:left="0" w:right="0" w:hanging="0"/>
        <w:jc w:val="both"/>
        <w:rPr>
          <w:caps w:val="false"/>
          <w:smallCaps w:val="false"/>
        </w:rPr>
      </w:pPr>
      <w:r>
        <w:rPr>
          <w:caps w:val="false"/>
          <w:smallCaps w:val="false"/>
        </w:rPr>
        <w:t> </w:t>
      </w:r>
      <w:bookmarkStart w:id="369" w:name="xdx_8B6_zc0xRalE3aid"/>
      <w:bookmarkEnd w:id="369"/>
      <w:r>
        <w:rPr>
          <w:rFonts w:ascii="Times New Roman;Times;Serif" w:hAnsi="Times New Roman;Times;Serif"/>
          <w:b w:val="false"/>
          <w:i w:val="false"/>
          <w:caps w:val="false"/>
          <w:smallCaps w:val="false"/>
          <w:sz w:val="20"/>
        </w:rPr>
        <w:t>SCHEDULE OF MERGER CASH FLOW AND SHAREHOLDERS EQUITY</w:t>
      </w:r>
    </w:p>
    <w:tbl>
      <w:tblPr>
        <w:tblW w:w="4565" w:type="dxa"/>
        <w:jc w:val="left"/>
        <w:tblInd w:w="0" w:type="dxa"/>
        <w:tblCellMar>
          <w:top w:w="0" w:type="dxa"/>
          <w:left w:w="0" w:type="dxa"/>
          <w:bottom w:w="0" w:type="dxa"/>
          <w:right w:w="0" w:type="dxa"/>
        </w:tblCellMar>
      </w:tblPr>
      <w:tblGrid>
        <w:gridCol w:w="3635"/>
        <w:gridCol w:w="60"/>
        <w:gridCol w:w="125"/>
        <w:gridCol w:w="650"/>
        <w:gridCol w:w="95"/>
      </w:tblGrid>
      <w:tr>
        <w:trPr/>
        <w:tc>
          <w:tcPr>
            <w:tcW w:w="363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370" w:name="xdx_496_20220101__20221231__us-gaap--Deb"/>
            <w:bookmarkEnd w:id="370"/>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63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w:t>
            </w:r>
          </w:p>
        </w:tc>
        <w:tc>
          <w:tcPr>
            <w:tcW w:w="95" w:type="dxa"/>
            <w:tcBorders/>
            <w:shd w:fill="auto" w:val="clear"/>
            <w:vAlign w:val="center"/>
          </w:tcPr>
          <w:p>
            <w:pPr>
              <w:pStyle w:val="TableContents"/>
              <w:spacing w:before="0" w:after="283"/>
              <w:rPr>
                <w:caps w:val="false"/>
                <w:smallCaps w:val="false"/>
              </w:rPr>
            </w:pPr>
            <w:r>
              <w:rPr>
                <w:caps w:val="false"/>
                <w:smallCaps w:val="false"/>
              </w:rPr>
              <w:t> </w:t>
            </w:r>
            <w:bookmarkStart w:id="371" w:name="xdx_409_eus-gaap--ProceedsFromIssuanceOf"/>
            <w:bookmarkEnd w:id="371"/>
          </w:p>
        </w:tc>
      </w:tr>
      <w:tr>
        <w:trPr/>
        <w:tc>
          <w:tcPr>
            <w:tcW w:w="36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CNTQ trust and PIPE Investors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372" w:name="xdx_40A_eus-gaap--ProceedsFromIssuanceOf"/>
            <w:bookmarkEnd w:id="372"/>
          </w:p>
        </w:tc>
      </w:tr>
      <w:tr>
        <w:trPr/>
        <w:tc>
          <w:tcPr>
            <w:tcW w:w="36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CNTQ</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bookmarkStart w:id="373" w:name="xdx_408_eus-gaap--ProceedsFromIssuanceOf"/>
            <w:bookmarkEnd w:id="373"/>
          </w:p>
        </w:tc>
      </w:tr>
      <w:tr>
        <w:trPr/>
        <w:tc>
          <w:tcPr>
            <w:tcW w:w="363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Proceeds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11,282</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bookmarkStart w:id="374" w:name="xdx_404_ecustom--NetLiabilitiesAssumedIn"/>
            <w:bookmarkEnd w:id="374"/>
          </w:p>
        </w:tc>
      </w:tr>
      <w:tr>
        <w:trPr/>
        <w:tc>
          <w:tcPr>
            <w:tcW w:w="36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liabilities assumed in merger transaction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5" w:name="xdx_40A_eus-gaap--LiabilitiesAssumed1_iN"/>
            <w:bookmarkEnd w:id="375"/>
          </w:p>
        </w:tc>
      </w:tr>
      <w:tr>
        <w:trPr/>
        <w:tc>
          <w:tcPr>
            <w:tcW w:w="36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assumed in merger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6" w:name="xdx_404_ecustom--NetDeficitAssumedInMerg"/>
            <w:bookmarkEnd w:id="376"/>
          </w:p>
        </w:tc>
      </w:tr>
      <w:tr>
        <w:trPr/>
        <w:tc>
          <w:tcPr>
            <w:tcW w:w="36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CNTQ note payable settlement at close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7" w:name="xdx_40D_ecustom--TransactionCosts_pn3n3_"/>
            <w:bookmarkEnd w:id="377"/>
          </w:p>
        </w:tc>
      </w:tr>
      <w:tr>
        <w:trPr/>
        <w:tc>
          <w:tcPr>
            <w:tcW w:w="36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CNTQ transaction costs paid at close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(18,072</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8" w:name="xdx_400_ecustom--ProceedsFromIssuanceOfL"/>
            <w:bookmarkEnd w:id="378"/>
          </w:p>
        </w:tc>
      </w:tr>
      <w:tr>
        <w:trPr/>
        <w:tc>
          <w:tcPr>
            <w:tcW w:w="36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deficit assumed in recapitalization</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(10,197</w:t>
            </w:r>
          </w:p>
        </w:tc>
        <w:tc>
          <w:tcPr>
            <w:tcW w:w="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caps/>
        </w:rPr>
      </w:pPr>
      <w:r>
        <w:rPr>
          <w:caps/>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F-13</w:t>
            </w:r>
          </w:p>
        </w:tc>
      </w:tr>
    </w:tbl>
    <w:p>
      <w:pPr>
        <w:pStyle w:val="TextBody"/>
        <w:spacing w:before="120" w:after="283"/>
        <w:rPr/>
      </w:pPr>
      <w:r>
        <w:rPr/>
        <w:t> </w:t>
      </w:r>
    </w:p>
    <w:p>
      <w:pPr>
        <w:pStyle w:val="TextBody"/>
        <w:spacing w:before="0" w:after="0"/>
        <w:ind w:left="0" w:right="0" w:hanging="0"/>
        <w:rPr>
          <w:caps/>
        </w:rPr>
      </w:pPr>
      <w:r>
        <w:rPr>
          <w:caps/>
        </w:rPr>
        <w:t> </w:t>
      </w:r>
    </w:p>
    <w:tbl>
      <w:tblPr>
        <w:tblW w:w="7544" w:type="dxa"/>
        <w:jc w:val="left"/>
        <w:tblInd w:w="0" w:type="dxa"/>
        <w:tblCellMar>
          <w:top w:w="0" w:type="dxa"/>
          <w:left w:w="0" w:type="dxa"/>
          <w:bottom w:w="0" w:type="dxa"/>
          <w:right w:w="0" w:type="dxa"/>
        </w:tblCellMar>
      </w:tblPr>
      <w:tblGrid>
        <w:gridCol w:w="5630"/>
        <w:gridCol w:w="60"/>
        <w:gridCol w:w="90"/>
        <w:gridCol w:w="1654"/>
        <w:gridCol w:w="110"/>
      </w:tblGrid>
      <w:tr>
        <w:trPr/>
        <w:tc>
          <w:tcPr>
            <w:tcW w:w="5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79" w:name="xdx_498_20220101__20221231__us-gaap--Deb"/>
            <w:bookmarkEnd w:id="379"/>
          </w:p>
        </w:tc>
        <w:tc>
          <w:tcPr>
            <w:tcW w:w="1744" w:type="dxa"/>
            <w:gridSpan w:val="2"/>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10" w:type="dxa"/>
            <w:tcBorders/>
            <w:shd w:fill="auto"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Number of Shares</w:t>
            </w:r>
          </w:p>
        </w:tc>
        <w:tc>
          <w:tcPr>
            <w:tcW w:w="110" w:type="dxa"/>
            <w:tcBorders/>
            <w:shd w:fill="auto" w:val="clear"/>
            <w:vAlign w:val="center"/>
          </w:tcPr>
          <w:p>
            <w:pPr>
              <w:pStyle w:val="TableContents"/>
              <w:spacing w:before="0" w:after="283"/>
              <w:rPr/>
            </w:pPr>
            <w:r>
              <w:rPr/>
              <w:t> </w:t>
            </w:r>
            <w:bookmarkStart w:id="380" w:name="xdx_405_eus-gaap--CommonStockSharesOutst"/>
            <w:bookmarkEnd w:id="380"/>
          </w:p>
        </w:tc>
      </w:tr>
      <w:tr>
        <w:trPr/>
        <w:tc>
          <w:tcPr>
            <w:tcW w:w="56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Common stock, outstanding prior to merger</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jc w:val="left"/>
              <w:rPr/>
            </w:pPr>
            <w:r>
              <w:rPr/>
              <w:t> </w:t>
            </w:r>
          </w:p>
        </w:tc>
        <w:tc>
          <w:tcPr>
            <w:tcW w:w="165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3,093,348</w:t>
            </w:r>
          </w:p>
        </w:tc>
        <w:tc>
          <w:tcPr>
            <w:tcW w:w="110" w:type="dxa"/>
            <w:tcBorders/>
            <w:shd w:fill="CCEEFF" w:val="clear"/>
            <w:vAlign w:val="center"/>
          </w:tcPr>
          <w:p>
            <w:pPr>
              <w:pStyle w:val="TableContents"/>
              <w:spacing w:before="0" w:after="283"/>
              <w:jc w:val="left"/>
              <w:rPr/>
            </w:pPr>
            <w:r>
              <w:rPr/>
              <w:t> </w:t>
            </w:r>
            <w:bookmarkStart w:id="381" w:name="xdx_40E_eus-gaap--StockRepurchasedDuring"/>
            <w:bookmarkEnd w:id="381"/>
          </w:p>
        </w:tc>
      </w:tr>
      <w:tr>
        <w:trPr/>
        <w:tc>
          <w:tcPr>
            <w:tcW w:w="563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Less: Redemption of CNTQ shares</w:t>
            </w:r>
          </w:p>
        </w:tc>
        <w:tc>
          <w:tcPr>
            <w:tcW w:w="60" w:type="dxa"/>
            <w:tcBorders/>
            <w:shd w:fill="FFFFFF" w:val="clear"/>
            <w:vAlign w:val="center"/>
          </w:tcPr>
          <w:p>
            <w:pPr>
              <w:pStyle w:val="TableContents"/>
              <w:spacing w:before="0" w:after="283"/>
              <w:rPr/>
            </w:pPr>
            <w:r>
              <w:rPr/>
              <w:t> </w:t>
            </w:r>
          </w:p>
        </w:tc>
        <w:tc>
          <w:tcPr>
            <w:tcW w:w="9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5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(2,016,912</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382" w:name="xdx_406_eus-gaap--StockIssuedDuringPerio"/>
            <w:bookmarkEnd w:id="382"/>
          </w:p>
        </w:tc>
      </w:tr>
      <w:tr>
        <w:trPr/>
        <w:tc>
          <w:tcPr>
            <w:tcW w:w="563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CNTQ Public Shares</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jc w:val="left"/>
              <w:rPr/>
            </w:pPr>
            <w:r>
              <w:rPr/>
              <w:t> </w:t>
            </w:r>
          </w:p>
        </w:tc>
        <w:tc>
          <w:tcPr>
            <w:tcW w:w="165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1,076,436</w:t>
            </w:r>
          </w:p>
        </w:tc>
        <w:tc>
          <w:tcPr>
            <w:tcW w:w="110" w:type="dxa"/>
            <w:tcBorders/>
            <w:shd w:fill="CCEEFF" w:val="clear"/>
            <w:vAlign w:val="center"/>
          </w:tcPr>
          <w:p>
            <w:pPr>
              <w:pStyle w:val="TableContents"/>
              <w:spacing w:before="0" w:after="283"/>
              <w:jc w:val="left"/>
              <w:rPr/>
            </w:pPr>
            <w:r>
              <w:rPr/>
              <w:t> </w:t>
            </w:r>
            <w:bookmarkStart w:id="383" w:name="xdx_400_eus-gaap--StockIssuedDuringPerio"/>
            <w:bookmarkEnd w:id="383"/>
          </w:p>
        </w:tc>
      </w:tr>
      <w:tr>
        <w:trPr/>
        <w:tc>
          <w:tcPr>
            <w:tcW w:w="563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CNTQ Sponsor Shares</w:t>
            </w:r>
          </w:p>
        </w:tc>
        <w:tc>
          <w:tcPr>
            <w:tcW w:w="60" w:type="dxa"/>
            <w:tcBorders/>
            <w:shd w:fill="FFFFFF" w:val="clear"/>
            <w:vAlign w:val="center"/>
          </w:tcPr>
          <w:p>
            <w:pPr>
              <w:pStyle w:val="TableContents"/>
              <w:spacing w:before="0" w:after="283"/>
              <w:rPr/>
            </w:pPr>
            <w:r>
              <w:rPr/>
              <w:t> </w:t>
            </w:r>
          </w:p>
        </w:tc>
        <w:tc>
          <w:tcPr>
            <w:tcW w:w="9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5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3,162,500</w:t>
            </w:r>
          </w:p>
        </w:tc>
        <w:tc>
          <w:tcPr>
            <w:tcW w:w="110" w:type="dxa"/>
            <w:tcBorders/>
            <w:shd w:fill="FFFFFF" w:val="clear"/>
            <w:vAlign w:val="center"/>
          </w:tcPr>
          <w:p>
            <w:pPr>
              <w:pStyle w:val="TableContents"/>
              <w:spacing w:before="0" w:after="283"/>
              <w:jc w:val="left"/>
              <w:rPr/>
            </w:pPr>
            <w:r>
              <w:rPr/>
              <w:t> </w:t>
            </w:r>
            <w:bookmarkStart w:id="384" w:name="xdx_409_ecustom--StockIssuedDuringPeriod"/>
            <w:bookmarkEnd w:id="384"/>
          </w:p>
        </w:tc>
      </w:tr>
      <w:tr>
        <w:trPr/>
        <w:tc>
          <w:tcPr>
            <w:tcW w:w="56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Merger and PIPE financing shares</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jc w:val="left"/>
              <w:rPr/>
            </w:pPr>
            <w:r>
              <w:rPr/>
              <w:t> </w:t>
            </w:r>
          </w:p>
        </w:tc>
        <w:tc>
          <w:tcPr>
            <w:tcW w:w="165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4,238,936</w:t>
            </w:r>
          </w:p>
        </w:tc>
        <w:tc>
          <w:tcPr>
            <w:tcW w:w="110" w:type="dxa"/>
            <w:tcBorders/>
            <w:shd w:fill="CCEEFF" w:val="clear"/>
            <w:vAlign w:val="center"/>
          </w:tcPr>
          <w:p>
            <w:pPr>
              <w:pStyle w:val="TableContents"/>
              <w:spacing w:before="0" w:after="283"/>
              <w:jc w:val="left"/>
              <w:rPr/>
            </w:pPr>
            <w:r>
              <w:rPr/>
              <w:t> </w:t>
            </w:r>
            <w:bookmarkStart w:id="385" w:name="xdx_404_ecustom--StockConvertedReverseRe"/>
            <w:bookmarkEnd w:id="385"/>
          </w:p>
        </w:tc>
      </w:tr>
      <w:tr>
        <w:trPr/>
        <w:tc>
          <w:tcPr>
            <w:tcW w:w="56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Legacy Dragonfly shares </w:t>
            </w:r>
            <w:bookmarkStart w:id="386" w:name="xdx_F48_zd48FYJyuPBa"/>
            <w:bookmarkEnd w:id="386"/>
            <w:r>
              <w:rPr>
                <w:rFonts w:ascii="Times New Roman;Times;Serif" w:hAnsi="Times New Roman;Times;Serif"/>
                <w:sz w:val="20"/>
              </w:rPr>
              <w:t>(1)(2)</w:t>
            </w:r>
          </w:p>
        </w:tc>
        <w:tc>
          <w:tcPr>
            <w:tcW w:w="60" w:type="dxa"/>
            <w:tcBorders/>
            <w:shd w:fill="FFFFFF" w:val="clear"/>
            <w:vAlign w:val="center"/>
          </w:tcPr>
          <w:p>
            <w:pPr>
              <w:pStyle w:val="TableContents"/>
              <w:spacing w:before="0" w:after="283"/>
              <w:rPr/>
            </w:pPr>
            <w:r>
              <w:rPr/>
              <w:t> </w:t>
            </w:r>
          </w:p>
        </w:tc>
        <w:tc>
          <w:tcPr>
            <w:tcW w:w="9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5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38,576,650</w:t>
            </w:r>
          </w:p>
        </w:tc>
        <w:tc>
          <w:tcPr>
            <w:tcW w:w="110" w:type="dxa"/>
            <w:tcBorders/>
            <w:shd w:fill="FFFFFF" w:val="clear"/>
            <w:vAlign w:val="center"/>
          </w:tcPr>
          <w:p>
            <w:pPr>
              <w:pStyle w:val="TableContents"/>
              <w:spacing w:before="0" w:after="283"/>
              <w:jc w:val="left"/>
              <w:rPr/>
            </w:pPr>
            <w:r>
              <w:rPr/>
              <w:t> </w:t>
            </w:r>
            <w:bookmarkStart w:id="387" w:name="xdx_409_eus-gaap--CommonStockSharesOutst"/>
            <w:bookmarkEnd w:id="387"/>
          </w:p>
        </w:tc>
      </w:tr>
      <w:tr>
        <w:trPr/>
        <w:tc>
          <w:tcPr>
            <w:tcW w:w="56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shares of common stock immediately after the merger</w:t>
            </w:r>
          </w:p>
        </w:tc>
        <w:tc>
          <w:tcPr>
            <w:tcW w:w="60" w:type="dxa"/>
            <w:tcBorders/>
            <w:shd w:fill="CCEEFF" w:val="clear"/>
            <w:vAlign w:val="center"/>
          </w:tcPr>
          <w:p>
            <w:pPr>
              <w:pStyle w:val="TableContents"/>
              <w:spacing w:before="0" w:after="283"/>
              <w:rPr/>
            </w:pPr>
            <w:r>
              <w:rPr/>
              <w:t> </w:t>
            </w:r>
          </w:p>
        </w:tc>
        <w:tc>
          <w:tcPr>
            <w:tcW w:w="9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65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42,815,586</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rPr>
      </w:pPr>
      <w:r>
        <w:rPr>
          <w:caps/>
        </w:rPr>
        <w:t>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vAlign w:val="center"/>
          </w:tcPr>
          <w:p>
            <w:pPr>
              <w:pStyle w:val="TableContents"/>
              <w:spacing w:before="0" w:after="283"/>
              <w:jc w:val="right"/>
              <w:rPr>
                <w:rFonts w:ascii="Times New Roman;Times;Serif" w:hAnsi="Times New Roman;Times;Serif"/>
                <w:i/>
                <w:sz w:val="20"/>
              </w:rPr>
            </w:pPr>
            <w:bookmarkStart w:id="388" w:name="xdx_F03_zf30tS4MH7Wb"/>
            <w:bookmarkEnd w:id="388"/>
            <w:r>
              <w:rPr>
                <w:rFonts w:ascii="Times New Roman;Times;Serif" w:hAnsi="Times New Roman;Times;Serif"/>
                <w:i/>
                <w:sz w:val="20"/>
              </w:rPr>
              <w:t>(1)</w:t>
            </w:r>
          </w:p>
        </w:tc>
        <w:tc>
          <w:tcPr>
            <w:tcW w:w="9975" w:type="dxa"/>
            <w:tcBorders/>
            <w:shd w:fill="auto" w:val="clear"/>
            <w:vAlign w:val="center"/>
          </w:tcPr>
          <w:p>
            <w:pPr>
              <w:pStyle w:val="TableContents"/>
              <w:spacing w:before="0" w:after="283"/>
              <w:jc w:val="both"/>
              <w:rPr>
                <w:rFonts w:ascii="Times New Roman;Times;Serif" w:hAnsi="Times New Roman;Times;Serif"/>
                <w:i/>
                <w:sz w:val="20"/>
              </w:rPr>
            </w:pPr>
            <w:bookmarkStart w:id="389" w:name="xdx_F1D_zEKF38gMn591"/>
            <w:bookmarkEnd w:id="389"/>
            <w:r>
              <w:rPr>
                <w:rFonts w:ascii="Times New Roman;Times;Serif" w:hAnsi="Times New Roman;Times;Serif"/>
                <w:i/>
                <w:sz w:val="20"/>
              </w:rPr>
              <w:t>-The number of Legacy Dragonfly shares was determined from the shares of Legacy Dragonfly outstanding immediately prior to the closing of the merger converted at the Exchange Ratio. All fractional shares were rounded down.</w:t>
            </w:r>
          </w:p>
        </w:tc>
      </w:tr>
    </w:tbl>
    <w:p>
      <w:pPr>
        <w:pStyle w:val="TextBody"/>
        <w:spacing w:before="0" w:after="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right"/>
              <w:rPr>
                <w:i/>
              </w:rPr>
            </w:pPr>
            <w:bookmarkStart w:id="390" w:name="xdx_F00_zsKtGZLlPF6l"/>
            <w:bookmarkEnd w:id="390"/>
            <w:r>
              <w:rPr>
                <w:i/>
              </w:rPr>
              <w:t>(2)</w:t>
            </w:r>
          </w:p>
        </w:tc>
        <w:tc>
          <w:tcPr>
            <w:tcW w:w="9939" w:type="dxa"/>
            <w:tcBorders/>
            <w:shd w:fill="auto" w:val="clear"/>
            <w:vAlign w:val="center"/>
          </w:tcPr>
          <w:p>
            <w:pPr>
              <w:pStyle w:val="TableContents"/>
              <w:spacing w:before="0" w:after="283"/>
              <w:jc w:val="both"/>
              <w:rPr/>
            </w:pPr>
            <w:r>
              <w:rPr/>
              <w:t>-</w:t>
            </w:r>
            <w:bookmarkStart w:id="391" w:name="xdx_F11_zLaxQG7cV0Qh"/>
            <w:bookmarkEnd w:id="391"/>
            <w:r>
              <w:rPr>
                <w:i/>
              </w:rPr>
              <w:t>The preferred shares of Legacy Dragonfly were exchanged on a 1 to 1 ratio to common stock and the shares were then exchanged for shares of Dragonfly Energy Holdings Corp. at the Exchange Ratio.</w:t>
            </w:r>
          </w:p>
        </w:tc>
      </w:tr>
    </w:tbl>
    <w:p>
      <w:pPr>
        <w:pStyle w:val="TextBody"/>
        <w:spacing w:before="0" w:after="0"/>
        <w:ind w:left="0" w:right="0" w:hanging="0"/>
        <w:rPr>
          <w:caps w:val="false"/>
          <w:smallCaps w:val="false"/>
        </w:rPr>
      </w:pPr>
      <w:bookmarkStart w:id="392" w:name="xdx_8AB_zas4Gwcfdqg6"/>
      <w:bookmarkEnd w:id="392"/>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reverse capitalization transaction, the Company issued public warrants, private placement warrants and Term Loan warrants. Refer to Note 12 for a further description of the 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Earnout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former holders of shares of Legacy Dragonfly common stock (including shares received as a result of the conversion of Legacy Dragonfly Preferred Stock into New Dragonfly Common Stock) are entitled to receive their pro rata share of up to </w:t>
      </w:r>
      <w:bookmarkStart w:id="393" w:name="xdx_909_ecustom--BusinessAcquisitionEqui"/>
      <w:bookmarkEnd w:id="393"/>
      <w:r>
        <w:rPr>
          <w:rFonts w:ascii="Times New Roman;Times;Serif" w:hAnsi="Times New Roman;Times;Serif"/>
          <w:b w:val="false"/>
          <w:i w:val="false"/>
          <w:caps w:val="false"/>
          <w:smallCaps w:val="false"/>
          <w:sz w:val="20"/>
        </w:rPr>
        <w:t>40,000,000 additional shares of common stock (the “</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xml:space="preserve">”). The Earnout Shares are issuable in three tranches. The first tranche of </w:t>
      </w:r>
      <w:bookmarkStart w:id="394" w:name="xdx_90F_ecustom--EarnoutSharesIssuable_i"/>
      <w:bookmarkEnd w:id="394"/>
      <w:r>
        <w:rPr>
          <w:rFonts w:ascii="Times New Roman;Times;Serif" w:hAnsi="Times New Roman;Times;Serif"/>
          <w:b w:val="false"/>
          <w:i w:val="false"/>
          <w:caps w:val="false"/>
          <w:smallCaps w:val="false"/>
          <w:sz w:val="20"/>
        </w:rPr>
        <w:t>15,000,000 shares is issuable if New Dragonfly’s 2023 total audited revenue is equal to or greater than $</w:t>
      </w:r>
      <w:bookmarkStart w:id="395" w:name="xdx_90C_ecustom--AuditedRevenue_c2022010"/>
      <w:bookmarkEnd w:id="395"/>
      <w:r>
        <w:rPr>
          <w:rFonts w:ascii="Times New Roman;Times;Serif" w:hAnsi="Times New Roman;Times;Serif"/>
          <w:b w:val="false"/>
          <w:i w:val="false"/>
          <w:caps w:val="false"/>
          <w:smallCaps w:val="false"/>
          <w:sz w:val="20"/>
        </w:rPr>
        <w:t>250,000 and New Dragonfly’s 2023 audited operating income is equal to or greater than $</w:t>
      </w:r>
      <w:bookmarkStart w:id="396" w:name="xdx_906_ecustom--AuditedOperatingIncome_"/>
      <w:bookmarkEnd w:id="396"/>
      <w:r>
        <w:rPr>
          <w:rFonts w:ascii="Times New Roman;Times;Serif" w:hAnsi="Times New Roman;Times;Serif"/>
          <w:b w:val="false"/>
          <w:i w:val="false"/>
          <w:caps w:val="false"/>
          <w:smallCaps w:val="false"/>
          <w:sz w:val="20"/>
        </w:rPr>
        <w:t xml:space="preserve">35,000. The second tranche of </w:t>
      </w:r>
      <w:bookmarkStart w:id="397" w:name="xdx_90A_ecustom--EarnoutSharesIssuable_i"/>
      <w:bookmarkEnd w:id="397"/>
      <w:r>
        <w:rPr>
          <w:rFonts w:ascii="Times New Roman;Times;Serif" w:hAnsi="Times New Roman;Times;Serif"/>
          <w:b w:val="false"/>
          <w:i w:val="false"/>
          <w:caps w:val="false"/>
          <w:smallCaps w:val="false"/>
          <w:sz w:val="20"/>
        </w:rPr>
        <w:t>12,500,000 shares is issuable upon achieving a volume-weighted average trading price threshold of at least $</w:t>
      </w:r>
      <w:bookmarkStart w:id="398" w:name="xdx_90A_ecustom--VolumeWeightedAveragePr"/>
      <w:bookmarkEnd w:id="398"/>
      <w:r>
        <w:rPr>
          <w:rFonts w:ascii="Times New Roman;Times;Serif" w:hAnsi="Times New Roman;Times;Serif"/>
          <w:b w:val="false"/>
          <w:i w:val="false"/>
          <w:caps w:val="false"/>
          <w:smallCaps w:val="false"/>
          <w:sz w:val="20"/>
        </w:rPr>
        <w:t xml:space="preserve">22.50 on or prior to December 31, 2026 and the third tranche of </w:t>
      </w:r>
      <w:bookmarkStart w:id="399" w:name="xdx_905_ecustom--EarnoutSharesIssuable_i"/>
      <w:bookmarkEnd w:id="399"/>
      <w:r>
        <w:rPr>
          <w:rFonts w:ascii="Times New Roman;Times;Serif" w:hAnsi="Times New Roman;Times;Serif"/>
          <w:b w:val="false"/>
          <w:i w:val="false"/>
          <w:caps w:val="false"/>
          <w:smallCaps w:val="false"/>
          <w:sz w:val="20"/>
        </w:rPr>
        <w:t>12,500,000 is issuable upon achieving a volume-weighted average trading price threshold of at least $</w:t>
      </w:r>
      <w:bookmarkStart w:id="400" w:name="xdx_90B_ecustom--VolumeWeightedAveragePr"/>
      <w:bookmarkEnd w:id="400"/>
      <w:r>
        <w:rPr>
          <w:rFonts w:ascii="Times New Roman;Times;Serif" w:hAnsi="Times New Roman;Times;Serif"/>
          <w:b w:val="false"/>
          <w:i w:val="false"/>
          <w:caps w:val="false"/>
          <w:smallCaps w:val="false"/>
          <w:sz w:val="20"/>
        </w:rPr>
        <w:t>32.50 on or prior to December 31, 2028. To the extent not previously earned, the second tranche is issuable if the $</w:t>
      </w:r>
      <w:bookmarkStart w:id="401" w:name="xdx_90C_ecustom--VolumeWeightedAveragePr"/>
      <w:bookmarkEnd w:id="401"/>
      <w:r>
        <w:rPr>
          <w:rFonts w:ascii="Times New Roman;Times;Serif" w:hAnsi="Times New Roman;Times;Serif"/>
          <w:b w:val="false"/>
          <w:i w:val="false"/>
          <w:caps w:val="false"/>
          <w:smallCaps w:val="false"/>
          <w:sz w:val="20"/>
        </w:rPr>
        <w:t>32.50 price target is achieved by December 31, 2028.</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F-14</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Earnout Shares as either equity-classified or liability-classified instruments based on an assessment of the Earnout Shares specific terms and applicable authoritative guidance in ASC 480, Distinguishing Liabilities from Equity (“</w:t>
      </w:r>
      <w:r>
        <w:rPr>
          <w:rFonts w:ascii="Times New Roman;Times;Serif" w:hAnsi="Times New Roman;Times;Serif"/>
          <w:b/>
          <w:i w:val="false"/>
          <w:caps w:val="false"/>
          <w:smallCaps w:val="false"/>
          <w:sz w:val="20"/>
        </w:rPr>
        <w:t>ASC 480</w:t>
      </w:r>
      <w:r>
        <w:rPr>
          <w:rFonts w:ascii="Times New Roman;Times;Serif" w:hAnsi="Times New Roman;Times;Serif"/>
          <w:b w:val="false"/>
          <w:i w:val="false"/>
          <w:caps w:val="false"/>
          <w:smallCaps w:val="false"/>
          <w:sz w:val="20"/>
        </w:rPr>
        <w:t>”)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w:t>
      </w:r>
      <w:bookmarkStart w:id="402" w:name="xdx_90E_eus-gaap--SharePrice_iI_c2022123"/>
      <w:bookmarkEnd w:id="402"/>
      <w:r>
        <w:rPr>
          <w:rFonts w:ascii="Times New Roman;Times;Serif" w:hAnsi="Times New Roman;Times;Serif"/>
          <w:b w:val="false"/>
          <w:i w:val="false"/>
          <w:caps w:val="false"/>
          <w:smallCaps w:val="false"/>
          <w:sz w:val="20"/>
        </w:rPr>
        <w:t xml:space="preserve">14.00; (2) a risk-free rate of </w:t>
      </w:r>
      <w:bookmarkStart w:id="403" w:name="xdx_908_eus-gaap--WarrantsAndRightsOutst"/>
      <w:bookmarkEnd w:id="403"/>
      <w:r>
        <w:rPr>
          <w:rFonts w:ascii="Times New Roman;Times;Serif" w:hAnsi="Times New Roman;Times;Serif"/>
          <w:b w:val="false"/>
          <w:i w:val="false"/>
          <w:caps w:val="false"/>
          <w:smallCaps w:val="false"/>
          <w:sz w:val="20"/>
        </w:rPr>
        <w:t>4.24%; (3) projected revenue and EBITDA of $</w:t>
      </w:r>
      <w:bookmarkStart w:id="404" w:name="xdx_900_eus-gaap--DebtInstrumentFairValu"/>
      <w:bookmarkEnd w:id="404"/>
      <w:r>
        <w:rPr>
          <w:rFonts w:ascii="Times New Roman;Times;Serif" w:hAnsi="Times New Roman;Times;Serif"/>
          <w:b w:val="false"/>
          <w:i w:val="false"/>
          <w:caps w:val="false"/>
          <w:smallCaps w:val="false"/>
          <w:sz w:val="20"/>
        </w:rPr>
        <w:t>255,100 and $</w:t>
      </w:r>
      <w:bookmarkStart w:id="405" w:name="xdx_900_eus-gaap--DebtInstrumentFairValu"/>
      <w:bookmarkEnd w:id="405"/>
      <w:r>
        <w:rPr>
          <w:rFonts w:ascii="Times New Roman;Times;Serif" w:hAnsi="Times New Roman;Times;Serif"/>
          <w:b w:val="false"/>
          <w:i w:val="false"/>
          <w:caps w:val="false"/>
          <w:smallCaps w:val="false"/>
          <w:sz w:val="20"/>
        </w:rPr>
        <w:t xml:space="preserve">41,000, respectively; (4) expected volatility of future annual revenue and future annual EBITDA of </w:t>
      </w:r>
      <w:bookmarkStart w:id="406" w:name="xdx_907_eus-gaap--WarrantsAndRightsOutst"/>
      <w:bookmarkEnd w:id="406"/>
      <w:r>
        <w:rPr>
          <w:rFonts w:ascii="Times New Roman;Times;Serif" w:hAnsi="Times New Roman;Times;Serif"/>
          <w:b w:val="false"/>
          <w:i w:val="false"/>
          <w:caps w:val="false"/>
          <w:smallCaps w:val="false"/>
          <w:sz w:val="20"/>
        </w:rPr>
        <w:t xml:space="preserve">42.0% and </w:t>
      </w:r>
      <w:bookmarkStart w:id="407" w:name="xdx_905_eus-gaap--WarrantsAndRightsOutst"/>
      <w:bookmarkEnd w:id="407"/>
      <w:r>
        <w:rPr>
          <w:rFonts w:ascii="Times New Roman;Times;Serif" w:hAnsi="Times New Roman;Times;Serif"/>
          <w:b w:val="false"/>
          <w:i w:val="false"/>
          <w:caps w:val="false"/>
          <w:smallCaps w:val="false"/>
          <w:sz w:val="20"/>
        </w:rPr>
        <w:t xml:space="preserve">64.0% respectively; (5) discount rate of </w:t>
      </w:r>
      <w:bookmarkStart w:id="408" w:name="xdx_909_eus-gaap--WarrantsAndRightsOutst"/>
      <w:bookmarkEnd w:id="408"/>
      <w:r>
        <w:rPr>
          <w:rFonts w:ascii="Times New Roman;Times;Serif" w:hAnsi="Times New Roman;Times;Serif"/>
          <w:b w:val="false"/>
          <w:i w:val="false"/>
          <w:caps w:val="false"/>
          <w:smallCaps w:val="false"/>
          <w:sz w:val="20"/>
        </w:rPr>
        <w:t xml:space="preserve">4.24%; and (6) expected probability of change in control of </w:t>
      </w:r>
      <w:bookmarkStart w:id="409" w:name="xdx_90E_eus-gaap--WarrantsAndRightsOutst"/>
      <w:bookmarkEnd w:id="409"/>
      <w:r>
        <w:rPr>
          <w:rFonts w:ascii="Times New Roman;Times;Serif" w:hAnsi="Times New Roman;Times;Serif"/>
          <w:b w:val="false"/>
          <w:i w:val="false"/>
          <w:caps w:val="false"/>
          <w:smallCaps w:val="false"/>
          <w:sz w:val="20"/>
        </w:rPr>
        <w:t>15.0%.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bookmarkStart w:id="410" w:name="xdx_800_eus-gaap--FairValueDisclosuresTe"/>
      <w:bookmarkEnd w:id="410"/>
      <w:r>
        <w:rPr>
          <w:rFonts w:ascii="Times New Roman;Times;Serif" w:hAnsi="Times New Roman;Times;Serif"/>
          <w:b/>
          <w:i w:val="false"/>
          <w:caps/>
          <w:sz w:val="20"/>
        </w:rPr>
        <w:t xml:space="preserve">Note 4 - </w:t>
      </w:r>
      <w:bookmarkStart w:id="411" w:name="xdx_826_zfbAXR8Udxpg"/>
      <w:bookmarkEnd w:id="411"/>
      <w:r>
        <w:rPr>
          <w:rFonts w:ascii="Times New Roman;Times;Serif" w:hAnsi="Times New Roman;Times;Serif"/>
          <w:b/>
          <w:i w:val="false"/>
          <w:caps/>
          <w:sz w:val="20"/>
        </w:rPr>
        <w:t>FAIR VALUE MEASUREMENTS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w:t>
      </w:r>
      <w:r>
        <w:rPr>
          <w:rFonts w:ascii="Times New Roman;Times;Serif" w:hAnsi="Times New Roman;Times;Serif"/>
          <w:b/>
          <w:i w:val="false"/>
          <w:caps w:val="false"/>
          <w:smallCaps w:val="false"/>
          <w:sz w:val="20"/>
        </w:rPr>
        <w:t>ASC 820</w:t>
      </w:r>
      <w:r>
        <w:rPr>
          <w:rFonts w:ascii="Times New Roman;Times;Serif" w:hAnsi="Times New Roman;Times;Serif"/>
          <w:b w:val="false"/>
          <w:i w:val="false"/>
          <w:caps w:val="false"/>
          <w:smallCaps w:val="false"/>
          <w:sz w:val="20"/>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inputs are quoted prices (unadjusted) in active markets for identical assets or liabilities. </w:t>
            </w:r>
          </w:p>
        </w:tc>
      </w:tr>
      <w:tr>
        <w:trPr/>
        <w:tc>
          <w:tcPr>
            <w:tcW w:w="185"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inputs are inputs other than quoted prices included within Level 1 that are observable for a similar asset or liability, either directly or indirectly. </w:t>
            </w:r>
          </w:p>
        </w:tc>
      </w:tr>
      <w:tr>
        <w:trPr/>
        <w:tc>
          <w:tcPr>
            <w:tcW w:w="185"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inputs are unobservable inputs that reflect the Company’s own assumptions about the inputs that market participants would use in pricing the asset or liability.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F-15</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2022 and 2021:</w:t>
      </w:r>
    </w:p>
    <w:p>
      <w:pPr>
        <w:pStyle w:val="TextBody"/>
        <w:spacing w:before="0" w:after="0"/>
        <w:ind w:left="0" w:right="0" w:hanging="0"/>
        <w:jc w:val="both"/>
        <w:rPr>
          <w:caps w:val="false"/>
          <w:smallCaps w:val="false"/>
        </w:rPr>
      </w:pPr>
      <w:bookmarkStart w:id="412" w:name="xdx_899_eus-gaap--ScheduleOfFairValueAss"/>
      <w:bookmarkEnd w:id="412"/>
      <w:r>
        <w:rPr>
          <w:caps w:val="false"/>
          <w:smallCaps w:val="false"/>
        </w:rPr>
        <w:t> </w:t>
      </w:r>
      <w:bookmarkStart w:id="413" w:name="xdx_8BF_zKrjzdSBlNcg"/>
      <w:bookmarkEnd w:id="413"/>
      <w:r>
        <w:rPr>
          <w:rFonts w:ascii="Times New Roman;Times;Serif" w:hAnsi="Times New Roman;Times;Serif"/>
          <w:b w:val="false"/>
          <w:i w:val="false"/>
          <w:caps w:val="false"/>
          <w:smallCaps w:val="false"/>
          <w:sz w:val="20"/>
        </w:rPr>
        <w:t>SCHEDULE OF FAIR VALUE, ASSETS AND LIABILITIES</w:t>
      </w:r>
    </w:p>
    <w:tbl>
      <w:tblPr>
        <w:tblW w:w="10205" w:type="dxa"/>
        <w:jc w:val="left"/>
        <w:tblInd w:w="0" w:type="dxa"/>
        <w:tblCellMar>
          <w:top w:w="0" w:type="dxa"/>
          <w:left w:w="0" w:type="dxa"/>
          <w:bottom w:w="0" w:type="dxa"/>
          <w:right w:w="0" w:type="dxa"/>
        </w:tblCellMar>
      </w:tblPr>
      <w:tblGrid>
        <w:gridCol w:w="4216"/>
        <w:gridCol w:w="60"/>
        <w:gridCol w:w="286"/>
        <w:gridCol w:w="1402"/>
        <w:gridCol w:w="60"/>
        <w:gridCol w:w="60"/>
        <w:gridCol w:w="174"/>
        <w:gridCol w:w="847"/>
        <w:gridCol w:w="60"/>
        <w:gridCol w:w="60"/>
        <w:gridCol w:w="207"/>
        <w:gridCol w:w="678"/>
        <w:gridCol w:w="60"/>
        <w:gridCol w:w="60"/>
        <w:gridCol w:w="177"/>
        <w:gridCol w:w="710"/>
        <w:gridCol w:w="60"/>
        <w:gridCol w:w="60"/>
        <w:gridCol w:w="150"/>
        <w:gridCol w:w="737"/>
        <w:gridCol w:w="81"/>
      </w:tblGrid>
      <w:tr>
        <w:trPr/>
        <w:tc>
          <w:tcPr>
            <w:tcW w:w="4216"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pPr>
            <w:r>
              <w:rPr/>
              <w:t> </w:t>
            </w:r>
          </w:p>
        </w:tc>
        <w:tc>
          <w:tcPr>
            <w:tcW w:w="5848" w:type="dxa"/>
            <w:gridSpan w:val="18"/>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As of December 31, 2022</w:t>
            </w:r>
          </w:p>
        </w:tc>
        <w:tc>
          <w:tcPr>
            <w:tcW w:w="81" w:type="dxa"/>
            <w:tcBorders/>
            <w:shd w:fill="auto" w:val="clear"/>
            <w:vAlign w:val="center"/>
          </w:tcPr>
          <w:p>
            <w:pPr>
              <w:pStyle w:val="TableContents"/>
              <w:spacing w:before="0" w:after="283"/>
              <w:jc w:val="center"/>
              <w:rPr/>
            </w:pPr>
            <w:r>
              <w:rPr/>
              <w:t> </w:t>
            </w:r>
          </w:p>
        </w:tc>
      </w:tr>
      <w:tr>
        <w:trPr/>
        <w:tc>
          <w:tcPr>
            <w:tcW w:w="4216"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pPr>
            <w:r>
              <w:rPr/>
              <w:t> </w:t>
            </w:r>
          </w:p>
        </w:tc>
        <w:tc>
          <w:tcPr>
            <w:tcW w:w="1688"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Carrying Amount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2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Fair Value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8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(Level 1)</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8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(Level 2)</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8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(Level 3)</w:t>
            </w:r>
          </w:p>
        </w:tc>
        <w:tc>
          <w:tcPr>
            <w:tcW w:w="81" w:type="dxa"/>
            <w:tcBorders/>
            <w:shd w:fill="auto" w:val="clear"/>
            <w:vAlign w:val="center"/>
          </w:tcPr>
          <w:p>
            <w:pPr>
              <w:pStyle w:val="TableContents"/>
              <w:spacing w:before="0" w:after="283"/>
              <w:jc w:val="center"/>
              <w:rPr/>
            </w:pPr>
            <w:r>
              <w:rPr/>
              <w:t> </w:t>
            </w:r>
          </w:p>
        </w:tc>
      </w:tr>
      <w:tr>
        <w:trPr/>
        <w:tc>
          <w:tcPr>
            <w:tcW w:w="4216" w:type="dxa"/>
            <w:tcBorders/>
            <w:shd w:fill="CCEEFF" w:val="clear"/>
            <w:vAlign w:val="center"/>
          </w:tcPr>
          <w:p>
            <w:pPr>
              <w:pStyle w:val="TableContents"/>
              <w:spacing w:before="0" w:after="283"/>
              <w:rPr>
                <w:rFonts w:ascii="Times New Roman;Times;Serif" w:hAnsi="Times New Roman;Times;Serif"/>
                <w:u w:val="single"/>
              </w:rPr>
            </w:pPr>
            <w:r>
              <w:rPr>
                <w:rFonts w:ascii="Times New Roman;Times;Serif" w:hAnsi="Times New Roman;Times;Serif"/>
                <w:u w:val="single"/>
              </w:rPr>
              <w:t>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88" w:type="dxa"/>
            <w:gridSpan w:val="2"/>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21" w:type="dxa"/>
            <w:gridSpan w:val="2"/>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5" w:type="dxa"/>
            <w:gridSpan w:val="2"/>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7" w:type="dxa"/>
            <w:gridSpan w:val="2"/>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7" w:type="dxa"/>
            <w:gridSpan w:val="2"/>
            <w:tcBorders/>
            <w:shd w:fill="CCEEFF" w:val="clear"/>
            <w:vAlign w:val="center"/>
          </w:tcPr>
          <w:p>
            <w:pPr>
              <w:pStyle w:val="TableContents"/>
              <w:spacing w:before="0" w:after="283"/>
              <w:rPr>
                <w:caps w:val="false"/>
                <w:smallCaps w:val="false"/>
              </w:rPr>
            </w:pPr>
            <w:r>
              <w:rPr>
                <w:caps w:val="false"/>
                <w:smallCaps w:val="false"/>
              </w:rPr>
              <w:t> </w:t>
            </w:r>
          </w:p>
        </w:tc>
        <w:tc>
          <w:tcPr>
            <w:tcW w:w="81" w:type="dxa"/>
            <w:tcBorders/>
            <w:shd w:fill="CCEEFF" w:val="clear"/>
            <w:vAlign w:val="center"/>
          </w:tcPr>
          <w:p>
            <w:pPr>
              <w:pStyle w:val="TableContents"/>
              <w:spacing w:before="0" w:after="283"/>
              <w:rPr>
                <w:caps w:val="false"/>
                <w:smallCaps w:val="false"/>
              </w:rPr>
            </w:pPr>
            <w:r>
              <w:rPr>
                <w:caps w:val="false"/>
                <w:smallCaps w:val="false"/>
              </w:rPr>
              <w:t> </w:t>
            </w:r>
          </w:p>
        </w:tc>
      </w:tr>
      <w:tr>
        <w:trPr/>
        <w:tc>
          <w:tcPr>
            <w:tcW w:w="4216"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Warrant liability-Term Loan</w:t>
            </w:r>
          </w:p>
        </w:tc>
        <w:tc>
          <w:tcPr>
            <w:tcW w:w="60" w:type="dxa"/>
            <w:tcBorders/>
            <w:shd w:fill="FFFFFF" w:val="clear"/>
            <w:vAlign w:val="center"/>
          </w:tcPr>
          <w:p>
            <w:pPr>
              <w:pStyle w:val="TableContents"/>
              <w:spacing w:before="0" w:after="283"/>
              <w:rPr/>
            </w:pPr>
            <w:r>
              <w:rPr/>
              <w:t> </w:t>
            </w:r>
          </w:p>
        </w:tc>
        <w:tc>
          <w:tcPr>
            <w:tcW w:w="286" w:type="dxa"/>
            <w:tcBorders>
              <w:bottom w:val="single" w:sz="12"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14" w:name="xdx_986_ecustom--LiabilitiesCarryingValu"/>
            <w:bookmarkEnd w:id="414"/>
          </w:p>
        </w:tc>
        <w:tc>
          <w:tcPr>
            <w:tcW w:w="140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30,841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4" w:type="dxa"/>
            <w:tcBorders>
              <w:bottom w:val="single" w:sz="12"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15" w:name="xdx_98F_eus-gaap--SharesSubjectToMandato"/>
            <w:bookmarkEnd w:id="415"/>
          </w:p>
        </w:tc>
        <w:tc>
          <w:tcPr>
            <w:tcW w:w="847"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30,841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7" w:type="dxa"/>
            <w:tcBorders>
              <w:bottom w:val="single" w:sz="12"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16" w:name="xdx_989_eus-gaap--SharesSubjectToMandato"/>
            <w:bookmarkEnd w:id="416"/>
          </w:p>
        </w:tc>
        <w:tc>
          <w:tcPr>
            <w:tcW w:w="67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7" w:type="dxa"/>
            <w:tcBorders>
              <w:bottom w:val="single" w:sz="12"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17" w:name="xdx_98E_eus-gaap--SharesSubjectToMandato"/>
            <w:bookmarkEnd w:id="417"/>
          </w:p>
        </w:tc>
        <w:tc>
          <w:tcPr>
            <w:tcW w:w="7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0" w:type="dxa"/>
            <w:tcBorders>
              <w:bottom w:val="single" w:sz="12"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18" w:name="xdx_98C_eus-gaap--SharesSubjectToMandato"/>
            <w:bookmarkEnd w:id="418"/>
          </w:p>
        </w:tc>
        <w:tc>
          <w:tcPr>
            <w:tcW w:w="737"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30,841</w:t>
            </w:r>
          </w:p>
        </w:tc>
        <w:tc>
          <w:tcPr>
            <w:tcW w:w="81" w:type="dxa"/>
            <w:tcBorders/>
            <w:shd w:fill="FFFFFF" w:val="clear"/>
            <w:vAlign w:val="center"/>
          </w:tcPr>
          <w:p>
            <w:pPr>
              <w:pStyle w:val="TableContents"/>
              <w:spacing w:before="0" w:after="283"/>
              <w:jc w:val="left"/>
              <w:rPr/>
            </w:pPr>
            <w:r>
              <w:rPr/>
              <w:t> </w:t>
            </w:r>
          </w:p>
        </w:tc>
      </w:tr>
      <w:tr>
        <w:trPr/>
        <w:tc>
          <w:tcPr>
            <w:tcW w:w="4216"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Warrant liability-Private Placement Warrants</w:t>
            </w:r>
          </w:p>
        </w:tc>
        <w:tc>
          <w:tcPr>
            <w:tcW w:w="60" w:type="dxa"/>
            <w:tcBorders/>
            <w:shd w:fill="CCEEFF" w:val="clear"/>
            <w:vAlign w:val="center"/>
          </w:tcPr>
          <w:p>
            <w:pPr>
              <w:pStyle w:val="TableContents"/>
              <w:spacing w:before="0" w:after="283"/>
              <w:rPr/>
            </w:pPr>
            <w:r>
              <w:rPr/>
              <w:t> </w:t>
            </w:r>
          </w:p>
        </w:tc>
        <w:tc>
          <w:tcPr>
            <w:tcW w:w="286"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419" w:name="xdx_98C_ecustom--LiabilitiesCarryingValu"/>
            <w:bookmarkEnd w:id="419"/>
          </w:p>
        </w:tc>
        <w:tc>
          <w:tcPr>
            <w:tcW w:w="140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4"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420" w:name="xdx_988_eus-gaap--SharesSubjectToMandato"/>
            <w:bookmarkEnd w:id="420"/>
          </w:p>
        </w:tc>
        <w:tc>
          <w:tcPr>
            <w:tcW w:w="847"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7"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421" w:name="xdx_98D_eus-gaap--SharesSubjectToMandato"/>
            <w:bookmarkEnd w:id="421"/>
          </w:p>
        </w:tc>
        <w:tc>
          <w:tcPr>
            <w:tcW w:w="678" w:type="dxa"/>
            <w:tcBorders>
              <w:bottom w:val="single" w:sz="12" w:space="0" w:color="000000"/>
            </w:tcBorders>
            <w:shd w:fill="CCEEFF" w:val="clear"/>
            <w:tcMar>
              <w:bottom w:w="28" w:type="dxa"/>
            </w:tcMar>
            <w:vAlign w:val="center"/>
          </w:tcPr>
          <w:p>
            <w:pPr>
              <w:pStyle w:val="TableContents"/>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7"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422" w:name="xdx_985_eus-gaap--SharesSubjectToMandato"/>
            <w:bookmarkEnd w:id="422"/>
          </w:p>
        </w:tc>
        <w:tc>
          <w:tcPr>
            <w:tcW w:w="7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423" w:name="xdx_989_eus-gaap--SharesSubjectToMandato"/>
            <w:bookmarkEnd w:id="423"/>
          </w:p>
        </w:tc>
        <w:tc>
          <w:tcPr>
            <w:tcW w:w="737"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CCEEFF" w:val="clear"/>
            <w:vAlign w:val="center"/>
          </w:tcPr>
          <w:p>
            <w:pPr>
              <w:pStyle w:val="TableContents"/>
              <w:spacing w:before="0" w:after="283"/>
              <w:jc w:val="left"/>
              <w:rPr/>
            </w:pPr>
            <w:r>
              <w:rPr/>
              <w:t> </w:t>
            </w:r>
          </w:p>
        </w:tc>
      </w:tr>
      <w:tr>
        <w:trPr/>
        <w:tc>
          <w:tcPr>
            <w:tcW w:w="4216"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spacing w:before="0" w:after="283"/>
              <w:rPr/>
            </w:pPr>
            <w:r>
              <w:rPr/>
              <w:t> </w:t>
            </w:r>
          </w:p>
        </w:tc>
        <w:tc>
          <w:tcPr>
            <w:tcW w:w="286"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24" w:name="xdx_98E_ecustom--LiabilitiesCarryingValu"/>
            <w:bookmarkEnd w:id="424"/>
          </w:p>
        </w:tc>
        <w:tc>
          <w:tcPr>
            <w:tcW w:w="140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32,831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25" w:name="xdx_984_eus-gaap--SharesSubjectToMandato"/>
            <w:bookmarkEnd w:id="425"/>
          </w:p>
        </w:tc>
        <w:tc>
          <w:tcPr>
            <w:tcW w:w="84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32,831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7"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26" w:name="xdx_98E_eus-gaap--SharesSubjectToMandato"/>
            <w:bookmarkEnd w:id="426"/>
          </w:p>
        </w:tc>
        <w:tc>
          <w:tcPr>
            <w:tcW w:w="67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7"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27" w:name="xdx_982_eus-gaap--SharesSubjectToMandato"/>
            <w:bookmarkEnd w:id="427"/>
          </w:p>
        </w:tc>
        <w:tc>
          <w:tcPr>
            <w:tcW w:w="71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28" w:name="xdx_98F_eus-gaap--SharesSubjectToMandato"/>
            <w:bookmarkEnd w:id="428"/>
          </w:p>
        </w:tc>
        <w:tc>
          <w:tcPr>
            <w:tcW w:w="73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30,841</w:t>
            </w:r>
          </w:p>
        </w:tc>
        <w:tc>
          <w:tcPr>
            <w:tcW w:w="81"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429" w:name="xdx_8AA_zpkrKcmYFG2h"/>
      <w:bookmarkEnd w:id="429"/>
      <w:r>
        <w:rPr>
          <w:caps w:val="false"/>
          <w:smallCaps w:val="false"/>
        </w:rPr>
        <w:t> </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assets or liabilities that were measured at fair value as of December 31, 2021.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December 31, 2022 and 2021 because of the relatively short maturity of these instruments.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and fixed rate senior notes as of December 31, 2022 and 2021, respectively, are considered level 2 and approximates their fair value as the interest rate does not differ significantly from the current market rates available to the Company for similar debt.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430" w:name="xdx_807_eus-gaap--InventoryDisclosureTex"/>
      <w:bookmarkEnd w:id="430"/>
      <w:r>
        <w:rPr>
          <w:rFonts w:ascii="Times New Roman;Times;Serif" w:hAnsi="Times New Roman;Times;Serif"/>
          <w:b/>
          <w:i w:val="false"/>
          <w:caps w:val="false"/>
          <w:smallCaps w:val="false"/>
          <w:sz w:val="20"/>
        </w:rPr>
        <w:t>NOTE 5 — </w:t>
      </w:r>
      <w:bookmarkStart w:id="431" w:name="xdx_828_zs0WQqKHn549"/>
      <w:bookmarkEnd w:id="431"/>
      <w:r>
        <w:rPr>
          <w:rFonts w:ascii="Times New Roman;Times;Serif" w:hAnsi="Times New Roman;Times;Serif"/>
          <w:b/>
          <w:i w:val="false"/>
          <w:caps w:val="false"/>
          <w:smallCaps w:val="false"/>
          <w:sz w:val="20"/>
        </w:rPr>
        <w:t>INVENTORY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432" w:name="xdx_899_eus-gaap--ScheduleOfInventoryCur"/>
      <w:bookmarkEnd w:id="432"/>
      <w:r>
        <w:rPr>
          <w:rFonts w:ascii="Times New Roman;Times;Serif" w:hAnsi="Times New Roman;Times;Serif"/>
          <w:b w:val="false"/>
          <w:i w:val="false"/>
          <w:caps w:val="false"/>
          <w:smallCaps w:val="false"/>
          <w:sz w:val="20"/>
        </w:rPr>
        <w:t>Inventory consists of the following:</w:t>
      </w:r>
    </w:p>
    <w:p>
      <w:pPr>
        <w:pStyle w:val="TextBody"/>
        <w:spacing w:before="0" w:after="0"/>
        <w:ind w:left="0" w:right="0" w:hanging="0"/>
        <w:rPr>
          <w:caps w:val="false"/>
          <w:smallCaps w:val="false"/>
        </w:rPr>
      </w:pPr>
      <w:r>
        <w:rPr>
          <w:caps w:val="false"/>
          <w:smallCaps w:val="false"/>
        </w:rPr>
        <w:t> </w:t>
      </w:r>
      <w:bookmarkStart w:id="433" w:name="xdx_8B4_zqUhXAJywNL7"/>
      <w:bookmarkEnd w:id="433"/>
      <w:r>
        <w:rPr>
          <w:rFonts w:ascii="Times New Roman;Times;Serif" w:hAnsi="Times New Roman;Times;Serif"/>
          <w:b w:val="false"/>
          <w:i w:val="false"/>
          <w:caps w:val="false"/>
          <w:smallCaps w:val="false"/>
          <w:sz w:val="20"/>
        </w:rPr>
        <w:t>SCHEDULE OF INVENTORY</w:t>
      </w:r>
    </w:p>
    <w:tbl>
      <w:tblPr>
        <w:tblW w:w="4573" w:type="dxa"/>
        <w:jc w:val="left"/>
        <w:tblInd w:w="0" w:type="dxa"/>
        <w:tblCellMar>
          <w:top w:w="0" w:type="dxa"/>
          <w:left w:w="0" w:type="dxa"/>
          <w:bottom w:w="0" w:type="dxa"/>
          <w:right w:w="0" w:type="dxa"/>
        </w:tblCellMar>
      </w:tblPr>
      <w:tblGrid>
        <w:gridCol w:w="1490"/>
        <w:gridCol w:w="60"/>
        <w:gridCol w:w="241"/>
        <w:gridCol w:w="1173"/>
        <w:gridCol w:w="60"/>
        <w:gridCol w:w="60"/>
        <w:gridCol w:w="241"/>
        <w:gridCol w:w="1173"/>
        <w:gridCol w:w="75"/>
      </w:tblGrid>
      <w:tr>
        <w:trPr/>
        <w:tc>
          <w:tcPr>
            <w:tcW w:w="14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434" w:name="xdx_496_20221231_zDWFc71STLgj"/>
            <w:bookmarkEnd w:id="434"/>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December 31,</w:t>
              <w:b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435" w:name="xdx_49B_20211231_zWL4wAlnbci8"/>
            <w:bookmarkEnd w:id="435"/>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December 31,</w:t>
              <w:br/>
              <w:t>2021</w:t>
            </w:r>
          </w:p>
        </w:tc>
        <w:tc>
          <w:tcPr>
            <w:tcW w:w="75" w:type="dxa"/>
            <w:tcBorders/>
            <w:shd w:fill="auto" w:val="clear"/>
            <w:vAlign w:val="center"/>
          </w:tcPr>
          <w:p>
            <w:pPr>
              <w:pStyle w:val="TableContents"/>
              <w:spacing w:before="0" w:after="283"/>
              <w:rPr/>
            </w:pPr>
            <w:r>
              <w:rPr/>
              <w:t> </w:t>
            </w:r>
            <w:bookmarkStart w:id="436" w:name="xdx_404_eus-gaap--InventoryRawMaterials_"/>
            <w:bookmarkEnd w:id="436"/>
          </w:p>
        </w:tc>
      </w:tr>
      <w:tr>
        <w:trPr/>
        <w:tc>
          <w:tcPr>
            <w:tcW w:w="14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Raw material</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42,586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22,885</w:t>
            </w:r>
          </w:p>
        </w:tc>
        <w:tc>
          <w:tcPr>
            <w:tcW w:w="75" w:type="dxa"/>
            <w:tcBorders/>
            <w:shd w:fill="CCEEFF" w:val="clear"/>
            <w:vAlign w:val="center"/>
          </w:tcPr>
          <w:p>
            <w:pPr>
              <w:pStyle w:val="TableContents"/>
              <w:spacing w:before="0" w:after="283"/>
              <w:jc w:val="left"/>
              <w:rPr/>
            </w:pPr>
            <w:r>
              <w:rPr/>
              <w:t> </w:t>
            </w:r>
            <w:bookmarkStart w:id="437" w:name="xdx_401_eus-gaap--InventoryFinishedGoods"/>
            <w:bookmarkEnd w:id="437"/>
          </w:p>
        </w:tc>
      </w:tr>
      <w:tr>
        <w:trPr/>
        <w:tc>
          <w:tcPr>
            <w:tcW w:w="14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Finished goods</w:t>
            </w:r>
          </w:p>
        </w:tc>
        <w:tc>
          <w:tcPr>
            <w:tcW w:w="60" w:type="dxa"/>
            <w:tcBorders/>
            <w:shd w:fill="FFFFFF" w:val="clear"/>
            <w:vAlign w:val="center"/>
          </w:tcPr>
          <w:p>
            <w:pPr>
              <w:pStyle w:val="TableContents"/>
              <w:spacing w:before="0" w:after="283"/>
              <w:rPr/>
            </w:pPr>
            <w:r>
              <w:rPr/>
              <w:t> </w:t>
            </w:r>
          </w:p>
        </w:tc>
        <w:tc>
          <w:tcPr>
            <w:tcW w:w="24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7,260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4,242</w:t>
            </w:r>
          </w:p>
        </w:tc>
        <w:tc>
          <w:tcPr>
            <w:tcW w:w="75" w:type="dxa"/>
            <w:tcBorders/>
            <w:shd w:fill="FFFFFF" w:val="clear"/>
            <w:vAlign w:val="center"/>
          </w:tcPr>
          <w:p>
            <w:pPr>
              <w:pStyle w:val="TableContents"/>
              <w:spacing w:before="0" w:after="283"/>
              <w:jc w:val="left"/>
              <w:rPr/>
            </w:pPr>
            <w:r>
              <w:rPr/>
              <w:t> </w:t>
            </w:r>
            <w:bookmarkStart w:id="438" w:name="xdx_40B_eus-gaap--InventoryNet_iTI_pn3n3"/>
            <w:bookmarkEnd w:id="438"/>
          </w:p>
        </w:tc>
      </w:tr>
      <w:tr>
        <w:trPr/>
        <w:tc>
          <w:tcPr>
            <w:tcW w:w="14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inventory</w:t>
            </w:r>
          </w:p>
        </w:tc>
        <w:tc>
          <w:tcPr>
            <w:tcW w:w="60" w:type="dxa"/>
            <w:tcBorders/>
            <w:shd w:fill="CCEEFF" w:val="clear"/>
            <w:vAlign w:val="center"/>
          </w:tcPr>
          <w:p>
            <w:pPr>
              <w:pStyle w:val="TableContents"/>
              <w:spacing w:before="0" w:after="283"/>
              <w:rPr/>
            </w:pPr>
            <w:r>
              <w:rPr/>
              <w:t> </w:t>
            </w:r>
          </w:p>
        </w:tc>
        <w:tc>
          <w:tcPr>
            <w:tcW w:w="24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49,846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27,127</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bookmarkStart w:id="439" w:name="xdx_8A6_zqKJiUTPlvx1"/>
      <w:bookmarkEnd w:id="439"/>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440" w:name="xdx_808_eus-gaap--CommitmentsAndContinge"/>
      <w:bookmarkEnd w:id="440"/>
      <w:r>
        <w:rPr>
          <w:rFonts w:ascii="Times New Roman;Times;Serif" w:hAnsi="Times New Roman;Times;Serif"/>
          <w:b/>
          <w:i w:val="false"/>
          <w:caps w:val="false"/>
          <w:smallCaps w:val="false"/>
          <w:sz w:val="20"/>
        </w:rPr>
        <w:t>NOTE 6 — </w:t>
      </w:r>
      <w:bookmarkStart w:id="441" w:name="xdx_823_zQBgXdsHfN83"/>
      <w:bookmarkEnd w:id="441"/>
      <w:r>
        <w:rPr>
          <w:rFonts w:ascii="Times New Roman;Times;Serif" w:hAnsi="Times New Roman;Times;Serif"/>
          <w:b/>
          <w:i w:val="false"/>
          <w:caps w:val="false"/>
          <w:smallCaps w:val="false"/>
          <w:sz w:val="20"/>
        </w:rPr>
        <w:t>COMMITMENTS AND CONTINGENCIES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F-16</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and engineering office, all located in Reno, Nevada. The leases require annual escalating monthly payments ranging from $</w:t>
      </w:r>
      <w:bookmarkStart w:id="442" w:name="xdx_90B_eus-gaap--OperatingLeasePayments"/>
      <w:bookmarkEnd w:id="442"/>
      <w:r>
        <w:rPr>
          <w:rFonts w:ascii="Times New Roman;Times;Serif" w:hAnsi="Times New Roman;Times;Serif"/>
          <w:b w:val="false"/>
          <w:i w:val="false"/>
          <w:caps w:val="false"/>
          <w:smallCaps w:val="false"/>
          <w:sz w:val="20"/>
        </w:rPr>
        <w:t>60 to $</w:t>
      </w:r>
      <w:bookmarkStart w:id="443" w:name="xdx_904_eus-gaap--OperatingLeasePayments"/>
      <w:bookmarkEnd w:id="443"/>
      <w:r>
        <w:rPr>
          <w:rFonts w:ascii="Times New Roman;Times;Serif" w:hAnsi="Times New Roman;Times;Serif"/>
          <w:b w:val="false"/>
          <w:i w:val="false"/>
          <w:caps w:val="false"/>
          <w:smallCaps w:val="false"/>
          <w:sz w:val="20"/>
        </w:rPr>
        <w:t>74. In December of 2021, the Company entered into another lease for additional warehouse space located in Reno, Nevada that requires annual escalating monthly payments ranging from $</w:t>
      </w:r>
      <w:bookmarkStart w:id="444" w:name="xdx_90A_eus-gaap--OperatingLeasePayments"/>
      <w:bookmarkEnd w:id="444"/>
      <w:r>
        <w:rPr>
          <w:rFonts w:ascii="Times New Roman;Times;Serif" w:hAnsi="Times New Roman;Times;Serif"/>
          <w:b w:val="false"/>
          <w:i w:val="false"/>
          <w:caps w:val="false"/>
          <w:smallCaps w:val="false"/>
          <w:sz w:val="20"/>
        </w:rPr>
        <w:t>47 to $</w:t>
      </w:r>
      <w:bookmarkStart w:id="445" w:name="xdx_904_eus-gaap--OperatingLeasePayments"/>
      <w:bookmarkEnd w:id="445"/>
      <w:r>
        <w:rPr>
          <w:rFonts w:ascii="Times New Roman;Times;Serif" w:hAnsi="Times New Roman;Times;Serif"/>
          <w:b w:val="false"/>
          <w:i w:val="false"/>
          <w:caps w:val="false"/>
          <w:smallCaps w:val="false"/>
          <w:sz w:val="20"/>
        </w:rPr>
        <w:t xml:space="preserve">55. On February 2, 2022, the Company entered into a </w:t>
      </w:r>
      <w:bookmarkStart w:id="446" w:name="xdx_906_eus-gaap--LesseeOperatingLeaseTe"/>
      <w:bookmarkEnd w:id="446"/>
      <w:r>
        <w:rPr>
          <w:rFonts w:ascii="Times New Roman;Times;Serif" w:hAnsi="Times New Roman;Times;Serif"/>
          <w:b w:val="false"/>
          <w:i w:val="false"/>
          <w:caps w:val="false"/>
          <w:smallCaps w:val="false"/>
          <w:sz w:val="20"/>
        </w:rPr>
        <w:t>124-month lease agreement in Reno, Nevada. The lease calls for monthly base rent of $</w:t>
      </w:r>
      <w:bookmarkStart w:id="447" w:name="xdx_906_ecustom--LesseeOperatingLeaseMon"/>
      <w:bookmarkEnd w:id="447"/>
      <w:r>
        <w:rPr>
          <w:rFonts w:ascii="Times New Roman;Times;Serif" w:hAnsi="Times New Roman;Times;Serif"/>
          <w:b w:val="false"/>
          <w:i w:val="false"/>
          <w:caps w:val="false"/>
          <w:smallCaps w:val="false"/>
          <w:sz w:val="20"/>
        </w:rPr>
        <w:t>230, $</w:t>
      </w:r>
      <w:bookmarkStart w:id="448" w:name="xdx_902_eus-gaap--OperatingLeaseCost_pn3"/>
      <w:bookmarkEnd w:id="448"/>
      <w:r>
        <w:rPr>
          <w:rFonts w:ascii="Times New Roman;Times;Serif" w:hAnsi="Times New Roman;Times;Serif"/>
          <w:b w:val="false"/>
          <w:i w:val="false"/>
          <w:caps w:val="false"/>
          <w:smallCaps w:val="false"/>
          <w:sz w:val="20"/>
        </w:rPr>
        <w:t>23 of fixed operating expense costs, and estimated monthly property taxes of $</w:t>
      </w:r>
      <w:bookmarkStart w:id="449" w:name="xdx_90A_ecustom--LesseeOperatingLeaseEst"/>
      <w:bookmarkEnd w:id="449"/>
      <w:r>
        <w:rPr>
          <w:rFonts w:ascii="Times New Roman;Times;Serif" w:hAnsi="Times New Roman;Times;Serif"/>
          <w:b w:val="false"/>
          <w:i w:val="false"/>
          <w:caps w:val="false"/>
          <w:smallCaps w:val="false"/>
          <w:sz w:val="20"/>
        </w:rPr>
        <w:t xml:space="preserve">21. The monthly base rent and fixed operating expense costs are subject to escalation of </w:t>
      </w:r>
      <w:bookmarkStart w:id="450" w:name="xdx_90B_ecustom--LesseeOperatingLeasePer"/>
      <w:bookmarkEnd w:id="450"/>
      <w:r>
        <w:rPr>
          <w:rFonts w:ascii="Times New Roman;Times;Serif" w:hAnsi="Times New Roman;Times;Serif"/>
          <w:b w:val="false"/>
          <w:i w:val="false"/>
          <w:caps w:val="false"/>
          <w:smallCaps w:val="false"/>
          <w:sz w:val="20"/>
        </w:rPr>
        <w:t xml:space="preserve">3% and </w:t>
      </w:r>
      <w:bookmarkStart w:id="451" w:name="xdx_904_ecustom--LesseeOperatingLeasePer"/>
      <w:bookmarkEnd w:id="451"/>
      <w:r>
        <w:rPr>
          <w:rFonts w:ascii="Times New Roman;Times;Serif" w:hAnsi="Times New Roman;Times;Serif"/>
          <w:b w:val="false"/>
          <w:i w:val="false"/>
          <w:caps w:val="false"/>
          <w:smallCaps w:val="false"/>
          <w:sz w:val="20"/>
        </w:rPr>
        <w:t xml:space="preserve">2.4%, respectively, on an annual basis. The first payment is due upon substantial completion of construction of the building which is expected to be within </w:t>
      </w:r>
      <w:bookmarkStart w:id="452" w:name="xdx_903_ecustom--LesseeOperatingLeaseTer"/>
      <w:bookmarkEnd w:id="452"/>
      <w:r>
        <w:rPr>
          <w:rFonts w:ascii="Times New Roman;Times;Serif" w:hAnsi="Times New Roman;Times;Serif"/>
          <w:b w:val="false"/>
          <w:i w:val="false"/>
          <w:caps w:val="false"/>
          <w:smallCaps w:val="false"/>
          <w:sz w:val="20"/>
        </w:rPr>
        <w:t>2 years from the effective date. As of December 31, 2022, the lease has not commenced as the Company does not have control over the asset.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53" w:name="xdx_89F_ecustom--DisclosureForBreakoutOf"/>
      <w:bookmarkEnd w:id="453"/>
      <w:r>
        <w:rPr>
          <w:rFonts w:ascii="Times New Roman;Times;Serif" w:hAnsi="Times New Roman;Times;Serif"/>
          <w:b w:val="false"/>
          <w:i w:val="false"/>
          <w:caps w:val="false"/>
          <w:smallCaps w:val="false"/>
          <w:sz w:val="20"/>
        </w:rPr>
        <w:t>The following table presents the breakout of the operating leases as of:</w:t>
      </w:r>
    </w:p>
    <w:p>
      <w:pPr>
        <w:pStyle w:val="TextBody"/>
        <w:spacing w:before="0" w:after="0"/>
        <w:ind w:left="0" w:right="0" w:hanging="0"/>
        <w:jc w:val="both"/>
        <w:rPr>
          <w:caps w:val="false"/>
          <w:smallCaps w:val="false"/>
        </w:rPr>
      </w:pPr>
      <w:r>
        <w:rPr>
          <w:caps w:val="false"/>
          <w:smallCaps w:val="false"/>
        </w:rPr>
        <w:t> </w:t>
      </w:r>
      <w:bookmarkStart w:id="454" w:name="xdx_8BE_zt8KLPtbgvHl"/>
      <w:bookmarkEnd w:id="454"/>
      <w:r>
        <w:rPr>
          <w:rFonts w:ascii="Times New Roman;Times;Serif" w:hAnsi="Times New Roman;Times;Serif"/>
          <w:b w:val="false"/>
          <w:i w:val="false"/>
          <w:caps w:val="false"/>
          <w:smallCaps w:val="false"/>
          <w:sz w:val="20"/>
        </w:rPr>
        <w:t>SCHEDULE OF TABLE REPRESENTING THE BREAKOUT OF THE OPERATING LEASES</w:t>
      </w:r>
    </w:p>
    <w:tbl>
      <w:tblPr>
        <w:tblW w:w="6840" w:type="dxa"/>
        <w:jc w:val="left"/>
        <w:tblInd w:w="0" w:type="dxa"/>
        <w:tblCellMar>
          <w:top w:w="0" w:type="dxa"/>
          <w:left w:w="0" w:type="dxa"/>
          <w:bottom w:w="0" w:type="dxa"/>
          <w:right w:w="0" w:type="dxa"/>
        </w:tblCellMar>
      </w:tblPr>
      <w:tblGrid>
        <w:gridCol w:w="3755"/>
        <w:gridCol w:w="60"/>
        <w:gridCol w:w="283"/>
        <w:gridCol w:w="1132"/>
        <w:gridCol w:w="60"/>
        <w:gridCol w:w="60"/>
        <w:gridCol w:w="283"/>
        <w:gridCol w:w="1132"/>
        <w:gridCol w:w="75"/>
      </w:tblGrid>
      <w:tr>
        <w:trPr/>
        <w:tc>
          <w:tcPr>
            <w:tcW w:w="37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455" w:name="xdx_495_20221231_zakPoxcMoui2"/>
            <w:bookmarkEnd w:id="455"/>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December 31,</w:t>
              <w:b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456" w:name="xdx_498_20211231_zXMZQzCCXMol"/>
            <w:bookmarkEnd w:id="456"/>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December 31,</w:t>
              <w:br/>
              <w:t>2021</w:t>
            </w:r>
          </w:p>
        </w:tc>
        <w:tc>
          <w:tcPr>
            <w:tcW w:w="75" w:type="dxa"/>
            <w:tcBorders/>
            <w:shd w:fill="auto" w:val="clear"/>
            <w:vAlign w:val="center"/>
          </w:tcPr>
          <w:p>
            <w:pPr>
              <w:pStyle w:val="TableContents"/>
              <w:spacing w:before="0" w:after="283"/>
              <w:rPr/>
            </w:pPr>
            <w:r>
              <w:rPr/>
              <w:t> </w:t>
            </w:r>
            <w:bookmarkStart w:id="457" w:name="xdx_40E_eus-gaap--OperatingLeaseRightOfU"/>
            <w:bookmarkEnd w:id="457"/>
          </w:p>
        </w:tc>
      </w:tr>
      <w:tr>
        <w:trPr/>
        <w:tc>
          <w:tcPr>
            <w:tcW w:w="375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spacing w:before="0" w:after="283"/>
              <w:rPr/>
            </w:pPr>
            <w:r>
              <w:rPr/>
              <w:t> </w:t>
            </w:r>
          </w:p>
        </w:tc>
        <w:tc>
          <w:tcPr>
            <w:tcW w:w="283"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4,513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5,709</w:t>
            </w:r>
          </w:p>
        </w:tc>
        <w:tc>
          <w:tcPr>
            <w:tcW w:w="75" w:type="dxa"/>
            <w:tcBorders/>
            <w:shd w:fill="CCEEFF" w:val="clear"/>
            <w:vAlign w:val="center"/>
          </w:tcPr>
          <w:p>
            <w:pPr>
              <w:pStyle w:val="TableContents"/>
              <w:spacing w:before="0" w:after="283"/>
              <w:jc w:val="left"/>
              <w:rPr/>
            </w:pPr>
            <w:r>
              <w:rPr/>
              <w:t> </w:t>
            </w:r>
            <w:bookmarkStart w:id="458" w:name="xdx_402_eus-gaap--OperatingLeaseLiabilit"/>
            <w:bookmarkEnd w:id="458"/>
          </w:p>
        </w:tc>
      </w:tr>
      <w:tr>
        <w:trPr/>
        <w:tc>
          <w:tcPr>
            <w:tcW w:w="375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Short-term operating lease liabilities</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p>
        </w:tc>
        <w:tc>
          <w:tcPr>
            <w:tcW w:w="113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1,188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p>
        </w:tc>
        <w:tc>
          <w:tcPr>
            <w:tcW w:w="113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1,082</w:t>
            </w:r>
          </w:p>
        </w:tc>
        <w:tc>
          <w:tcPr>
            <w:tcW w:w="75" w:type="dxa"/>
            <w:tcBorders/>
            <w:shd w:fill="FFFFFF" w:val="clear"/>
            <w:vAlign w:val="center"/>
          </w:tcPr>
          <w:p>
            <w:pPr>
              <w:pStyle w:val="TableContents"/>
              <w:spacing w:before="0" w:after="283"/>
              <w:jc w:val="left"/>
              <w:rPr/>
            </w:pPr>
            <w:r>
              <w:rPr/>
              <w:t> </w:t>
            </w:r>
            <w:bookmarkStart w:id="459" w:name="xdx_401_eus-gaap--OperatingLeaseLiabilit"/>
            <w:bookmarkEnd w:id="459"/>
          </w:p>
        </w:tc>
      </w:tr>
      <w:tr>
        <w:trPr/>
        <w:tc>
          <w:tcPr>
            <w:tcW w:w="375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Long-term operating lease liabilities</w:t>
            </w:r>
          </w:p>
        </w:tc>
        <w:tc>
          <w:tcPr>
            <w:tcW w:w="60" w:type="dxa"/>
            <w:tcBorders/>
            <w:shd w:fill="CCEEFF" w:val="clear"/>
            <w:vAlign w:val="center"/>
          </w:tcPr>
          <w:p>
            <w:pPr>
              <w:pStyle w:val="TableContents"/>
              <w:spacing w:before="0" w:after="283"/>
              <w:rPr/>
            </w:pPr>
            <w:r>
              <w:rPr/>
              <w:t> </w:t>
            </w:r>
          </w:p>
        </w:tc>
        <w:tc>
          <w:tcPr>
            <w:tcW w:w="28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3,541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4,694</w:t>
            </w:r>
          </w:p>
        </w:tc>
        <w:tc>
          <w:tcPr>
            <w:tcW w:w="75" w:type="dxa"/>
            <w:tcBorders/>
            <w:shd w:fill="CCEEFF" w:val="clear"/>
            <w:vAlign w:val="center"/>
          </w:tcPr>
          <w:p>
            <w:pPr>
              <w:pStyle w:val="TableContents"/>
              <w:spacing w:before="0" w:after="283"/>
              <w:jc w:val="left"/>
              <w:rPr/>
            </w:pPr>
            <w:r>
              <w:rPr/>
              <w:t> </w:t>
            </w:r>
            <w:bookmarkStart w:id="460" w:name="xdx_409_eus-gaap--OperatingLeaseLiabilit"/>
            <w:bookmarkEnd w:id="460"/>
          </w:p>
        </w:tc>
      </w:tr>
      <w:tr>
        <w:trPr/>
        <w:tc>
          <w:tcPr>
            <w:tcW w:w="375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FFFFFF" w:val="clear"/>
            <w:vAlign w:val="center"/>
          </w:tcPr>
          <w:p>
            <w:pPr>
              <w:pStyle w:val="TableContents"/>
              <w:spacing w:before="0" w:after="283"/>
              <w:rPr/>
            </w:pPr>
            <w:r>
              <w:rPr/>
              <w:t> </w:t>
            </w:r>
          </w:p>
        </w:tc>
        <w:tc>
          <w:tcPr>
            <w:tcW w:w="28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4,729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5,776</w:t>
            </w:r>
          </w:p>
        </w:tc>
        <w:tc>
          <w:tcPr>
            <w:tcW w:w="75" w:type="dxa"/>
            <w:tcBorders/>
            <w:shd w:fill="FFFFFF" w:val="clear"/>
            <w:vAlign w:val="center"/>
          </w:tcPr>
          <w:p>
            <w:pPr>
              <w:pStyle w:val="TableContents"/>
              <w:spacing w:before="0" w:after="283"/>
              <w:jc w:val="left"/>
              <w:rPr/>
            </w:pPr>
            <w:r>
              <w:rPr/>
              <w:t> </w:t>
            </w:r>
          </w:p>
        </w:tc>
      </w:tr>
      <w:tr>
        <w:trPr/>
        <w:tc>
          <w:tcPr>
            <w:tcW w:w="375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Weighted average remaining lease term</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p>
        </w:tc>
        <w:tc>
          <w:tcPr>
            <w:tcW w:w="1132" w:type="dxa"/>
            <w:tcBorders/>
            <w:shd w:fill="CCEEFF" w:val="clear"/>
            <w:vAlign w:val="center"/>
          </w:tcPr>
          <w:p>
            <w:pPr>
              <w:pStyle w:val="TableContents"/>
              <w:spacing w:before="0" w:after="283"/>
              <w:jc w:val="right"/>
              <w:rPr>
                <w:rFonts w:ascii="Times New Roman;Times;Serif" w:hAnsi="Times New Roman;Times;Serif"/>
                <w:sz w:val="20"/>
              </w:rPr>
            </w:pPr>
            <w:bookmarkStart w:id="461" w:name="xdx_904_eus-gaap--OperatingLeaseWeighted"/>
            <w:bookmarkEnd w:id="461"/>
            <w:r>
              <w:rPr>
                <w:rFonts w:ascii="Times New Roman;Times;Serif" w:hAnsi="Times New Roman;Times;Serif"/>
                <w:sz w:val="20"/>
              </w:rPr>
              <w:t>3.6 years</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p>
        </w:tc>
        <w:tc>
          <w:tcPr>
            <w:tcW w:w="1132" w:type="dxa"/>
            <w:tcBorders/>
            <w:shd w:fill="CCEEFF" w:val="clear"/>
            <w:vAlign w:val="center"/>
          </w:tcPr>
          <w:p>
            <w:pPr>
              <w:pStyle w:val="TableContents"/>
              <w:spacing w:before="0" w:after="283"/>
              <w:jc w:val="right"/>
              <w:rPr>
                <w:rFonts w:ascii="Times New Roman;Times;Serif" w:hAnsi="Times New Roman;Times;Serif"/>
                <w:sz w:val="20"/>
              </w:rPr>
            </w:pPr>
            <w:bookmarkStart w:id="462" w:name="xdx_901_eus-gaap--OperatingLeaseWeighted"/>
            <w:bookmarkEnd w:id="462"/>
            <w:r>
              <w:rPr>
                <w:rFonts w:ascii="Times New Roman;Times;Serif" w:hAnsi="Times New Roman;Times;Serif"/>
                <w:sz w:val="20"/>
              </w:rPr>
              <w:t>4.6 years</w:t>
            </w:r>
          </w:p>
        </w:tc>
        <w:tc>
          <w:tcPr>
            <w:tcW w:w="75" w:type="dxa"/>
            <w:tcBorders/>
            <w:shd w:fill="CCEEFF" w:val="clear"/>
            <w:vAlign w:val="center"/>
          </w:tcPr>
          <w:p>
            <w:pPr>
              <w:pStyle w:val="TableContents"/>
              <w:spacing w:before="0" w:after="283"/>
              <w:jc w:val="left"/>
              <w:rPr/>
            </w:pPr>
            <w:r>
              <w:rPr/>
              <w:t> </w:t>
            </w:r>
          </w:p>
        </w:tc>
      </w:tr>
      <w:tr>
        <w:trPr/>
        <w:tc>
          <w:tcPr>
            <w:tcW w:w="375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Weighted average discount rate</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p>
        </w:tc>
        <w:tc>
          <w:tcPr>
            <w:tcW w:w="1132" w:type="dxa"/>
            <w:tcBorders/>
            <w:shd w:fill="FFFFFF" w:val="clear"/>
            <w:vAlign w:val="center"/>
          </w:tcPr>
          <w:p>
            <w:pPr>
              <w:pStyle w:val="TableContents"/>
              <w:spacing w:before="0" w:after="283"/>
              <w:jc w:val="right"/>
              <w:rPr>
                <w:rFonts w:ascii="Times New Roman;Times;Serif" w:hAnsi="Times New Roman;Times;Serif"/>
              </w:rPr>
            </w:pPr>
            <w:bookmarkStart w:id="463" w:name="xdx_906_eus-gaap--OperatingLeaseWeighted"/>
            <w:bookmarkEnd w:id="463"/>
            <w:r>
              <w:rPr>
                <w:rFonts w:ascii="Times New Roman;Times;Serif" w:hAnsi="Times New Roman;Times;Serif"/>
              </w:rPr>
              <w:t>5.2%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p>
        </w:tc>
        <w:tc>
          <w:tcPr>
            <w:tcW w:w="1132" w:type="dxa"/>
            <w:tcBorders/>
            <w:shd w:fill="FFFFFF" w:val="clear"/>
            <w:vAlign w:val="center"/>
          </w:tcPr>
          <w:p>
            <w:pPr>
              <w:pStyle w:val="TableContents"/>
              <w:spacing w:before="0" w:after="283"/>
              <w:jc w:val="right"/>
              <w:rPr>
                <w:rFonts w:ascii="Times New Roman;Times;Serif" w:hAnsi="Times New Roman;Times;Serif"/>
              </w:rPr>
            </w:pPr>
            <w:bookmarkStart w:id="464" w:name="xdx_90B_eus-gaap--OperatingLeaseWeighted"/>
            <w:bookmarkEnd w:id="464"/>
            <w:r>
              <w:rPr>
                <w:rFonts w:ascii="Times New Roman;Times;Serif" w:hAnsi="Times New Roman;Times;Serif"/>
              </w:rPr>
              <w:t>5.2%</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bookmarkStart w:id="465" w:name="xdx_8A8_zNSXWvEAQ0P3"/>
      <w:bookmarkEnd w:id="465"/>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66" w:name="xdx_895_eus-gaap--LesseeOperatingLeaseLi"/>
      <w:bookmarkEnd w:id="466"/>
      <w:r>
        <w:rPr>
          <w:rFonts w:ascii="Times New Roman;Times;Serif" w:hAnsi="Times New Roman;Times;Serif"/>
          <w:b w:val="false"/>
          <w:i w:val="false"/>
          <w:caps w:val="false"/>
          <w:smallCaps w:val="false"/>
          <w:sz w:val="20"/>
        </w:rPr>
        <w:t>At December 31, 2022, the future minimum lease payments under these operating leases are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bookmarkStart w:id="467" w:name="xdx_8B5_zmBMjcGzjLm"/>
      <w:bookmarkEnd w:id="467"/>
      <w:r>
        <w:rPr>
          <w:rFonts w:ascii="Times New Roman;Times;Serif" w:hAnsi="Times New Roman;Times;Serif"/>
          <w:b w:val="false"/>
          <w:i w:val="false"/>
          <w:caps w:val="false"/>
          <w:smallCaps w:val="false"/>
          <w:sz w:val="20"/>
        </w:rPr>
        <w:t>SCHEDULE OF THE FUTURE MINIMUM LEASE PAYMENTS UNDER THE OPERATING LEASES</w:t>
      </w:r>
    </w:p>
    <w:tbl>
      <w:tblPr>
        <w:tblW w:w="3735" w:type="dxa"/>
        <w:jc w:val="left"/>
        <w:tblInd w:w="0" w:type="dxa"/>
        <w:tblCellMar>
          <w:top w:w="0" w:type="dxa"/>
          <w:left w:w="0" w:type="dxa"/>
          <w:bottom w:w="0" w:type="dxa"/>
          <w:right w:w="0" w:type="dxa"/>
        </w:tblCellMar>
      </w:tblPr>
      <w:tblGrid>
        <w:gridCol w:w="2900"/>
        <w:gridCol w:w="60"/>
        <w:gridCol w:w="140"/>
        <w:gridCol w:w="560"/>
        <w:gridCol w:w="75"/>
      </w:tblGrid>
      <w:tr>
        <w:trPr/>
        <w:tc>
          <w:tcPr>
            <w:tcW w:w="290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468" w:name="xdx_494_20221231_zjGTD0kYfeqb"/>
            <w:bookmarkEnd w:id="468"/>
          </w:p>
        </w:tc>
        <w:tc>
          <w:tcPr>
            <w:tcW w:w="56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bookmarkStart w:id="469" w:name="xdx_406_eus-gaap--LesseeOperatingLeaseLi"/>
            <w:bookmarkEnd w:id="469"/>
          </w:p>
        </w:tc>
      </w:tr>
      <w:tr>
        <w:trPr/>
        <w:tc>
          <w:tcPr>
            <w:tcW w:w="29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2023</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1,399</w:t>
            </w:r>
          </w:p>
        </w:tc>
        <w:tc>
          <w:tcPr>
            <w:tcW w:w="75" w:type="dxa"/>
            <w:tcBorders/>
            <w:shd w:fill="CCEEFF" w:val="clear"/>
            <w:vAlign w:val="center"/>
          </w:tcPr>
          <w:p>
            <w:pPr>
              <w:pStyle w:val="TableContents"/>
              <w:spacing w:before="0" w:after="283"/>
              <w:jc w:val="left"/>
              <w:rPr/>
            </w:pPr>
            <w:r>
              <w:rPr/>
              <w:t> </w:t>
            </w:r>
            <w:bookmarkStart w:id="470" w:name="xdx_402_eus-gaap--LesseeOperatingLeaseLi"/>
            <w:bookmarkEnd w:id="470"/>
          </w:p>
        </w:tc>
      </w:tr>
      <w:tr>
        <w:trPr/>
        <w:tc>
          <w:tcPr>
            <w:tcW w:w="290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2024</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1,435</w:t>
            </w:r>
          </w:p>
        </w:tc>
        <w:tc>
          <w:tcPr>
            <w:tcW w:w="75" w:type="dxa"/>
            <w:tcBorders/>
            <w:shd w:fill="FFFFFF" w:val="clear"/>
            <w:vAlign w:val="center"/>
          </w:tcPr>
          <w:p>
            <w:pPr>
              <w:pStyle w:val="TableContents"/>
              <w:spacing w:before="0" w:after="283"/>
              <w:jc w:val="left"/>
              <w:rPr/>
            </w:pPr>
            <w:r>
              <w:rPr/>
              <w:t> </w:t>
            </w:r>
            <w:bookmarkStart w:id="471" w:name="xdx_403_eus-gaap--LesseeOperatingLeaseLi"/>
            <w:bookmarkEnd w:id="471"/>
          </w:p>
        </w:tc>
      </w:tr>
      <w:tr>
        <w:trPr/>
        <w:tc>
          <w:tcPr>
            <w:tcW w:w="29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1,440</w:t>
            </w:r>
          </w:p>
        </w:tc>
        <w:tc>
          <w:tcPr>
            <w:tcW w:w="75" w:type="dxa"/>
            <w:tcBorders/>
            <w:shd w:fill="CCEEFF" w:val="clear"/>
            <w:vAlign w:val="center"/>
          </w:tcPr>
          <w:p>
            <w:pPr>
              <w:pStyle w:val="TableContents"/>
              <w:spacing w:before="0" w:after="283"/>
              <w:jc w:val="left"/>
              <w:rPr/>
            </w:pPr>
            <w:r>
              <w:rPr/>
              <w:t> </w:t>
            </w:r>
            <w:bookmarkStart w:id="472" w:name="xdx_402_eus-gaap--LesseeOperatingLeaseLi"/>
            <w:bookmarkEnd w:id="472"/>
          </w:p>
        </w:tc>
      </w:tr>
      <w:tr>
        <w:trPr/>
        <w:tc>
          <w:tcPr>
            <w:tcW w:w="290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893</w:t>
            </w:r>
          </w:p>
        </w:tc>
        <w:tc>
          <w:tcPr>
            <w:tcW w:w="75" w:type="dxa"/>
            <w:tcBorders/>
            <w:shd w:fill="FFFFFF" w:val="clear"/>
            <w:vAlign w:val="center"/>
          </w:tcPr>
          <w:p>
            <w:pPr>
              <w:pStyle w:val="TableContents"/>
              <w:spacing w:before="0" w:after="283"/>
              <w:jc w:val="left"/>
              <w:rPr/>
            </w:pPr>
            <w:r>
              <w:rPr/>
              <w:t> </w:t>
            </w:r>
            <w:bookmarkStart w:id="473" w:name="xdx_408_eus-gaap--LesseeOperatingLeaseLi"/>
            <w:bookmarkEnd w:id="473"/>
          </w:p>
        </w:tc>
      </w:tr>
      <w:tr>
        <w:trPr/>
        <w:tc>
          <w:tcPr>
            <w:tcW w:w="29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lease payments</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5,167</w:t>
            </w:r>
          </w:p>
        </w:tc>
        <w:tc>
          <w:tcPr>
            <w:tcW w:w="75" w:type="dxa"/>
            <w:tcBorders/>
            <w:shd w:fill="CCEEFF" w:val="clear"/>
            <w:vAlign w:val="center"/>
          </w:tcPr>
          <w:p>
            <w:pPr>
              <w:pStyle w:val="TableContents"/>
              <w:spacing w:before="0" w:after="283"/>
              <w:jc w:val="left"/>
              <w:rPr/>
            </w:pPr>
            <w:r>
              <w:rPr/>
              <w:t> </w:t>
            </w:r>
            <w:bookmarkStart w:id="474" w:name="xdx_40E_eus-gaap--LesseeOperatingLeaseLi"/>
            <w:bookmarkEnd w:id="474"/>
          </w:p>
        </w:tc>
      </w:tr>
      <w:tr>
        <w:trPr/>
        <w:tc>
          <w:tcPr>
            <w:tcW w:w="290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438</w:t>
            </w:r>
          </w:p>
        </w:tc>
        <w:tc>
          <w:tcPr>
            <w:tcW w:w="75" w:type="dxa"/>
            <w:tcBorders/>
            <w:shd w:fill="FFFFFF" w:val="clear"/>
            <w:vAlign w:val="center"/>
          </w:tcPr>
          <w:p>
            <w:pPr>
              <w:pStyle w:val="TableContents"/>
              <w:spacing w:before="0" w:after="283"/>
              <w:jc w:val="left"/>
              <w:rPr/>
            </w:pPr>
            <w:r>
              <w:rPr/>
              <w:t> </w:t>
            </w:r>
            <w:bookmarkStart w:id="475" w:name="xdx_40A_eus-gaap--OperatingLeaseLiabilit"/>
            <w:bookmarkEnd w:id="475"/>
          </w:p>
        </w:tc>
      </w:tr>
      <w:tr>
        <w:trPr/>
        <w:tc>
          <w:tcPr>
            <w:tcW w:w="29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4,729</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bookmarkStart w:id="476" w:name="xdx_8A8_zy29tuvbISpb"/>
      <w:bookmarkEnd w:id="476"/>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477" w:name="xdx_8BE_zrWP2c9gotha"/>
      <w:bookmarkStart w:id="478" w:name="xdx_899_eus-gaap--LeaseCostTableTextBloc"/>
      <w:bookmarkEnd w:id="477"/>
      <w:bookmarkEnd w:id="478"/>
      <w:r>
        <w:rPr>
          <w:rFonts w:ascii="Times New Roman;Times;Serif" w:hAnsi="Times New Roman;Times;Serif"/>
          <w:b w:val="false"/>
          <w:i w:val="false"/>
          <w:caps w:val="false"/>
          <w:smallCaps w:val="false"/>
          <w:sz w:val="20"/>
        </w:rPr>
        <w:t>SCHEDULE OF LEASE COST</w:t>
      </w:r>
    </w:p>
    <w:tbl>
      <w:tblPr>
        <w:tblW w:w="7654" w:type="dxa"/>
        <w:jc w:val="left"/>
        <w:tblInd w:w="0" w:type="dxa"/>
        <w:tblCellMar>
          <w:top w:w="0" w:type="dxa"/>
          <w:left w:w="0" w:type="dxa"/>
          <w:bottom w:w="0" w:type="dxa"/>
          <w:right w:w="0" w:type="dxa"/>
        </w:tblCellMar>
      </w:tblPr>
      <w:tblGrid>
        <w:gridCol w:w="1940"/>
        <w:gridCol w:w="60"/>
        <w:gridCol w:w="2570"/>
        <w:gridCol w:w="60"/>
        <w:gridCol w:w="283"/>
        <w:gridCol w:w="1132"/>
        <w:gridCol w:w="60"/>
        <w:gridCol w:w="60"/>
        <w:gridCol w:w="380"/>
        <w:gridCol w:w="1034"/>
        <w:gridCol w:w="75"/>
      </w:tblGrid>
      <w:tr>
        <w:trPr/>
        <w:tc>
          <w:tcPr>
            <w:tcW w:w="19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283"/>
              <w:jc w:val="center"/>
              <w:rPr>
                <w:b/>
              </w:rPr>
            </w:pPr>
            <w:r>
              <w:rPr>
                <w:b/>
              </w:rPr>
              <w:t>December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shd w:fill="auto" w:val="clear"/>
            <w:vAlign w:val="center"/>
          </w:tcPr>
          <w:p>
            <w:pPr>
              <w:pStyle w:val="TableContents"/>
              <w:spacing w:before="0" w:after="283"/>
              <w:jc w:val="center"/>
              <w:rPr>
                <w:b/>
              </w:rPr>
            </w:pPr>
            <w:r>
              <w:rPr>
                <w:b/>
              </w:rPr>
              <w:t>December 31,</w:t>
            </w:r>
          </w:p>
        </w:tc>
        <w:tc>
          <w:tcPr>
            <w:tcW w:w="75" w:type="dxa"/>
            <w:tcBorders/>
            <w:shd w:fill="auto" w:val="clear"/>
            <w:vAlign w:val="center"/>
          </w:tcPr>
          <w:p>
            <w:pPr>
              <w:pStyle w:val="TableContents"/>
              <w:spacing w:before="0" w:after="283"/>
              <w:rPr/>
            </w:pPr>
            <w:r>
              <w:rPr/>
              <w:t> </w:t>
            </w:r>
          </w:p>
        </w:tc>
      </w:tr>
      <w:tr>
        <w:trPr/>
        <w:tc>
          <w:tcPr>
            <w:tcW w:w="1940" w:type="dxa"/>
            <w:tcBorders>
              <w:bottom w:val="single" w:sz="12" w:space="0" w:color="000000"/>
            </w:tcBorders>
            <w:shd w:fill="auto" w:val="clear"/>
            <w:tcMar>
              <w:bottom w:w="28" w:type="dxa"/>
            </w:tcMar>
            <w:vAlign w:val="center"/>
          </w:tcPr>
          <w:p>
            <w:pPr>
              <w:pStyle w:val="TableContents"/>
              <w:spacing w:before="0" w:after="283"/>
              <w:jc w:val="left"/>
              <w:rPr>
                <w:b/>
              </w:rPr>
            </w:pPr>
            <w:r>
              <w:rPr>
                <w:b/>
              </w:rPr>
              <w:t>Lease cost</w:t>
            </w:r>
          </w:p>
        </w:tc>
        <w:tc>
          <w:tcPr>
            <w:tcW w:w="60" w:type="dxa"/>
            <w:tcBorders/>
            <w:shd w:fill="auto" w:val="clear"/>
            <w:vAlign w:val="center"/>
          </w:tcPr>
          <w:p>
            <w:pPr>
              <w:pStyle w:val="TableContents"/>
              <w:spacing w:before="0" w:after="283"/>
              <w:rPr/>
            </w:pPr>
            <w:r>
              <w:rPr/>
              <w:t> </w:t>
            </w:r>
          </w:p>
        </w:tc>
        <w:tc>
          <w:tcPr>
            <w:tcW w:w="2570" w:type="dxa"/>
            <w:tcBorders>
              <w:bottom w:val="single" w:sz="12" w:space="0" w:color="000000"/>
            </w:tcBorders>
            <w:shd w:fill="auto" w:val="clear"/>
            <w:tcMar>
              <w:bottom w:w="28" w:type="dxa"/>
            </w:tcMar>
            <w:vAlign w:val="center"/>
          </w:tcPr>
          <w:p>
            <w:pPr>
              <w:pStyle w:val="TableContents"/>
              <w:spacing w:before="0" w:after="283"/>
              <w:jc w:val="left"/>
              <w:rPr>
                <w:b/>
              </w:rPr>
            </w:pPr>
            <w:r>
              <w:rPr>
                <w:b/>
              </w:rPr>
              <w:t>Classification</w:t>
            </w:r>
          </w:p>
        </w:tc>
        <w:tc>
          <w:tcPr>
            <w:tcW w:w="60" w:type="dxa"/>
            <w:tcBorders/>
            <w:shd w:fill="auto" w:val="clear"/>
            <w:vAlign w:val="center"/>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1940" w:type="dxa"/>
            <w:tcBorders/>
            <w:shd w:fill="CCEEFF" w:val="clear"/>
            <w:vAlign w:val="center"/>
          </w:tcPr>
          <w:p>
            <w:pPr>
              <w:pStyle w:val="TableContents"/>
              <w:spacing w:before="0" w:after="283"/>
              <w:jc w:val="left"/>
              <w:rPr/>
            </w:pPr>
            <w:r>
              <w:rPr/>
              <w:t>Operating lease cost</w:t>
            </w:r>
          </w:p>
        </w:tc>
        <w:tc>
          <w:tcPr>
            <w:tcW w:w="60" w:type="dxa"/>
            <w:tcBorders/>
            <w:shd w:fill="CCEEFF" w:val="clear"/>
            <w:vAlign w:val="center"/>
          </w:tcPr>
          <w:p>
            <w:pPr>
              <w:pStyle w:val="TableContents"/>
              <w:spacing w:before="0" w:after="283"/>
              <w:rPr/>
            </w:pPr>
            <w:r>
              <w:rPr/>
              <w:t> </w:t>
            </w:r>
          </w:p>
        </w:tc>
        <w:tc>
          <w:tcPr>
            <w:tcW w:w="2570" w:type="dxa"/>
            <w:tcBorders/>
            <w:shd w:fill="CCEEFF" w:val="clear"/>
            <w:vAlign w:val="center"/>
          </w:tcPr>
          <w:p>
            <w:pPr>
              <w:pStyle w:val="TableContents"/>
              <w:spacing w:before="0" w:after="283"/>
              <w:jc w:val="left"/>
              <w:rPr/>
            </w:pPr>
            <w:r>
              <w:rPr/>
              <w:t>Cost of goods sold</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w:t>
            </w:r>
            <w:bookmarkStart w:id="479" w:name="xdx_98F_eus-gaap--OperatingLeaseCost_pn3"/>
            <w:bookmarkEnd w:id="479"/>
          </w:p>
        </w:tc>
        <w:tc>
          <w:tcPr>
            <w:tcW w:w="1132" w:type="dxa"/>
            <w:tcBorders/>
            <w:shd w:fill="CCEEFF" w:val="clear"/>
            <w:vAlign w:val="center"/>
          </w:tcPr>
          <w:p>
            <w:pPr>
              <w:pStyle w:val="TableContents"/>
              <w:spacing w:before="0" w:after="283"/>
              <w:jc w:val="right"/>
              <w:rPr/>
            </w:pPr>
            <w:r>
              <w:rPr/>
              <w:t>1,476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left"/>
              <w:rPr/>
            </w:pPr>
            <w:r>
              <w:rPr/>
              <w:t>$</w:t>
            </w:r>
            <w:bookmarkStart w:id="480" w:name="xdx_985_eus-gaap--OperatingLeaseCost_pn3"/>
            <w:bookmarkEnd w:id="480"/>
          </w:p>
        </w:tc>
        <w:tc>
          <w:tcPr>
            <w:tcW w:w="1034" w:type="dxa"/>
            <w:tcBorders/>
            <w:shd w:fill="CCEEFF" w:val="clear"/>
            <w:vAlign w:val="center"/>
          </w:tcPr>
          <w:p>
            <w:pPr>
              <w:pStyle w:val="TableContents"/>
              <w:spacing w:before="0" w:after="283"/>
              <w:jc w:val="right"/>
              <w:rPr/>
            </w:pPr>
            <w:r>
              <w:rPr/>
              <w:t>633</w:t>
            </w:r>
          </w:p>
        </w:tc>
        <w:tc>
          <w:tcPr>
            <w:tcW w:w="75" w:type="dxa"/>
            <w:tcBorders/>
            <w:shd w:fill="CCEEFF" w:val="clear"/>
            <w:vAlign w:val="center"/>
          </w:tcPr>
          <w:p>
            <w:pPr>
              <w:pStyle w:val="TableContents"/>
              <w:spacing w:before="0" w:after="283"/>
              <w:jc w:val="left"/>
              <w:rPr/>
            </w:pPr>
            <w:r>
              <w:rPr/>
              <w:t> </w:t>
            </w:r>
          </w:p>
        </w:tc>
      </w:tr>
      <w:tr>
        <w:trPr/>
        <w:tc>
          <w:tcPr>
            <w:tcW w:w="1940" w:type="dxa"/>
            <w:tcBorders/>
            <w:shd w:fill="FFFFFF" w:val="clear"/>
            <w:vAlign w:val="center"/>
          </w:tcPr>
          <w:p>
            <w:pPr>
              <w:pStyle w:val="TableContents"/>
              <w:spacing w:before="0" w:after="283"/>
              <w:jc w:val="left"/>
              <w:rPr/>
            </w:pPr>
            <w:r>
              <w:rPr/>
              <w:t>Operating lease cost</w:t>
            </w:r>
          </w:p>
        </w:tc>
        <w:tc>
          <w:tcPr>
            <w:tcW w:w="60" w:type="dxa"/>
            <w:tcBorders/>
            <w:shd w:fill="FFFFFF" w:val="clear"/>
            <w:vAlign w:val="center"/>
          </w:tcPr>
          <w:p>
            <w:pPr>
              <w:pStyle w:val="TableContents"/>
              <w:spacing w:before="0" w:after="283"/>
              <w:rPr/>
            </w:pPr>
            <w:r>
              <w:rPr/>
              <w:t> </w:t>
            </w:r>
          </w:p>
        </w:tc>
        <w:tc>
          <w:tcPr>
            <w:tcW w:w="2570" w:type="dxa"/>
            <w:tcBorders/>
            <w:shd w:fill="FFFFFF" w:val="clear"/>
            <w:vAlign w:val="center"/>
          </w:tcPr>
          <w:p>
            <w:pPr>
              <w:pStyle w:val="TableContents"/>
              <w:spacing w:before="0" w:after="283"/>
              <w:jc w:val="left"/>
              <w:rPr/>
            </w:pPr>
            <w:r>
              <w:rPr/>
              <w:t>Research and development</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bookmarkStart w:id="481" w:name="xdx_984_eus-gaap--OperatingLeaseCost_pn3"/>
            <w:bookmarkEnd w:id="481"/>
          </w:p>
        </w:tc>
        <w:tc>
          <w:tcPr>
            <w:tcW w:w="1132" w:type="dxa"/>
            <w:tcBorders/>
            <w:shd w:fill="FFFFFF" w:val="clear"/>
            <w:vAlign w:val="center"/>
          </w:tcPr>
          <w:p>
            <w:pPr>
              <w:pStyle w:val="TableContents"/>
              <w:spacing w:before="0" w:after="283"/>
              <w:jc w:val="right"/>
              <w:rPr/>
            </w:pPr>
            <w:r>
              <w:rPr/>
              <w:t>95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80" w:type="dxa"/>
            <w:tcBorders/>
            <w:shd w:fill="FFFFFF" w:val="clear"/>
            <w:vAlign w:val="center"/>
          </w:tcPr>
          <w:p>
            <w:pPr>
              <w:pStyle w:val="TableContents"/>
              <w:spacing w:before="0" w:after="283"/>
              <w:jc w:val="left"/>
              <w:rPr/>
            </w:pPr>
            <w:r>
              <w:rPr/>
              <w:t> </w:t>
            </w:r>
            <w:bookmarkStart w:id="482" w:name="xdx_98E_eus-gaap--OperatingLeaseCost_pn3"/>
            <w:bookmarkEnd w:id="482"/>
          </w:p>
        </w:tc>
        <w:tc>
          <w:tcPr>
            <w:tcW w:w="1034" w:type="dxa"/>
            <w:tcBorders/>
            <w:shd w:fill="FFFFFF" w:val="clear"/>
            <w:vAlign w:val="center"/>
          </w:tcPr>
          <w:p>
            <w:pPr>
              <w:pStyle w:val="TableContents"/>
              <w:spacing w:before="0" w:after="283"/>
              <w:jc w:val="right"/>
              <w:rPr/>
            </w:pPr>
            <w:r>
              <w:rPr/>
              <w:t>103</w:t>
            </w:r>
          </w:p>
        </w:tc>
        <w:tc>
          <w:tcPr>
            <w:tcW w:w="75" w:type="dxa"/>
            <w:tcBorders/>
            <w:shd w:fill="FFFFFF" w:val="clear"/>
            <w:vAlign w:val="center"/>
          </w:tcPr>
          <w:p>
            <w:pPr>
              <w:pStyle w:val="TableContents"/>
              <w:spacing w:before="0" w:after="283"/>
              <w:jc w:val="left"/>
              <w:rPr/>
            </w:pPr>
            <w:r>
              <w:rPr/>
              <w:t> </w:t>
            </w:r>
          </w:p>
        </w:tc>
      </w:tr>
      <w:tr>
        <w:trPr/>
        <w:tc>
          <w:tcPr>
            <w:tcW w:w="1940" w:type="dxa"/>
            <w:tcBorders/>
            <w:shd w:fill="CCEEFF" w:val="clear"/>
            <w:vAlign w:val="center"/>
          </w:tcPr>
          <w:p>
            <w:pPr>
              <w:pStyle w:val="TableContents"/>
              <w:spacing w:before="0" w:after="283"/>
              <w:jc w:val="left"/>
              <w:rPr/>
            </w:pPr>
            <w:r>
              <w:rPr/>
              <w:t>Operating lease cost</w:t>
            </w:r>
          </w:p>
        </w:tc>
        <w:tc>
          <w:tcPr>
            <w:tcW w:w="60" w:type="dxa"/>
            <w:tcBorders/>
            <w:shd w:fill="CCEEFF" w:val="clear"/>
            <w:vAlign w:val="center"/>
          </w:tcPr>
          <w:p>
            <w:pPr>
              <w:pStyle w:val="TableContents"/>
              <w:spacing w:before="0" w:after="283"/>
              <w:rPr/>
            </w:pPr>
            <w:r>
              <w:rPr/>
              <w:t> </w:t>
            </w:r>
          </w:p>
        </w:tc>
        <w:tc>
          <w:tcPr>
            <w:tcW w:w="2570" w:type="dxa"/>
            <w:tcBorders/>
            <w:shd w:fill="CCEEFF" w:val="clear"/>
            <w:vAlign w:val="center"/>
          </w:tcPr>
          <w:p>
            <w:pPr>
              <w:pStyle w:val="TableContents"/>
              <w:spacing w:before="0" w:after="283"/>
              <w:jc w:val="left"/>
              <w:rPr/>
            </w:pPr>
            <w:r>
              <w:rPr/>
              <w:t>General and administration</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bookmarkStart w:id="483" w:name="xdx_987_eus-gaap--OperatingLeaseCost_pn3"/>
            <w:bookmarkEnd w:id="483"/>
          </w:p>
        </w:tc>
        <w:tc>
          <w:tcPr>
            <w:tcW w:w="1132" w:type="dxa"/>
            <w:tcBorders/>
            <w:shd w:fill="CCEEFF" w:val="clear"/>
            <w:vAlign w:val="center"/>
          </w:tcPr>
          <w:p>
            <w:pPr>
              <w:pStyle w:val="TableContents"/>
              <w:spacing w:before="0" w:after="283"/>
              <w:jc w:val="right"/>
              <w:rPr/>
            </w:pPr>
            <w:r>
              <w:rPr/>
              <w:t>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left"/>
              <w:rPr/>
            </w:pPr>
            <w:r>
              <w:rPr/>
              <w:t> </w:t>
            </w:r>
            <w:bookmarkStart w:id="484" w:name="xdx_98B_eus-gaap--OperatingLeaseCost_pn3"/>
            <w:bookmarkEnd w:id="484"/>
          </w:p>
        </w:tc>
        <w:tc>
          <w:tcPr>
            <w:tcW w:w="1034" w:type="dxa"/>
            <w:tcBorders/>
            <w:shd w:fill="CCEEFF" w:val="clear"/>
            <w:vAlign w:val="center"/>
          </w:tcPr>
          <w:p>
            <w:pPr>
              <w:pStyle w:val="TableContents"/>
              <w:spacing w:before="0" w:after="283"/>
              <w:jc w:val="right"/>
              <w:rPr/>
            </w:pPr>
            <w:r>
              <w:rPr/>
              <w:t>42</w:t>
            </w:r>
          </w:p>
        </w:tc>
        <w:tc>
          <w:tcPr>
            <w:tcW w:w="75" w:type="dxa"/>
            <w:tcBorders/>
            <w:shd w:fill="CCEEFF" w:val="clear"/>
            <w:vAlign w:val="center"/>
          </w:tcPr>
          <w:p>
            <w:pPr>
              <w:pStyle w:val="TableContents"/>
              <w:spacing w:before="0" w:after="283"/>
              <w:jc w:val="left"/>
              <w:rPr/>
            </w:pPr>
            <w:r>
              <w:rPr/>
              <w:t> </w:t>
            </w:r>
          </w:p>
        </w:tc>
      </w:tr>
      <w:tr>
        <w:trPr/>
        <w:tc>
          <w:tcPr>
            <w:tcW w:w="1940" w:type="dxa"/>
            <w:tcBorders/>
            <w:shd w:fill="FFFFFF" w:val="clear"/>
            <w:vAlign w:val="center"/>
          </w:tcPr>
          <w:p>
            <w:pPr>
              <w:pStyle w:val="TableContents"/>
              <w:spacing w:before="0" w:after="283"/>
              <w:jc w:val="left"/>
              <w:rPr/>
            </w:pPr>
            <w:r>
              <w:rPr/>
              <w:t>Operating lease cost</w:t>
            </w:r>
          </w:p>
        </w:tc>
        <w:tc>
          <w:tcPr>
            <w:tcW w:w="60" w:type="dxa"/>
            <w:tcBorders/>
            <w:shd w:fill="FFFFFF" w:val="clear"/>
            <w:vAlign w:val="center"/>
          </w:tcPr>
          <w:p>
            <w:pPr>
              <w:pStyle w:val="TableContents"/>
              <w:spacing w:before="0" w:after="283"/>
              <w:rPr/>
            </w:pPr>
            <w:r>
              <w:rPr/>
              <w:t> </w:t>
            </w:r>
          </w:p>
        </w:tc>
        <w:tc>
          <w:tcPr>
            <w:tcW w:w="2570" w:type="dxa"/>
            <w:tcBorders/>
            <w:shd w:fill="FFFFFF" w:val="clear"/>
            <w:vAlign w:val="center"/>
          </w:tcPr>
          <w:p>
            <w:pPr>
              <w:pStyle w:val="TableContents"/>
              <w:spacing w:before="0" w:after="283"/>
              <w:jc w:val="left"/>
              <w:rPr/>
            </w:pPr>
            <w:r>
              <w:rPr/>
              <w:t>Selling and marketing</w:t>
            </w:r>
          </w:p>
        </w:tc>
        <w:tc>
          <w:tcPr>
            <w:tcW w:w="60" w:type="dxa"/>
            <w:tcBorders/>
            <w:shd w:fill="FFFFFF" w:val="clear"/>
            <w:vAlign w:val="center"/>
          </w:tcPr>
          <w:p>
            <w:pPr>
              <w:pStyle w:val="TableContents"/>
              <w:spacing w:before="0" w:after="283"/>
              <w:rPr/>
            </w:pPr>
            <w:r>
              <w:rPr/>
              <w:t> </w:t>
            </w:r>
          </w:p>
        </w:tc>
        <w:tc>
          <w:tcPr>
            <w:tcW w:w="283"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485" w:name="xdx_98A_eus-gaap--OperatingLeaseCost_pn3"/>
            <w:bookmarkEnd w:id="485"/>
          </w:p>
        </w:tc>
        <w:tc>
          <w:tcPr>
            <w:tcW w:w="1132" w:type="dxa"/>
            <w:tcBorders>
              <w:bottom w:val="single" w:sz="12" w:space="0" w:color="000000"/>
            </w:tcBorders>
            <w:shd w:fill="FFFFFF" w:val="clear"/>
            <w:tcMar>
              <w:bottom w:w="28" w:type="dxa"/>
            </w:tcMar>
            <w:vAlign w:val="center"/>
          </w:tcPr>
          <w:p>
            <w:pPr>
              <w:pStyle w:val="TableContents"/>
              <w:spacing w:before="0" w:after="283"/>
              <w:jc w:val="right"/>
              <w:rPr/>
            </w:pPr>
            <w:r>
              <w:rPr/>
              <w:t>49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8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486" w:name="xdx_986_eus-gaap--OperatingLeaseCost_pn3"/>
            <w:bookmarkEnd w:id="486"/>
          </w:p>
        </w:tc>
        <w:tc>
          <w:tcPr>
            <w:tcW w:w="1034" w:type="dxa"/>
            <w:tcBorders>
              <w:bottom w:val="single" w:sz="12" w:space="0" w:color="000000"/>
            </w:tcBorders>
            <w:shd w:fill="FFFFFF" w:val="clear"/>
            <w:tcMar>
              <w:bottom w:w="28" w:type="dxa"/>
            </w:tcMar>
            <w:vAlign w:val="center"/>
          </w:tcPr>
          <w:p>
            <w:pPr>
              <w:pStyle w:val="TableContents"/>
              <w:spacing w:before="0" w:after="283"/>
              <w:jc w:val="right"/>
              <w:rPr/>
            </w:pPr>
            <w:r>
              <w:rPr/>
              <w:t>42</w:t>
            </w:r>
          </w:p>
        </w:tc>
        <w:tc>
          <w:tcPr>
            <w:tcW w:w="75" w:type="dxa"/>
            <w:tcBorders/>
            <w:shd w:fill="FFFFFF" w:val="clear"/>
            <w:vAlign w:val="center"/>
          </w:tcPr>
          <w:p>
            <w:pPr>
              <w:pStyle w:val="TableContents"/>
              <w:spacing w:before="0" w:after="283"/>
              <w:jc w:val="left"/>
              <w:rPr/>
            </w:pPr>
            <w:r>
              <w:rPr/>
              <w:t> </w:t>
            </w:r>
          </w:p>
        </w:tc>
      </w:tr>
      <w:tr>
        <w:trPr/>
        <w:tc>
          <w:tcPr>
            <w:tcW w:w="1940" w:type="dxa"/>
            <w:tcBorders/>
            <w:shd w:fill="CCEEFF" w:val="clear"/>
            <w:vAlign w:val="center"/>
          </w:tcPr>
          <w:p>
            <w:pPr>
              <w:pStyle w:val="TableContents"/>
              <w:spacing w:before="0" w:after="283"/>
              <w:jc w:val="left"/>
              <w:rPr/>
            </w:pPr>
            <w:r>
              <w:rPr/>
              <w:t>Total lease cost</w:t>
            </w:r>
          </w:p>
        </w:tc>
        <w:tc>
          <w:tcPr>
            <w:tcW w:w="60" w:type="dxa"/>
            <w:tcBorders/>
            <w:shd w:fill="CCEEFF" w:val="clear"/>
            <w:vAlign w:val="center"/>
          </w:tcPr>
          <w:p>
            <w:pPr>
              <w:pStyle w:val="TableContents"/>
              <w:spacing w:before="0" w:after="283"/>
              <w:rPr/>
            </w:pPr>
            <w:r>
              <w:rPr/>
              <w:t> </w:t>
            </w:r>
          </w:p>
        </w:tc>
        <w:tc>
          <w:tcPr>
            <w:tcW w:w="257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3" w:type="dxa"/>
            <w:tcBorders>
              <w:bottom w:val="double" w:sz="6" w:space="0" w:color="000000"/>
            </w:tcBorders>
            <w:shd w:fill="CCEEFF" w:val="clear"/>
            <w:tcMar>
              <w:bottom w:w="28" w:type="dxa"/>
            </w:tcMar>
            <w:vAlign w:val="center"/>
          </w:tcPr>
          <w:p>
            <w:pPr>
              <w:pStyle w:val="TableContents"/>
              <w:spacing w:before="0" w:after="283"/>
              <w:jc w:val="left"/>
              <w:rPr/>
            </w:pPr>
            <w:r>
              <w:rPr/>
              <w:t>$</w:t>
            </w:r>
            <w:bookmarkStart w:id="487" w:name="xdx_987_eus-gaap--OperatingLeaseCost_pn3"/>
            <w:bookmarkEnd w:id="487"/>
          </w:p>
        </w:tc>
        <w:tc>
          <w:tcPr>
            <w:tcW w:w="1132" w:type="dxa"/>
            <w:tcBorders>
              <w:bottom w:val="double" w:sz="6" w:space="0" w:color="000000"/>
            </w:tcBorders>
            <w:shd w:fill="CCEEFF" w:val="clear"/>
            <w:tcMar>
              <w:bottom w:w="28" w:type="dxa"/>
            </w:tcMar>
            <w:vAlign w:val="center"/>
          </w:tcPr>
          <w:p>
            <w:pPr>
              <w:pStyle w:val="TableContents"/>
              <w:spacing w:before="0" w:after="283"/>
              <w:jc w:val="right"/>
              <w:rPr/>
            </w:pPr>
            <w:r>
              <w:rPr/>
              <w:t>1,670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0" w:type="dxa"/>
            <w:tcBorders>
              <w:bottom w:val="double" w:sz="6" w:space="0" w:color="000000"/>
            </w:tcBorders>
            <w:shd w:fill="CCEEFF" w:val="clear"/>
            <w:tcMar>
              <w:bottom w:w="28" w:type="dxa"/>
            </w:tcMar>
            <w:vAlign w:val="center"/>
          </w:tcPr>
          <w:p>
            <w:pPr>
              <w:pStyle w:val="TableContents"/>
              <w:spacing w:before="0" w:after="283"/>
              <w:jc w:val="left"/>
              <w:rPr/>
            </w:pPr>
            <w:r>
              <w:rPr/>
              <w:t>$</w:t>
            </w:r>
            <w:bookmarkStart w:id="488" w:name="xdx_98C_eus-gaap--OperatingLeaseCost_pn3"/>
            <w:bookmarkEnd w:id="488"/>
          </w:p>
        </w:tc>
        <w:tc>
          <w:tcPr>
            <w:tcW w:w="1034" w:type="dxa"/>
            <w:tcBorders>
              <w:bottom w:val="double" w:sz="6" w:space="0" w:color="000000"/>
            </w:tcBorders>
            <w:shd w:fill="CCEEFF" w:val="clear"/>
            <w:tcMar>
              <w:bottom w:w="28" w:type="dxa"/>
            </w:tcMar>
            <w:vAlign w:val="center"/>
          </w:tcPr>
          <w:p>
            <w:pPr>
              <w:pStyle w:val="TableContents"/>
              <w:spacing w:before="0" w:after="283"/>
              <w:jc w:val="right"/>
              <w:rPr/>
            </w:pPr>
            <w:r>
              <w:rPr/>
              <w:t>820</w:t>
            </w:r>
          </w:p>
        </w:tc>
        <w:tc>
          <w:tcPr>
            <w:tcW w:w="75" w:type="dxa"/>
            <w:tcBorders/>
            <w:shd w:fill="CCEEFF" w:val="clear"/>
            <w:vAlign w:val="center"/>
          </w:tcPr>
          <w:p>
            <w:pPr>
              <w:pStyle w:val="TableContents"/>
              <w:spacing w:before="0" w:after="283"/>
              <w:jc w:val="left"/>
              <w:rPr/>
            </w:pPr>
            <w:r>
              <w:rPr/>
              <w:t> </w:t>
            </w:r>
          </w:p>
        </w:tc>
      </w:tr>
    </w:tbl>
    <w:p>
      <w:pPr>
        <w:pStyle w:val="TextBody"/>
        <w:rPr>
          <w:caps w:val="false"/>
          <w:smallCaps w:val="false"/>
        </w:rPr>
      </w:pPr>
      <w:bookmarkStart w:id="489" w:name="xdx_8A7_zpUKse69i2Xf"/>
      <w:bookmarkEnd w:id="489"/>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 costs included in the schedule above are fixed.</w:t>
      </w:r>
    </w:p>
    <w:p>
      <w:pPr>
        <w:pStyle w:val="TextBody"/>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F-17</w:t>
            </w:r>
          </w:p>
        </w:tc>
      </w:tr>
    </w:tbl>
    <w:p>
      <w:pPr>
        <w:pStyle w:val="TextBody"/>
        <w:spacing w:before="120" w:after="283"/>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10 for further discussion regarding contingent consideration arising from the April 2022 Asset Purchase agreement with Thomason Jones Company, LLC.</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 for further discussion regarding the earnout related to the reverse capitalization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490" w:name="xdx_80D_eus-gaap--DebtDisclosureTextBloc"/>
      <w:bookmarkEnd w:id="490"/>
      <w:r>
        <w:rPr>
          <w:rFonts w:ascii="Times New Roman;Times;Serif" w:hAnsi="Times New Roman;Times;Serif"/>
          <w:b/>
          <w:i w:val="false"/>
          <w:caps w:val="false"/>
          <w:smallCaps w:val="false"/>
          <w:sz w:val="20"/>
        </w:rPr>
        <w:t>NOTE 7 — </w:t>
      </w:r>
      <w:bookmarkStart w:id="491" w:name="xdx_821_z1V0sFGgU9x3"/>
      <w:bookmarkEnd w:id="491"/>
      <w:r>
        <w:rPr>
          <w:rFonts w:ascii="Times New Roman;Times;Serif" w:hAnsi="Times New Roman;Times;Serif"/>
          <w:b/>
          <w:i w:val="false"/>
          <w:caps w:val="false"/>
          <w:smallCaps w:val="false"/>
          <w:sz w:val="20"/>
        </w:rPr>
        <w:t>LONG-TERM DEBT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Financing — Trust Indenture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the Company entered into agreements to issue $</w:t>
      </w:r>
      <w:bookmarkStart w:id="492" w:name="xdx_900_eus-gaap--DebtInstrumentFaceAmou"/>
      <w:bookmarkEnd w:id="492"/>
      <w:r>
        <w:rPr>
          <w:rFonts w:ascii="Times New Roman;Times;Serif" w:hAnsi="Times New Roman;Times;Serif"/>
          <w:b w:val="false"/>
          <w:i w:val="false"/>
          <w:caps w:val="false"/>
          <w:smallCaps w:val="false"/>
          <w:sz w:val="20"/>
        </w:rPr>
        <w:t>45,000 in fixed rate senior notes (the “</w:t>
      </w:r>
      <w:r>
        <w:rPr>
          <w:rFonts w:ascii="Times New Roman;Times;Serif" w:hAnsi="Times New Roman;Times;Serif"/>
          <w:b/>
          <w:i w:val="false"/>
          <w:caps w:val="false"/>
          <w:smallCaps w:val="false"/>
          <w:sz w:val="20"/>
        </w:rPr>
        <w:t>Series 2021-6 Notes</w:t>
      </w:r>
      <w:r>
        <w:rPr>
          <w:rFonts w:ascii="Times New Roman;Times;Serif" w:hAnsi="Times New Roman;Times;Serif"/>
          <w:b w:val="false"/>
          <w:i w:val="false"/>
          <w:caps w:val="false"/>
          <w:smallCaps w:val="false"/>
          <w:sz w:val="20"/>
        </w:rPr>
        <w:t>”) pursuant to a Trust Indenture held by UMB Bank, as trustee and disbursing agent, and NewLight Capital, LLC as servicer (the “</w:t>
      </w:r>
      <w:r>
        <w:rPr>
          <w:rFonts w:ascii="Times New Roman;Times;Serif" w:hAnsi="Times New Roman;Times;Serif"/>
          <w:b/>
          <w:i w:val="false"/>
          <w:caps w:val="false"/>
          <w:smallCaps w:val="false"/>
          <w:sz w:val="20"/>
        </w:rPr>
        <w:t>Servicer</w:t>
      </w:r>
      <w:r>
        <w:rPr>
          <w:rFonts w:ascii="Times New Roman;Times;Serif" w:hAnsi="Times New Roman;Times;Serif"/>
          <w:b w:val="false"/>
          <w:i w:val="false"/>
          <w:caps w:val="false"/>
          <w:smallCaps w:val="false"/>
          <w:sz w:val="20"/>
        </w:rPr>
        <w:t>”). The trust and debt documents also required the entry into a Lender Collateral Residual Value Insurance Policy (the “</w:t>
      </w:r>
      <w:r>
        <w:rPr>
          <w:rFonts w:ascii="Times New Roman;Times;Serif" w:hAnsi="Times New Roman;Times;Serif"/>
          <w:b/>
          <w:i w:val="false"/>
          <w:caps w:val="false"/>
          <w:smallCaps w:val="false"/>
          <w:sz w:val="20"/>
        </w:rPr>
        <w:t>Insurance Policy</w:t>
      </w:r>
      <w:r>
        <w:rPr>
          <w:rFonts w:ascii="Times New Roman;Times;Serif" w:hAnsi="Times New Roman;Times;Serif"/>
          <w:b w:val="false"/>
          <w:i w:val="false"/>
          <w:caps w:val="false"/>
          <w:smallCaps w:val="false"/>
          <w:sz w:val="20"/>
        </w:rPr>
        <w:t>”), with UMB Bank as named insured for $</w:t>
      </w:r>
      <w:bookmarkStart w:id="493" w:name="xdx_90E_ecustom--DebtInstrumentInsuredAm"/>
      <w:bookmarkEnd w:id="493"/>
      <w:r>
        <w:rPr>
          <w:rFonts w:ascii="Times New Roman;Times;Serif" w:hAnsi="Times New Roman;Times;Serif"/>
          <w:b w:val="false"/>
          <w:i w:val="false"/>
          <w:caps w:val="false"/>
          <w:smallCaps w:val="false"/>
          <w:sz w:val="20"/>
        </w:rPr>
        <w:t>45,000, and engagement of a placement agent, Tribe Capital Markets, LLC.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date of the financing the Company received a wire for $</w:t>
      </w:r>
      <w:bookmarkStart w:id="494" w:name="xdx_90E_ecustom--NetProceedsFromIssuance"/>
      <w:bookmarkEnd w:id="494"/>
      <w:r>
        <w:rPr>
          <w:rFonts w:ascii="Times New Roman;Times;Serif" w:hAnsi="Times New Roman;Times;Serif"/>
          <w:b w:val="false"/>
          <w:i w:val="false"/>
          <w:caps w:val="false"/>
          <w:smallCaps w:val="false"/>
          <w:sz w:val="20"/>
        </w:rPr>
        <w:t>35,474, which is comprised of the gross proceeds of $</w:t>
      </w:r>
      <w:bookmarkStart w:id="495" w:name="xdx_905_eus-gaap--ProceedsFromNotesPayab"/>
      <w:bookmarkEnd w:id="495"/>
      <w:r>
        <w:rPr>
          <w:rFonts w:ascii="Times New Roman;Times;Serif" w:hAnsi="Times New Roman;Times;Serif"/>
          <w:b w:val="false"/>
          <w:i w:val="false"/>
          <w:caps w:val="false"/>
          <w:smallCaps w:val="false"/>
          <w:sz w:val="20"/>
        </w:rPr>
        <w:t>45,000 less $</w:t>
      </w:r>
      <w:bookmarkStart w:id="496" w:name="xdx_905_ecustom--DepositsToCertainReserv"/>
      <w:bookmarkEnd w:id="496"/>
      <w:r>
        <w:rPr>
          <w:rFonts w:ascii="Times New Roman;Times;Serif" w:hAnsi="Times New Roman;Times;Serif"/>
          <w:b w:val="false"/>
          <w:i w:val="false"/>
          <w:caps w:val="false"/>
          <w:smallCaps w:val="false"/>
          <w:sz w:val="20"/>
        </w:rPr>
        <w:t xml:space="preserve">3,188 in deposits to certain reserve accounts (see subsection labeled </w:t>
      </w:r>
      <w:r>
        <w:rPr>
          <w:rFonts w:ascii="Times New Roman;Times;Serif" w:hAnsi="Times New Roman;Times;Serif"/>
          <w:b w:val="false"/>
          <w:i/>
          <w:caps w:val="false"/>
          <w:smallCaps w:val="false"/>
          <w:sz w:val="20"/>
        </w:rPr>
        <w:t xml:space="preserve">Reserve Accounts </w:t>
      </w:r>
      <w:r>
        <w:rPr>
          <w:rFonts w:ascii="Times New Roman;Times;Serif" w:hAnsi="Times New Roman;Times;Serif"/>
          <w:b w:val="false"/>
          <w:i w:val="false"/>
          <w:caps w:val="false"/>
          <w:smallCaps w:val="false"/>
          <w:sz w:val="20"/>
        </w:rPr>
        <w:t>below), and $</w:t>
      </w:r>
      <w:bookmarkStart w:id="497" w:name="xdx_90D_ecustom--ExpensesWithdrawnFromGr"/>
      <w:bookmarkEnd w:id="497"/>
      <w:r>
        <w:rPr>
          <w:rFonts w:ascii="Times New Roman;Times;Serif" w:hAnsi="Times New Roman;Times;Serif"/>
          <w:b w:val="false"/>
          <w:i w:val="false"/>
          <w:caps w:val="false"/>
          <w:smallCaps w:val="false"/>
          <w:sz w:val="20"/>
        </w:rPr>
        <w:t>6,338 in expenses withdrawn from the gross proceeds, which included $</w:t>
      </w:r>
      <w:bookmarkStart w:id="498" w:name="xdx_90E_ecustom--PrepaidPolicyPremiumsAn"/>
      <w:bookmarkEnd w:id="498"/>
      <w:r>
        <w:rPr>
          <w:rFonts w:ascii="Times New Roman;Times;Serif" w:hAnsi="Times New Roman;Times;Serif"/>
          <w:b w:val="false"/>
          <w:i w:val="false"/>
          <w:caps w:val="false"/>
          <w:smallCaps w:val="false"/>
          <w:sz w:val="20"/>
        </w:rPr>
        <w:t xml:space="preserve">4,725 in prepaid policy premiums and related costs underlying the Insurance Policy (see subsection labelled </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below), a prepaid loan monitoring fee of $</w:t>
      </w:r>
      <w:bookmarkStart w:id="499" w:name="xdx_904_ecustom--PrepaidLoanMonitoringFe"/>
      <w:bookmarkEnd w:id="499"/>
      <w:r>
        <w:rPr>
          <w:rFonts w:ascii="Times New Roman;Times;Serif" w:hAnsi="Times New Roman;Times;Serif"/>
          <w:b w:val="false"/>
          <w:i w:val="false"/>
          <w:caps w:val="false"/>
          <w:smallCaps w:val="false"/>
          <w:sz w:val="20"/>
        </w:rPr>
        <w:t>60 and $</w:t>
      </w:r>
      <w:bookmarkStart w:id="500" w:name="xdx_908_ecustom--OtherDebtIssuanceCosts_"/>
      <w:bookmarkEnd w:id="500"/>
      <w:r>
        <w:rPr>
          <w:rFonts w:ascii="Times New Roman;Times;Serif" w:hAnsi="Times New Roman;Times;Serif"/>
          <w:b w:val="false"/>
          <w:i w:val="false"/>
          <w:caps w:val="false"/>
          <w:smallCaps w:val="false"/>
          <w:sz w:val="20"/>
        </w:rPr>
        <w:t>1,553 in debt issuance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for the Series 2021-6 Notes underlying the Trust Indenture is $</w:t>
      </w:r>
      <w:bookmarkStart w:id="501" w:name="xdx_90B_eus-gaap--DebtInstrumentFaceAmou"/>
      <w:bookmarkEnd w:id="501"/>
      <w:r>
        <w:rPr>
          <w:rFonts w:ascii="Times New Roman;Times;Serif" w:hAnsi="Times New Roman;Times;Serif"/>
          <w:b w:val="false"/>
          <w:i w:val="false"/>
          <w:caps w:val="false"/>
          <w:smallCaps w:val="false"/>
          <w:sz w:val="20"/>
        </w:rPr>
        <w:t xml:space="preserve">45,000 in principal on the date of the closing of the financing. The debt bears interest at </w:t>
      </w:r>
      <w:bookmarkStart w:id="502" w:name="xdx_900_eus-gaap--DebtInstrumentInterest"/>
      <w:bookmarkEnd w:id="502"/>
      <w:r>
        <w:rPr>
          <w:rFonts w:ascii="Times New Roman;Times;Serif" w:hAnsi="Times New Roman;Times;Serif"/>
          <w:b w:val="false"/>
          <w:i w:val="false"/>
          <w:caps w:val="false"/>
          <w:smallCaps w:val="false"/>
          <w:sz w:val="20"/>
        </w:rPr>
        <w:t>5.50% per annum accruing monthly on a 360 day basis. Late payments will be subject to a $</w:t>
      </w:r>
      <w:bookmarkStart w:id="503" w:name="xdx_90C_ecustom--DebtInstrumentLateFee_c"/>
      <w:bookmarkEnd w:id="503"/>
      <w:r>
        <w:rPr>
          <w:rFonts w:ascii="Times New Roman;Times;Serif" w:hAnsi="Times New Roman;Times;Serif"/>
          <w:b w:val="false"/>
          <w:i w:val="false"/>
          <w:caps w:val="false"/>
          <w:smallCaps w:val="false"/>
          <w:sz w:val="20"/>
        </w:rPr>
        <w:t xml:space="preserve">50 late fee and default interest based on a rate </w:t>
      </w:r>
      <w:bookmarkStart w:id="504" w:name="xdx_902_ecustom--DebtInstrumentDefaultIn"/>
      <w:bookmarkEnd w:id="504"/>
      <w:r>
        <w:rPr>
          <w:rFonts w:ascii="Times New Roman;Times;Serif" w:hAnsi="Times New Roman;Times;Serif"/>
          <w:b w:val="false"/>
          <w:i w:val="false"/>
          <w:caps w:val="false"/>
          <w:smallCaps w:val="false"/>
          <w:sz w:val="20"/>
        </w:rPr>
        <w:t xml:space="preserve">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w:t>
      </w:r>
      <w:bookmarkStart w:id="505" w:name="xdx_900_ecustom--DebtInstrumentNumberOfE"/>
      <w:bookmarkEnd w:id="505"/>
      <w:r>
        <w:rPr>
          <w:rFonts w:ascii="Times New Roman;Times;Serif" w:hAnsi="Times New Roman;Times;Serif"/>
          <w:b w:val="false"/>
          <w:i w:val="false"/>
          <w:caps w:val="false"/>
          <w:smallCaps w:val="false"/>
          <w:sz w:val="20"/>
        </w:rPr>
        <w:t>twenty four equal installments of principal in the amount of $</w:t>
      </w:r>
      <w:bookmarkStart w:id="506" w:name="xdx_908_eus-gaap--DebtInstrumentPeriodic"/>
      <w:bookmarkEnd w:id="506"/>
      <w:r>
        <w:rPr>
          <w:rFonts w:ascii="Times New Roman;Times;Serif" w:hAnsi="Times New Roman;Times;Serif"/>
          <w:b w:val="false"/>
          <w:i w:val="false"/>
          <w:caps w:val="false"/>
          <w:smallCaps w:val="false"/>
          <w:sz w:val="20"/>
        </w:rPr>
        <w:t xml:space="preserve">1,875, plus accrued interest on the unpaid principal amount. Any remaining obligations were due and payable on </w:t>
      </w:r>
      <w:bookmarkStart w:id="507" w:name="xdx_90F_eus-gaap--DebtInstrumentMaturity"/>
      <w:bookmarkEnd w:id="507"/>
      <w:r>
        <w:rPr>
          <w:rFonts w:ascii="Times New Roman;Times;Serif" w:hAnsi="Times New Roman;Times;Serif"/>
          <w:b w:val="false"/>
          <w:i w:val="false"/>
          <w:caps w:val="false"/>
          <w:smallCaps w:val="false"/>
          <w:sz w:val="20"/>
        </w:rPr>
        <w:t>November 1, 2024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below) as such funds must be reimbursed by the Company to the insurer.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 total of $</w:t>
      </w:r>
      <w:bookmarkStart w:id="508" w:name="xdx_905_eus-gaap--InterestExpenseDebtExc"/>
      <w:bookmarkEnd w:id="508"/>
      <w:r>
        <w:rPr>
          <w:rFonts w:ascii="Times New Roman;Times;Serif" w:hAnsi="Times New Roman;Times;Serif"/>
          <w:b w:val="false"/>
          <w:i w:val="false"/>
          <w:caps w:val="false"/>
          <w:smallCaps w:val="false"/>
          <w:sz w:val="20"/>
        </w:rPr>
        <w:t>1,873 of interest expense was incurred under the debt. Amortization of the debt issuance costs amounted to $</w:t>
      </w:r>
      <w:bookmarkStart w:id="509" w:name="xdx_90A_eus-gaap--AmortizationOfFinancin"/>
      <w:bookmarkEnd w:id="509"/>
      <w:r>
        <w:rPr>
          <w:rFonts w:ascii="Times New Roman;Times;Serif" w:hAnsi="Times New Roman;Times;Serif"/>
          <w:b w:val="false"/>
          <w:i w:val="false"/>
          <w:caps w:val="false"/>
          <w:smallCaps w:val="false"/>
          <w:sz w:val="20"/>
        </w:rPr>
        <w:t xml:space="preserve">1,783 during the year ended December 31, 2022. In connection with the merger on October 7, 2022, the Company entered into a Term Loan, Guarantee and Security Agreement (see subsection labeled </w:t>
      </w:r>
      <w:r>
        <w:rPr>
          <w:rFonts w:ascii="Times New Roman;Times;Serif" w:hAnsi="Times New Roman;Times;Serif"/>
          <w:b w:val="false"/>
          <w:i/>
          <w:caps w:val="false"/>
          <w:smallCaps w:val="false"/>
          <w:sz w:val="20"/>
        </w:rPr>
        <w:t>Term Loan Agreement</w:t>
      </w:r>
      <w:r>
        <w:rPr>
          <w:rFonts w:ascii="Times New Roman;Times;Serif" w:hAnsi="Times New Roman;Times;Serif"/>
          <w:b w:val="false"/>
          <w:i w:val="false"/>
          <w:caps w:val="false"/>
          <w:smallCaps w:val="false"/>
          <w:sz w:val="20"/>
        </w:rPr>
        <w:t xml:space="preserve"> below) and the outstanding principal balance for the Series 2021-6 Notes underlying the Trust Indenture was paid in full. A loss on extinguishment of $</w:t>
      </w:r>
      <w:bookmarkStart w:id="510" w:name="xdx_903_eus-gaap--GainsLossesOnExtinguis"/>
      <w:bookmarkEnd w:id="510"/>
      <w:r>
        <w:rPr>
          <w:rFonts w:ascii="Times New Roman;Times;Serif" w:hAnsi="Times New Roman;Times;Serif"/>
          <w:b w:val="false"/>
          <w:i w:val="false"/>
          <w:caps w:val="false"/>
          <w:smallCaps w:val="false"/>
          <w:sz w:val="20"/>
        </w:rPr>
        <w:t>4,824 was recognized upon settlement. The net balance of $</w:t>
      </w:r>
      <w:bookmarkStart w:id="511" w:name="xdx_90C_eus-gaap--LongTermDebt_iI_pn3n3_"/>
      <w:bookmarkEnd w:id="511"/>
      <w:r>
        <w:rPr>
          <w:rFonts w:ascii="Times New Roman;Times;Serif" w:hAnsi="Times New Roman;Times;Serif"/>
          <w:b w:val="false"/>
          <w:i w:val="false"/>
          <w:caps w:val="false"/>
          <w:smallCaps w:val="false"/>
          <w:sz w:val="20"/>
        </w:rPr>
        <w:t>40,712 on the date of the merger consisted of $</w:t>
      </w:r>
      <w:bookmarkStart w:id="512" w:name="xdx_90A_eus-gaap--DebtInstrumentFaceAmou"/>
      <w:bookmarkEnd w:id="512"/>
      <w:r>
        <w:rPr>
          <w:rFonts w:ascii="Times New Roman;Times;Serif" w:hAnsi="Times New Roman;Times;Serif"/>
          <w:b w:val="false"/>
          <w:i w:val="false"/>
          <w:caps w:val="false"/>
          <w:smallCaps w:val="false"/>
          <w:sz w:val="20"/>
        </w:rPr>
        <w:t>45,000 in principal less $</w:t>
      </w:r>
      <w:bookmarkStart w:id="513" w:name="xdx_908_eus-gaap--DebtInstrumentUnamorti"/>
      <w:bookmarkEnd w:id="513"/>
      <w:r>
        <w:rPr>
          <w:rFonts w:ascii="Times New Roman;Times;Serif" w:hAnsi="Times New Roman;Times;Serif"/>
          <w:b w:val="false"/>
          <w:i w:val="false"/>
          <w:caps w:val="false"/>
          <w:smallCaps w:val="false"/>
          <w:sz w:val="20"/>
        </w:rPr>
        <w:t>4,288 in unamortized debt discount related to the debt issuance costs and Insurance Policy.</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F-18</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Reserve Accounts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514" w:name="xdx_89A_ecustom--ScheduleOfDepositsIntoR"/>
      <w:bookmarkEnd w:id="514"/>
      <w:r>
        <w:rPr>
          <w:rFonts w:ascii="Times New Roman;Times;Serif" w:hAnsi="Times New Roman;Times;Serif"/>
          <w:b w:val="false"/>
          <w:i w:val="false"/>
          <w:caps w:val="false"/>
          <w:smallCaps w:val="false"/>
          <w:sz w:val="20"/>
        </w:rPr>
        <w:t>Deposits into the reserve accounts consisted of the following items:</w:t>
      </w:r>
    </w:p>
    <w:p>
      <w:pPr>
        <w:pStyle w:val="TextBody"/>
        <w:spacing w:before="0" w:after="0"/>
        <w:ind w:left="0" w:right="0" w:hanging="0"/>
        <w:rPr>
          <w:caps w:val="false"/>
          <w:smallCaps w:val="false"/>
        </w:rPr>
      </w:pPr>
      <w:r>
        <w:rPr>
          <w:caps w:val="false"/>
          <w:smallCaps w:val="false"/>
        </w:rPr>
        <w:t> </w:t>
      </w:r>
      <w:bookmarkStart w:id="515" w:name="xdx_8BD_zZuR6vRWsZMi"/>
      <w:bookmarkEnd w:id="515"/>
      <w:r>
        <w:rPr>
          <w:rFonts w:ascii="Times New Roman;Times;Serif" w:hAnsi="Times New Roman;Times;Serif"/>
          <w:b w:val="false"/>
          <w:i w:val="false"/>
          <w:caps w:val="false"/>
          <w:smallCaps w:val="false"/>
          <w:sz w:val="20"/>
        </w:rPr>
        <w:t>SCHEDULE OF DEPOSITS INTO RESERVE ACCOUNTS</w:t>
      </w:r>
    </w:p>
    <w:tbl>
      <w:tblPr>
        <w:tblW w:w="3240" w:type="dxa"/>
        <w:jc w:val="left"/>
        <w:tblInd w:w="0" w:type="dxa"/>
        <w:tblCellMar>
          <w:top w:w="0" w:type="dxa"/>
          <w:left w:w="0" w:type="dxa"/>
          <w:bottom w:w="0" w:type="dxa"/>
          <w:right w:w="0" w:type="dxa"/>
        </w:tblCellMar>
      </w:tblPr>
      <w:tblGrid>
        <w:gridCol w:w="2405"/>
        <w:gridCol w:w="60"/>
        <w:gridCol w:w="140"/>
        <w:gridCol w:w="560"/>
        <w:gridCol w:w="75"/>
      </w:tblGrid>
      <w:tr>
        <w:trPr/>
        <w:tc>
          <w:tcPr>
            <w:tcW w:w="24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516" w:name="xdx_491_20221231_zTvBr13jzahk"/>
            <w:bookmarkEnd w:id="516"/>
          </w:p>
        </w:tc>
        <w:tc>
          <w:tcPr>
            <w:tcW w:w="56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bookmarkStart w:id="517" w:name="xdx_404_ecustom--PaymentReserveFund_iI_p"/>
            <w:bookmarkEnd w:id="517"/>
          </w:p>
        </w:tc>
      </w:tr>
      <w:tr>
        <w:trPr/>
        <w:tc>
          <w:tcPr>
            <w:tcW w:w="240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Payment Reserve Fund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3,044</w:t>
            </w:r>
          </w:p>
        </w:tc>
        <w:tc>
          <w:tcPr>
            <w:tcW w:w="75" w:type="dxa"/>
            <w:tcBorders/>
            <w:shd w:fill="CCEEFF" w:val="clear"/>
            <w:vAlign w:val="center"/>
          </w:tcPr>
          <w:p>
            <w:pPr>
              <w:pStyle w:val="TableContents"/>
              <w:spacing w:before="0" w:after="283"/>
              <w:jc w:val="left"/>
              <w:rPr/>
            </w:pPr>
            <w:r>
              <w:rPr/>
              <w:t> </w:t>
            </w:r>
            <w:bookmarkStart w:id="518" w:name="xdx_40B_ecustom--CapitalizedInterestFund"/>
            <w:bookmarkEnd w:id="518"/>
          </w:p>
        </w:tc>
      </w:tr>
      <w:tr>
        <w:trPr/>
        <w:tc>
          <w:tcPr>
            <w:tcW w:w="240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Capitalized Interest Fund</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144</w:t>
            </w:r>
          </w:p>
        </w:tc>
        <w:tc>
          <w:tcPr>
            <w:tcW w:w="75" w:type="dxa"/>
            <w:tcBorders/>
            <w:shd w:fill="FFFFFF" w:val="clear"/>
            <w:vAlign w:val="center"/>
          </w:tcPr>
          <w:p>
            <w:pPr>
              <w:pStyle w:val="TableContents"/>
              <w:spacing w:before="0" w:after="283"/>
              <w:jc w:val="left"/>
              <w:rPr/>
            </w:pPr>
            <w:r>
              <w:rPr/>
              <w:t> </w:t>
            </w:r>
            <w:bookmarkStart w:id="519" w:name="xdx_402_ecustom--DepositsToCertainReserv"/>
            <w:bookmarkEnd w:id="519"/>
          </w:p>
        </w:tc>
      </w:tr>
      <w:tr>
        <w:trPr/>
        <w:tc>
          <w:tcPr>
            <w:tcW w:w="240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3,188</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bookmarkStart w:id="520" w:name="xdx_8AF_zOu4krf8iPSl"/>
      <w:bookmarkEnd w:id="520"/>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Reserve Fund is a debt service fund to be maintained by UMB Bank, and the initial deposit is equal to the maximum amount of monthly interest and principal debt service payment due on the Series 2021-6 notes, plus interest earned on special redemptions (see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was a deposit account maintained by the trustee and restricted for release upon the occurrence of future events, this deposit was treated as restricted cash.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Interest Fund was created to hold the interest that accrued from the closing date until the first payment due on December 15, 2021. The initial deposit, therefore, was treated as prepaid interest. These funds were utilized to pay the interest incurred through that first payment date, therefore the balance as of December 31, 2021 was $</w:t>
      </w:r>
      <w:bookmarkStart w:id="521" w:name="xdx_900_ecustom--CapitalizedInterestFund"/>
      <w:bookmarkEnd w:id="521"/>
      <w:r>
        <w:rPr>
          <w:rFonts w:ascii="Times New Roman;Times;Serif" w:hAnsi="Times New Roman;Times;Serif"/>
          <w:b w:val="false"/>
          <w:i w:val="false"/>
          <w:caps w:val="false"/>
          <w:smallCaps w:val="false"/>
          <w:sz w:val="20"/>
        </w:rPr>
        <w:t>3,088.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above funds, to the extent that they are deposited into interest bearing accounts, earn interest that UMB Bank will transfer into an Interest Earnings Fund, which funds will be held in escrow until the earlier of maturity or when the debt obligations are paid in full (assuming no events of default). There were no funds deposited into interest bearing accounts at December 31, 2022 or 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settled the Trust Indenture and the balance in the Payment Reserve Fund was offset against the proceeds.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Collateral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substantially all of the assets of the Company, including certain intellectual property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Trust Indenture, the Insurance Policy is required as additional collateral guaranteeing the payments under the debt by the Company. The Company determined this was not a direct incremental cost of the financing but rather a cost for maintaining the collateral, recognized under the guidance at ASC 860-30, Transfers and Servicing, Secured Borrowing and Collateral. The premium costs were recognized as a prepaid expense and were being amortized straight line over the term of the policy (three years, unless reduced due to default provisions). The secured party (i.e., UMB Bank, as trustee) would not have the right to sell or repledge either the intellectual property or the insurance collateral unless and until the Company defaulted and a claim was made. Upon settlement of the debt underlying the Trust Indenture, the collateral requirements for the Insurance Policy were eliminated.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Loan Monitoring Fees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to incur ongoing monitoring service by NewLight Capital, LLC for </w:t>
      </w:r>
      <w:bookmarkStart w:id="522" w:name="xdx_90D_ecustom--OngoingMonitoringServic"/>
      <w:bookmarkEnd w:id="522"/>
      <w:r>
        <w:rPr>
          <w:rFonts w:ascii="Times New Roman;Times;Serif" w:hAnsi="Times New Roman;Times;Serif"/>
          <w:b w:val="false"/>
          <w:i w:val="false"/>
          <w:caps w:val="false"/>
          <w:smallCaps w:val="false"/>
          <w:sz w:val="20"/>
        </w:rPr>
        <w:t>24 months at $</w:t>
      </w:r>
      <w:bookmarkStart w:id="523" w:name="xdx_900_ecustom--LoanMonitoringFees_pn3n"/>
      <w:bookmarkEnd w:id="523"/>
      <w:r>
        <w:rPr>
          <w:rFonts w:ascii="Times New Roman;Times;Serif" w:hAnsi="Times New Roman;Times;Serif"/>
          <w:b w:val="false"/>
          <w:i w:val="false"/>
          <w:caps w:val="false"/>
          <w:smallCaps w:val="false"/>
          <w:sz w:val="20"/>
        </w:rPr>
        <w:t>180 total expense. These services entail monitory of financial records and information related to collateral enforcement on an ongoing basis. The $</w:t>
      </w:r>
      <w:bookmarkStart w:id="524" w:name="xdx_90A_ecustom--PrepaidLoanMonitoringFe"/>
      <w:bookmarkEnd w:id="524"/>
      <w:r>
        <w:rPr>
          <w:rFonts w:ascii="Times New Roman;Times;Serif" w:hAnsi="Times New Roman;Times;Serif"/>
          <w:b w:val="false"/>
          <w:i w:val="false"/>
          <w:caps w:val="false"/>
          <w:smallCaps w:val="false"/>
          <w:sz w:val="20"/>
        </w:rPr>
        <w:t xml:space="preserve">60 prepayment funded on the date of closing was recognized as a prepaid expense and was being amortized on a straight line basis over the first </w:t>
      </w:r>
      <w:bookmarkStart w:id="525" w:name="xdx_907_ecustom--LoanMonitoringFeesAmort"/>
      <w:bookmarkEnd w:id="525"/>
      <w:r>
        <w:rPr>
          <w:rFonts w:ascii="Times New Roman;Times;Serif" w:hAnsi="Times New Roman;Times;Serif"/>
          <w:b w:val="false"/>
          <w:i w:val="false"/>
          <w:caps w:val="false"/>
          <w:smallCaps w:val="false"/>
          <w:sz w:val="20"/>
        </w:rPr>
        <w:t>10 months of the agreement as the amount was paid in full in connection with the merger. The Company incurred $</w:t>
      </w:r>
      <w:bookmarkStart w:id="526" w:name="xdx_906_ecustom--LoanMonitoringFees_pn3n"/>
      <w:bookmarkEnd w:id="526"/>
      <w:r>
        <w:rPr>
          <w:rFonts w:ascii="Times New Roman;Times;Serif" w:hAnsi="Times New Roman;Times;Serif"/>
          <w:b w:val="false"/>
          <w:i w:val="false"/>
          <w:caps w:val="false"/>
          <w:smallCaps w:val="false"/>
          <w:sz w:val="20"/>
        </w:rPr>
        <w:t>77 and $</w:t>
      </w:r>
      <w:bookmarkStart w:id="527" w:name="xdx_903_ecustom--LoanMonitoringFees_pn3n"/>
      <w:bookmarkEnd w:id="527"/>
      <w:r>
        <w:rPr>
          <w:rFonts w:ascii="Times New Roman;Times;Serif" w:hAnsi="Times New Roman;Times;Serif"/>
          <w:b w:val="false"/>
          <w:i w:val="false"/>
          <w:caps w:val="false"/>
          <w:smallCaps w:val="false"/>
          <w:sz w:val="20"/>
        </w:rPr>
        <w:t>10 of monitoring fee expenses during the years ended December 31, 2022 and 2021,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prepayment on that date of $</w:t>
      </w:r>
      <w:bookmarkStart w:id="528" w:name="xdx_90B_ecustom--PrepaidLoanMonitoringFe"/>
      <w:bookmarkEnd w:id="528"/>
      <w:r>
        <w:rPr>
          <w:rFonts w:ascii="Times New Roman;Times;Serif" w:hAnsi="Times New Roman;Times;Serif"/>
          <w:b w:val="false"/>
          <w:i w:val="false"/>
          <w:caps w:val="false"/>
          <w:smallCaps w:val="false"/>
          <w:sz w:val="20"/>
        </w:rPr>
        <w:t>33 was expensed and included in debt extinguishment.</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F-19</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Financial Covenants – Trust Indenture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obligated to comply with certain covenants which included a minimum adjusted EBITDA, capital expenditure requirement and minimum fixed charge coverage ratio. The Company was in compliance with all financial covenants as of December 31, 2021 and through October 7, 2022, the date of the settlement of the obligations underlying the Trust Indenture.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in connection with the merger, CNTQ, Legacy Dragonfly and CCM Investments 5 LLC (“</w:t>
      </w:r>
      <w:r>
        <w:rPr>
          <w:rFonts w:ascii="Times New Roman;Times;Serif" w:hAnsi="Times New Roman;Times;Serif"/>
          <w:b/>
          <w:i w:val="false"/>
          <w:caps w:val="false"/>
          <w:smallCaps w:val="false"/>
          <w:sz w:val="20"/>
        </w:rPr>
        <w:t>CCM 5</w:t>
      </w:r>
      <w:r>
        <w:rPr>
          <w:rFonts w:ascii="Times New Roman;Times;Serif" w:hAnsi="Times New Roman;Times;Serif"/>
          <w:b w:val="false"/>
          <w:i w:val="false"/>
          <w:caps w:val="false"/>
          <w:smallCaps w:val="false"/>
          <w:sz w:val="20"/>
        </w:rPr>
        <w:t>”, and in connection with the Term Loan, the “Chardan Lender”), and EICF Agent LLC (“</w:t>
      </w:r>
      <w:r>
        <w:rPr>
          <w:rFonts w:ascii="Times New Roman;Times;Serif" w:hAnsi="Times New Roman;Times;Serif"/>
          <w:b/>
          <w:i w:val="false"/>
          <w:caps w:val="false"/>
          <w:smallCaps w:val="false"/>
          <w:sz w:val="20"/>
        </w:rPr>
        <w:t>EIP</w:t>
      </w:r>
      <w:r>
        <w:rPr>
          <w:rFonts w:ascii="Times New Roman;Times;Serif" w:hAnsi="Times New Roman;Times;Serif"/>
          <w:b w:val="false"/>
          <w:i w:val="false"/>
          <w:caps w:val="false"/>
          <w:smallCaps w:val="false"/>
          <w:sz w:val="20"/>
        </w:rPr>
        <w:t>” and, collectively with the Chardan Lender, the “</w:t>
      </w:r>
      <w:r>
        <w:rPr>
          <w:rFonts w:ascii="Times New Roman;Times;Serif" w:hAnsi="Times New Roman;Times;Serif"/>
          <w:b/>
          <w:i w:val="false"/>
          <w:caps w:val="false"/>
          <w:smallCaps w:val="false"/>
          <w:sz w:val="20"/>
        </w:rPr>
        <w:t>Initial Term Loan Lenders</w:t>
      </w:r>
      <w:r>
        <w:rPr>
          <w:rFonts w:ascii="Times New Roman;Times;Serif" w:hAnsi="Times New Roman;Times;Serif"/>
          <w:b w:val="false"/>
          <w:i w:val="false"/>
          <w:caps w:val="false"/>
          <w:smallCaps w:val="false"/>
          <w:sz w:val="20"/>
        </w:rPr>
        <w:t>”) entered into the Term Loan, Guarantee and Security Agreement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 setting forth the terms of a senior secured term loan facility in an aggregate principal amount of $</w:t>
      </w:r>
      <w:bookmarkStart w:id="529" w:name="xdx_90B_eus-gaap--DebtInstrumentFaceAmou"/>
      <w:bookmarkEnd w:id="529"/>
      <w:r>
        <w:rPr>
          <w:rFonts w:ascii="Times New Roman;Times;Serif" w:hAnsi="Times New Roman;Times;Serif"/>
          <w:b w:val="false"/>
          <w:i w:val="false"/>
          <w:caps w:val="false"/>
          <w:smallCaps w:val="false"/>
          <w:sz w:val="20"/>
        </w:rPr>
        <w:t>75,000, or the Term Loan. The Chardan Lender backstopped its commitment under the Debt Commitment Letter by entering into a backstop commitment letter, dated as of May 20, 2022 (the “</w:t>
      </w:r>
      <w:r>
        <w:rPr>
          <w:rFonts w:ascii="Times New Roman;Times;Serif" w:hAnsi="Times New Roman;Times;Serif"/>
          <w:b/>
          <w:i w:val="false"/>
          <w:caps w:val="false"/>
          <w:smallCaps w:val="false"/>
          <w:sz w:val="20"/>
        </w:rPr>
        <w:t>Backstop Commitment Letter</w:t>
      </w:r>
      <w:r>
        <w:rPr>
          <w:rFonts w:ascii="Times New Roman;Times;Serif" w:hAnsi="Times New Roman;Times;Serif"/>
          <w:b w:val="false"/>
          <w:i w:val="false"/>
          <w:caps w:val="false"/>
          <w:smallCaps w:val="false"/>
          <w:sz w:val="20"/>
        </w:rPr>
        <w:t>”), with a certain third-party financing source (the “</w:t>
      </w:r>
      <w:r>
        <w:rPr>
          <w:rFonts w:ascii="Times New Roman;Times;Serif" w:hAnsi="Times New Roman;Times;Serif"/>
          <w:b/>
          <w:i w:val="false"/>
          <w:caps w:val="false"/>
          <w:smallCaps w:val="false"/>
          <w:sz w:val="20"/>
        </w:rPr>
        <w:t>Backstop Lender</w:t>
      </w:r>
      <w:r>
        <w:rPr>
          <w:rFonts w:ascii="Times New Roman;Times;Serif" w:hAnsi="Times New Roman;Times;Serif"/>
          <w:b w:val="false"/>
          <w:i w:val="false"/>
          <w:caps w:val="false"/>
          <w:smallCaps w:val="false"/>
          <w:sz w:val="20"/>
        </w:rPr>
        <w:t>” and collectively with EIP, the “</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pursuant to which the Backstop Lender committed to purchase from the Chardan Lender the aggregate amount of the Term Loan held by the Chardan Lender (the “</w:t>
      </w:r>
      <w:r>
        <w:rPr>
          <w:rFonts w:ascii="Times New Roman;Times;Serif" w:hAnsi="Times New Roman;Times;Serif"/>
          <w:b/>
          <w:i w:val="false"/>
          <w:caps w:val="false"/>
          <w:smallCaps w:val="false"/>
          <w:sz w:val="20"/>
        </w:rPr>
        <w:t>Backstopped Loans</w:t>
      </w:r>
      <w:r>
        <w:rPr>
          <w:rFonts w:ascii="Times New Roman;Times;Serif" w:hAnsi="Times New Roman;Times;Serif"/>
          <w:b w:val="false"/>
          <w:i w:val="false"/>
          <w:caps w:val="false"/>
          <w:smallCaps w:val="false"/>
          <w:sz w:val="20"/>
        </w:rPr>
        <w:t>”) immediately following the issuance of the Term Loan on the Closing Date. Pursuant to an assignment agreement, the Backstopped Loans were assigned by CCM 5 to the Backstop Lender on the Closing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w:t>
      </w:r>
      <w:bookmarkStart w:id="530" w:name="xdx_90E_ecustom--DebtInstrumentAmortizat"/>
      <w:bookmarkEnd w:id="530"/>
      <w:r>
        <w:rPr>
          <w:rFonts w:ascii="Times New Roman;Times;Serif" w:hAnsi="Times New Roman;Times;Serif"/>
          <w:b w:val="false"/>
          <w:i w:val="false"/>
          <w:caps w:val="false"/>
          <w:smallCaps w:val="false"/>
          <w:sz w:val="20"/>
        </w:rPr>
        <w:t>5% per annum (or $</w:t>
      </w:r>
      <w:bookmarkStart w:id="531" w:name="xdx_90F_ecustom--DebtInstrumentAmortizat"/>
      <w:bookmarkEnd w:id="531"/>
      <w:r>
        <w:rPr>
          <w:rFonts w:ascii="Times New Roman;Times;Serif" w:hAnsi="Times New Roman;Times;Serif"/>
          <w:b w:val="false"/>
          <w:i w:val="false"/>
          <w:caps w:val="false"/>
          <w:smallCaps w:val="false"/>
          <w:sz w:val="20"/>
        </w:rPr>
        <w:t xml:space="preserve">937.5 on the first day of each calendar quarter) beginning </w:t>
      </w:r>
      <w:bookmarkStart w:id="532" w:name="xdx_902_ecustom--DebtInstrumentAmortizat"/>
      <w:bookmarkEnd w:id="532"/>
      <w:r>
        <w:rPr>
          <w:rFonts w:ascii="Times New Roman;Times;Serif" w:hAnsi="Times New Roman;Times;Serif"/>
          <w:b w:val="false"/>
          <w:i w:val="false"/>
          <w:caps w:val="false"/>
          <w:smallCaps w:val="false"/>
          <w:sz w:val="20"/>
        </w:rPr>
        <w:t>24 months after the Closing Date and matures on the fourth anniversary of the Closing Date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The Term Loan accrues interest (i) until April 1, 2023, at a per annum rate equal to the adjusted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xml:space="preserve">”) plus a margin equal to </w:t>
      </w:r>
      <w:bookmarkStart w:id="533" w:name="xdx_906_eus-gaap--DebtInstrumentBasisSpr"/>
      <w:bookmarkEnd w:id="533"/>
      <w:r>
        <w:rPr>
          <w:rFonts w:ascii="Times New Roman;Times;Serif" w:hAnsi="Times New Roman;Times;Serif"/>
          <w:b w:val="false"/>
          <w:i w:val="false"/>
          <w:caps w:val="false"/>
          <w:smallCaps w:val="false"/>
          <w:sz w:val="20"/>
        </w:rPr>
        <w:t xml:space="preserve">13.5%, of which </w:t>
      </w:r>
      <w:bookmarkStart w:id="534" w:name="xdx_900_ecustom--DebtInstrumentBasisSpre"/>
      <w:bookmarkEnd w:id="534"/>
      <w:r>
        <w:rPr>
          <w:rFonts w:ascii="Times New Roman;Times;Serif" w:hAnsi="Times New Roman;Times;Serif"/>
          <w:b w:val="false"/>
          <w:i w:val="false"/>
          <w:caps w:val="false"/>
          <w:smallCaps w:val="false"/>
          <w:sz w:val="20"/>
        </w:rPr>
        <w:t xml:space="preserve">7% will be payable in cash and </w:t>
      </w:r>
      <w:bookmarkStart w:id="535" w:name="xdx_908_ecustom--DebtInstrumentBasisSpre"/>
      <w:bookmarkEnd w:id="535"/>
      <w:r>
        <w:rPr>
          <w:rFonts w:ascii="Times New Roman;Times;Serif" w:hAnsi="Times New Roman;Times;Serif"/>
          <w:b w:val="false"/>
          <w:i w:val="false"/>
          <w:caps w:val="false"/>
          <w:smallCaps w:val="false"/>
          <w:sz w:val="20"/>
        </w:rPr>
        <w:t xml:space="preserve">6.5% will be paid in-kind, (ii) thereafter until October 1, 2024, at a per annum rate equal to adjusted SOFR plus </w:t>
      </w:r>
      <w:bookmarkStart w:id="536" w:name="xdx_906_ecustom--DebtInstrumentBasisSpre"/>
      <w:bookmarkEnd w:id="536"/>
      <w:r>
        <w:rPr>
          <w:rFonts w:ascii="Times New Roman;Times;Serif" w:hAnsi="Times New Roman;Times;Serif"/>
          <w:b w:val="false"/>
          <w:i w:val="false"/>
          <w:caps w:val="false"/>
          <w:smallCaps w:val="false"/>
          <w:sz w:val="20"/>
        </w:rPr>
        <w:t xml:space="preserve">7% payable in cash plus an amount ranging from </w:t>
      </w:r>
      <w:bookmarkStart w:id="537" w:name="xdx_906_ecustom--DebtInstrumentBasisSpre"/>
      <w:bookmarkEnd w:id="537"/>
      <w:r>
        <w:rPr>
          <w:rFonts w:ascii="Times New Roman;Times;Serif" w:hAnsi="Times New Roman;Times;Serif"/>
          <w:b w:val="false"/>
          <w:i w:val="false"/>
          <w:caps w:val="false"/>
          <w:smallCaps w:val="false"/>
          <w:sz w:val="20"/>
        </w:rPr>
        <w:t xml:space="preserve">4.5% to </w:t>
      </w:r>
      <w:bookmarkStart w:id="538" w:name="xdx_900_ecustom--DebtInstrumentBasisSpre"/>
      <w:bookmarkEnd w:id="538"/>
      <w:r>
        <w:rPr>
          <w:rFonts w:ascii="Times New Roman;Times;Serif" w:hAnsi="Times New Roman;Times;Serif"/>
          <w:b w:val="false"/>
          <w:i w:val="false"/>
          <w:caps w:val="false"/>
          <w:smallCaps w:val="false"/>
          <w:sz w:val="20"/>
        </w:rPr>
        <w:t xml:space="preserve">6.5%, depending on the senior leverage ratio of the consolidated company, which will be paid-in-kind and (iii) at all times thereafter, at a per annum rate equal to adjusted SOFR plus a margin ranging from </w:t>
      </w:r>
      <w:bookmarkStart w:id="539" w:name="xdx_90F_ecustom--DebtInstrumentBasisSpre"/>
      <w:bookmarkEnd w:id="539"/>
      <w:r>
        <w:rPr>
          <w:rFonts w:ascii="Times New Roman;Times;Serif" w:hAnsi="Times New Roman;Times;Serif"/>
          <w:b w:val="false"/>
          <w:i w:val="false"/>
          <w:caps w:val="false"/>
          <w:smallCaps w:val="false"/>
          <w:sz w:val="20"/>
        </w:rPr>
        <w:t xml:space="preserve">11.5% to </w:t>
      </w:r>
      <w:bookmarkStart w:id="540" w:name="xdx_90F_ecustom--DebtInstrumentBasisSpre"/>
      <w:bookmarkEnd w:id="540"/>
      <w:r>
        <w:rPr>
          <w:rFonts w:ascii="Times New Roman;Times;Serif" w:hAnsi="Times New Roman;Times;Serif"/>
          <w:b w:val="false"/>
          <w:i w:val="false"/>
          <w:caps w:val="false"/>
          <w:smallCaps w:val="false"/>
          <w:sz w:val="20"/>
        </w:rPr>
        <w:t xml:space="preserve">13.5% payable in cash, depending on the senior leverage ratio of the consolidated company. In each of the foregoing cases, adjusted SOFR will be no less than </w:t>
      </w:r>
      <w:bookmarkStart w:id="541" w:name="xdx_900_eus-gaap--DebtInstrumentBasisSpr"/>
      <w:bookmarkEnd w:id="541"/>
      <w:r>
        <w:rPr>
          <w:rFonts w:ascii="Times New Roman;Times;Serif" w:hAnsi="Times New Roman;Times;Serif"/>
          <w:b w:val="false"/>
          <w:i w:val="false"/>
          <w:caps w:val="false"/>
          <w:smallCaps w:val="false"/>
          <w:sz w:val="20"/>
        </w:rPr>
        <w:t>1%.</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F-20</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and as a required term and condition thereof, the Company issued (i) the penny warrants to the Term Loan Lenders exercisable to purchase an aggregate of </w:t>
      </w:r>
      <w:bookmarkStart w:id="542" w:name="xdx_909_eus-gaap--ClassOfWarrantOrRightN"/>
      <w:bookmarkEnd w:id="542"/>
      <w:r>
        <w:rPr>
          <w:rFonts w:ascii="Times New Roman;Times;Serif" w:hAnsi="Times New Roman;Times;Serif"/>
          <w:b w:val="false"/>
          <w:i w:val="false"/>
          <w:caps w:val="false"/>
          <w:smallCaps w:val="false"/>
          <w:sz w:val="20"/>
        </w:rPr>
        <w:t xml:space="preserve">2,593,056 and (ii) the $10 warrants to issue warrants to the Term Loan Lenders exercisable to purchase an aggregate of </w:t>
      </w:r>
      <w:bookmarkStart w:id="543" w:name="xdx_902_eus-gaap--ClassOfWarrantOrRightN"/>
      <w:bookmarkEnd w:id="543"/>
      <w:r>
        <w:rPr>
          <w:rFonts w:ascii="Times New Roman;Times;Serif" w:hAnsi="Times New Roman;Times;Serif"/>
          <w:b w:val="false"/>
          <w:i w:val="false"/>
          <w:caps w:val="false"/>
          <w:smallCaps w:val="false"/>
          <w:sz w:val="20"/>
        </w:rPr>
        <w:t>1,600,000 shares of common stock at $</w:t>
      </w:r>
      <w:bookmarkStart w:id="544" w:name="xdx_900_eus-gaap--SharePrice_iI_c2022123"/>
      <w:bookmarkEnd w:id="544"/>
      <w:r>
        <w:rPr>
          <w:rFonts w:ascii="Times New Roman;Times;Serif" w:hAnsi="Times New Roman;Times;Serif"/>
          <w:b w:val="false"/>
          <w:i w:val="false"/>
          <w:caps w:val="false"/>
          <w:smallCaps w:val="false"/>
          <w:sz w:val="20"/>
        </w:rPr>
        <w:t>10 per share. Refer to Note 12 for further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obligations under the Term Loan are accelerated under the terms of the agreement, the maturity date will be October 7, 2026.</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Lenders have been granted a first priority lien, and security interest in, the mortgaged properties underlying the Company’s mortgages.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 total of $</w:t>
      </w:r>
      <w:bookmarkStart w:id="545" w:name="xdx_909_eus-gaap--InterestExpenseDebtExc"/>
      <w:bookmarkEnd w:id="545"/>
      <w:r>
        <w:rPr>
          <w:rFonts w:ascii="Times New Roman;Times;Serif" w:hAnsi="Times New Roman;Times;Serif"/>
          <w:b w:val="false"/>
          <w:i w:val="false"/>
          <w:caps w:val="false"/>
          <w:smallCaps w:val="false"/>
          <w:sz w:val="20"/>
        </w:rPr>
        <w:t>3,195 of interest expense was incurred under the debt. Amortization of the debt issuance costs amounted to $</w:t>
      </w:r>
      <w:bookmarkStart w:id="546" w:name="xdx_90D_eus-gaap--AmortizationOfFinancin"/>
      <w:bookmarkEnd w:id="546"/>
      <w:r>
        <w:rPr>
          <w:rFonts w:ascii="Times New Roman;Times;Serif" w:hAnsi="Times New Roman;Times;Serif"/>
          <w:b w:val="false"/>
          <w:i w:val="false"/>
          <w:caps w:val="false"/>
          <w:smallCaps w:val="false"/>
          <w:sz w:val="20"/>
        </w:rPr>
        <w:t>38 during the year ended December 31, 2022. The carrying balance of $</w:t>
      </w:r>
      <w:bookmarkStart w:id="547" w:name="xdx_909_eus-gaap--LongTermDebt_iI_pn3n3_"/>
      <w:bookmarkEnd w:id="547"/>
      <w:r>
        <w:rPr>
          <w:rFonts w:ascii="Times New Roman;Times;Serif" w:hAnsi="Times New Roman;Times;Serif"/>
          <w:b w:val="false"/>
          <w:i w:val="false"/>
          <w:caps w:val="false"/>
          <w:smallCaps w:val="false"/>
          <w:sz w:val="20"/>
        </w:rPr>
        <w:t>19,242 on December 31, 2022 consisted of $</w:t>
      </w:r>
      <w:bookmarkStart w:id="548" w:name="xdx_90C_eus-gaap--DebtInstrumentFaceAmou"/>
      <w:bookmarkEnd w:id="548"/>
      <w:r>
        <w:rPr>
          <w:rFonts w:ascii="Times New Roman;Times;Serif" w:hAnsi="Times New Roman;Times;Serif"/>
          <w:b w:val="false"/>
          <w:i w:val="false"/>
          <w:caps w:val="false"/>
          <w:smallCaps w:val="false"/>
          <w:sz w:val="20"/>
        </w:rPr>
        <w:t>75,000 in principal, plus $</w:t>
      </w:r>
      <w:bookmarkStart w:id="549" w:name="xdx_902_eus-gaap--PaidInKindInterest_pn3"/>
      <w:bookmarkEnd w:id="549"/>
      <w:r>
        <w:rPr>
          <w:rFonts w:ascii="Times New Roman;Times;Serif" w:hAnsi="Times New Roman;Times;Serif"/>
          <w:b w:val="false"/>
          <w:i w:val="false"/>
          <w:caps w:val="false"/>
          <w:smallCaps w:val="false"/>
          <w:sz w:val="20"/>
        </w:rPr>
        <w:t>1,192 PIK interest, less $</w:t>
      </w:r>
      <w:bookmarkStart w:id="550" w:name="xdx_908_eus-gaap--DeferredFinanceCostsNe"/>
      <w:bookmarkEnd w:id="550"/>
      <w:r>
        <w:rPr>
          <w:rFonts w:ascii="Times New Roman;Times;Serif" w:hAnsi="Times New Roman;Times;Serif"/>
          <w:b w:val="false"/>
          <w:i w:val="false"/>
          <w:caps w:val="false"/>
          <w:smallCaps w:val="false"/>
          <w:sz w:val="20"/>
        </w:rPr>
        <w:t>56,950 in unamortized debt discount related to the debt issuance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 – Term Loan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Maximum Senior Leverage Ratio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551" w:name="xdx_904_eus-gaap--DebtInstrumentDescript"/>
      <w:bookmarkEnd w:id="551"/>
      <w:r>
        <w:rPr>
          <w:rFonts w:ascii="Times New Roman;Times;Serif" w:hAnsi="Times New Roman;Times;Serif"/>
          <w:b w:val="false"/>
          <w:i w:val="false"/>
          <w:caps w:val="false"/>
          <w:smallCaps w:val="false"/>
          <w:sz w:val="20"/>
        </w:rPr>
        <w:t>The senior leverage ratio is the ratio of (a) consolidated indebtedness, as defined, on such date minus 100% of the unrestricted cash and cash equivalents held (subject to adjustment) to (b) Consolidated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pStyle w:val="TextBody"/>
        <w:spacing w:before="0" w:after="0"/>
        <w:ind w:left="0" w:right="0" w:hanging="0"/>
        <w:jc w:val="both"/>
        <w:rPr>
          <w:caps w:val="false"/>
          <w:smallCaps w:val="false"/>
        </w:rPr>
      </w:pPr>
      <w:bookmarkStart w:id="552" w:name="xdx_89E_ecustom--ScheduleOfLeverageRatio"/>
      <w:bookmarkEnd w:id="552"/>
      <w:r>
        <w:rPr>
          <w:caps w:val="false"/>
          <w:smallCaps w:val="false"/>
        </w:rPr>
        <w:t> </w:t>
      </w:r>
      <w:bookmarkStart w:id="553" w:name="xdx_8B3_zOTZVvzh7sz9"/>
      <w:bookmarkEnd w:id="553"/>
      <w:r>
        <w:rPr>
          <w:rFonts w:ascii="Times New Roman;Times;Serif" w:hAnsi="Times New Roman;Times;Serif"/>
          <w:b w:val="false"/>
          <w:i w:val="false"/>
          <w:caps w:val="false"/>
          <w:smallCaps w:val="false"/>
          <w:sz w:val="20"/>
        </w:rPr>
        <w:t>SCHEDULE OF LEVERAGE RATION</w:t>
      </w:r>
    </w:p>
    <w:tbl>
      <w:tblPr>
        <w:tblW w:w="5320" w:type="dxa"/>
        <w:jc w:val="left"/>
        <w:tblInd w:w="0" w:type="dxa"/>
        <w:tblCellMar>
          <w:top w:w="0" w:type="dxa"/>
          <w:left w:w="0" w:type="dxa"/>
          <w:bottom w:w="28" w:type="dxa"/>
          <w:right w:w="0" w:type="dxa"/>
        </w:tblCellMar>
      </w:tblPr>
      <w:tblGrid>
        <w:gridCol w:w="3665"/>
        <w:gridCol w:w="60"/>
        <w:gridCol w:w="1595"/>
      </w:tblGrid>
      <w:tr>
        <w:trPr/>
        <w:tc>
          <w:tcPr>
            <w:tcW w:w="3665" w:type="dxa"/>
            <w:tcBorders>
              <w:bottom w:val="single" w:sz="12" w:space="0" w:color="000000"/>
            </w:tcBorders>
            <w:shd w:fill="FFFFFF"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Test Period Ending</w:t>
            </w:r>
          </w:p>
        </w:tc>
        <w:tc>
          <w:tcPr>
            <w:tcW w:w="60" w:type="dxa"/>
            <w:tcBorders/>
            <w:shd w:fill="FFFFFF" w:val="clear"/>
            <w:tcMar>
              <w:bottom w:w="0" w:type="dxa"/>
            </w:tcMar>
            <w:vAlign w:val="center"/>
          </w:tcPr>
          <w:p>
            <w:pPr>
              <w:pStyle w:val="TableContents"/>
              <w:spacing w:before="0" w:after="283"/>
              <w:rPr/>
            </w:pPr>
            <w:r>
              <w:rPr/>
              <w:t> </w:t>
            </w:r>
          </w:p>
        </w:tc>
        <w:tc>
          <w:tcPr>
            <w:tcW w:w="1595" w:type="dxa"/>
            <w:tcBorders>
              <w:bottom w:val="single" w:sz="12" w:space="0" w:color="000000"/>
            </w:tcBorders>
            <w:shd w:fill="FFFFFF"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Leverage Ratio</w:t>
            </w:r>
          </w:p>
        </w:tc>
      </w:tr>
      <w:tr>
        <w:trPr/>
        <w:tc>
          <w:tcPr>
            <w:tcW w:w="3665"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December 31, 2022 – March 31, 2023</w:t>
            </w:r>
          </w:p>
        </w:tc>
        <w:tc>
          <w:tcPr>
            <w:tcW w:w="60" w:type="dxa"/>
            <w:tcBorders/>
            <w:shd w:fill="CCEEFF" w:val="clear"/>
            <w:tcMar>
              <w:bottom w:w="0" w:type="dxa"/>
            </w:tcMar>
            <w:vAlign w:val="center"/>
          </w:tcPr>
          <w:p>
            <w:pPr>
              <w:pStyle w:val="TableContents"/>
              <w:spacing w:before="0" w:after="283"/>
              <w:rPr/>
            </w:pPr>
            <w:r>
              <w:rPr/>
              <w:t> </w:t>
            </w:r>
          </w:p>
        </w:tc>
        <w:tc>
          <w:tcPr>
            <w:tcW w:w="1595" w:type="dxa"/>
            <w:tcBorders/>
            <w:shd w:fill="CCEEFF" w:val="clear"/>
            <w:tcMar>
              <w:bottom w:w="0" w:type="dxa"/>
            </w:tcMar>
            <w:vAlign w:val="center"/>
          </w:tcPr>
          <w:p>
            <w:pPr>
              <w:pStyle w:val="TableContents"/>
              <w:spacing w:before="0" w:after="283"/>
              <w:jc w:val="center"/>
              <w:rPr>
                <w:rFonts w:ascii="Times New Roman;Times;Serif" w:hAnsi="Times New Roman;Times;Serif"/>
              </w:rPr>
            </w:pPr>
            <w:bookmarkStart w:id="554" w:name="xdx_900_eus-gaap--DebtInstrumentDescript"/>
            <w:bookmarkEnd w:id="554"/>
            <w:r>
              <w:rPr>
                <w:rFonts w:ascii="Times New Roman;Times;Serif" w:hAnsi="Times New Roman;Times;Serif"/>
              </w:rPr>
              <w:t>6.75 to 1.00</w:t>
            </w:r>
          </w:p>
        </w:tc>
      </w:tr>
      <w:tr>
        <w:trPr/>
        <w:tc>
          <w:tcPr>
            <w:tcW w:w="3665" w:type="dxa"/>
            <w:tcBorders/>
            <w:shd w:fill="FFFF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June 30, 2023 – September 30, 2023</w:t>
            </w:r>
          </w:p>
        </w:tc>
        <w:tc>
          <w:tcPr>
            <w:tcW w:w="60" w:type="dxa"/>
            <w:tcBorders/>
            <w:shd w:fill="FFFFFF" w:val="clear"/>
            <w:tcMar>
              <w:bottom w:w="0" w:type="dxa"/>
            </w:tcMar>
            <w:vAlign w:val="center"/>
          </w:tcPr>
          <w:p>
            <w:pPr>
              <w:pStyle w:val="TableContents"/>
              <w:spacing w:before="0" w:after="283"/>
              <w:rPr/>
            </w:pPr>
            <w:r>
              <w:rPr/>
              <w:t> </w:t>
            </w:r>
          </w:p>
        </w:tc>
        <w:tc>
          <w:tcPr>
            <w:tcW w:w="1595" w:type="dxa"/>
            <w:tcBorders/>
            <w:shd w:fill="FFFFFF" w:val="clear"/>
            <w:tcMar>
              <w:bottom w:w="0" w:type="dxa"/>
            </w:tcMar>
            <w:vAlign w:val="center"/>
          </w:tcPr>
          <w:p>
            <w:pPr>
              <w:pStyle w:val="TableContents"/>
              <w:spacing w:before="0" w:after="283"/>
              <w:jc w:val="center"/>
              <w:rPr>
                <w:rFonts w:ascii="Times New Roman;Times;Serif" w:hAnsi="Times New Roman;Times;Serif"/>
              </w:rPr>
            </w:pPr>
            <w:bookmarkStart w:id="555" w:name="xdx_902_eus-gaap--DebtInstrumentDescript"/>
            <w:bookmarkEnd w:id="555"/>
            <w:r>
              <w:rPr>
                <w:rFonts w:ascii="Times New Roman;Times;Serif" w:hAnsi="Times New Roman;Times;Serif"/>
              </w:rPr>
              <w:t>6.00 to 1.00</w:t>
            </w:r>
          </w:p>
        </w:tc>
      </w:tr>
      <w:tr>
        <w:trPr/>
        <w:tc>
          <w:tcPr>
            <w:tcW w:w="3665"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December 31, 2023 – March 31, 2024</w:t>
            </w:r>
          </w:p>
        </w:tc>
        <w:tc>
          <w:tcPr>
            <w:tcW w:w="60" w:type="dxa"/>
            <w:tcBorders/>
            <w:shd w:fill="CCEEFF" w:val="clear"/>
            <w:tcMar>
              <w:bottom w:w="0" w:type="dxa"/>
            </w:tcMar>
            <w:vAlign w:val="center"/>
          </w:tcPr>
          <w:p>
            <w:pPr>
              <w:pStyle w:val="TableContents"/>
              <w:spacing w:before="0" w:after="283"/>
              <w:rPr/>
            </w:pPr>
            <w:r>
              <w:rPr/>
              <w:t> </w:t>
            </w:r>
          </w:p>
        </w:tc>
        <w:tc>
          <w:tcPr>
            <w:tcW w:w="1595" w:type="dxa"/>
            <w:tcBorders/>
            <w:shd w:fill="CCEEFF" w:val="clear"/>
            <w:tcMar>
              <w:bottom w:w="0" w:type="dxa"/>
            </w:tcMar>
            <w:vAlign w:val="center"/>
          </w:tcPr>
          <w:p>
            <w:pPr>
              <w:pStyle w:val="TableContents"/>
              <w:spacing w:before="0" w:after="283"/>
              <w:jc w:val="center"/>
              <w:rPr>
                <w:rFonts w:ascii="Times New Roman;Times;Serif" w:hAnsi="Times New Roman;Times;Serif"/>
              </w:rPr>
            </w:pPr>
            <w:bookmarkStart w:id="556" w:name="xdx_905_eus-gaap--DebtInstrumentDescript"/>
            <w:bookmarkEnd w:id="556"/>
            <w:r>
              <w:rPr>
                <w:rFonts w:ascii="Times New Roman;Times;Serif" w:hAnsi="Times New Roman;Times;Serif"/>
              </w:rPr>
              <w:t>5.00 to 1.00</w:t>
            </w:r>
          </w:p>
        </w:tc>
      </w:tr>
      <w:tr>
        <w:trPr/>
        <w:tc>
          <w:tcPr>
            <w:tcW w:w="3665" w:type="dxa"/>
            <w:tcBorders/>
            <w:shd w:fill="FFFF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June 30, 2024 – September 30, 2024</w:t>
            </w:r>
          </w:p>
        </w:tc>
        <w:tc>
          <w:tcPr>
            <w:tcW w:w="60" w:type="dxa"/>
            <w:tcBorders/>
            <w:shd w:fill="FFFFFF" w:val="clear"/>
            <w:tcMar>
              <w:bottom w:w="0" w:type="dxa"/>
            </w:tcMar>
            <w:vAlign w:val="center"/>
          </w:tcPr>
          <w:p>
            <w:pPr>
              <w:pStyle w:val="TableContents"/>
              <w:spacing w:before="0" w:after="283"/>
              <w:rPr/>
            </w:pPr>
            <w:r>
              <w:rPr/>
              <w:t> </w:t>
            </w:r>
          </w:p>
        </w:tc>
        <w:tc>
          <w:tcPr>
            <w:tcW w:w="1595" w:type="dxa"/>
            <w:tcBorders/>
            <w:shd w:fill="FFFFFF" w:val="clear"/>
            <w:tcMar>
              <w:bottom w:w="0" w:type="dxa"/>
            </w:tcMar>
            <w:vAlign w:val="center"/>
          </w:tcPr>
          <w:p>
            <w:pPr>
              <w:pStyle w:val="TableContents"/>
              <w:spacing w:before="0" w:after="283"/>
              <w:jc w:val="center"/>
              <w:rPr>
                <w:rFonts w:ascii="Times New Roman;Times;Serif" w:hAnsi="Times New Roman;Times;Serif"/>
              </w:rPr>
            </w:pPr>
            <w:bookmarkStart w:id="557" w:name="xdx_908_eus-gaap--DebtInstrumentDescript"/>
            <w:bookmarkEnd w:id="557"/>
            <w:r>
              <w:rPr>
                <w:rFonts w:ascii="Times New Roman;Times;Serif" w:hAnsi="Times New Roman;Times;Serif"/>
              </w:rPr>
              <w:t>4.00 to 1.00</w:t>
            </w:r>
          </w:p>
        </w:tc>
      </w:tr>
      <w:tr>
        <w:trPr/>
        <w:tc>
          <w:tcPr>
            <w:tcW w:w="3665"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December 31, 2024 – March 31, 2025</w:t>
            </w:r>
          </w:p>
        </w:tc>
        <w:tc>
          <w:tcPr>
            <w:tcW w:w="60" w:type="dxa"/>
            <w:tcBorders/>
            <w:shd w:fill="CCEEFF" w:val="clear"/>
            <w:tcMar>
              <w:bottom w:w="0" w:type="dxa"/>
            </w:tcMar>
            <w:vAlign w:val="center"/>
          </w:tcPr>
          <w:p>
            <w:pPr>
              <w:pStyle w:val="TableContents"/>
              <w:spacing w:before="0" w:after="283"/>
              <w:rPr/>
            </w:pPr>
            <w:r>
              <w:rPr/>
              <w:t> </w:t>
            </w:r>
          </w:p>
        </w:tc>
        <w:tc>
          <w:tcPr>
            <w:tcW w:w="1595" w:type="dxa"/>
            <w:tcBorders/>
            <w:shd w:fill="CCEEFF" w:val="clear"/>
            <w:tcMar>
              <w:bottom w:w="0" w:type="dxa"/>
            </w:tcMar>
            <w:vAlign w:val="center"/>
          </w:tcPr>
          <w:p>
            <w:pPr>
              <w:pStyle w:val="TableContents"/>
              <w:spacing w:before="0" w:after="283"/>
              <w:jc w:val="center"/>
              <w:rPr>
                <w:rFonts w:ascii="Times New Roman;Times;Serif" w:hAnsi="Times New Roman;Times;Serif"/>
              </w:rPr>
            </w:pPr>
            <w:bookmarkStart w:id="558" w:name="xdx_901_eus-gaap--DebtInstrumentDescript"/>
            <w:bookmarkEnd w:id="558"/>
            <w:r>
              <w:rPr>
                <w:rFonts w:ascii="Times New Roman;Times;Serif" w:hAnsi="Times New Roman;Times;Serif"/>
              </w:rPr>
              <w:t>3.25 to 1.00</w:t>
            </w:r>
          </w:p>
        </w:tc>
      </w:tr>
      <w:tr>
        <w:trPr/>
        <w:tc>
          <w:tcPr>
            <w:tcW w:w="3665" w:type="dxa"/>
            <w:tcBorders/>
            <w:shd w:fill="FFFF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June 30, 2025 and thereafter</w:t>
            </w:r>
          </w:p>
        </w:tc>
        <w:tc>
          <w:tcPr>
            <w:tcW w:w="60" w:type="dxa"/>
            <w:tcBorders/>
            <w:shd w:fill="FFFFFF" w:val="clear"/>
            <w:tcMar>
              <w:bottom w:w="0" w:type="dxa"/>
            </w:tcMar>
            <w:vAlign w:val="center"/>
          </w:tcPr>
          <w:p>
            <w:pPr>
              <w:pStyle w:val="TableContents"/>
              <w:spacing w:before="0" w:after="283"/>
              <w:rPr/>
            </w:pPr>
            <w:r>
              <w:rPr/>
              <w:t> </w:t>
            </w:r>
          </w:p>
        </w:tc>
        <w:tc>
          <w:tcPr>
            <w:tcW w:w="1595" w:type="dxa"/>
            <w:tcBorders/>
            <w:shd w:fill="FFFFFF" w:val="clear"/>
            <w:tcMar>
              <w:bottom w:w="0" w:type="dxa"/>
            </w:tcMar>
            <w:vAlign w:val="center"/>
          </w:tcPr>
          <w:p>
            <w:pPr>
              <w:pStyle w:val="TableContents"/>
              <w:spacing w:before="0" w:after="283"/>
              <w:jc w:val="center"/>
              <w:rPr>
                <w:rFonts w:ascii="Times New Roman;Times;Serif" w:hAnsi="Times New Roman;Times;Serif"/>
              </w:rPr>
            </w:pPr>
            <w:bookmarkStart w:id="559" w:name="xdx_905_eus-gaap--DebtInstrumentDescript"/>
            <w:bookmarkEnd w:id="559"/>
            <w:r>
              <w:rPr>
                <w:rFonts w:ascii="Times New Roman;Times;Serif" w:hAnsi="Times New Roman;Times;Serif"/>
              </w:rPr>
              <w:t>3.00 to 1.00</w:t>
            </w:r>
          </w:p>
        </w:tc>
      </w:tr>
    </w:tbl>
    <w:p>
      <w:pPr>
        <w:pStyle w:val="TextBody"/>
        <w:spacing w:before="0" w:after="0"/>
        <w:ind w:left="0" w:right="0" w:hanging="0"/>
        <w:jc w:val="both"/>
        <w:rPr>
          <w:caps w:val="false"/>
          <w:smallCaps w:val="false"/>
        </w:rPr>
      </w:pPr>
      <w:bookmarkStart w:id="560" w:name="xdx_8A7_zx3KWHBX0rj1"/>
      <w:bookmarkEnd w:id="560"/>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561" w:name="xdx_90A_ecustom--LiquidityDescription_c2"/>
      <w:bookmarkEnd w:id="561"/>
      <w:r>
        <w:rPr>
          <w:rFonts w:ascii="Times New Roman;Times;Serif" w:hAnsi="Times New Roman;Times;Serif"/>
          <w:b w:val="false"/>
          <w:i w:val="false"/>
          <w:caps w:val="false"/>
          <w:smallCaps w:val="false"/>
          <w:sz w:val="20"/>
        </w:rPr>
        <w:t>The Company shall not permit their liquidity (determined on a consolidated basis) to be less than $10,000 as of the last day of each fiscal month (commencing with month ending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Fixed Charge Coverage Ratio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562" w:name="xdx_909_ecustom--FixedChargeCoverageRati"/>
      <w:bookmarkEnd w:id="562"/>
      <w:r>
        <w:rPr>
          <w:rFonts w:ascii="Times New Roman;Times;Serif" w:hAnsi="Times New Roman;Times;Serif"/>
          <w:b w:val="false"/>
          <w:i w:val="false"/>
          <w:caps w:val="false"/>
          <w:smallCaps w:val="false"/>
          <w:sz w:val="20"/>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 1.00.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Expenditures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563" w:name="xdx_909_ecustom--CapitalExpendituresDesc"/>
      <w:bookmarkEnd w:id="563"/>
      <w:r>
        <w:rPr>
          <w:rFonts w:ascii="Times New Roman;Times;Serif" w:hAnsi="Times New Roman;Times;Serif"/>
          <w:b w:val="false"/>
          <w:i w:val="false"/>
          <w:caps w:val="false"/>
          <w:smallCaps w:val="false"/>
          <w:sz w:val="20"/>
        </w:rPr>
        <w:t>If consolidated EBITDA for the trailing twelve-month period ending on the most recently completed fiscal quarter is less than $15,000, then the level of capital expenditures is limited.</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F-21</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Long-Term Debt Maturities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564" w:name="xdx_89A_eus-gaap--ScheduleOfMaturitiesOf"/>
      <w:bookmarkEnd w:id="564"/>
      <w:r>
        <w:rPr>
          <w:rFonts w:ascii="Times New Roman;Times;Serif" w:hAnsi="Times New Roman;Times;Serif"/>
          <w:b w:val="false"/>
          <w:i w:val="false"/>
          <w:caps w:val="false"/>
          <w:smallCaps w:val="false"/>
          <w:sz w:val="20"/>
        </w:rPr>
        <w:t>At December 31, 2022, the future debt maturities are as follows:</w:t>
      </w:r>
    </w:p>
    <w:p>
      <w:pPr>
        <w:pStyle w:val="TextBody"/>
        <w:spacing w:before="0" w:after="0"/>
        <w:ind w:left="0" w:right="0" w:hanging="0"/>
        <w:jc w:val="both"/>
        <w:rPr>
          <w:caps w:val="false"/>
          <w:smallCaps w:val="false"/>
        </w:rPr>
      </w:pPr>
      <w:r>
        <w:rPr>
          <w:caps w:val="false"/>
          <w:smallCaps w:val="false"/>
        </w:rPr>
        <w:t> </w:t>
      </w:r>
      <w:bookmarkStart w:id="565" w:name="xdx_8BE_zBYBGGXMLd7k"/>
      <w:bookmarkEnd w:id="565"/>
      <w:r>
        <w:rPr>
          <w:rFonts w:ascii="Times New Roman;Times;Serif" w:hAnsi="Times New Roman;Times;Serif"/>
          <w:b w:val="false"/>
          <w:i w:val="false"/>
          <w:caps w:val="false"/>
          <w:smallCaps w:val="false"/>
          <w:sz w:val="20"/>
        </w:rPr>
        <w:t>SCHEDULE OF FUTURE DEBT MATURITIES</w:t>
      </w:r>
    </w:p>
    <w:tbl>
      <w:tblPr>
        <w:tblW w:w="7439" w:type="dxa"/>
        <w:jc w:val="left"/>
        <w:tblInd w:w="0" w:type="dxa"/>
        <w:tblCellMar>
          <w:top w:w="0" w:type="dxa"/>
          <w:left w:w="0" w:type="dxa"/>
          <w:bottom w:w="28" w:type="dxa"/>
          <w:right w:w="0" w:type="dxa"/>
        </w:tblCellMar>
      </w:tblPr>
      <w:tblGrid>
        <w:gridCol w:w="4880"/>
        <w:gridCol w:w="60"/>
        <w:gridCol w:w="373"/>
        <w:gridCol w:w="2016"/>
        <w:gridCol w:w="110"/>
      </w:tblGrid>
      <w:tr>
        <w:trPr/>
        <w:tc>
          <w:tcPr>
            <w:tcW w:w="4880" w:type="dxa"/>
            <w:tcBorders>
              <w:bottom w:val="single" w:sz="12" w:space="0" w:color="000000"/>
            </w:tcBorders>
            <w:shd w:fill="auto" w:val="cle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bookmarkStart w:id="566" w:name="xdx_49F_20221231_zTUrCUan6qDe"/>
            <w:bookmarkEnd w:id="566"/>
          </w:p>
        </w:tc>
        <w:tc>
          <w:tcPr>
            <w:tcW w:w="2389" w:type="dxa"/>
            <w:gridSpan w:val="2"/>
            <w:tcBorders>
              <w:bottom w:val="single" w:sz="12" w:space="0" w:color="000000"/>
            </w:tcBorders>
            <w:shd w:fill="auto" w:val="clear"/>
            <w:vAlign w:val="center"/>
          </w:tcPr>
          <w:p>
            <w:pPr>
              <w:pStyle w:val="TableContents"/>
              <w:spacing w:before="0" w:after="283"/>
              <w:jc w:val="center"/>
              <w:rPr/>
            </w:pPr>
            <w:r>
              <w:rPr/>
              <w:t> </w:t>
            </w:r>
          </w:p>
        </w:tc>
        <w:tc>
          <w:tcPr>
            <w:tcW w:w="110" w:type="dxa"/>
            <w:tcBorders/>
            <w:shd w:fill="auto" w:val="clear"/>
            <w:tcMar>
              <w:bottom w:w="0" w:type="dxa"/>
            </w:tcMar>
            <w:vAlign w:val="center"/>
          </w:tcPr>
          <w:p>
            <w:pPr>
              <w:pStyle w:val="TableContents"/>
              <w:spacing w:before="0" w:after="283"/>
              <w:rPr/>
            </w:pPr>
            <w:r>
              <w:rPr/>
              <w:t> </w:t>
            </w:r>
          </w:p>
        </w:tc>
      </w:tr>
      <w:tr>
        <w:trPr/>
        <w:tc>
          <w:tcPr>
            <w:tcW w:w="4880"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For the Years Ending December 31,</w:t>
            </w:r>
          </w:p>
        </w:tc>
        <w:tc>
          <w:tcPr>
            <w:tcW w:w="60" w:type="dxa"/>
            <w:tcBorders/>
            <w:shd w:fill="auto" w:val="clear"/>
            <w:tcMar>
              <w:bottom w:w="0" w:type="dxa"/>
            </w:tcMar>
            <w:vAlign w:val="center"/>
          </w:tcPr>
          <w:p>
            <w:pPr>
              <w:pStyle w:val="TableContents"/>
              <w:spacing w:before="0" w:after="283"/>
              <w:rPr/>
            </w:pPr>
            <w:r>
              <w:rPr/>
              <w:t> </w:t>
            </w:r>
          </w:p>
        </w:tc>
        <w:tc>
          <w:tcPr>
            <w:tcW w:w="2389"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Future Debt Maturities</w:t>
            </w:r>
          </w:p>
        </w:tc>
        <w:tc>
          <w:tcPr>
            <w:tcW w:w="110" w:type="dxa"/>
            <w:tcBorders/>
            <w:shd w:fill="auto" w:val="clear"/>
            <w:tcMar>
              <w:bottom w:w="0" w:type="dxa"/>
            </w:tcMar>
            <w:vAlign w:val="center"/>
          </w:tcPr>
          <w:p>
            <w:pPr>
              <w:pStyle w:val="TableContents"/>
              <w:spacing w:before="0" w:after="283"/>
              <w:rPr/>
            </w:pPr>
            <w:r>
              <w:rPr/>
              <w:t> </w:t>
            </w:r>
            <w:bookmarkStart w:id="567" w:name="xdx_408_eus-gaap--LongTermDebtMaturities"/>
            <w:bookmarkEnd w:id="567"/>
          </w:p>
        </w:tc>
      </w:tr>
      <w:tr>
        <w:trPr/>
        <w:tc>
          <w:tcPr>
            <w:tcW w:w="488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spacing w:before="0" w:after="283"/>
              <w:rPr/>
            </w:pPr>
            <w:r>
              <w:rPr/>
              <w:t> </w:t>
            </w:r>
          </w:p>
        </w:tc>
        <w:tc>
          <w:tcPr>
            <w:tcW w:w="373"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2016"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tcMar>
              <w:bottom w:w="0" w:type="dxa"/>
            </w:tcMar>
            <w:vAlign w:val="center"/>
          </w:tcPr>
          <w:p>
            <w:pPr>
              <w:pStyle w:val="TableContents"/>
              <w:spacing w:before="0" w:after="283"/>
              <w:jc w:val="left"/>
              <w:rPr/>
            </w:pPr>
            <w:r>
              <w:rPr/>
              <w:t> </w:t>
            </w:r>
            <w:bookmarkStart w:id="568" w:name="xdx_40E_eus-gaap--LongTermDebtMaturities"/>
            <w:bookmarkEnd w:id="568"/>
          </w:p>
        </w:tc>
      </w:tr>
      <w:tr>
        <w:trPr/>
        <w:tc>
          <w:tcPr>
            <w:tcW w:w="488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2024</w:t>
            </w:r>
          </w:p>
        </w:tc>
        <w:tc>
          <w:tcPr>
            <w:tcW w:w="60" w:type="dxa"/>
            <w:tcBorders/>
            <w:shd w:fill="FFFFFF" w:val="clear"/>
            <w:tcMar>
              <w:bottom w:w="0" w:type="dxa"/>
            </w:tcMar>
            <w:vAlign w:val="center"/>
          </w:tcPr>
          <w:p>
            <w:pPr>
              <w:pStyle w:val="TableContents"/>
              <w:spacing w:before="0" w:after="283"/>
              <w:rPr/>
            </w:pPr>
            <w:r>
              <w:rPr/>
              <w:t> </w:t>
            </w:r>
          </w:p>
        </w:tc>
        <w:tc>
          <w:tcPr>
            <w:tcW w:w="373" w:type="dxa"/>
            <w:tcBorders/>
            <w:shd w:fill="FFFFFF" w:val="clear"/>
            <w:tcMar>
              <w:bottom w:w="0" w:type="dxa"/>
            </w:tcMar>
            <w:vAlign w:val="center"/>
          </w:tcPr>
          <w:p>
            <w:pPr>
              <w:pStyle w:val="TableContents"/>
              <w:spacing w:before="0" w:after="283"/>
              <w:jc w:val="left"/>
              <w:rPr/>
            </w:pPr>
            <w:r>
              <w:rPr/>
              <w:t> </w:t>
            </w:r>
          </w:p>
        </w:tc>
        <w:tc>
          <w:tcPr>
            <w:tcW w:w="2016"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938</w:t>
            </w:r>
          </w:p>
        </w:tc>
        <w:tc>
          <w:tcPr>
            <w:tcW w:w="110" w:type="dxa"/>
            <w:tcBorders/>
            <w:shd w:fill="FFFFFF" w:val="clear"/>
            <w:tcMar>
              <w:bottom w:w="0" w:type="dxa"/>
            </w:tcMar>
            <w:vAlign w:val="center"/>
          </w:tcPr>
          <w:p>
            <w:pPr>
              <w:pStyle w:val="TableContents"/>
              <w:spacing w:before="0" w:after="283"/>
              <w:jc w:val="left"/>
              <w:rPr/>
            </w:pPr>
            <w:r>
              <w:rPr/>
              <w:t> </w:t>
            </w:r>
            <w:bookmarkStart w:id="569" w:name="xdx_404_eus-gaap--LongTermDebtMaturities"/>
            <w:bookmarkEnd w:id="569"/>
          </w:p>
        </w:tc>
      </w:tr>
      <w:tr>
        <w:trPr/>
        <w:tc>
          <w:tcPr>
            <w:tcW w:w="488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spacing w:before="0" w:after="283"/>
              <w:rPr/>
            </w:pPr>
            <w:r>
              <w:rPr/>
              <w:t> </w:t>
            </w:r>
          </w:p>
        </w:tc>
        <w:tc>
          <w:tcPr>
            <w:tcW w:w="373" w:type="dxa"/>
            <w:tcBorders/>
            <w:shd w:fill="CCEEFF" w:val="clear"/>
            <w:tcMar>
              <w:bottom w:w="0" w:type="dxa"/>
            </w:tcMar>
            <w:vAlign w:val="center"/>
          </w:tcPr>
          <w:p>
            <w:pPr>
              <w:pStyle w:val="TableContents"/>
              <w:spacing w:before="0" w:after="283"/>
              <w:jc w:val="left"/>
              <w:rPr/>
            </w:pPr>
            <w:r>
              <w:rPr/>
              <w:t> </w:t>
            </w:r>
          </w:p>
        </w:tc>
        <w:tc>
          <w:tcPr>
            <w:tcW w:w="2016"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3,750</w:t>
            </w:r>
          </w:p>
        </w:tc>
        <w:tc>
          <w:tcPr>
            <w:tcW w:w="110" w:type="dxa"/>
            <w:tcBorders/>
            <w:shd w:fill="CCEEFF" w:val="clear"/>
            <w:tcMar>
              <w:bottom w:w="0" w:type="dxa"/>
            </w:tcMar>
            <w:vAlign w:val="center"/>
          </w:tcPr>
          <w:p>
            <w:pPr>
              <w:pStyle w:val="TableContents"/>
              <w:spacing w:before="0" w:after="283"/>
              <w:jc w:val="left"/>
              <w:rPr/>
            </w:pPr>
            <w:r>
              <w:rPr/>
              <w:t> </w:t>
            </w:r>
            <w:bookmarkStart w:id="570" w:name="xdx_402_eus-gaap--LongTermDebtMaturities"/>
            <w:bookmarkEnd w:id="570"/>
          </w:p>
        </w:tc>
      </w:tr>
      <w:tr>
        <w:trPr/>
        <w:tc>
          <w:tcPr>
            <w:tcW w:w="488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tcMar>
              <w:bottom w:w="0" w:type="dxa"/>
            </w:tcMar>
            <w:vAlign w:val="center"/>
          </w:tcPr>
          <w:p>
            <w:pPr>
              <w:pStyle w:val="TableContents"/>
              <w:spacing w:before="0" w:after="283"/>
              <w:rPr/>
            </w:pPr>
            <w:r>
              <w:rPr/>
              <w:t> </w:t>
            </w:r>
          </w:p>
        </w:tc>
        <w:tc>
          <w:tcPr>
            <w:tcW w:w="373" w:type="dxa"/>
            <w:tcBorders>
              <w:bottom w:val="single" w:sz="12" w:space="0" w:color="000000"/>
            </w:tcBorders>
            <w:shd w:fill="FFFFFF" w:val="clear"/>
            <w:vAlign w:val="center"/>
          </w:tcPr>
          <w:p>
            <w:pPr>
              <w:pStyle w:val="TableContents"/>
              <w:spacing w:before="0" w:after="283"/>
              <w:jc w:val="left"/>
              <w:rPr/>
            </w:pPr>
            <w:r>
              <w:rPr/>
              <w:t> </w:t>
            </w:r>
          </w:p>
        </w:tc>
        <w:tc>
          <w:tcPr>
            <w:tcW w:w="2016"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91,809</w:t>
            </w:r>
          </w:p>
        </w:tc>
        <w:tc>
          <w:tcPr>
            <w:tcW w:w="110" w:type="dxa"/>
            <w:tcBorders/>
            <w:shd w:fill="FFFFFF" w:val="clear"/>
            <w:tcMar>
              <w:bottom w:w="0" w:type="dxa"/>
            </w:tcMar>
            <w:vAlign w:val="center"/>
          </w:tcPr>
          <w:p>
            <w:pPr>
              <w:pStyle w:val="TableContents"/>
              <w:spacing w:before="0" w:after="283"/>
              <w:jc w:val="left"/>
              <w:rPr/>
            </w:pPr>
            <w:r>
              <w:rPr/>
              <w:t> </w:t>
            </w:r>
            <w:bookmarkStart w:id="571" w:name="xdx_408_ecustom--LongTermDebtMaturitiesR"/>
            <w:bookmarkEnd w:id="571"/>
          </w:p>
        </w:tc>
      </w:tr>
      <w:tr>
        <w:trPr/>
        <w:tc>
          <w:tcPr>
            <w:tcW w:w="488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spacing w:before="0" w:after="283"/>
              <w:rPr/>
            </w:pPr>
            <w:r>
              <w:rPr/>
              <w:t> </w:t>
            </w:r>
          </w:p>
        </w:tc>
        <w:tc>
          <w:tcPr>
            <w:tcW w:w="373" w:type="dxa"/>
            <w:tcBorders/>
            <w:shd w:fill="CCEEFF" w:val="clear"/>
            <w:tcMar>
              <w:bottom w:w="0" w:type="dxa"/>
            </w:tcMar>
            <w:vAlign w:val="center"/>
          </w:tcPr>
          <w:p>
            <w:pPr>
              <w:pStyle w:val="TableContents"/>
              <w:spacing w:before="0" w:after="283"/>
              <w:jc w:val="left"/>
              <w:rPr/>
            </w:pPr>
            <w:r>
              <w:rPr/>
              <w:t> </w:t>
            </w:r>
          </w:p>
        </w:tc>
        <w:tc>
          <w:tcPr>
            <w:tcW w:w="2016"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96,497</w:t>
            </w:r>
          </w:p>
        </w:tc>
        <w:tc>
          <w:tcPr>
            <w:tcW w:w="110" w:type="dxa"/>
            <w:tcBorders/>
            <w:shd w:fill="CCEEFF" w:val="clear"/>
            <w:tcMar>
              <w:bottom w:w="0" w:type="dxa"/>
            </w:tcMar>
            <w:vAlign w:val="center"/>
          </w:tcPr>
          <w:p>
            <w:pPr>
              <w:pStyle w:val="TableContents"/>
              <w:spacing w:before="0" w:after="283"/>
              <w:jc w:val="left"/>
              <w:rPr/>
            </w:pPr>
            <w:r>
              <w:rPr/>
              <w:t> </w:t>
            </w:r>
            <w:bookmarkStart w:id="572" w:name="xdx_402_ecustom--EstimatedInterestPaidin"/>
            <w:bookmarkEnd w:id="572"/>
          </w:p>
        </w:tc>
      </w:tr>
      <w:tr>
        <w:trPr/>
        <w:tc>
          <w:tcPr>
            <w:tcW w:w="488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Less: Estimated interest paid-in-kind</w:t>
            </w:r>
          </w:p>
        </w:tc>
        <w:tc>
          <w:tcPr>
            <w:tcW w:w="60" w:type="dxa"/>
            <w:tcBorders/>
            <w:shd w:fill="FFFFFF" w:val="clear"/>
            <w:tcMar>
              <w:bottom w:w="0" w:type="dxa"/>
            </w:tcMar>
            <w:vAlign w:val="center"/>
          </w:tcPr>
          <w:p>
            <w:pPr>
              <w:pStyle w:val="TableContents"/>
              <w:spacing w:before="0" w:after="283"/>
              <w:rPr/>
            </w:pPr>
            <w:r>
              <w:rPr/>
              <w:t> </w:t>
            </w:r>
          </w:p>
        </w:tc>
        <w:tc>
          <w:tcPr>
            <w:tcW w:w="373" w:type="dxa"/>
            <w:tcBorders>
              <w:bottom w:val="single" w:sz="12" w:space="0" w:color="000000"/>
            </w:tcBorders>
            <w:shd w:fill="FFFFFF" w:val="clear"/>
            <w:vAlign w:val="center"/>
          </w:tcPr>
          <w:p>
            <w:pPr>
              <w:pStyle w:val="TableContents"/>
              <w:spacing w:before="0" w:after="283"/>
              <w:jc w:val="left"/>
              <w:rPr/>
            </w:pPr>
            <w:r>
              <w:rPr/>
              <w:t> </w:t>
            </w:r>
          </w:p>
        </w:tc>
        <w:tc>
          <w:tcPr>
            <w:tcW w:w="2016"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(20,305</w:t>
            </w:r>
          </w:p>
        </w:tc>
        <w:tc>
          <w:tcPr>
            <w:tcW w:w="11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573" w:name="xdx_401_eus-gaap--LongTermDebt_iTI_pn3n3"/>
            <w:bookmarkEnd w:id="573"/>
          </w:p>
        </w:tc>
      </w:tr>
      <w:tr>
        <w:trPr/>
        <w:tc>
          <w:tcPr>
            <w:tcW w:w="488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debt</w:t>
            </w:r>
          </w:p>
        </w:tc>
        <w:tc>
          <w:tcPr>
            <w:tcW w:w="60" w:type="dxa"/>
            <w:tcBorders/>
            <w:shd w:fill="CCEEFF" w:val="clear"/>
            <w:tcMar>
              <w:bottom w:w="0" w:type="dxa"/>
            </w:tcMar>
            <w:vAlign w:val="center"/>
          </w:tcPr>
          <w:p>
            <w:pPr>
              <w:pStyle w:val="TableContents"/>
              <w:spacing w:before="0" w:after="283"/>
              <w:rPr/>
            </w:pPr>
            <w:r>
              <w:rPr/>
              <w:t> </w:t>
            </w:r>
          </w:p>
        </w:tc>
        <w:tc>
          <w:tcPr>
            <w:tcW w:w="373" w:type="dxa"/>
            <w:tcBorders>
              <w:bottom w:val="single" w:sz="12" w:space="0" w:color="000000"/>
            </w:tcBorders>
            <w:shd w:fill="CCEEFF" w:val="clear"/>
            <w:vAlign w:val="center"/>
          </w:tcPr>
          <w:p>
            <w:pPr>
              <w:pStyle w:val="TableContents"/>
              <w:spacing w:before="0" w:after="283"/>
              <w:jc w:val="left"/>
              <w:rPr/>
            </w:pPr>
            <w:r>
              <w:rPr/>
              <w:t> </w:t>
            </w:r>
          </w:p>
        </w:tc>
        <w:tc>
          <w:tcPr>
            <w:tcW w:w="2016" w:type="dxa"/>
            <w:tcBorders>
              <w:bottom w:val="single" w:sz="12" w:space="0" w:color="000000"/>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76,192</w:t>
            </w:r>
          </w:p>
        </w:tc>
        <w:tc>
          <w:tcPr>
            <w:tcW w:w="110" w:type="dxa"/>
            <w:tcBorders/>
            <w:shd w:fill="CCEEFF" w:val="clear"/>
            <w:tcMar>
              <w:bottom w:w="0" w:type="dxa"/>
            </w:tcMar>
            <w:vAlign w:val="center"/>
          </w:tcPr>
          <w:p>
            <w:pPr>
              <w:pStyle w:val="TableContents"/>
              <w:spacing w:before="0" w:after="283"/>
              <w:jc w:val="left"/>
              <w:rPr/>
            </w:pPr>
            <w:r>
              <w:rPr/>
              <w:t> </w:t>
            </w:r>
            <w:bookmarkStart w:id="574" w:name="xdx_407_eus-gaap--DeferredFinanceCostsNe"/>
            <w:bookmarkEnd w:id="574"/>
          </w:p>
        </w:tc>
      </w:tr>
      <w:tr>
        <w:trPr/>
        <w:tc>
          <w:tcPr>
            <w:tcW w:w="488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Less: Unamortized debt issuance costs, non-current</w:t>
            </w:r>
          </w:p>
        </w:tc>
        <w:tc>
          <w:tcPr>
            <w:tcW w:w="60" w:type="dxa"/>
            <w:tcBorders/>
            <w:shd w:fill="FFFFFF" w:val="clear"/>
            <w:tcMar>
              <w:bottom w:w="0" w:type="dxa"/>
            </w:tcMar>
            <w:vAlign w:val="center"/>
          </w:tcPr>
          <w:p>
            <w:pPr>
              <w:pStyle w:val="TableContents"/>
              <w:spacing w:before="0" w:after="283"/>
              <w:rPr/>
            </w:pPr>
            <w:r>
              <w:rPr/>
              <w:t> </w:t>
            </w:r>
          </w:p>
        </w:tc>
        <w:tc>
          <w:tcPr>
            <w:tcW w:w="373" w:type="dxa"/>
            <w:tcBorders>
              <w:bottom w:val="single" w:sz="12" w:space="0" w:color="000000"/>
            </w:tcBorders>
            <w:shd w:fill="FFFFFF" w:val="clear"/>
            <w:vAlign w:val="center"/>
          </w:tcPr>
          <w:p>
            <w:pPr>
              <w:pStyle w:val="TableContents"/>
              <w:spacing w:before="0" w:after="283"/>
              <w:jc w:val="left"/>
              <w:rPr/>
            </w:pPr>
            <w:r>
              <w:rPr/>
              <w:t> </w:t>
            </w:r>
          </w:p>
        </w:tc>
        <w:tc>
          <w:tcPr>
            <w:tcW w:w="2016"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(56,950</w:t>
            </w:r>
          </w:p>
        </w:tc>
        <w:tc>
          <w:tcPr>
            <w:tcW w:w="11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575" w:name="xdx_40F_eus-gaap--DebtInstrumentCarrying"/>
            <w:bookmarkEnd w:id="575"/>
          </w:p>
        </w:tc>
      </w:tr>
      <w:tr>
        <w:trPr/>
        <w:tc>
          <w:tcPr>
            <w:tcW w:w="488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carrying amount</w:t>
            </w:r>
          </w:p>
        </w:tc>
        <w:tc>
          <w:tcPr>
            <w:tcW w:w="60" w:type="dxa"/>
            <w:tcBorders/>
            <w:shd w:fill="CCEEFF" w:val="clear"/>
            <w:tcMar>
              <w:bottom w:w="0" w:type="dxa"/>
            </w:tcMar>
            <w:vAlign w:val="center"/>
          </w:tcPr>
          <w:p>
            <w:pPr>
              <w:pStyle w:val="TableContents"/>
              <w:spacing w:before="0" w:after="283"/>
              <w:rPr/>
            </w:pPr>
            <w:r>
              <w:rPr/>
              <w:t> </w:t>
            </w:r>
          </w:p>
        </w:tc>
        <w:tc>
          <w:tcPr>
            <w:tcW w:w="373" w:type="dxa"/>
            <w:tcBorders>
              <w:bottom w:val="single" w:sz="12" w:space="0" w:color="000000"/>
            </w:tcBorders>
            <w:shd w:fill="CCEEFF" w:val="clear"/>
            <w:vAlign w:val="center"/>
          </w:tcPr>
          <w:p>
            <w:pPr>
              <w:pStyle w:val="TableContents"/>
              <w:spacing w:before="0" w:after="283"/>
              <w:jc w:val="left"/>
              <w:rPr/>
            </w:pPr>
            <w:r>
              <w:rPr/>
              <w:t> </w:t>
            </w:r>
          </w:p>
        </w:tc>
        <w:tc>
          <w:tcPr>
            <w:tcW w:w="2016" w:type="dxa"/>
            <w:tcBorders>
              <w:bottom w:val="single" w:sz="12" w:space="0" w:color="000000"/>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19,242</w:t>
            </w:r>
          </w:p>
        </w:tc>
        <w:tc>
          <w:tcPr>
            <w:tcW w:w="110" w:type="dxa"/>
            <w:tcBorders/>
            <w:shd w:fill="CCEEFF" w:val="clear"/>
            <w:tcMar>
              <w:bottom w:w="0" w:type="dxa"/>
            </w:tcMar>
            <w:vAlign w:val="center"/>
          </w:tcPr>
          <w:p>
            <w:pPr>
              <w:pStyle w:val="TableContents"/>
              <w:spacing w:before="0" w:after="283"/>
              <w:jc w:val="left"/>
              <w:rPr/>
            </w:pPr>
            <w:r>
              <w:rPr/>
              <w:t> </w:t>
            </w:r>
            <w:bookmarkStart w:id="576" w:name="xdx_407_eus-gaap--LongTermDebtCurrent_iN"/>
            <w:bookmarkEnd w:id="576"/>
          </w:p>
        </w:tc>
      </w:tr>
      <w:tr>
        <w:trPr/>
        <w:tc>
          <w:tcPr>
            <w:tcW w:w="488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Less: current portion of debt</w:t>
            </w:r>
          </w:p>
        </w:tc>
        <w:tc>
          <w:tcPr>
            <w:tcW w:w="60" w:type="dxa"/>
            <w:tcBorders/>
            <w:shd w:fill="FFFFFF" w:val="clear"/>
            <w:tcMar>
              <w:bottom w:w="0" w:type="dxa"/>
            </w:tcMar>
            <w:vAlign w:val="center"/>
          </w:tcPr>
          <w:p>
            <w:pPr>
              <w:pStyle w:val="TableContents"/>
              <w:spacing w:before="0" w:after="283"/>
              <w:rPr/>
            </w:pPr>
            <w:r>
              <w:rPr/>
              <w:t> </w:t>
            </w:r>
          </w:p>
        </w:tc>
        <w:tc>
          <w:tcPr>
            <w:tcW w:w="373" w:type="dxa"/>
            <w:tcBorders>
              <w:bottom w:val="single" w:sz="12" w:space="0" w:color="000000"/>
            </w:tcBorders>
            <w:shd w:fill="FFFFFF" w:val="clear"/>
            <w:vAlign w:val="center"/>
          </w:tcPr>
          <w:p>
            <w:pPr>
              <w:pStyle w:val="TableContents"/>
              <w:spacing w:before="0" w:after="283"/>
              <w:jc w:val="left"/>
              <w:rPr/>
            </w:pPr>
            <w:r>
              <w:rPr/>
              <w:t> </w:t>
            </w:r>
          </w:p>
        </w:tc>
        <w:tc>
          <w:tcPr>
            <w:tcW w:w="2016"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(19,242</w:t>
            </w:r>
          </w:p>
        </w:tc>
        <w:tc>
          <w:tcPr>
            <w:tcW w:w="11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577" w:name="xdx_401_eus-gaap--LongTermDebtNoncurrent"/>
            <w:bookmarkEnd w:id="577"/>
          </w:p>
        </w:tc>
      </w:tr>
      <w:tr>
        <w:trPr/>
        <w:tc>
          <w:tcPr>
            <w:tcW w:w="488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long-term debt</w:t>
            </w:r>
          </w:p>
        </w:tc>
        <w:tc>
          <w:tcPr>
            <w:tcW w:w="60" w:type="dxa"/>
            <w:tcBorders/>
            <w:shd w:fill="CCEEFF" w:val="clear"/>
            <w:tcMar>
              <w:bottom w:w="0" w:type="dxa"/>
            </w:tcMar>
            <w:vAlign w:val="center"/>
          </w:tcPr>
          <w:p>
            <w:pPr>
              <w:pStyle w:val="TableContents"/>
              <w:spacing w:before="0" w:after="283"/>
              <w:rPr/>
            </w:pPr>
            <w:r>
              <w:rPr/>
              <w:t> </w:t>
            </w:r>
          </w:p>
        </w:tc>
        <w:tc>
          <w:tcPr>
            <w:tcW w:w="373"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2016"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bookmarkStart w:id="578" w:name="xdx_8A8_znQ3vJBMqNn"/>
      <w:bookmarkEnd w:id="578"/>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The Company concluded it is probable it will not comply with future financial covenants. As a result, the Company classified the entire Term Loan balance in current liabilities on the balance sheet as of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bookmarkStart w:id="579" w:name="xdx_800_ecustom--RevolvingNoteAgreementT"/>
      <w:bookmarkEnd w:id="579"/>
      <w:r>
        <w:rPr>
          <w:rFonts w:ascii="Times New Roman;Times;Serif" w:hAnsi="Times New Roman;Times;Serif"/>
          <w:b/>
          <w:i w:val="false"/>
          <w:caps/>
          <w:sz w:val="20"/>
        </w:rPr>
        <w:t xml:space="preserve">Note 8 - </w:t>
      </w:r>
      <w:bookmarkStart w:id="580" w:name="xdx_822_ziso0LAw4UU4"/>
      <w:bookmarkEnd w:id="580"/>
      <w:r>
        <w:rPr>
          <w:rFonts w:ascii="Times New Roman;Times;Serif" w:hAnsi="Times New Roman;Times;Serif"/>
          <w:b/>
          <w:i w:val="false"/>
          <w:caps/>
          <w:sz w:val="20"/>
        </w:rPr>
        <w:t>REVOLVING NOTE AGREEMENT</w:t>
      </w:r>
    </w:p>
    <w:p>
      <w:pPr>
        <w:pStyle w:val="TextBody"/>
        <w:spacing w:before="0" w:after="0"/>
        <w:ind w:left="0" w:right="0" w:hanging="0"/>
        <w:jc w:val="both"/>
        <w:rPr>
          <w:caps/>
        </w:rPr>
      </w:pPr>
      <w:r>
        <w:rPr>
          <w:caps/>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2021, the Company entered into a revolving note agreement with a lender to borrow up to $</w:t>
      </w:r>
      <w:bookmarkStart w:id="581" w:name="xdx_90A_eus-gaap--LineOfCreditFacilityMa"/>
      <w:bookmarkEnd w:id="581"/>
      <w:r>
        <w:rPr>
          <w:rFonts w:ascii="Times New Roman;Times;Serif" w:hAnsi="Times New Roman;Times;Serif"/>
          <w:b w:val="false"/>
          <w:i w:val="false"/>
          <w:caps w:val="false"/>
          <w:smallCaps w:val="false"/>
          <w:sz w:val="20"/>
        </w:rPr>
        <w:t xml:space="preserve">8,000. The borrowing amount is limited and based on the lesser of maximum principal amount of </w:t>
      </w:r>
      <w:bookmarkStart w:id="582" w:name="xdx_90D_eus-gaap--LineOfCreditFacilityMa"/>
      <w:bookmarkEnd w:id="582"/>
      <w:r>
        <w:rPr>
          <w:rFonts w:ascii="Times New Roman;Times;Serif" w:hAnsi="Times New Roman;Times;Serif"/>
          <w:b w:val="false"/>
          <w:i w:val="false"/>
          <w:caps w:val="false"/>
          <w:smallCaps w:val="false"/>
          <w:sz w:val="20"/>
        </w:rPr>
        <w:t xml:space="preserve">$8,000 and the sum equal to </w:t>
      </w:r>
      <w:bookmarkStart w:id="583" w:name="xdx_904_ecustom--PercentageOfEligibleAcc"/>
      <w:bookmarkEnd w:id="583"/>
      <w:r>
        <w:rPr>
          <w:rFonts w:ascii="Times New Roman;Times;Serif" w:hAnsi="Times New Roman;Times;Serif"/>
          <w:b w:val="false"/>
          <w:i w:val="false"/>
          <w:caps w:val="false"/>
          <w:smallCaps w:val="false"/>
          <w:sz w:val="20"/>
        </w:rPr>
        <w:t xml:space="preserve">80% of eligible accounts receivable and </w:t>
      </w:r>
      <w:bookmarkStart w:id="584" w:name="xdx_901_ecustom--PercentageOfEligibleInv"/>
      <w:bookmarkEnd w:id="584"/>
      <w:r>
        <w:rPr>
          <w:rFonts w:ascii="Times New Roman;Times;Serif" w:hAnsi="Times New Roman;Times;Serif"/>
          <w:b w:val="false"/>
          <w:i w:val="false"/>
          <w:caps w:val="false"/>
          <w:smallCaps w:val="false"/>
          <w:sz w:val="20"/>
        </w:rPr>
        <w:t>50% of eligible inventory. Interest on each advance shall accrue at the prime rate announced by US Bank from time to time, as and when such rate changes. The revolving credit amount is collateralized by all assets of the Company. The Company drew an initial amount of $</w:t>
      </w:r>
      <w:bookmarkStart w:id="585" w:name="xdx_90A_eus-gaap--ProceedsFromLinesOfCre"/>
      <w:bookmarkEnd w:id="585"/>
      <w:r>
        <w:rPr>
          <w:rFonts w:ascii="Times New Roman;Times;Serif" w:hAnsi="Times New Roman;Times;Serif"/>
          <w:b w:val="false"/>
          <w:i w:val="false"/>
          <w:caps w:val="false"/>
          <w:smallCaps w:val="false"/>
          <w:sz w:val="20"/>
        </w:rPr>
        <w:t>5,000 under the facility, which it subsequently re-paid and the revolving note was terminated as a closing condition of the 2021-6 Notes.</w:t>
      </w:r>
    </w:p>
    <w:p>
      <w:pPr>
        <w:pStyle w:val="TextBody"/>
        <w:spacing w:before="0" w:after="0"/>
        <w:ind w:left="0" w:right="0" w:hanging="0"/>
        <w:jc w:val="both"/>
        <w:rPr>
          <w:caps/>
        </w:rPr>
      </w:pPr>
      <w:r>
        <w:rPr>
          <w:caps/>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F-22</w:t>
            </w:r>
          </w:p>
        </w:tc>
      </w:tr>
    </w:tbl>
    <w:p>
      <w:pPr>
        <w:pStyle w:val="TextBody"/>
        <w:spacing w:before="120" w:after="283"/>
        <w:rPr/>
      </w:pPr>
      <w:r>
        <w:rPr/>
        <w:t> </w:t>
      </w:r>
    </w:p>
    <w:p>
      <w:pPr>
        <w:pStyle w:val="TextBody"/>
        <w:spacing w:before="0" w:after="0"/>
        <w:ind w:left="0" w:right="0" w:hanging="0"/>
        <w:jc w:val="both"/>
        <w:rPr>
          <w:caps/>
        </w:rPr>
      </w:pPr>
      <w:r>
        <w:rPr>
          <w:caps/>
        </w:rPr>
        <w:t> </w:t>
      </w:r>
    </w:p>
    <w:p>
      <w:pPr>
        <w:pStyle w:val="TextBody"/>
        <w:spacing w:before="0" w:after="0"/>
        <w:ind w:left="0" w:right="0" w:hanging="0"/>
        <w:jc w:val="both"/>
        <w:rPr>
          <w:rFonts w:ascii="Times New Roman;Times;Serif" w:hAnsi="Times New Roman;Times;Serif"/>
          <w:b/>
          <w:i w:val="false"/>
          <w:caps/>
          <w:sz w:val="20"/>
        </w:rPr>
      </w:pPr>
      <w:bookmarkStart w:id="586" w:name="xdx_804_eus-gaap--IncomeTaxDisclosureTex"/>
      <w:bookmarkEnd w:id="586"/>
      <w:r>
        <w:rPr>
          <w:rFonts w:ascii="Times New Roman;Times;Serif" w:hAnsi="Times New Roman;Times;Serif"/>
          <w:b/>
          <w:i w:val="false"/>
          <w:caps/>
          <w:sz w:val="20"/>
        </w:rPr>
        <w:t xml:space="preserve">Note 9 - </w:t>
      </w:r>
      <w:bookmarkStart w:id="587" w:name="xdx_825_zRSjJY6NoUW7"/>
      <w:bookmarkEnd w:id="587"/>
      <w:r>
        <w:rPr>
          <w:rFonts w:ascii="Times New Roman;Times;Serif" w:hAnsi="Times New Roman;Times;Serif"/>
          <w:b/>
          <w:i w:val="false"/>
          <w:caps/>
          <w:sz w:val="20"/>
        </w:rPr>
        <w:t>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588" w:name="xdx_89C_eus-gaap--ScheduleOfComponentsOf"/>
      <w:bookmarkEnd w:id="588"/>
      <w:r>
        <w:rPr>
          <w:rFonts w:ascii="Times New Roman;Times;Serif" w:hAnsi="Times New Roman;Times;Serif"/>
          <w:b w:val="false"/>
          <w:i w:val="false"/>
          <w:caps w:val="false"/>
          <w:smallCaps w:val="false"/>
          <w:sz w:val="20"/>
        </w:rPr>
        <w:t>The income tax expense consists of the following items: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589" w:name="xdx_8B4_zy2I2ARopBn1"/>
      <w:bookmarkEnd w:id="589"/>
      <w:r>
        <w:rPr>
          <w:rFonts w:ascii="Times New Roman;Times;Serif" w:hAnsi="Times New Roman;Times;Serif"/>
          <w:b w:val="false"/>
          <w:i w:val="false"/>
          <w:caps w:val="false"/>
          <w:smallCaps w:val="false"/>
          <w:sz w:val="20"/>
        </w:rPr>
        <w:t>SCHEDULE OF INCOME TAX EXPENSE </w:t>
      </w:r>
    </w:p>
    <w:tbl>
      <w:tblPr>
        <w:tblW w:w="3285" w:type="dxa"/>
        <w:jc w:val="left"/>
        <w:tblInd w:w="0" w:type="dxa"/>
        <w:tblCellMar>
          <w:top w:w="0" w:type="dxa"/>
          <w:left w:w="0" w:type="dxa"/>
          <w:bottom w:w="0" w:type="dxa"/>
          <w:right w:w="0" w:type="dxa"/>
        </w:tblCellMar>
      </w:tblPr>
      <w:tblGrid>
        <w:gridCol w:w="1700"/>
        <w:gridCol w:w="60"/>
        <w:gridCol w:w="140"/>
        <w:gridCol w:w="455"/>
        <w:gridCol w:w="95"/>
        <w:gridCol w:w="60"/>
        <w:gridCol w:w="140"/>
        <w:gridCol w:w="560"/>
        <w:gridCol w:w="75"/>
      </w:tblGrid>
      <w:tr>
        <w:trPr/>
        <w:tc>
          <w:tcPr>
            <w:tcW w:w="17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bookmarkStart w:id="590" w:name="xdx_491_20220101__20221231_zuOlbZbA7XP7"/>
            <w:bookmarkEnd w:id="590"/>
          </w:p>
        </w:tc>
        <w:tc>
          <w:tcPr>
            <w:tcW w:w="5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2022</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bookmarkStart w:id="591" w:name="xdx_495_20210101__20211231_zMyNFMXQHFtb"/>
            <w:bookmarkEnd w:id="591"/>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2021</w:t>
            </w:r>
          </w:p>
        </w:tc>
        <w:tc>
          <w:tcPr>
            <w:tcW w:w="75" w:type="dxa"/>
            <w:tcBorders/>
            <w:shd w:fill="auto" w:val="clear"/>
            <w:vAlign w:val="center"/>
          </w:tcPr>
          <w:p>
            <w:pPr>
              <w:pStyle w:val="TableContents"/>
              <w:spacing w:before="0" w:after="283"/>
              <w:jc w:val="center"/>
              <w:rPr/>
            </w:pPr>
            <w:r>
              <w:rPr/>
              <w:t> </w:t>
            </w:r>
            <w:bookmarkStart w:id="592" w:name="xdx_406_eus-gaap--CurrentIncomeTaxExpens"/>
            <w:bookmarkEnd w:id="592"/>
          </w:p>
        </w:tc>
      </w:tr>
      <w:tr>
        <w:trPr/>
        <w:tc>
          <w:tcPr>
            <w:tcW w:w="170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4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(257</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1,489</w:t>
            </w:r>
          </w:p>
        </w:tc>
        <w:tc>
          <w:tcPr>
            <w:tcW w:w="75" w:type="dxa"/>
            <w:tcBorders/>
            <w:shd w:fill="CCEEFF" w:val="clear"/>
            <w:vAlign w:val="center"/>
          </w:tcPr>
          <w:p>
            <w:pPr>
              <w:pStyle w:val="TableContents"/>
              <w:spacing w:before="0" w:after="283"/>
              <w:jc w:val="left"/>
              <w:rPr/>
            </w:pPr>
            <w:r>
              <w:rPr/>
              <w:t> </w:t>
            </w:r>
            <w:bookmarkStart w:id="593" w:name="xdx_40E_eus-gaap--DeferredIncomeTaxesAnd"/>
            <w:bookmarkEnd w:id="593"/>
          </w:p>
        </w:tc>
      </w:tr>
      <w:tr>
        <w:trPr/>
        <w:tc>
          <w:tcPr>
            <w:tcW w:w="17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Deferred</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(452</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122</w:t>
            </w:r>
          </w:p>
        </w:tc>
        <w:tc>
          <w:tcPr>
            <w:tcW w:w="75" w:type="dxa"/>
            <w:tcBorders/>
            <w:shd w:fill="FFFFFF" w:val="clear"/>
            <w:vAlign w:val="center"/>
          </w:tcPr>
          <w:p>
            <w:pPr>
              <w:pStyle w:val="TableContents"/>
              <w:spacing w:before="0" w:after="283"/>
              <w:jc w:val="left"/>
              <w:rPr/>
            </w:pPr>
            <w:r>
              <w:rPr/>
              <w:t> </w:t>
            </w:r>
            <w:bookmarkStart w:id="594" w:name="xdx_406_eus-gaap--IncomeTaxExpenseBenefi"/>
            <w:bookmarkEnd w:id="594"/>
          </w:p>
        </w:tc>
      </w:tr>
      <w:tr>
        <w:trPr/>
        <w:tc>
          <w:tcPr>
            <w:tcW w:w="17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tax expense</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45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1,611</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595" w:name="xdx_8AE_ze1rM739ntu7"/>
      <w:bookmarkEnd w:id="595"/>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596" w:name="xdx_89D_eus-gaap--ScheduleOfDeferredTaxA"/>
      <w:bookmarkEnd w:id="596"/>
      <w:r>
        <w:rPr>
          <w:rFonts w:ascii="Times New Roman;Times;Serif" w:hAnsi="Times New Roman;Times;Serif"/>
          <w:b w:val="false"/>
          <w:i w:val="false"/>
          <w:caps w:val="false"/>
          <w:smallCaps w:val="false"/>
          <w:sz w:val="20"/>
        </w:rPr>
        <w:t>Components of deferred tax assets (liabilities) are as follows: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597" w:name="xdx_8B9_z5MX5OOYqql6"/>
      <w:bookmarkEnd w:id="597"/>
      <w:r>
        <w:rPr>
          <w:rFonts w:ascii="Times New Roman;Times;Serif" w:hAnsi="Times New Roman;Times;Serif"/>
          <w:b w:val="false"/>
          <w:i w:val="false"/>
          <w:caps w:val="false"/>
          <w:smallCaps w:val="false"/>
          <w:sz w:val="20"/>
        </w:rPr>
        <w:t>SCHEDULE OF COMPONENTS OF DEFERRED TAX ASSETS (LIABILITIES) </w:t>
      </w:r>
    </w:p>
    <w:tbl>
      <w:tblPr>
        <w:tblW w:w="4970" w:type="dxa"/>
        <w:jc w:val="left"/>
        <w:tblInd w:w="0" w:type="dxa"/>
        <w:tblCellMar>
          <w:top w:w="0" w:type="dxa"/>
          <w:left w:w="0" w:type="dxa"/>
          <w:bottom w:w="0" w:type="dxa"/>
          <w:right w:w="0" w:type="dxa"/>
        </w:tblCellMar>
      </w:tblPr>
      <w:tblGrid>
        <w:gridCol w:w="3170"/>
        <w:gridCol w:w="60"/>
        <w:gridCol w:w="140"/>
        <w:gridCol w:w="635"/>
        <w:gridCol w:w="95"/>
        <w:gridCol w:w="60"/>
        <w:gridCol w:w="140"/>
        <w:gridCol w:w="560"/>
        <w:gridCol w:w="110"/>
      </w:tblGrid>
      <w:tr>
        <w:trPr/>
        <w:tc>
          <w:tcPr>
            <w:tcW w:w="31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bookmarkStart w:id="598" w:name="xdx_49C_20221231_zQpLlW1l0G16"/>
            <w:bookmarkEnd w:id="598"/>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pPr>
            <w:r>
              <w:rPr/>
              <w:t>2022</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bookmarkStart w:id="599" w:name="xdx_496_20211231_zDXiSWUTFWMk"/>
            <w:bookmarkEnd w:id="599"/>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pPr>
            <w:r>
              <w:rPr/>
              <w:t>2021</w:t>
            </w:r>
          </w:p>
        </w:tc>
        <w:tc>
          <w:tcPr>
            <w:tcW w:w="110" w:type="dxa"/>
            <w:tcBorders/>
            <w:shd w:fill="auto" w:val="clear"/>
            <w:vAlign w:val="center"/>
          </w:tcPr>
          <w:p>
            <w:pPr>
              <w:pStyle w:val="TableContents"/>
              <w:spacing w:before="0" w:after="283"/>
              <w:jc w:val="center"/>
              <w:rPr/>
            </w:pPr>
            <w:r>
              <w:rPr/>
              <w:t> </w:t>
            </w:r>
            <w:bookmarkStart w:id="600" w:name="xdx_40E_eus-gaap--DeferredTaxAssetsGross"/>
            <w:bookmarkEnd w:id="600"/>
          </w:p>
        </w:tc>
      </w:tr>
      <w:tr>
        <w:trPr/>
        <w:tc>
          <w:tcPr>
            <w:tcW w:w="3170" w:type="dxa"/>
            <w:tcBorders/>
            <w:shd w:fill="CCEEFF" w:val="clear"/>
            <w:vAlign w:val="center"/>
          </w:tcPr>
          <w:p>
            <w:pPr>
              <w:pStyle w:val="TableContents"/>
              <w:spacing w:before="0" w:after="283"/>
              <w:jc w:val="left"/>
              <w:rPr/>
            </w:pPr>
            <w:r>
              <w:rPr/>
              <w:t>Deferred tax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601" w:name="xdx_40A_ecustom--DeferredTaxAssetsLiabil"/>
            <w:bookmarkEnd w:id="601"/>
          </w:p>
        </w:tc>
      </w:tr>
      <w:tr>
        <w:trPr/>
        <w:tc>
          <w:tcPr>
            <w:tcW w:w="3170" w:type="dxa"/>
            <w:tcBorders/>
            <w:shd w:fill="FFFFFF" w:val="clear"/>
            <w:vAlign w:val="center"/>
          </w:tcPr>
          <w:p>
            <w:pPr>
              <w:pStyle w:val="TableContents"/>
              <w:spacing w:before="0" w:after="283"/>
              <w:jc w:val="left"/>
              <w:rPr/>
            </w:pPr>
            <w:r>
              <w:rPr/>
              <w:t>Lease liability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35" w:type="dxa"/>
            <w:tcBorders/>
            <w:shd w:fill="FFFFFF" w:val="clear"/>
            <w:vAlign w:val="center"/>
          </w:tcPr>
          <w:p>
            <w:pPr>
              <w:pStyle w:val="TableContents"/>
              <w:spacing w:before="0" w:after="283"/>
              <w:jc w:val="right"/>
              <w:rPr/>
            </w:pPr>
            <w:r>
              <w:rPr/>
              <w:t>1,071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560" w:type="dxa"/>
            <w:tcBorders/>
            <w:shd w:fill="FFFFFF" w:val="clear"/>
            <w:vAlign w:val="center"/>
          </w:tcPr>
          <w:p>
            <w:pPr>
              <w:pStyle w:val="TableContents"/>
              <w:spacing w:before="0" w:after="283"/>
              <w:jc w:val="right"/>
              <w:rPr/>
            </w:pPr>
            <w:r>
              <w:rPr/>
              <w:t>1,221</w:t>
            </w:r>
          </w:p>
        </w:tc>
        <w:tc>
          <w:tcPr>
            <w:tcW w:w="110" w:type="dxa"/>
            <w:tcBorders/>
            <w:shd w:fill="FFFFFF" w:val="clear"/>
            <w:vAlign w:val="center"/>
          </w:tcPr>
          <w:p>
            <w:pPr>
              <w:pStyle w:val="TableContents"/>
              <w:spacing w:before="0" w:after="283"/>
              <w:jc w:val="left"/>
              <w:rPr/>
            </w:pPr>
            <w:r>
              <w:rPr/>
              <w:t> </w:t>
            </w:r>
            <w:bookmarkStart w:id="602" w:name="xdx_407_eus-gaap--DeferredTaxAssetsTaxDe"/>
            <w:bookmarkEnd w:id="602"/>
          </w:p>
        </w:tc>
      </w:tr>
      <w:tr>
        <w:trPr/>
        <w:tc>
          <w:tcPr>
            <w:tcW w:w="3170" w:type="dxa"/>
            <w:tcBorders/>
            <w:shd w:fill="CCEEFF" w:val="clear"/>
            <w:vAlign w:val="center"/>
          </w:tcPr>
          <w:p>
            <w:pPr>
              <w:pStyle w:val="TableContents"/>
              <w:spacing w:before="0" w:after="283"/>
              <w:jc w:val="left"/>
              <w:rPr/>
            </w:pPr>
            <w:r>
              <w:rPr/>
              <w:t>Stock based compensation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139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35</w:t>
            </w:r>
          </w:p>
        </w:tc>
        <w:tc>
          <w:tcPr>
            <w:tcW w:w="110" w:type="dxa"/>
            <w:tcBorders/>
            <w:shd w:fill="CCEEFF" w:val="clear"/>
            <w:vAlign w:val="center"/>
          </w:tcPr>
          <w:p>
            <w:pPr>
              <w:pStyle w:val="TableContents"/>
              <w:spacing w:before="0" w:after="283"/>
              <w:jc w:val="left"/>
              <w:rPr/>
            </w:pPr>
            <w:r>
              <w:rPr/>
              <w:t> </w:t>
            </w:r>
            <w:bookmarkStart w:id="603" w:name="xdx_40F_eus-gaap--DeferredTaxAssetsTaxDe"/>
            <w:bookmarkEnd w:id="603"/>
          </w:p>
        </w:tc>
      </w:tr>
      <w:tr>
        <w:trPr/>
        <w:tc>
          <w:tcPr>
            <w:tcW w:w="3170" w:type="dxa"/>
            <w:tcBorders/>
            <w:shd w:fill="FFFFFF" w:val="clear"/>
            <w:vAlign w:val="center"/>
          </w:tcPr>
          <w:p>
            <w:pPr>
              <w:pStyle w:val="TableContents"/>
              <w:spacing w:before="0" w:after="283"/>
              <w:jc w:val="left"/>
              <w:rPr/>
            </w:pPr>
            <w:r>
              <w:rPr/>
              <w:t>Accrued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506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bookmarkStart w:id="604" w:name="xdx_40E_eus-gaap--DeferredTaxAssetsTaxDe"/>
            <w:bookmarkEnd w:id="604"/>
          </w:p>
        </w:tc>
      </w:tr>
      <w:tr>
        <w:trPr/>
        <w:tc>
          <w:tcPr>
            <w:tcW w:w="3170" w:type="dxa"/>
            <w:tcBorders/>
            <w:shd w:fill="CCEEFF" w:val="clear"/>
            <w:vAlign w:val="center"/>
          </w:tcPr>
          <w:p>
            <w:pPr>
              <w:pStyle w:val="TableContents"/>
              <w:spacing w:before="0" w:after="283"/>
              <w:jc w:val="left"/>
              <w:rPr/>
            </w:pPr>
            <w:r>
              <w:rPr/>
              <w:t>Allowance for bad debt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75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59</w:t>
            </w:r>
          </w:p>
        </w:tc>
        <w:tc>
          <w:tcPr>
            <w:tcW w:w="110" w:type="dxa"/>
            <w:tcBorders/>
            <w:shd w:fill="CCEEFF" w:val="clear"/>
            <w:vAlign w:val="center"/>
          </w:tcPr>
          <w:p>
            <w:pPr>
              <w:pStyle w:val="TableContents"/>
              <w:spacing w:before="0" w:after="283"/>
              <w:jc w:val="left"/>
              <w:rPr/>
            </w:pPr>
            <w:r>
              <w:rPr/>
              <w:t> </w:t>
            </w:r>
            <w:bookmarkStart w:id="605" w:name="xdx_408_eus-gaap--DeferredTaxAssetsInPro"/>
            <w:bookmarkEnd w:id="605"/>
          </w:p>
        </w:tc>
      </w:tr>
      <w:tr>
        <w:trPr/>
        <w:tc>
          <w:tcPr>
            <w:tcW w:w="3170" w:type="dxa"/>
            <w:tcBorders/>
            <w:shd w:fill="FFFFFF" w:val="clear"/>
            <w:vAlign w:val="center"/>
          </w:tcPr>
          <w:p>
            <w:pPr>
              <w:pStyle w:val="TableContents"/>
              <w:spacing w:before="0" w:after="283"/>
              <w:jc w:val="left"/>
              <w:rPr/>
            </w:pPr>
            <w:r>
              <w:rPr/>
              <w:t>Research and development credit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200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bookmarkStart w:id="606" w:name="xdx_406_eus-gaap--DeferredTaxAssetsGoodw"/>
            <w:bookmarkEnd w:id="606"/>
          </w:p>
        </w:tc>
      </w:tr>
      <w:tr>
        <w:trPr/>
        <w:tc>
          <w:tcPr>
            <w:tcW w:w="3170" w:type="dxa"/>
            <w:tcBorders/>
            <w:shd w:fill="CCEEFF" w:val="clear"/>
            <w:vAlign w:val="center"/>
          </w:tcPr>
          <w:p>
            <w:pPr>
              <w:pStyle w:val="TableContents"/>
              <w:spacing w:before="0" w:after="283"/>
              <w:jc w:val="left"/>
              <w:rPr/>
            </w:pPr>
            <w:r>
              <w:rPr/>
              <w:t>Fixed assets and intangibles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bookmarkStart w:id="607" w:name="xdx_40E_ecustom--DeferredTaxAssetsIntere"/>
            <w:bookmarkEnd w:id="607"/>
          </w:p>
        </w:tc>
      </w:tr>
      <w:tr>
        <w:trPr/>
        <w:tc>
          <w:tcPr>
            <w:tcW w:w="3170" w:type="dxa"/>
            <w:tcBorders/>
            <w:shd w:fill="FFFFFF" w:val="clear"/>
            <w:vAlign w:val="center"/>
          </w:tcPr>
          <w:p>
            <w:pPr>
              <w:pStyle w:val="TableContents"/>
              <w:spacing w:before="0" w:after="283"/>
              <w:jc w:val="left"/>
              <w:rPr/>
            </w:pPr>
            <w:r>
              <w:rPr/>
              <w:t>Interest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1,595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bookmarkStart w:id="608" w:name="xdx_402_ecustom--DeferredTaxAssetsPrepai"/>
            <w:bookmarkEnd w:id="608"/>
          </w:p>
        </w:tc>
      </w:tr>
      <w:tr>
        <w:trPr/>
        <w:tc>
          <w:tcPr>
            <w:tcW w:w="3170" w:type="dxa"/>
            <w:tcBorders/>
            <w:shd w:fill="CCEEFF" w:val="clear"/>
            <w:vAlign w:val="center"/>
          </w:tcPr>
          <w:p>
            <w:pPr>
              <w:pStyle w:val="TableContents"/>
              <w:spacing w:before="0" w:after="283"/>
              <w:jc w:val="left"/>
              <w:rPr/>
            </w:pPr>
            <w:r>
              <w:rPr/>
              <w:t>Prepaid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960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bookmarkStart w:id="609" w:name="xdx_40B_eus-gaap--DeferredTaxAssetsOpera"/>
            <w:bookmarkEnd w:id="609"/>
          </w:p>
        </w:tc>
      </w:tr>
      <w:tr>
        <w:trPr/>
        <w:tc>
          <w:tcPr>
            <w:tcW w:w="3170" w:type="dxa"/>
            <w:tcBorders/>
            <w:shd w:fill="FFFFFF" w:val="clear"/>
            <w:vAlign w:val="center"/>
          </w:tcPr>
          <w:p>
            <w:pPr>
              <w:pStyle w:val="TableContents"/>
              <w:spacing w:before="0" w:after="283"/>
              <w:jc w:val="left"/>
              <w:rPr/>
            </w:pPr>
            <w:r>
              <w:rPr/>
              <w:t>Net Operating Loss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3,727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bookmarkStart w:id="610" w:name="xdx_40F_eus-gaap--DeferredTaxAssetsInven"/>
            <w:bookmarkEnd w:id="610"/>
          </w:p>
        </w:tc>
      </w:tr>
      <w:tr>
        <w:trPr/>
        <w:tc>
          <w:tcPr>
            <w:tcW w:w="3170" w:type="dxa"/>
            <w:tcBorders/>
            <w:shd w:fill="CCEEFF" w:val="clear"/>
            <w:vAlign w:val="center"/>
          </w:tcPr>
          <w:p>
            <w:pPr>
              <w:pStyle w:val="TableContents"/>
              <w:spacing w:before="0" w:after="283"/>
              <w:jc w:val="left"/>
              <w:rPr/>
            </w:pPr>
            <w:r>
              <w:rPr/>
              <w:t>Inventory (Sec. 263A)</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62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spacing w:before="0" w:after="283"/>
              <w:jc w:val="right"/>
              <w:rPr/>
            </w:pPr>
            <w:r>
              <w:rPr/>
              <w:t>45</w:t>
            </w:r>
          </w:p>
        </w:tc>
        <w:tc>
          <w:tcPr>
            <w:tcW w:w="110" w:type="dxa"/>
            <w:tcBorders/>
            <w:shd w:fill="CCEEFF" w:val="clear"/>
            <w:vAlign w:val="center"/>
          </w:tcPr>
          <w:p>
            <w:pPr>
              <w:pStyle w:val="TableContents"/>
              <w:spacing w:before="0" w:after="283"/>
              <w:jc w:val="left"/>
              <w:rPr/>
            </w:pPr>
            <w:r>
              <w:rPr/>
              <w:t> </w:t>
            </w:r>
            <w:bookmarkStart w:id="611" w:name="xdx_405_eus-gaap--DeferredTaxAssetsGross"/>
            <w:bookmarkEnd w:id="611"/>
          </w:p>
        </w:tc>
      </w:tr>
      <w:tr>
        <w:trPr/>
        <w:tc>
          <w:tcPr>
            <w:tcW w:w="3170" w:type="dxa"/>
            <w:tcBorders/>
            <w:shd w:fill="FFFFFF" w:val="clear"/>
            <w:vAlign w:val="center"/>
          </w:tcPr>
          <w:p>
            <w:pPr>
              <w:pStyle w:val="TableContents"/>
              <w:spacing w:before="0" w:after="283"/>
              <w:jc w:val="left"/>
              <w:rPr/>
            </w:pPr>
            <w:r>
              <w:rPr/>
              <w:t>Deferred tax asset</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spacing w:before="0" w:after="283"/>
              <w:jc w:val="right"/>
              <w:rPr/>
            </w:pPr>
            <w:r>
              <w:rPr/>
              <w:t>8,360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spacing w:before="0" w:after="283"/>
              <w:jc w:val="right"/>
              <w:rPr/>
            </w:pPr>
            <w:r>
              <w:rPr/>
              <w:t>1,360</w:t>
            </w:r>
          </w:p>
        </w:tc>
        <w:tc>
          <w:tcPr>
            <w:tcW w:w="110" w:type="dxa"/>
            <w:tcBorders/>
            <w:shd w:fill="FFFFFF" w:val="clear"/>
            <w:vAlign w:val="center"/>
          </w:tcPr>
          <w:p>
            <w:pPr>
              <w:pStyle w:val="TableContents"/>
              <w:spacing w:before="0" w:after="283"/>
              <w:jc w:val="left"/>
              <w:rPr/>
            </w:pPr>
            <w:r>
              <w:rPr/>
              <w:t> </w:t>
            </w:r>
          </w:p>
        </w:tc>
      </w:tr>
      <w:tr>
        <w:trPr/>
        <w:tc>
          <w:tcPr>
            <w:tcW w:w="317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170" w:type="dxa"/>
            <w:tcBorders/>
            <w:shd w:fill="FFFFFF" w:val="clear"/>
            <w:vAlign w:val="center"/>
          </w:tcPr>
          <w:p>
            <w:pPr>
              <w:pStyle w:val="TableContents"/>
              <w:spacing w:before="0" w:after="283"/>
              <w:jc w:val="left"/>
              <w:rPr/>
            </w:pPr>
            <w:r>
              <w:rPr/>
              <w:t>Deferred tax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612" w:name="xdx_40A_ecustom--DeferredTaxLiabilitiesR"/>
            <w:bookmarkEnd w:id="612"/>
          </w:p>
        </w:tc>
      </w:tr>
      <w:tr>
        <w:trPr/>
        <w:tc>
          <w:tcPr>
            <w:tcW w:w="3170" w:type="dxa"/>
            <w:tcBorders/>
            <w:shd w:fill="CCEEFF" w:val="clear"/>
            <w:vAlign w:val="center"/>
          </w:tcPr>
          <w:p>
            <w:pPr>
              <w:pStyle w:val="TableContents"/>
              <w:spacing w:before="0" w:after="283"/>
              <w:jc w:val="left"/>
              <w:rPr/>
            </w:pPr>
            <w:r>
              <w:rPr/>
              <w:t>Right of Use Asset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35" w:type="dxa"/>
            <w:tcBorders/>
            <w:shd w:fill="CCEEFF" w:val="clear"/>
            <w:vAlign w:val="center"/>
          </w:tcPr>
          <w:p>
            <w:pPr>
              <w:pStyle w:val="TableContents"/>
              <w:spacing w:before="0" w:after="283"/>
              <w:jc w:val="right"/>
              <w:rPr/>
            </w:pPr>
            <w:r>
              <w:rPr/>
              <w:t>1,036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560" w:type="dxa"/>
            <w:tcBorders/>
            <w:shd w:fill="CCEEFF" w:val="clear"/>
            <w:vAlign w:val="center"/>
          </w:tcPr>
          <w:p>
            <w:pPr>
              <w:pStyle w:val="TableContents"/>
              <w:spacing w:before="0" w:after="283"/>
              <w:jc w:val="right"/>
              <w:rPr/>
            </w:pPr>
            <w:r>
              <w:rPr/>
              <w:t>1,207</w:t>
            </w:r>
          </w:p>
        </w:tc>
        <w:tc>
          <w:tcPr>
            <w:tcW w:w="110" w:type="dxa"/>
            <w:tcBorders/>
            <w:shd w:fill="CCEEFF" w:val="clear"/>
            <w:vAlign w:val="center"/>
          </w:tcPr>
          <w:p>
            <w:pPr>
              <w:pStyle w:val="TableContents"/>
              <w:spacing w:before="0" w:after="283"/>
              <w:jc w:val="left"/>
              <w:rPr/>
            </w:pPr>
            <w:r>
              <w:rPr/>
              <w:t> </w:t>
            </w:r>
            <w:bookmarkStart w:id="613" w:name="xdx_406_eus-gaap--DeferredTaxLiabilities"/>
            <w:bookmarkEnd w:id="613"/>
          </w:p>
        </w:tc>
      </w:tr>
      <w:tr>
        <w:trPr/>
        <w:tc>
          <w:tcPr>
            <w:tcW w:w="3170" w:type="dxa"/>
            <w:tcBorders/>
            <w:shd w:fill="FFFFFF" w:val="clear"/>
            <w:vAlign w:val="center"/>
          </w:tcPr>
          <w:p>
            <w:pPr>
              <w:pStyle w:val="TableContents"/>
              <w:spacing w:before="0" w:after="283"/>
              <w:jc w:val="left"/>
              <w:rPr/>
            </w:pPr>
            <w:r>
              <w:rPr/>
              <w:t>Fixed assets and intangibles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606</w:t>
            </w:r>
          </w:p>
        </w:tc>
        <w:tc>
          <w:tcPr>
            <w:tcW w:w="110" w:type="dxa"/>
            <w:tcBorders/>
            <w:shd w:fill="FFFFFF" w:val="clear"/>
            <w:vAlign w:val="center"/>
          </w:tcPr>
          <w:p>
            <w:pPr>
              <w:pStyle w:val="TableContents"/>
              <w:spacing w:before="0" w:after="283"/>
              <w:jc w:val="left"/>
              <w:rPr/>
            </w:pPr>
            <w:r>
              <w:rPr/>
              <w:t> </w:t>
            </w:r>
            <w:bookmarkStart w:id="614" w:name="xdx_400_eus-gaap--DeferredIncomeTaxLiabi"/>
            <w:bookmarkEnd w:id="614"/>
          </w:p>
        </w:tc>
      </w:tr>
      <w:tr>
        <w:trPr/>
        <w:tc>
          <w:tcPr>
            <w:tcW w:w="3170" w:type="dxa"/>
            <w:tcBorders/>
            <w:shd w:fill="CCEEFF" w:val="clear"/>
            <w:vAlign w:val="center"/>
          </w:tcPr>
          <w:p>
            <w:pPr>
              <w:pStyle w:val="TableContents"/>
              <w:spacing w:before="0" w:after="283"/>
              <w:jc w:val="left"/>
              <w:rPr/>
            </w:pPr>
            <w:r>
              <w:rPr/>
              <w:t>Deferred tax liability</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spacing w:before="0" w:after="283"/>
              <w:jc w:val="right"/>
              <w:rPr/>
            </w:pPr>
            <w:r>
              <w:rPr/>
              <w:t>1,036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spacing w:before="0" w:after="283"/>
              <w:jc w:val="right"/>
              <w:rPr/>
            </w:pPr>
            <w:r>
              <w:rPr/>
              <w:t>1,813</w:t>
            </w:r>
          </w:p>
        </w:tc>
        <w:tc>
          <w:tcPr>
            <w:tcW w:w="110" w:type="dxa"/>
            <w:tcBorders/>
            <w:shd w:fill="CCEEFF" w:val="clear"/>
            <w:vAlign w:val="center"/>
          </w:tcPr>
          <w:p>
            <w:pPr>
              <w:pStyle w:val="TableContents"/>
              <w:spacing w:before="0" w:after="283"/>
              <w:jc w:val="left"/>
              <w:rPr/>
            </w:pPr>
            <w:r>
              <w:rPr/>
              <w:t> </w:t>
            </w:r>
            <w:bookmarkStart w:id="615" w:name="xdx_400_ecustom--DeferredTaxAssets_iI_pn"/>
            <w:bookmarkEnd w:id="615"/>
          </w:p>
        </w:tc>
      </w:tr>
      <w:tr>
        <w:trPr/>
        <w:tc>
          <w:tcPr>
            <w:tcW w:w="3170" w:type="dxa"/>
            <w:tcBorders/>
            <w:shd w:fill="FFFFFF" w:val="clear"/>
            <w:vAlign w:val="center"/>
          </w:tcPr>
          <w:p>
            <w:pPr>
              <w:pStyle w:val="TableContents"/>
              <w:spacing w:before="0" w:after="283"/>
              <w:jc w:val="left"/>
              <w:rPr/>
            </w:pPr>
            <w:r>
              <w:rPr/>
              <w:t>Net deferred tax asset (liability)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35" w:type="dxa"/>
            <w:tcBorders/>
            <w:shd w:fill="FFFFFF" w:val="clear"/>
            <w:vAlign w:val="center"/>
          </w:tcPr>
          <w:p>
            <w:pPr>
              <w:pStyle w:val="TableContents"/>
              <w:spacing w:before="0" w:after="283"/>
              <w:jc w:val="right"/>
              <w:rPr/>
            </w:pPr>
            <w:r>
              <w:rPr/>
              <w:t>7,324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560" w:type="dxa"/>
            <w:tcBorders/>
            <w:shd w:fill="FFFFFF" w:val="clear"/>
            <w:vAlign w:val="center"/>
          </w:tcPr>
          <w:p>
            <w:pPr>
              <w:pStyle w:val="TableContents"/>
              <w:spacing w:before="0" w:after="283"/>
              <w:jc w:val="right"/>
              <w:rPr/>
            </w:pPr>
            <w:r>
              <w:rPr/>
              <w:t>(453</w:t>
            </w:r>
          </w:p>
        </w:tc>
        <w:tc>
          <w:tcPr>
            <w:tcW w:w="110" w:type="dxa"/>
            <w:tcBorders/>
            <w:shd w:fill="FFFFFF" w:val="clear"/>
            <w:vAlign w:val="center"/>
          </w:tcPr>
          <w:p>
            <w:pPr>
              <w:pStyle w:val="TableContents"/>
              <w:spacing w:before="0" w:after="283"/>
              <w:jc w:val="left"/>
              <w:rPr/>
            </w:pPr>
            <w:r>
              <w:rPr/>
              <w:t>)</w:t>
            </w:r>
            <w:bookmarkStart w:id="616" w:name="xdx_404_eus-gaap--DeferredTaxAssetsValua"/>
            <w:bookmarkEnd w:id="616"/>
          </w:p>
        </w:tc>
      </w:tr>
      <w:tr>
        <w:trPr/>
        <w:tc>
          <w:tcPr>
            <w:tcW w:w="3170" w:type="dxa"/>
            <w:tcBorders/>
            <w:shd w:fill="CCEEFF" w:val="clear"/>
            <w:vAlign w:val="center"/>
          </w:tcPr>
          <w:p>
            <w:pPr>
              <w:pStyle w:val="TableContents"/>
              <w:spacing w:before="0" w:after="283"/>
              <w:jc w:val="left"/>
              <w:rPr/>
            </w:pPr>
            <w:r>
              <w:rPr/>
              <w:t>Valuation Allowance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(7,324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bookmarkStart w:id="617" w:name="xdx_40D_eus-gaap--DeferredTaxAssetsLiabi"/>
            <w:bookmarkEnd w:id="617"/>
          </w:p>
        </w:tc>
      </w:tr>
      <w:tr>
        <w:trPr/>
        <w:tc>
          <w:tcPr>
            <w:tcW w:w="3170" w:type="dxa"/>
            <w:tcBorders/>
            <w:shd w:fill="FFFFFF" w:val="clear"/>
            <w:vAlign w:val="center"/>
          </w:tcPr>
          <w:p>
            <w:pPr>
              <w:pStyle w:val="TableContents"/>
              <w:spacing w:before="0" w:after="283"/>
              <w:jc w:val="left"/>
              <w:rPr/>
            </w:pPr>
            <w:r>
              <w:rPr/>
              <w:t>Net deferred tax asset</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spacing w:before="0" w:after="283"/>
              <w:jc w:val="right"/>
              <w:rPr/>
            </w:pPr>
            <w:r>
              <w:rPr/>
              <w:t>(453</w:t>
            </w:r>
          </w:p>
        </w:tc>
        <w:tc>
          <w:tcPr>
            <w:tcW w:w="110" w:type="dxa"/>
            <w:tcBorders/>
            <w:shd w:fill="FFFFFF"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bookmarkStart w:id="618" w:name="xdx_8AF_zqEjCjQ4Sgt8"/>
      <w:bookmarkEnd w:id="618"/>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619" w:name="xdx_897_eus-gaap--ScheduleOfEffectiveInc"/>
      <w:bookmarkEnd w:id="619"/>
      <w:r>
        <w:rPr>
          <w:rFonts w:ascii="Times New Roman;Times;Serif" w:hAnsi="Times New Roman;Times;Serif"/>
          <w:b w:val="false"/>
          <w:i w:val="false"/>
          <w:caps w:val="false"/>
          <w:smallCaps w:val="false"/>
          <w:sz w:val="20"/>
        </w:rPr>
        <w:t>Reconciliation between the effective tax rate on income from continuing operations and the statutory rate for the years ended December 31, 2022 and 2021, are as follows: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620" w:name="xdx_8B4_za8LuU1MuXp3"/>
      <w:bookmarkEnd w:id="620"/>
      <w:r>
        <w:rPr>
          <w:rFonts w:ascii="Times New Roman;Times;Serif" w:hAnsi="Times New Roman;Times;Serif"/>
          <w:b w:val="false"/>
          <w:i w:val="false"/>
          <w:caps w:val="false"/>
          <w:smallCaps w:val="false"/>
          <w:sz w:val="20"/>
        </w:rPr>
        <w:t>SCHEDULE OF RECONCILIATION BETWEEN THE EFFECTIVE TAX RATE ON INCOME FROM CONTINUING OPERATIONS AND THE STATUTORY RATE </w:t>
      </w:r>
    </w:p>
    <w:tbl>
      <w:tblPr>
        <w:tblW w:w="8400" w:type="dxa"/>
        <w:jc w:val="left"/>
        <w:tblInd w:w="0" w:type="dxa"/>
        <w:tblCellMar>
          <w:top w:w="0" w:type="dxa"/>
          <w:left w:w="0" w:type="dxa"/>
          <w:bottom w:w="0" w:type="dxa"/>
          <w:right w:w="0" w:type="dxa"/>
        </w:tblCellMar>
      </w:tblPr>
      <w:tblGrid>
        <w:gridCol w:w="4250"/>
        <w:gridCol w:w="60"/>
        <w:gridCol w:w="140"/>
        <w:gridCol w:w="635"/>
        <w:gridCol w:w="95"/>
        <w:gridCol w:w="60"/>
        <w:gridCol w:w="91"/>
        <w:gridCol w:w="964"/>
        <w:gridCol w:w="60"/>
        <w:gridCol w:w="60"/>
        <w:gridCol w:w="140"/>
        <w:gridCol w:w="560"/>
        <w:gridCol w:w="95"/>
        <w:gridCol w:w="60"/>
        <w:gridCol w:w="102"/>
        <w:gridCol w:w="953"/>
        <w:gridCol w:w="75"/>
      </w:tblGrid>
      <w:tr>
        <w:trPr/>
        <w:tc>
          <w:tcPr>
            <w:tcW w:w="42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985"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2022</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910" w:type="dxa"/>
            <w:gridSpan w:val="6"/>
            <w:tcBorders>
              <w:bottom w:val="single" w:sz="12" w:space="0" w:color="000000"/>
            </w:tcBorders>
            <w:shd w:fill="auto" w:val="clear"/>
            <w:tcMar>
              <w:bottom w:w="28" w:type="dxa"/>
            </w:tcMar>
            <w:vAlign w:val="center"/>
          </w:tcPr>
          <w:p>
            <w:pPr>
              <w:pStyle w:val="TableContents"/>
              <w:spacing w:before="0" w:after="283"/>
              <w:jc w:val="center"/>
              <w:rPr/>
            </w:pPr>
            <w:r>
              <w:rPr/>
              <w:t>2021</w:t>
            </w:r>
          </w:p>
        </w:tc>
        <w:tc>
          <w:tcPr>
            <w:tcW w:w="75" w:type="dxa"/>
            <w:tcBorders/>
            <w:shd w:fill="auto" w:val="clear"/>
            <w:vAlign w:val="center"/>
          </w:tcPr>
          <w:p>
            <w:pPr>
              <w:pStyle w:val="TableContents"/>
              <w:spacing w:before="0" w:after="283"/>
              <w:jc w:val="center"/>
              <w:rPr/>
            </w:pPr>
            <w:r>
              <w:rPr/>
              <w:t> </w:t>
            </w:r>
          </w:p>
        </w:tc>
      </w:tr>
      <w:tr>
        <w:trPr/>
        <w:tc>
          <w:tcPr>
            <w:tcW w:w="42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Tax</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5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Percentage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Tax</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Percentage</w:t>
            </w:r>
          </w:p>
        </w:tc>
        <w:tc>
          <w:tcPr>
            <w:tcW w:w="75" w:type="dxa"/>
            <w:tcBorders/>
            <w:shd w:fill="auto" w:val="clear"/>
            <w:vAlign w:val="center"/>
          </w:tcPr>
          <w:p>
            <w:pPr>
              <w:pStyle w:val="TableContents"/>
              <w:spacing w:before="0" w:after="283"/>
              <w:jc w:val="center"/>
              <w:rPr/>
            </w:pPr>
            <w:r>
              <w:rPr/>
              <w:t> </w:t>
            </w:r>
          </w:p>
        </w:tc>
      </w:tr>
      <w:tr>
        <w:trPr/>
        <w:tc>
          <w:tcPr>
            <w:tcW w:w="425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Book income (loss) before taxes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21" w:name="xdx_989_eus-gaap--IncomeTaxReconciliatio"/>
            <w:bookmarkEnd w:id="621"/>
          </w:p>
        </w:tc>
        <w:tc>
          <w:tcPr>
            <w:tcW w:w="6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(8,459</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jc w:val="left"/>
              <w:rPr/>
            </w:pPr>
            <w:r>
              <w:rPr/>
              <w:t> </w:t>
            </w:r>
            <w:bookmarkStart w:id="622" w:name="xdx_98B_eus-gaap--EffectiveIncomeTaxRate"/>
            <w:bookmarkEnd w:id="622"/>
          </w:p>
        </w:tc>
        <w:tc>
          <w:tcPr>
            <w:tcW w:w="96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23" w:name="xdx_98F_eus-gaap--IncomeTaxReconciliatio"/>
            <w:bookmarkEnd w:id="623"/>
          </w:p>
        </w:tc>
        <w:tc>
          <w:tcPr>
            <w:tcW w:w="56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1,249</w:t>
            </w:r>
          </w:p>
        </w:tc>
        <w:tc>
          <w:tcPr>
            <w:tcW w:w="9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jc w:val="left"/>
              <w:rPr/>
            </w:pPr>
            <w:r>
              <w:rPr/>
              <w:t> </w:t>
            </w:r>
            <w:bookmarkStart w:id="624" w:name="xdx_98E_eus-gaap--EffectiveIncomeTaxRate"/>
            <w:bookmarkEnd w:id="624"/>
          </w:p>
        </w:tc>
        <w:tc>
          <w:tcPr>
            <w:tcW w:w="95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21.00%</w:t>
            </w:r>
          </w:p>
        </w:tc>
        <w:tc>
          <w:tcPr>
            <w:tcW w:w="75" w:type="dxa"/>
            <w:tcBorders/>
            <w:shd w:fill="CCEEFF" w:val="clear"/>
            <w:vAlign w:val="center"/>
          </w:tcPr>
          <w:p>
            <w:pPr>
              <w:pStyle w:val="TableContents"/>
              <w:spacing w:before="0" w:after="283"/>
              <w:jc w:val="left"/>
              <w:rPr/>
            </w:pPr>
            <w:r>
              <w:rPr/>
              <w:t> </w:t>
            </w:r>
          </w:p>
        </w:tc>
      </w:tr>
      <w:tr>
        <w:trPr/>
        <w:tc>
          <w:tcPr>
            <w:tcW w:w="425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Permanent differences (transaction costs)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bookmarkStart w:id="625" w:name="xdx_98D_ecustom--EffectiveIncomeTaxRateR"/>
            <w:bookmarkEnd w:id="625"/>
          </w:p>
        </w:tc>
        <w:tc>
          <w:tcPr>
            <w:tcW w:w="6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2,185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jc w:val="left"/>
              <w:rPr/>
            </w:pPr>
            <w:r>
              <w:rPr/>
              <w:t> </w:t>
            </w:r>
            <w:bookmarkStart w:id="626" w:name="xdx_980_ecustom--EffectiveIncomeTaxRateR"/>
            <w:bookmarkEnd w:id="626"/>
          </w:p>
        </w:tc>
        <w:tc>
          <w:tcPr>
            <w:tcW w:w="964"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(5.42)%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bookmarkStart w:id="627" w:name="xdx_983_ecustom--EffectiveIncomeTaxRateR"/>
            <w:bookmarkEnd w:id="627"/>
          </w:p>
        </w:tc>
        <w:tc>
          <w:tcPr>
            <w:tcW w:w="56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jc w:val="left"/>
              <w:rPr/>
            </w:pPr>
            <w:r>
              <w:rPr/>
              <w:t> </w:t>
            </w:r>
            <w:bookmarkStart w:id="628" w:name="xdx_986_ecustom--EffectiveIncomeTaxRateR"/>
            <w:bookmarkEnd w:id="628"/>
          </w:p>
        </w:tc>
        <w:tc>
          <w:tcPr>
            <w:tcW w:w="95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425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Permanent differences (warrants)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629" w:name="xdx_980_ecustom--EffectiveIncomeTaxRateR"/>
            <w:bookmarkEnd w:id="629"/>
          </w:p>
        </w:tc>
        <w:tc>
          <w:tcPr>
            <w:tcW w:w="6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(1,144</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jc w:val="left"/>
              <w:rPr/>
            </w:pPr>
            <w:r>
              <w:rPr/>
              <w:t> </w:t>
            </w:r>
            <w:bookmarkStart w:id="630" w:name="xdx_988_ecustom--EffectiveIncomeTaxRateR"/>
            <w:bookmarkEnd w:id="630"/>
          </w:p>
        </w:tc>
        <w:tc>
          <w:tcPr>
            <w:tcW w:w="96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631" w:name="xdx_98D_ecustom--EffectiveIncomeTaxRateR"/>
            <w:bookmarkEnd w:id="631"/>
          </w:p>
        </w:tc>
        <w:tc>
          <w:tcPr>
            <w:tcW w:w="56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jc w:val="left"/>
              <w:rPr/>
            </w:pPr>
            <w:r>
              <w:rPr/>
              <w:t> </w:t>
            </w:r>
            <w:bookmarkStart w:id="632" w:name="xdx_989_ecustom--EffectiveIncomeTaxRateR"/>
            <w:bookmarkEnd w:id="632"/>
          </w:p>
        </w:tc>
        <w:tc>
          <w:tcPr>
            <w:tcW w:w="95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r>
        <w:trPr/>
        <w:tc>
          <w:tcPr>
            <w:tcW w:w="425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Permanent differences (other -other than tax)</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bookmarkStart w:id="633" w:name="xdx_981_ecustom--EffectiveIncomeTaxRateR"/>
            <w:bookmarkEnd w:id="633"/>
          </w:p>
        </w:tc>
        <w:tc>
          <w:tcPr>
            <w:tcW w:w="6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jc w:val="left"/>
              <w:rPr/>
            </w:pPr>
            <w:r>
              <w:rPr/>
              <w:t> </w:t>
            </w:r>
            <w:bookmarkStart w:id="634" w:name="xdx_98F_ecustom--EffectiveIncomeTaxRateR"/>
            <w:bookmarkEnd w:id="634"/>
          </w:p>
        </w:tc>
        <w:tc>
          <w:tcPr>
            <w:tcW w:w="964"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bookmarkStart w:id="635" w:name="xdx_986_ecustom--EffectiveIncomeTaxRateR"/>
            <w:bookmarkEnd w:id="635"/>
          </w:p>
        </w:tc>
        <w:tc>
          <w:tcPr>
            <w:tcW w:w="56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jc w:val="left"/>
              <w:rPr/>
            </w:pPr>
            <w:r>
              <w:rPr/>
              <w:t> </w:t>
            </w:r>
            <w:bookmarkStart w:id="636" w:name="xdx_98B_ecustom--EffectiveIncomeTaxRateR"/>
            <w:bookmarkEnd w:id="636"/>
          </w:p>
        </w:tc>
        <w:tc>
          <w:tcPr>
            <w:tcW w:w="95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3.16%</w:t>
            </w:r>
          </w:p>
        </w:tc>
        <w:tc>
          <w:tcPr>
            <w:tcW w:w="75" w:type="dxa"/>
            <w:tcBorders/>
            <w:shd w:fill="FFFFFF" w:val="clear"/>
            <w:vAlign w:val="center"/>
          </w:tcPr>
          <w:p>
            <w:pPr>
              <w:pStyle w:val="TableContents"/>
              <w:spacing w:before="0" w:after="283"/>
              <w:jc w:val="left"/>
              <w:rPr/>
            </w:pPr>
            <w:r>
              <w:rPr/>
              <w:t> </w:t>
            </w:r>
          </w:p>
        </w:tc>
      </w:tr>
      <w:tr>
        <w:trPr/>
        <w:tc>
          <w:tcPr>
            <w:tcW w:w="425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State taxes,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637" w:name="xdx_98A_eus-gaap--IncomeTaxReconciliatio"/>
            <w:bookmarkEnd w:id="637"/>
          </w:p>
        </w:tc>
        <w:tc>
          <w:tcPr>
            <w:tcW w:w="6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(722</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jc w:val="left"/>
              <w:rPr/>
            </w:pPr>
            <w:r>
              <w:rPr/>
              <w:t> </w:t>
            </w:r>
            <w:bookmarkStart w:id="638" w:name="xdx_98D_eus-gaap--EffectiveIncomeTaxRate"/>
            <w:bookmarkEnd w:id="638"/>
          </w:p>
        </w:tc>
        <w:tc>
          <w:tcPr>
            <w:tcW w:w="96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639" w:name="xdx_989_eus-gaap--IncomeTaxReconciliatio"/>
            <w:bookmarkEnd w:id="639"/>
          </w:p>
        </w:tc>
        <w:tc>
          <w:tcPr>
            <w:tcW w:w="56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jc w:val="left"/>
              <w:rPr/>
            </w:pPr>
            <w:r>
              <w:rPr/>
              <w:t> </w:t>
            </w:r>
            <w:bookmarkStart w:id="640" w:name="xdx_98F_eus-gaap--EffectiveIncomeTaxRate"/>
            <w:bookmarkEnd w:id="640"/>
          </w:p>
        </w:tc>
        <w:tc>
          <w:tcPr>
            <w:tcW w:w="95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2.15%</w:t>
            </w:r>
          </w:p>
        </w:tc>
        <w:tc>
          <w:tcPr>
            <w:tcW w:w="75" w:type="dxa"/>
            <w:tcBorders/>
            <w:shd w:fill="CCEEFF" w:val="clear"/>
            <w:vAlign w:val="center"/>
          </w:tcPr>
          <w:p>
            <w:pPr>
              <w:pStyle w:val="TableContents"/>
              <w:spacing w:before="0" w:after="283"/>
              <w:jc w:val="left"/>
              <w:rPr/>
            </w:pPr>
            <w:r>
              <w:rPr/>
              <w:t> </w:t>
            </w:r>
          </w:p>
        </w:tc>
      </w:tr>
      <w:tr>
        <w:trPr/>
        <w:tc>
          <w:tcPr>
            <w:tcW w:w="425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Deferred true-up</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bookmarkStart w:id="641" w:name="xdx_986_ecustom--EffectiveIncomeTaxRateR"/>
            <w:bookmarkEnd w:id="641"/>
          </w:p>
        </w:tc>
        <w:tc>
          <w:tcPr>
            <w:tcW w:w="6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(288</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jc w:val="left"/>
              <w:rPr/>
            </w:pPr>
            <w:r>
              <w:rPr/>
              <w:t> </w:t>
            </w:r>
            <w:bookmarkStart w:id="642" w:name="xdx_98F_ecustom--EffectiveIncomeTaxRateR"/>
            <w:bookmarkEnd w:id="642"/>
          </w:p>
        </w:tc>
        <w:tc>
          <w:tcPr>
            <w:tcW w:w="964"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0.71%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bookmarkStart w:id="643" w:name="xdx_98A_ecustom--EffectiveIncomeTaxRateR"/>
            <w:bookmarkEnd w:id="643"/>
          </w:p>
        </w:tc>
        <w:tc>
          <w:tcPr>
            <w:tcW w:w="56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jc w:val="left"/>
              <w:rPr/>
            </w:pPr>
            <w:r>
              <w:rPr/>
              <w:t> </w:t>
            </w:r>
            <w:bookmarkStart w:id="644" w:name="xdx_985_ecustom--EffectiveIncomeTaxRateR"/>
            <w:bookmarkEnd w:id="644"/>
          </w:p>
        </w:tc>
        <w:tc>
          <w:tcPr>
            <w:tcW w:w="95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0.94%</w:t>
            </w:r>
          </w:p>
        </w:tc>
        <w:tc>
          <w:tcPr>
            <w:tcW w:w="75" w:type="dxa"/>
            <w:tcBorders/>
            <w:shd w:fill="FFFFFF" w:val="clear"/>
            <w:vAlign w:val="center"/>
          </w:tcPr>
          <w:p>
            <w:pPr>
              <w:pStyle w:val="TableContents"/>
              <w:spacing w:before="0" w:after="283"/>
              <w:jc w:val="left"/>
              <w:rPr/>
            </w:pPr>
            <w:r>
              <w:rPr/>
              <w:t> </w:t>
            </w:r>
          </w:p>
        </w:tc>
      </w:tr>
      <w:tr>
        <w:trPr/>
        <w:tc>
          <w:tcPr>
            <w:tcW w:w="425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Research and development credits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645" w:name="xdx_98D_ecustom--EffectiveIncomeTaxRateR"/>
            <w:bookmarkEnd w:id="645"/>
          </w:p>
        </w:tc>
        <w:tc>
          <w:tcPr>
            <w:tcW w:w="6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(200</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jc w:val="left"/>
              <w:rPr/>
            </w:pPr>
            <w:r>
              <w:rPr/>
              <w:t> </w:t>
            </w:r>
            <w:bookmarkStart w:id="646" w:name="xdx_98A_ecustom--EffectiveIncomeTaxRateR"/>
            <w:bookmarkEnd w:id="646"/>
          </w:p>
        </w:tc>
        <w:tc>
          <w:tcPr>
            <w:tcW w:w="96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jc w:val="left"/>
              <w:rPr/>
            </w:pPr>
            <w:r>
              <w:rPr/>
              <w:t> </w:t>
            </w:r>
          </w:p>
        </w:tc>
        <w:tc>
          <w:tcPr>
            <w:tcW w:w="95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425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Uncertain tax positions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bookmarkStart w:id="647" w:name="xdx_98F_ecustom--EffectiveIncomeTaxRateR"/>
            <w:bookmarkEnd w:id="647"/>
          </w:p>
        </w:tc>
        <w:tc>
          <w:tcPr>
            <w:tcW w:w="6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jc w:val="left"/>
              <w:rPr/>
            </w:pPr>
            <w:r>
              <w:rPr/>
              <w:t> </w:t>
            </w:r>
            <w:bookmarkStart w:id="648" w:name="xdx_98A_ecustom--EffectiveIncomeTaxRateR"/>
            <w:bookmarkEnd w:id="648"/>
          </w:p>
        </w:tc>
        <w:tc>
          <w:tcPr>
            <w:tcW w:w="964"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(0.32)%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bookmarkStart w:id="649" w:name="xdx_980_ecustom--EffectiveIncomeTaxRateR"/>
            <w:bookmarkEnd w:id="649"/>
          </w:p>
        </w:tc>
        <w:tc>
          <w:tcPr>
            <w:tcW w:w="56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jc w:val="left"/>
              <w:rPr/>
            </w:pPr>
            <w:r>
              <w:rPr/>
              <w:t> </w:t>
            </w:r>
            <w:bookmarkStart w:id="650" w:name="xdx_983_ecustom--EffectiveIncomeTaxRateR"/>
            <w:bookmarkEnd w:id="650"/>
          </w:p>
        </w:tc>
        <w:tc>
          <w:tcPr>
            <w:tcW w:w="95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(0.32)%</w:t>
            </w:r>
          </w:p>
        </w:tc>
        <w:tc>
          <w:tcPr>
            <w:tcW w:w="75" w:type="dxa"/>
            <w:tcBorders/>
            <w:shd w:fill="FFFFFF" w:val="clear"/>
            <w:vAlign w:val="center"/>
          </w:tcPr>
          <w:p>
            <w:pPr>
              <w:pStyle w:val="TableContents"/>
              <w:spacing w:before="0" w:after="283"/>
              <w:jc w:val="left"/>
              <w:rPr/>
            </w:pPr>
            <w:r>
              <w:rPr/>
              <w:t> </w:t>
            </w:r>
          </w:p>
        </w:tc>
      </w:tr>
      <w:tr>
        <w:trPr/>
        <w:tc>
          <w:tcPr>
            <w:tcW w:w="425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651" w:name="xdx_982_eus-gaap--IncomeTaxReconciliatio"/>
            <w:bookmarkEnd w:id="651"/>
          </w:p>
        </w:tc>
        <w:tc>
          <w:tcPr>
            <w:tcW w:w="6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jc w:val="left"/>
              <w:rPr/>
            </w:pPr>
            <w:r>
              <w:rPr/>
              <w:t> </w:t>
            </w:r>
            <w:bookmarkStart w:id="652" w:name="xdx_98A_eus-gaap--EffectiveIncomeTaxRate"/>
            <w:bookmarkEnd w:id="652"/>
          </w:p>
        </w:tc>
        <w:tc>
          <w:tcPr>
            <w:tcW w:w="96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(0.02)%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653" w:name="xdx_98E_eus-gaap--IncomeTaxReconciliatio"/>
            <w:bookmarkEnd w:id="653"/>
          </w:p>
        </w:tc>
        <w:tc>
          <w:tcPr>
            <w:tcW w:w="56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jc w:val="left"/>
              <w:rPr/>
            </w:pPr>
            <w:r>
              <w:rPr/>
              <w:t> </w:t>
            </w:r>
            <w:bookmarkStart w:id="654" w:name="xdx_985_eus-gaap--EffectiveIncomeTaxRate"/>
            <w:bookmarkEnd w:id="654"/>
          </w:p>
        </w:tc>
        <w:tc>
          <w:tcPr>
            <w:tcW w:w="95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0.15%</w:t>
            </w:r>
          </w:p>
        </w:tc>
        <w:tc>
          <w:tcPr>
            <w:tcW w:w="75" w:type="dxa"/>
            <w:tcBorders/>
            <w:shd w:fill="CCEEFF" w:val="clear"/>
            <w:vAlign w:val="center"/>
          </w:tcPr>
          <w:p>
            <w:pPr>
              <w:pStyle w:val="TableContents"/>
              <w:spacing w:before="0" w:after="283"/>
              <w:jc w:val="left"/>
              <w:rPr/>
            </w:pPr>
            <w:r>
              <w:rPr/>
              <w:t> </w:t>
            </w:r>
          </w:p>
        </w:tc>
      </w:tr>
      <w:tr>
        <w:trPr/>
        <w:tc>
          <w:tcPr>
            <w:tcW w:w="425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655" w:name="xdx_984_eus-gaap--IncomeTaxReconciliatio"/>
            <w:bookmarkEnd w:id="655"/>
          </w:p>
        </w:tc>
        <w:tc>
          <w:tcPr>
            <w:tcW w:w="63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7,324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1"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656" w:name="xdx_98C_eus-gaap--EffectiveIncomeTaxRate"/>
            <w:bookmarkEnd w:id="656"/>
          </w:p>
        </w:tc>
        <w:tc>
          <w:tcPr>
            <w:tcW w:w="96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(18.18)%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657" w:name="xdx_988_eus-gaap--IncomeTaxReconciliatio"/>
            <w:bookmarkEnd w:id="657"/>
          </w:p>
        </w:tc>
        <w:tc>
          <w:tcPr>
            <w:tcW w:w="56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2"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658" w:name="xdx_98F_eus-gaap--EffectiveIncomeTaxRate"/>
            <w:bookmarkEnd w:id="658"/>
          </w:p>
        </w:tc>
        <w:tc>
          <w:tcPr>
            <w:tcW w:w="95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425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59" w:name="xdx_985_eus-gaap--IncomeTaxExpenseBenefi"/>
            <w:bookmarkEnd w:id="659"/>
          </w:p>
        </w:tc>
        <w:tc>
          <w:tcPr>
            <w:tcW w:w="63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jc w:val="left"/>
              <w:rPr/>
            </w:pPr>
            <w:r>
              <w:rPr/>
              <w:t> </w:t>
            </w:r>
          </w:p>
        </w:tc>
        <w:tc>
          <w:tcPr>
            <w:tcW w:w="96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rPr/>
            </w:pPr>
            <w:r>
              <w:rPr/>
              <w:t>$</w:t>
            </w:r>
            <w:bookmarkStart w:id="660" w:name="xdx_980_eus-gaap--IncomeTaxExpenseBenefi"/>
            <w:bookmarkEnd w:id="660"/>
          </w:p>
        </w:tc>
        <w:tc>
          <w:tcPr>
            <w:tcW w:w="560" w:type="dxa"/>
            <w:tcBorders>
              <w:bottom w:val="single" w:sz="12" w:space="0" w:color="000000"/>
            </w:tcBorders>
            <w:shd w:fill="CCEEFF" w:val="clear"/>
            <w:tcMar>
              <w:bottom w:w="28" w:type="dxa"/>
            </w:tcMar>
            <w:vAlign w:val="center"/>
          </w:tcPr>
          <w:p>
            <w:pPr>
              <w:pStyle w:val="TableContents"/>
              <w:spacing w:before="0" w:after="283"/>
              <w:jc w:val="right"/>
              <w:rPr/>
            </w:pPr>
            <w:r>
              <w:rPr/>
              <w:t>1,611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425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1"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661" w:name="xdx_98D_eus-gaap--EffectiveIncomeTaxRate"/>
            <w:bookmarkEnd w:id="661"/>
          </w:p>
        </w:tc>
        <w:tc>
          <w:tcPr>
            <w:tcW w:w="96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56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 w:type="dxa"/>
            <w:tcBorders>
              <w:bottom w:val="single" w:sz="12" w:space="0" w:color="000000"/>
            </w:tcBorders>
            <w:shd w:fill="FFFFFF" w:val="clear"/>
            <w:tcMar>
              <w:bottom w:w="28" w:type="dxa"/>
            </w:tcMar>
            <w:vAlign w:val="center"/>
          </w:tcPr>
          <w:p>
            <w:pPr>
              <w:pStyle w:val="TableContents"/>
              <w:spacing w:before="0" w:after="283"/>
              <w:rPr/>
            </w:pPr>
            <w:r>
              <w:rPr/>
              <w:t> </w:t>
            </w:r>
            <w:bookmarkStart w:id="662" w:name="xdx_988_eus-gaap--EffectiveIncomeTaxRate"/>
            <w:bookmarkEnd w:id="662"/>
          </w:p>
        </w:tc>
        <w:tc>
          <w:tcPr>
            <w:tcW w:w="95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27.08%</w:t>
            </w:r>
          </w:p>
        </w:tc>
        <w:tc>
          <w:tcPr>
            <w:tcW w:w="7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bookmarkStart w:id="663" w:name="xdx_8A9_zNw9ipyJhpP4"/>
      <w:bookmarkEnd w:id="663"/>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returns of the Company are open for three years form the date of filing. At the report date, the statute of limitations for federal and state tax returns are open for the Company for 2019, 2020 and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as of December 31, 2022, the Company had federal net operating loss carryforwards of approximately $</w:t>
      </w:r>
      <w:bookmarkStart w:id="664" w:name="xdx_90C_eus-gaap--OperatingLossCarryforw"/>
      <w:bookmarkEnd w:id="664"/>
      <w:r>
        <w:rPr>
          <w:rFonts w:ascii="Times New Roman;Times;Serif" w:hAnsi="Times New Roman;Times;Serif"/>
          <w:b w:val="false"/>
          <w:i w:val="false"/>
          <w:caps w:val="false"/>
          <w:smallCaps w:val="false"/>
          <w:sz w:val="20"/>
        </w:rPr>
        <w:t xml:space="preserve">16,140, available to reduce future taxable income which do not expire, but are limited to </w:t>
      </w:r>
      <w:bookmarkStart w:id="665" w:name="xdx_908_eus-gaap--EffectiveIncomeTaxRate"/>
      <w:bookmarkEnd w:id="665"/>
      <w:r>
        <w:rPr>
          <w:rFonts w:ascii="Times New Roman;Times;Serif" w:hAnsi="Times New Roman;Times;Serif"/>
          <w:b w:val="false"/>
          <w:i w:val="false"/>
          <w:caps w:val="false"/>
          <w:smallCaps w:val="false"/>
          <w:sz w:val="20"/>
        </w:rPr>
        <w:t>80% utilization against taxable income. As of December 31, 2022, the Company had state net operating loss carryforwards of approximately $</w:t>
      </w:r>
      <w:bookmarkStart w:id="666" w:name="xdx_900_eus-gaap--OperatingLossCarryforw"/>
      <w:bookmarkEnd w:id="666"/>
      <w:r>
        <w:rPr>
          <w:rFonts w:ascii="Times New Roman;Times;Serif" w:hAnsi="Times New Roman;Times;Serif"/>
          <w:b w:val="false"/>
          <w:i w:val="false"/>
          <w:caps w:val="false"/>
          <w:smallCaps w:val="false"/>
          <w:sz w:val="20"/>
        </w:rPr>
        <w:t>6,747, available to reduce future taxable income, which start to expire in 2037. The Company also had research and development credits of $</w:t>
      </w:r>
      <w:bookmarkStart w:id="667" w:name="xdx_90F_eus-gaap--DeferredTaxAssetsTaxCr"/>
      <w:bookmarkEnd w:id="667"/>
      <w:r>
        <w:rPr>
          <w:rFonts w:ascii="Times New Roman;Times;Serif" w:hAnsi="Times New Roman;Times;Serif"/>
          <w:b w:val="false"/>
          <w:i w:val="false"/>
          <w:caps w:val="false"/>
          <w:smallCaps w:val="false"/>
          <w:sz w:val="20"/>
        </w:rPr>
        <w:t xml:space="preserve">200 as of December 31, 2022 to offset future federal income taxes, which are set to expire in </w:t>
      </w:r>
      <w:bookmarkStart w:id="668" w:name="xdx_906_ecustom--TaxCreditCarryForwardEx"/>
      <w:bookmarkEnd w:id="668"/>
      <w:r>
        <w:rPr>
          <w:rFonts w:ascii="Times New Roman;Times;Serif" w:hAnsi="Times New Roman;Times;Serif"/>
          <w:b w:val="false"/>
          <w:i w:val="false"/>
          <w:caps w:val="false"/>
          <w:smallCaps w:val="false"/>
          <w:sz w:val="20"/>
        </w:rPr>
        <w:t>2042.</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F-23</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2022. The valuation allowance as of December 31, 2022 was $</w:t>
      </w:r>
      <w:bookmarkStart w:id="669" w:name="xdx_904_eus-gaap--DeferredTaxAssetsValua"/>
      <w:bookmarkEnd w:id="669"/>
      <w:r>
        <w:rPr>
          <w:rFonts w:ascii="Times New Roman;Times;Serif" w:hAnsi="Times New Roman;Times;Serif"/>
          <w:b w:val="false"/>
          <w:i w:val="false"/>
          <w:caps w:val="false"/>
          <w:smallCaps w:val="false"/>
          <w:sz w:val="20"/>
        </w:rPr>
        <w:t>7,324, primarily due to the company entering into a 3 year cumulative loss position and no expectation of income for the year ended December 31,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670" w:name="xdx_89E_eus-gaap--ScheduleOfUnrecognized"/>
      <w:bookmarkEnd w:id="670"/>
      <w:r>
        <w:rPr>
          <w:rFonts w:ascii="Times New Roman;Times;Serif" w:hAnsi="Times New Roman;Times;Serif"/>
          <w:b w:val="false"/>
          <w:i w:val="false"/>
          <w:caps w:val="false"/>
          <w:smallCaps w:val="false"/>
          <w:sz w:val="20"/>
        </w:rPr>
        <w:t>The roll-forward of the Company’s gross uncertain tax positions is as follows: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671" w:name="xdx_8B4_zxv4HRi3jHo"/>
      <w:bookmarkEnd w:id="671"/>
      <w:r>
        <w:rPr>
          <w:rFonts w:ascii="Times New Roman;Times;Serif" w:hAnsi="Times New Roman;Times;Serif"/>
          <w:b w:val="false"/>
          <w:i w:val="false"/>
          <w:caps w:val="false"/>
          <w:smallCaps w:val="false"/>
          <w:sz w:val="20"/>
        </w:rPr>
        <w:t>SCHEDULE OF GROSS UNCERTAIN TAX POSITIONS </w:t>
      </w:r>
    </w:p>
    <w:tbl>
      <w:tblPr>
        <w:tblW w:w="6719" w:type="dxa"/>
        <w:jc w:val="left"/>
        <w:tblInd w:w="0" w:type="dxa"/>
        <w:tblCellMar>
          <w:top w:w="0" w:type="dxa"/>
          <w:left w:w="0" w:type="dxa"/>
          <w:bottom w:w="0" w:type="dxa"/>
          <w:right w:w="0" w:type="dxa"/>
        </w:tblCellMar>
      </w:tblPr>
      <w:tblGrid>
        <w:gridCol w:w="3725"/>
        <w:gridCol w:w="60"/>
        <w:gridCol w:w="758"/>
        <w:gridCol w:w="2066"/>
        <w:gridCol w:w="110"/>
      </w:tblGrid>
      <w:tr>
        <w:trPr/>
        <w:tc>
          <w:tcPr>
            <w:tcW w:w="3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24" w:type="dxa"/>
            <w:gridSpan w:val="2"/>
            <w:tcBorders>
              <w:bottom w:val="single" w:sz="12" w:space="0" w:color="000000"/>
            </w:tcBorders>
            <w:shd w:fill="auto" w:val="clear"/>
            <w:tcMar>
              <w:bottom w:w="28" w:type="dxa"/>
            </w:tcMar>
            <w:vAlign w:val="center"/>
          </w:tcPr>
          <w:p>
            <w:pPr>
              <w:pStyle w:val="TableContents"/>
              <w:spacing w:before="0" w:after="283"/>
              <w:jc w:val="center"/>
              <w:rPr/>
            </w:pPr>
            <w:r>
              <w:rPr/>
              <w:t>Gross Uncertain Tax Position</w:t>
            </w:r>
          </w:p>
        </w:tc>
        <w:tc>
          <w:tcPr>
            <w:tcW w:w="110" w:type="dxa"/>
            <w:tcBorders/>
            <w:shd w:fill="auto" w:val="clear"/>
            <w:vAlign w:val="center"/>
          </w:tcPr>
          <w:p>
            <w:pPr>
              <w:pStyle w:val="TableContents"/>
              <w:spacing w:before="0" w:after="283"/>
              <w:rPr/>
            </w:pPr>
            <w:r>
              <w:rPr/>
              <w:t> </w:t>
            </w:r>
          </w:p>
        </w:tc>
      </w:tr>
      <w:tr>
        <w:trPr/>
        <w:tc>
          <w:tcPr>
            <w:tcW w:w="3725" w:type="dxa"/>
            <w:tcBorders/>
            <w:shd w:fill="CCEEFF" w:val="clear"/>
            <w:vAlign w:val="center"/>
          </w:tcPr>
          <w:p>
            <w:pPr>
              <w:pStyle w:val="TableContents"/>
              <w:spacing w:before="0" w:after="283"/>
              <w:rPr/>
            </w:pPr>
            <w:r>
              <w:rPr/>
              <w:t>Balance January 1, 2021</w:t>
            </w:r>
          </w:p>
        </w:tc>
        <w:tc>
          <w:tcPr>
            <w:tcW w:w="60" w:type="dxa"/>
            <w:tcBorders/>
            <w:shd w:fill="CCEEFF" w:val="clear"/>
            <w:vAlign w:val="center"/>
          </w:tcPr>
          <w:p>
            <w:pPr>
              <w:pStyle w:val="TableContents"/>
              <w:spacing w:before="0" w:after="283"/>
              <w:rPr/>
            </w:pPr>
            <w:r>
              <w:rPr/>
              <w:t> </w:t>
            </w:r>
          </w:p>
        </w:tc>
        <w:tc>
          <w:tcPr>
            <w:tcW w:w="758" w:type="dxa"/>
            <w:tcBorders/>
            <w:shd w:fill="CCEEFF" w:val="clear"/>
            <w:vAlign w:val="center"/>
          </w:tcPr>
          <w:p>
            <w:pPr>
              <w:pStyle w:val="TableContents"/>
              <w:spacing w:before="0" w:after="283"/>
              <w:jc w:val="left"/>
              <w:rPr/>
            </w:pPr>
            <w:r>
              <w:rPr/>
              <w:t>$</w:t>
            </w:r>
            <w:bookmarkStart w:id="672" w:name="xdx_98C_eus-gaap--UnrecognizedTaxBenefit"/>
            <w:bookmarkEnd w:id="672"/>
          </w:p>
        </w:tc>
        <w:tc>
          <w:tcPr>
            <w:tcW w:w="2066" w:type="dxa"/>
            <w:tcBorders/>
            <w:shd w:fill="CCEEFF" w:val="clear"/>
            <w:vAlign w:val="center"/>
          </w:tcPr>
          <w:p>
            <w:pPr>
              <w:pStyle w:val="TableContents"/>
              <w:spacing w:before="0" w:after="283"/>
              <w:jc w:val="right"/>
              <w:rPr/>
            </w:pPr>
            <w:r>
              <w:rPr/>
              <w:t>19</w:t>
            </w:r>
          </w:p>
        </w:tc>
        <w:tc>
          <w:tcPr>
            <w:tcW w:w="110" w:type="dxa"/>
            <w:tcBorders/>
            <w:shd w:fill="CCEEFF" w:val="clear"/>
            <w:vAlign w:val="center"/>
          </w:tcPr>
          <w:p>
            <w:pPr>
              <w:pStyle w:val="TableContents"/>
              <w:spacing w:before="0" w:after="283"/>
              <w:jc w:val="left"/>
              <w:rPr/>
            </w:pPr>
            <w:r>
              <w:rPr/>
              <w:t> </w:t>
            </w:r>
          </w:p>
        </w:tc>
      </w:tr>
      <w:tr>
        <w:trPr/>
        <w:tc>
          <w:tcPr>
            <w:tcW w:w="3725" w:type="dxa"/>
            <w:tcBorders/>
            <w:shd w:fill="FFFFFF" w:val="clear"/>
            <w:vAlign w:val="center"/>
          </w:tcPr>
          <w:p>
            <w:pPr>
              <w:pStyle w:val="TableContents"/>
              <w:spacing w:before="0" w:after="283"/>
              <w:jc w:val="left"/>
              <w:rPr/>
            </w:pPr>
            <w:r>
              <w:rPr/>
              <w:t>Additions for current year tax positions</w:t>
            </w:r>
          </w:p>
        </w:tc>
        <w:tc>
          <w:tcPr>
            <w:tcW w:w="60" w:type="dxa"/>
            <w:tcBorders/>
            <w:shd w:fill="FFFFFF" w:val="clear"/>
            <w:vAlign w:val="center"/>
          </w:tcPr>
          <w:p>
            <w:pPr>
              <w:pStyle w:val="TableContents"/>
              <w:spacing w:before="0" w:after="283"/>
              <w:rPr/>
            </w:pPr>
            <w:r>
              <w:rPr/>
              <w:t> </w:t>
            </w:r>
          </w:p>
        </w:tc>
        <w:tc>
          <w:tcPr>
            <w:tcW w:w="758" w:type="dxa"/>
            <w:tcBorders/>
            <w:shd w:fill="FFFFFF" w:val="clear"/>
            <w:vAlign w:val="center"/>
          </w:tcPr>
          <w:p>
            <w:pPr>
              <w:pStyle w:val="TableContents"/>
              <w:spacing w:before="0" w:after="283"/>
              <w:jc w:val="left"/>
              <w:rPr/>
            </w:pPr>
            <w:r>
              <w:rPr/>
              <w:t> </w:t>
            </w:r>
            <w:bookmarkStart w:id="673" w:name="xdx_983_eus-gaap--UnrecognizedTaxBenefit"/>
            <w:bookmarkEnd w:id="673"/>
          </w:p>
        </w:tc>
        <w:tc>
          <w:tcPr>
            <w:tcW w:w="2066"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3725" w:type="dxa"/>
            <w:tcBorders/>
            <w:shd w:fill="CCEEFF" w:val="clear"/>
            <w:vAlign w:val="center"/>
          </w:tcPr>
          <w:p>
            <w:pPr>
              <w:pStyle w:val="TableContents"/>
              <w:spacing w:before="0" w:after="283"/>
              <w:jc w:val="left"/>
              <w:rPr/>
            </w:pPr>
            <w:r>
              <w:rPr/>
              <w:t>Reductions for prior year tax positions</w:t>
            </w:r>
          </w:p>
        </w:tc>
        <w:tc>
          <w:tcPr>
            <w:tcW w:w="60" w:type="dxa"/>
            <w:tcBorders/>
            <w:shd w:fill="CCEEFF" w:val="clear"/>
            <w:vAlign w:val="center"/>
          </w:tcPr>
          <w:p>
            <w:pPr>
              <w:pStyle w:val="TableContents"/>
              <w:spacing w:before="0" w:after="283"/>
              <w:rPr/>
            </w:pPr>
            <w:r>
              <w:rPr/>
              <w:t> </w:t>
            </w:r>
          </w:p>
        </w:tc>
        <w:tc>
          <w:tcPr>
            <w:tcW w:w="758"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674" w:name="xdx_985_eus-gaap--UnrecognizedTaxBenefit"/>
            <w:bookmarkEnd w:id="674"/>
          </w:p>
        </w:tc>
        <w:tc>
          <w:tcPr>
            <w:tcW w:w="2066" w:type="dxa"/>
            <w:tcBorders>
              <w:bottom w:val="single" w:sz="12" w:space="0" w:color="000000"/>
            </w:tcBorders>
            <w:shd w:fill="CCEEFF" w:val="clear"/>
            <w:tcMar>
              <w:bottom w:w="28" w:type="dxa"/>
            </w:tcMar>
            <w:vAlign w:val="center"/>
          </w:tcPr>
          <w:p>
            <w:pPr>
              <w:pStyle w:val="TableContents"/>
              <w:spacing w:before="0" w:after="283"/>
              <w:jc w:val="right"/>
              <w:rPr/>
            </w:pPr>
            <w:r>
              <w:rPr/>
              <w:t>(19</w:t>
            </w:r>
          </w:p>
        </w:tc>
        <w:tc>
          <w:tcPr>
            <w:tcW w:w="110" w:type="dxa"/>
            <w:tcBorders/>
            <w:shd w:fill="CCEEFF" w:val="clear"/>
            <w:vAlign w:val="center"/>
          </w:tcPr>
          <w:p>
            <w:pPr>
              <w:pStyle w:val="TableContents"/>
              <w:spacing w:before="0" w:after="283"/>
              <w:jc w:val="left"/>
              <w:rPr/>
            </w:pPr>
            <w:r>
              <w:rPr/>
              <w:t>)</w:t>
            </w:r>
          </w:p>
        </w:tc>
      </w:tr>
      <w:tr>
        <w:trPr/>
        <w:tc>
          <w:tcPr>
            <w:tcW w:w="3725" w:type="dxa"/>
            <w:tcBorders/>
            <w:shd w:fill="FFFFFF" w:val="clear"/>
            <w:vAlign w:val="center"/>
          </w:tcPr>
          <w:p>
            <w:pPr>
              <w:pStyle w:val="TableContents"/>
              <w:spacing w:before="0" w:after="283"/>
              <w:rPr/>
            </w:pPr>
            <w:r>
              <w:rPr/>
              <w:t>Balance- December 31, 2021</w:t>
            </w:r>
          </w:p>
        </w:tc>
        <w:tc>
          <w:tcPr>
            <w:tcW w:w="60" w:type="dxa"/>
            <w:tcBorders/>
            <w:shd w:fill="FFFFFF" w:val="clear"/>
            <w:vAlign w:val="center"/>
          </w:tcPr>
          <w:p>
            <w:pPr>
              <w:pStyle w:val="TableContents"/>
              <w:spacing w:before="0" w:after="283"/>
              <w:rPr/>
            </w:pPr>
            <w:r>
              <w:rPr/>
              <w:t> </w:t>
            </w:r>
          </w:p>
        </w:tc>
        <w:tc>
          <w:tcPr>
            <w:tcW w:w="758" w:type="dxa"/>
            <w:tcBorders/>
            <w:shd w:fill="FFFFFF" w:val="clear"/>
            <w:vAlign w:val="center"/>
          </w:tcPr>
          <w:p>
            <w:pPr>
              <w:pStyle w:val="TableContents"/>
              <w:spacing w:before="0" w:after="283"/>
              <w:jc w:val="left"/>
              <w:rPr/>
            </w:pPr>
            <w:r>
              <w:rPr/>
              <w:t> </w:t>
            </w:r>
            <w:bookmarkStart w:id="675" w:name="xdx_982_eus-gaap--UnrecognizedTaxBenefit"/>
            <w:bookmarkEnd w:id="675"/>
          </w:p>
        </w:tc>
        <w:tc>
          <w:tcPr>
            <w:tcW w:w="2066"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3725" w:type="dxa"/>
            <w:tcBorders/>
            <w:shd w:fill="CCEEFF" w:val="clear"/>
            <w:vAlign w:val="center"/>
          </w:tcPr>
          <w:p>
            <w:pPr>
              <w:pStyle w:val="TableContents"/>
              <w:spacing w:before="0" w:after="283"/>
              <w:jc w:val="left"/>
              <w:rPr/>
            </w:pPr>
            <w:r>
              <w:rPr/>
              <w:t>Additions for current year tax positions</w:t>
            </w:r>
          </w:p>
        </w:tc>
        <w:tc>
          <w:tcPr>
            <w:tcW w:w="60" w:type="dxa"/>
            <w:tcBorders/>
            <w:shd w:fill="CCEEFF" w:val="clear"/>
            <w:vAlign w:val="center"/>
          </w:tcPr>
          <w:p>
            <w:pPr>
              <w:pStyle w:val="TableContents"/>
              <w:spacing w:before="0" w:after="283"/>
              <w:rPr/>
            </w:pPr>
            <w:r>
              <w:rPr/>
              <w:t> </w:t>
            </w:r>
          </w:p>
        </w:tc>
        <w:tc>
          <w:tcPr>
            <w:tcW w:w="758"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676" w:name="xdx_988_eus-gaap--UnrecognizedTaxBenefit"/>
            <w:bookmarkEnd w:id="676"/>
          </w:p>
        </w:tc>
        <w:tc>
          <w:tcPr>
            <w:tcW w:w="2066" w:type="dxa"/>
            <w:tcBorders>
              <w:bottom w:val="single" w:sz="12" w:space="0" w:color="000000"/>
            </w:tcBorders>
            <w:shd w:fill="CCEEFF" w:val="clear"/>
            <w:tcMar>
              <w:bottom w:w="28" w:type="dxa"/>
            </w:tcMar>
            <w:vAlign w:val="center"/>
          </w:tcPr>
          <w:p>
            <w:pPr>
              <w:pStyle w:val="TableContents"/>
              <w:spacing w:before="0" w:after="283"/>
              <w:jc w:val="right"/>
              <w:rPr/>
            </w:pPr>
            <w:r>
              <w:rPr/>
              <w:t>128</w:t>
            </w:r>
          </w:p>
        </w:tc>
        <w:tc>
          <w:tcPr>
            <w:tcW w:w="110" w:type="dxa"/>
            <w:tcBorders/>
            <w:shd w:fill="CCEEFF" w:val="clear"/>
            <w:vAlign w:val="center"/>
          </w:tcPr>
          <w:p>
            <w:pPr>
              <w:pStyle w:val="TableContents"/>
              <w:spacing w:before="0" w:after="283"/>
              <w:jc w:val="left"/>
              <w:rPr/>
            </w:pPr>
            <w:r>
              <w:rPr/>
              <w:t> </w:t>
            </w:r>
          </w:p>
        </w:tc>
      </w:tr>
      <w:tr>
        <w:trPr/>
        <w:tc>
          <w:tcPr>
            <w:tcW w:w="3725" w:type="dxa"/>
            <w:tcBorders/>
            <w:shd w:fill="FFFFFF" w:val="clear"/>
            <w:vAlign w:val="center"/>
          </w:tcPr>
          <w:p>
            <w:pPr>
              <w:pStyle w:val="TableContents"/>
              <w:spacing w:before="0" w:after="283"/>
              <w:rPr/>
            </w:pPr>
            <w:r>
              <w:rPr/>
              <w:t>Balance- December 31, 2022</w:t>
            </w:r>
          </w:p>
        </w:tc>
        <w:tc>
          <w:tcPr>
            <w:tcW w:w="60" w:type="dxa"/>
            <w:tcBorders/>
            <w:shd w:fill="FFFFFF" w:val="clear"/>
            <w:vAlign w:val="center"/>
          </w:tcPr>
          <w:p>
            <w:pPr>
              <w:pStyle w:val="TableContents"/>
              <w:spacing w:before="0" w:after="283"/>
              <w:rPr/>
            </w:pPr>
            <w:r>
              <w:rPr/>
              <w:t> </w:t>
            </w:r>
          </w:p>
        </w:tc>
        <w:tc>
          <w:tcPr>
            <w:tcW w:w="758" w:type="dxa"/>
            <w:tcBorders>
              <w:bottom w:val="double" w:sz="6" w:space="0" w:color="000000"/>
            </w:tcBorders>
            <w:shd w:fill="FFFFFF" w:val="clear"/>
            <w:tcMar>
              <w:bottom w:w="28" w:type="dxa"/>
            </w:tcMar>
            <w:vAlign w:val="center"/>
          </w:tcPr>
          <w:p>
            <w:pPr>
              <w:pStyle w:val="TableContents"/>
              <w:spacing w:before="0" w:after="283"/>
              <w:jc w:val="left"/>
              <w:rPr/>
            </w:pPr>
            <w:r>
              <w:rPr/>
              <w:t>$</w:t>
            </w:r>
            <w:bookmarkStart w:id="677" w:name="xdx_98F_eus-gaap--UnrecognizedTaxBenefit"/>
            <w:bookmarkEnd w:id="677"/>
          </w:p>
        </w:tc>
        <w:tc>
          <w:tcPr>
            <w:tcW w:w="2066" w:type="dxa"/>
            <w:tcBorders>
              <w:bottom w:val="double" w:sz="6" w:space="0" w:color="000000"/>
            </w:tcBorders>
            <w:shd w:fill="FFFFFF" w:val="clear"/>
            <w:tcMar>
              <w:bottom w:w="28" w:type="dxa"/>
            </w:tcMar>
            <w:vAlign w:val="center"/>
          </w:tcPr>
          <w:p>
            <w:pPr>
              <w:pStyle w:val="TableContents"/>
              <w:spacing w:before="0" w:after="283"/>
              <w:jc w:val="right"/>
              <w:rPr/>
            </w:pPr>
            <w:r>
              <w:rPr/>
              <w:t>128</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678" w:name="xdx_8A5_zpVbYgqEqnwh"/>
      <w:bookmarkEnd w:id="678"/>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total uncertain tax positions increased during the year ended December 31, 2022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bookmarkStart w:id="679" w:name="xdx_801_eus-gaap--AssetAcquisitionTextBl"/>
      <w:bookmarkEnd w:id="679"/>
      <w:r>
        <w:rPr>
          <w:rFonts w:ascii="Times New Roman;Times;Serif" w:hAnsi="Times New Roman;Times;Serif"/>
          <w:b/>
          <w:i w:val="false"/>
          <w:caps/>
          <w:sz w:val="20"/>
        </w:rPr>
        <w:t xml:space="preserve">Note 10 – </w:t>
      </w:r>
      <w:bookmarkStart w:id="680" w:name="xdx_82A_zpkje2KIxmN2"/>
      <w:bookmarkEnd w:id="680"/>
      <w:r>
        <w:rPr>
          <w:rFonts w:ascii="Times New Roman;Times;Serif" w:hAnsi="Times New Roman;Times;Serif"/>
          <w:b/>
          <w:i w:val="false"/>
          <w:caps/>
          <w:sz w:val="20"/>
        </w:rPr>
        <w:t>ASSET PURCHASE AGREEMENT</w:t>
      </w:r>
    </w:p>
    <w:p>
      <w:pPr>
        <w:pStyle w:val="TextBody"/>
        <w:spacing w:before="0" w:after="0"/>
        <w:ind w:left="0" w:right="0" w:hanging="0"/>
        <w:jc w:val="both"/>
        <w:rPr>
          <w:caps/>
        </w:rPr>
      </w:pPr>
      <w:r>
        <w:rPr>
          <w:caps/>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Bourns Productions, Inc.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the Company entered into an asset purchase agreement (the “</w:t>
      </w:r>
      <w:r>
        <w:rPr>
          <w:rFonts w:ascii="Times New Roman;Times;Serif" w:hAnsi="Times New Roman;Times;Serif"/>
          <w:b/>
          <w:i w:val="false"/>
          <w:caps w:val="false"/>
          <w:smallCaps w:val="false"/>
          <w:sz w:val="20"/>
        </w:rPr>
        <w:t>APA</w:t>
      </w:r>
      <w:r>
        <w:rPr>
          <w:rFonts w:ascii="Times New Roman;Times;Serif" w:hAnsi="Times New Roman;Times;Serif"/>
          <w:b w:val="false"/>
          <w:i w:val="false"/>
          <w:caps w:val="false"/>
          <w:smallCaps w:val="false"/>
          <w:sz w:val="20"/>
        </w:rPr>
        <w:t>”) with Bourns Productions, Inc., a Nevada corporation (“</w:t>
      </w:r>
      <w:r>
        <w:rPr>
          <w:rFonts w:ascii="Times New Roman;Times;Serif" w:hAnsi="Times New Roman;Times;Serif"/>
          <w:b/>
          <w:i w:val="false"/>
          <w:caps w:val="false"/>
          <w:smallCaps w:val="false"/>
          <w:sz w:val="20"/>
        </w:rPr>
        <w:t>Bourns Productions</w:t>
      </w:r>
      <w:r>
        <w:rPr>
          <w:rFonts w:ascii="Times New Roman;Times;Serif" w:hAnsi="Times New Roman;Times;Serif"/>
          <w:b w:val="false"/>
          <w:i w:val="false"/>
          <w:caps w:val="false"/>
          <w:smallCaps w:val="false"/>
          <w:sz w:val="20"/>
        </w:rPr>
        <w:t>”), pursuant to which the Company acquired machinery, equipment and a lease for a podcast studio from Bourns Production Productions as set forth in the APA for a purchase price of $</w:t>
      </w:r>
      <w:bookmarkStart w:id="681" w:name="xdx_90C_eus-gaap--AssetAcquisitionConsid"/>
      <w:bookmarkEnd w:id="681"/>
      <w:r>
        <w:rPr>
          <w:rFonts w:ascii="Times New Roman;Times;Serif" w:hAnsi="Times New Roman;Times;Serif"/>
          <w:b w:val="false"/>
          <w:i w:val="false"/>
          <w:caps w:val="false"/>
          <w:smallCaps w:val="false"/>
          <w:sz w:val="20"/>
        </w:rPr>
        <w:t>197 which approximated fair market value.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Thomason Jones Company, LLC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an Asset Purchase Agreement with William Thomason, Richard Jones, and Thomason Jones Company, LLC (“</w:t>
      </w:r>
      <w:r>
        <w:rPr>
          <w:rFonts w:ascii="Times New Roman;Times;Serif" w:hAnsi="Times New Roman;Times;Serif"/>
          <w:b/>
          <w:i w:val="false"/>
          <w:caps w:val="false"/>
          <w:smallCaps w:val="false"/>
          <w:sz w:val="20"/>
        </w:rPr>
        <w:t>Thomason Jones</w:t>
      </w:r>
      <w:r>
        <w:rPr>
          <w:rFonts w:ascii="Times New Roman;Times;Serif" w:hAnsi="Times New Roman;Times;Serif"/>
          <w:b w:val="false"/>
          <w:i w:val="false"/>
          <w:caps w:val="false"/>
          <w:smallCaps w:val="false"/>
          <w:sz w:val="20"/>
        </w:rPr>
        <w:t>”), whereby the Company acquired inventory and intellectual property assets for $</w:t>
      </w:r>
      <w:bookmarkStart w:id="682" w:name="xdx_908_eus-gaap--AssetAcquisitionConsid"/>
      <w:bookmarkEnd w:id="682"/>
      <w:r>
        <w:rPr>
          <w:rFonts w:ascii="Times New Roman;Times;Serif" w:hAnsi="Times New Roman;Times;Serif"/>
          <w:b w:val="false"/>
          <w:i w:val="false"/>
          <w:caps w:val="false"/>
          <w:smallCaps w:val="false"/>
          <w:sz w:val="20"/>
        </w:rPr>
        <w:t>444 cash plus contingent payments of $</w:t>
      </w:r>
      <w:bookmarkStart w:id="683" w:name="xdx_905_eus-gaap--AssetAcquisitionConsid"/>
      <w:bookmarkEnd w:id="683"/>
      <w:r>
        <w:rPr>
          <w:rFonts w:ascii="Times New Roman;Times;Serif" w:hAnsi="Times New Roman;Times;Serif"/>
          <w:b w:val="false"/>
          <w:i w:val="false"/>
          <w:caps w:val="false"/>
          <w:smallCaps w:val="false"/>
          <w:sz w:val="20"/>
        </w:rPr>
        <w:t>1,000 each to William Thomason and Richard Jones (the “</w:t>
      </w:r>
      <w:r>
        <w:rPr>
          <w:rFonts w:ascii="Times New Roman;Times;Serif" w:hAnsi="Times New Roman;Times;Serif"/>
          <w:b/>
          <w:i w:val="false"/>
          <w:caps w:val="false"/>
          <w:smallCaps w:val="false"/>
          <w:sz w:val="20"/>
        </w:rPr>
        <w:t>Earn Out</w:t>
      </w:r>
      <w:r>
        <w:rPr>
          <w:rFonts w:ascii="Times New Roman;Times;Serif" w:hAnsi="Times New Roman;Times;Serif"/>
          <w:b w:val="false"/>
          <w:i w:val="false"/>
          <w:caps w:val="false"/>
          <w:smallCaps w:val="false"/>
          <w:sz w:val="20"/>
        </w:rPr>
        <w:t>”). The Company determined the contingent consideration to be recognized as contingent compensation to Mr. Thomason and Mr. Jones. The entire purchase price of $</w:t>
      </w:r>
      <w:bookmarkStart w:id="684" w:name="xdx_900_eus-gaap--AssetAcquisitionConsid"/>
      <w:bookmarkEnd w:id="684"/>
      <w:r>
        <w:rPr>
          <w:rFonts w:ascii="Times New Roman;Times;Serif" w:hAnsi="Times New Roman;Times;Serif"/>
          <w:b w:val="false"/>
          <w:i w:val="false"/>
          <w:caps w:val="false"/>
          <w:smallCaps w:val="false"/>
          <w:sz w:val="20"/>
        </w:rPr>
        <w:t>444 was allocated to inventory.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Contingent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twenty-four months of the Agreement the Company realizes $</w:t>
      </w:r>
      <w:bookmarkStart w:id="685" w:name="xdx_909_eus-gaap--Revenues_pn3n3_c202201"/>
      <w:bookmarkEnd w:id="685"/>
      <w:r>
        <w:rPr>
          <w:rFonts w:ascii="Times New Roman;Times;Serif" w:hAnsi="Times New Roman;Times;Serif"/>
          <w:b w:val="false"/>
          <w:i w:val="false"/>
          <w:caps w:val="false"/>
          <w:smallCaps w:val="false"/>
          <w:sz w:val="20"/>
        </w:rPr>
        <w:t>3,000 in gross sales of product either (a) sold under the Wakespeed brand and/or (b) which incorporates any portion of Purchased IP as listed within the agreement, then the Company will pay to Thomason Jones each the amount of $</w:t>
      </w:r>
      <w:bookmarkStart w:id="686" w:name="xdx_90E_eus-gaap--DueToRelatedPartiesCur"/>
      <w:bookmarkEnd w:id="686"/>
      <w:r>
        <w:rPr>
          <w:rFonts w:ascii="Times New Roman;Times;Serif" w:hAnsi="Times New Roman;Times;Serif"/>
          <w:b w:val="false"/>
          <w:i w:val="false"/>
          <w:caps w:val="false"/>
          <w:smallCaps w:val="false"/>
          <w:sz w:val="20"/>
        </w:rPr>
        <w:t>1,000 as soon as reasonably practicable. This payment may be made in cash or common stock, in the sole discretion of the Company. As a result, the Company determined that a liability should be recorded ratably over the 24 month period. The Company recognized expenses in the fourth quarter related to the contingent payment as no accrual was recorded from the date of the agreement through September 30, 2022. The Company recognized immediate compensation expense within sales and marketing of $</w:t>
      </w:r>
      <w:bookmarkStart w:id="687" w:name="xdx_900_eus-gaap--SellingAndMarketingExp"/>
      <w:bookmarkEnd w:id="687"/>
      <w:r>
        <w:rPr>
          <w:rFonts w:ascii="Times New Roman;Times;Serif" w:hAnsi="Times New Roman;Times;Serif"/>
          <w:b w:val="false"/>
          <w:i w:val="false"/>
          <w:caps w:val="false"/>
          <w:smallCaps w:val="false"/>
          <w:sz w:val="20"/>
        </w:rPr>
        <w:t>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 cumulative accrual in the amount of $</w:t>
      </w:r>
      <w:bookmarkStart w:id="688" w:name="xdx_906_eus-gaap--AccruedLiabilitiesAndO"/>
      <w:bookmarkEnd w:id="688"/>
      <w:r>
        <w:rPr>
          <w:rFonts w:ascii="Times New Roman;Times;Serif" w:hAnsi="Times New Roman;Times;Serif"/>
          <w:b w:val="false"/>
          <w:i w:val="false"/>
          <w:caps w:val="false"/>
          <w:smallCaps w:val="false"/>
          <w:sz w:val="20"/>
        </w:rPr>
        <w:t>782 as of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bookmarkStart w:id="689" w:name="xdx_800_eus-gaap--RelatedPartyTransactio"/>
      <w:bookmarkEnd w:id="689"/>
      <w:r>
        <w:rPr>
          <w:rFonts w:ascii="Times New Roman;Times;Serif" w:hAnsi="Times New Roman;Times;Serif"/>
          <w:b/>
          <w:i w:val="false"/>
          <w:caps/>
          <w:sz w:val="20"/>
        </w:rPr>
        <w:t xml:space="preserve">Note 11 - </w:t>
      </w:r>
      <w:bookmarkStart w:id="690" w:name="xdx_82E_zhIc8JJI2WH4"/>
      <w:bookmarkEnd w:id="690"/>
      <w:r>
        <w:rPr>
          <w:rFonts w:ascii="Times New Roman;Times;Serif" w:hAnsi="Times New Roman;Times;Serif"/>
          <w:b/>
          <w:i w:val="false"/>
          <w:caps/>
          <w:sz w:val="20"/>
        </w:rPr>
        <w:t>RELATED PARTY</w:t>
      </w:r>
    </w:p>
    <w:p>
      <w:pPr>
        <w:pStyle w:val="TextBody"/>
        <w:spacing w:before="0" w:after="0"/>
        <w:ind w:left="0" w:right="0" w:hanging="0"/>
        <w:jc w:val="both"/>
        <w:rPr>
          <w:caps/>
        </w:rPr>
      </w:pPr>
      <w:r>
        <w:rPr>
          <w:caps/>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loaned its Chief Financial Officer $</w:t>
      </w:r>
      <w:bookmarkStart w:id="691" w:name="xdx_90D_eus-gaap--RelatedPartyTransactio"/>
      <w:bookmarkEnd w:id="691"/>
      <w:r>
        <w:rPr>
          <w:rFonts w:ascii="Times New Roman;Times;Serif" w:hAnsi="Times New Roman;Times;Serif"/>
          <w:b w:val="false"/>
          <w:i w:val="false"/>
          <w:caps w:val="false"/>
          <w:smallCaps w:val="false"/>
          <w:sz w:val="20"/>
        </w:rPr>
        <w:t>469 to repay amounts owed by him to his former employer and entered into a related Promissory Note with a maturity date of March 1, 2026. The loan was forgiven in full in March of 2022 and was recorded within general and administrative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entered into a separation and release of claims agreement with its Chief Operating Officer (“</w:t>
      </w:r>
      <w:r>
        <w:rPr>
          <w:rFonts w:ascii="Times New Roman;Times;Serif" w:hAnsi="Times New Roman;Times;Serif"/>
          <w:b/>
          <w:i w:val="false"/>
          <w:caps w:val="false"/>
          <w:smallCaps w:val="false"/>
          <w:sz w:val="20"/>
        </w:rPr>
        <w:t>COO</w:t>
      </w:r>
      <w:r>
        <w:rPr>
          <w:rFonts w:ascii="Times New Roman;Times;Serif" w:hAnsi="Times New Roman;Times;Serif"/>
          <w:b w:val="false"/>
          <w:i w:val="false"/>
          <w:caps w:val="false"/>
          <w:smallCaps w:val="false"/>
          <w:sz w:val="20"/>
        </w:rPr>
        <w:t>”). As consideration for the COO’s execution of the agreement, the Company agreed to pay the employee a lump sum payment of $</w:t>
      </w:r>
      <w:bookmarkStart w:id="692" w:name="xdx_90F_eus-gaap--RelatedPartyTransactio"/>
      <w:bookmarkEnd w:id="692"/>
      <w:r>
        <w:rPr>
          <w:rFonts w:ascii="Times New Roman;Times;Serif" w:hAnsi="Times New Roman;Times;Serif"/>
          <w:b w:val="false"/>
          <w:i w:val="false"/>
          <w:caps w:val="false"/>
          <w:smallCaps w:val="false"/>
          <w:sz w:val="20"/>
        </w:rPr>
        <w:t>100 which is included in general and administrative expenses in the statements of operations, payments equivalent to $</w:t>
      </w:r>
      <w:bookmarkStart w:id="693" w:name="xdx_90E_eus-gaap--DueToRelatedPartiesCur"/>
      <w:bookmarkEnd w:id="693"/>
      <w:r>
        <w:rPr>
          <w:rFonts w:ascii="Times New Roman;Times;Serif" w:hAnsi="Times New Roman;Times;Serif"/>
          <w:b w:val="false"/>
          <w:i w:val="false"/>
          <w:caps w:val="false"/>
          <w:smallCaps w:val="false"/>
          <w:sz w:val="20"/>
        </w:rPr>
        <w:t>1,000 divided into 24 monthly payments commencing on December 1, 2022, and all outstanding equity-based compensation awards to become fully vested and exercisable. The COO shall have 12 months from the termination date to exercise outstanding options.</w:t>
      </w:r>
    </w:p>
    <w:p>
      <w:pPr>
        <w:pStyle w:val="TextBody"/>
        <w:spacing w:before="0" w:after="0"/>
        <w:ind w:left="0" w:right="0" w:hanging="0"/>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F-24</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bookmarkStart w:id="694" w:name="xdx_804_ecustom--WarrantLiabilitiesDiscl"/>
      <w:bookmarkEnd w:id="694"/>
      <w:r>
        <w:rPr>
          <w:rFonts w:ascii="Times New Roman;Times;Serif" w:hAnsi="Times New Roman;Times;Serif"/>
          <w:b/>
          <w:i w:val="false"/>
          <w:caps/>
          <w:sz w:val="20"/>
        </w:rPr>
        <w:t xml:space="preserve">Note 12 - </w:t>
      </w:r>
      <w:bookmarkStart w:id="695" w:name="xdx_824_zbxWIrXEjWT5"/>
      <w:bookmarkEnd w:id="695"/>
      <w:r>
        <w:rPr>
          <w:rFonts w:ascii="Times New Roman;Times;Serif" w:hAnsi="Times New Roman;Times;Serif"/>
          <w:b/>
          <w:i w:val="false"/>
          <w:caps/>
          <w:sz w:val="20"/>
        </w:rPr>
        <w:t>WARRANTS</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discussed in Note 3, the Company assumed the outstanding public and private placement warrants of CNTQ.</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7 for further description of the warrants issued in connection with the Term Loan.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Warrant entitles the holder to the right to purchase one share of common stock at an exercise price of $</w:t>
      </w:r>
      <w:bookmarkStart w:id="696" w:name="xdx_902_eus-gaap--ClassOfWarrantOrRightE"/>
      <w:bookmarkEnd w:id="696"/>
      <w:r>
        <w:rPr>
          <w:rFonts w:ascii="Times New Roman;Times;Serif" w:hAnsi="Times New Roman;Times;Serif"/>
          <w:b w:val="false"/>
          <w:i w:val="false"/>
          <w:caps w:val="false"/>
          <w:smallCaps w:val="false"/>
          <w:sz w:val="20"/>
        </w:rPr>
        <w:t>11.50 per share. No fractional shares will be issued upon exercise of the Public Warrants. The Company may elect to redeem the Public Warrants subject to certain conditions, in whole and not in part, at a price of $</w:t>
      </w:r>
      <w:bookmarkStart w:id="697" w:name="xdx_906_eus-gaap--ClassOfWarrantOrRightE"/>
      <w:bookmarkEnd w:id="697"/>
      <w:r>
        <w:rPr>
          <w:rFonts w:ascii="Times New Roman;Times;Serif" w:hAnsi="Times New Roman;Times;Serif"/>
          <w:b w:val="false"/>
          <w:i w:val="false"/>
          <w:caps w:val="false"/>
          <w:smallCaps w:val="false"/>
          <w:sz w:val="20"/>
        </w:rPr>
        <w:t>0.01 per Public Warrant if (i) 30 days’ prior written notice of redemption is provided to the holders, and (ii) the last reported sale price of the Company’s common stock equals or exceeds $</w:t>
      </w:r>
      <w:bookmarkStart w:id="698" w:name="xdx_900_eus-gaap--SharePrice_iI_pid_c202"/>
      <w:bookmarkEnd w:id="698"/>
      <w:r>
        <w:rPr>
          <w:rFonts w:ascii="Times New Roman;Times;Serif" w:hAnsi="Times New Roman;Times;Serif"/>
          <w:b w:val="false"/>
          <w:i w:val="false"/>
          <w:caps w:val="false"/>
          <w:smallCaps w:val="false"/>
          <w:sz w:val="20"/>
        </w:rPr>
        <w:t xml:space="preserve">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w:t>
      </w:r>
      <w:bookmarkStart w:id="699" w:name="xdx_90A_eus-gaap--ClassOfWarrantOrRightO"/>
      <w:bookmarkEnd w:id="699"/>
      <w:r>
        <w:rPr>
          <w:rFonts w:ascii="Times New Roman;Times;Serif" w:hAnsi="Times New Roman;Times;Serif"/>
          <w:b w:val="false"/>
          <w:i w:val="false"/>
          <w:caps w:val="false"/>
          <w:smallCaps w:val="false"/>
          <w:sz w:val="20"/>
        </w:rPr>
        <w:t>9,487,500 Public Warrants issued and outstanding. The Public Warrants are not precluded from equity classification, and are accounted for as such on the date of issuance, and each balance sheet date thereafter. There was no activity of public warrants from the closing date through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On the Closing Date and as of December 31, 2022, there were </w:t>
      </w:r>
      <w:bookmarkStart w:id="700" w:name="xdx_906_eus-gaap--ClassOfWarrantOrRightO"/>
      <w:bookmarkEnd w:id="700"/>
      <w:r>
        <w:rPr>
          <w:rFonts w:ascii="Times New Roman;Times;Serif" w:hAnsi="Times New Roman;Times;Serif"/>
          <w:b w:val="false"/>
          <w:i w:val="false"/>
          <w:caps w:val="false"/>
          <w:smallCaps w:val="false"/>
          <w:sz w:val="20"/>
        </w:rPr>
        <w:t>4,627,858 Private Warrants issued and outstanding.</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F-25</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the </w:t>
      </w:r>
      <w:bookmarkStart w:id="701" w:name="xdx_90E_eus-gaap--ClassOfWarrantOrRightO"/>
      <w:bookmarkEnd w:id="701"/>
      <w:r>
        <w:rPr>
          <w:rFonts w:ascii="Times New Roman;Times;Serif" w:hAnsi="Times New Roman;Times;Serif"/>
          <w:b w:val="false"/>
          <w:i w:val="false"/>
          <w:caps w:val="false"/>
          <w:smallCaps w:val="false"/>
          <w:sz w:val="20"/>
        </w:rPr>
        <w:t>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spacing w:before="0" w:after="0"/>
        <w:ind w:left="0" w:right="0" w:hanging="0"/>
        <w:jc w:val="both"/>
        <w:rPr>
          <w:caps w:val="false"/>
          <w:smallCaps w:val="false"/>
        </w:rPr>
      </w:pPr>
      <w:bookmarkStart w:id="702" w:name="xdx_89A_eus-gaap--ScheduleOfFairValueOff"/>
      <w:bookmarkEnd w:id="702"/>
      <w:r>
        <w:rPr>
          <w:caps w:val="false"/>
          <w:smallCaps w:val="false"/>
        </w:rPr>
        <w:t> </w:t>
      </w:r>
      <w:bookmarkStart w:id="703" w:name="xdx_8B6_zhLdaP59ejti"/>
      <w:bookmarkEnd w:id="703"/>
      <w:r>
        <w:rPr>
          <w:rFonts w:ascii="Times New Roman;Times;Serif" w:hAnsi="Times New Roman;Times;Serif"/>
          <w:b w:val="false"/>
          <w:i w:val="false"/>
          <w:caps w:val="false"/>
          <w:smallCaps w:val="false"/>
          <w:sz w:val="20"/>
        </w:rPr>
        <w:t>SCHEDULE OF WARRANT CLASSIFICATION AT EACH BALANCE SHEET DATE</w:t>
      </w:r>
    </w:p>
    <w:tbl>
      <w:tblPr>
        <w:tblW w:w="7288" w:type="dxa"/>
        <w:jc w:val="left"/>
        <w:tblInd w:w="0" w:type="dxa"/>
        <w:tblCellMar>
          <w:top w:w="0" w:type="dxa"/>
          <w:left w:w="0" w:type="dxa"/>
          <w:bottom w:w="28" w:type="dxa"/>
          <w:right w:w="0" w:type="dxa"/>
        </w:tblCellMar>
      </w:tblPr>
      <w:tblGrid>
        <w:gridCol w:w="2255"/>
        <w:gridCol w:w="60"/>
        <w:gridCol w:w="60"/>
        <w:gridCol w:w="845"/>
        <w:gridCol w:w="60"/>
        <w:gridCol w:w="60"/>
        <w:gridCol w:w="175"/>
        <w:gridCol w:w="684"/>
        <w:gridCol w:w="60"/>
        <w:gridCol w:w="60"/>
        <w:gridCol w:w="1085"/>
        <w:gridCol w:w="60"/>
        <w:gridCol w:w="186"/>
        <w:gridCol w:w="568"/>
        <w:gridCol w:w="60"/>
        <w:gridCol w:w="60"/>
        <w:gridCol w:w="950"/>
      </w:tblGrid>
      <w:tr>
        <w:trPr/>
        <w:tc>
          <w:tcPr>
            <w:tcW w:w="225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Class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0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59"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Inception </w:t>
              <w:br/>
              <w:t xml:space="preserve">Date </w:t>
              <w:br/>
              <w:t>Fair Value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8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 </w:t>
              <w:br/>
              <w:t xml:space="preserve">Recognition </w:t>
              <w:br/>
              <w:t>Date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54"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Exercise </w:t>
              <w:br/>
              <w:t>Price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Expiration </w:t>
              <w:br/>
              <w:t>Date</w:t>
            </w:r>
          </w:p>
        </w:tc>
      </w:tr>
      <w:tr>
        <w:trPr/>
        <w:tc>
          <w:tcPr>
            <w:tcW w:w="22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Placement Warrants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bookmarkStart w:id="704" w:name="xdx_985_eus-gaap--ClassOfWarrantOrRightO"/>
            <w:bookmarkEnd w:id="704"/>
          </w:p>
        </w:tc>
        <w:tc>
          <w:tcPr>
            <w:tcW w:w="84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4,627,858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5" w:name="xdx_98F_ecustom--FairValueOfInitialPerio"/>
            <w:bookmarkEnd w:id="705"/>
          </w:p>
        </w:tc>
        <w:tc>
          <w:tcPr>
            <w:tcW w:w="6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706" w:name="xdx_900_ecustom--WarrantsAndRightsOutsta"/>
            <w:bookmarkEnd w:id="706"/>
            <w:r>
              <w:rPr>
                <w:rFonts w:ascii="Times New Roman;Times;Serif" w:hAnsi="Times New Roman;Times;Serif"/>
                <w:b w:val="false"/>
                <w:i w:val="false"/>
                <w:caps w:val="false"/>
                <w:smallCaps w:val="false"/>
                <w:sz w:val="20"/>
              </w:rPr>
              <w:t>10/7/2022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7" w:name="xdx_98E_eus-gaap--ClassOfWarrantOrRightE"/>
            <w:bookmarkEnd w:id="707"/>
          </w:p>
        </w:tc>
        <w:tc>
          <w:tcPr>
            <w:tcW w:w="568"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708" w:name="xdx_904_eus-gaap--WarrantsAndRightsOutst"/>
            <w:bookmarkEnd w:id="708"/>
            <w:r>
              <w:rPr>
                <w:rFonts w:ascii="Times New Roman;Times;Serif" w:hAnsi="Times New Roman;Times;Serif"/>
                <w:b w:val="false"/>
                <w:i w:val="false"/>
                <w:caps w:val="false"/>
                <w:smallCaps w:val="false"/>
                <w:sz w:val="20"/>
              </w:rPr>
              <w:t>8/11/2026</w:t>
            </w:r>
          </w:p>
        </w:tc>
      </w:tr>
    </w:tbl>
    <w:p>
      <w:pPr>
        <w:pStyle w:val="TextBody"/>
        <w:spacing w:before="0" w:after="0"/>
        <w:ind w:left="0" w:right="0" w:hanging="0"/>
        <w:jc w:val="both"/>
        <w:rPr>
          <w:caps w:val="false"/>
          <w:smallCaps w:val="false"/>
        </w:rPr>
      </w:pPr>
      <w:bookmarkStart w:id="709" w:name="xdx_8AA_zUO1FKtK3G3b"/>
      <w:bookmarkEnd w:id="709"/>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and as a required term and condition thereof, the Company issued (i) the penny warrants to the Term Loan Lenders exercisable to purchase an aggregate of </w:t>
      </w:r>
      <w:bookmarkStart w:id="710" w:name="xdx_90F_eus-gaap--ClassOfWarrantOrRightN"/>
      <w:bookmarkEnd w:id="710"/>
      <w:r>
        <w:rPr>
          <w:rFonts w:ascii="Times New Roman;Times;Serif" w:hAnsi="Times New Roman;Times;Serif"/>
          <w:b w:val="false"/>
          <w:i w:val="false"/>
          <w:caps w:val="false"/>
          <w:smallCaps w:val="false"/>
          <w:sz w:val="20"/>
        </w:rPr>
        <w:t>2,593,056 shares (the “</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xml:space="preserve">”) and (ii) the $10 warrants to issue warrants to the Term Loan Lenders exercisable to purchase an aggregate of </w:t>
      </w:r>
      <w:bookmarkStart w:id="711" w:name="xdx_900_eus-gaap--ClassOfWarrantOrRightN"/>
      <w:bookmarkEnd w:id="711"/>
      <w:r>
        <w:rPr>
          <w:rFonts w:ascii="Times New Roman;Times;Serif" w:hAnsi="Times New Roman;Times;Serif"/>
          <w:b w:val="false"/>
          <w:i w:val="false"/>
          <w:caps w:val="false"/>
          <w:smallCaps w:val="false"/>
          <w:sz w:val="20"/>
        </w:rPr>
        <w:t>1,600,000 shares of common stock at $</w:t>
      </w:r>
      <w:bookmarkStart w:id="712" w:name="xdx_901_eus-gaap--SharePrice_iI_c2022123"/>
      <w:bookmarkEnd w:id="712"/>
      <w:r>
        <w:rPr>
          <w:rFonts w:ascii="Times New Roman;Times;Serif" w:hAnsi="Times New Roman;Times;Serif"/>
          <w:b w:val="false"/>
          <w:i w:val="false"/>
          <w:caps w:val="false"/>
          <w:smallCaps w:val="false"/>
          <w:sz w:val="20"/>
        </w:rPr>
        <w:t xml:space="preserve">10 per share (the “$10 Warrants” and, together with the Penny Warrants, the “ Term Loan Warrants”). The $10 Warrants were exercised on a cashless basis on October 10, 2022, with the Company agreeing to issue </w:t>
      </w:r>
      <w:bookmarkStart w:id="713" w:name="xdx_902_eus-gaap--ClassOfWarrantOrRightN"/>
      <w:bookmarkEnd w:id="713"/>
      <w:r>
        <w:rPr>
          <w:rFonts w:ascii="Times New Roman;Times;Serif" w:hAnsi="Times New Roman;Times;Serif"/>
          <w:b w:val="false"/>
          <w:i w:val="false"/>
          <w:caps w:val="false"/>
          <w:smallCaps w:val="false"/>
          <w:sz w:val="20"/>
        </w:rPr>
        <w:t>457,142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714" w:name="xdx_89A_eus-gaap--DisclosureOfShareBased"/>
      <w:bookmarkEnd w:id="714"/>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715" w:name="xdx_8BE_zEBLjA52Mth2"/>
      <w:bookmarkEnd w:id="715"/>
      <w:r>
        <w:rPr>
          <w:rFonts w:ascii="Times New Roman;Times;Serif" w:hAnsi="Times New Roman;Times;Serif"/>
          <w:b w:val="false"/>
          <w:i w:val="false"/>
          <w:caps w:val="false"/>
          <w:smallCaps w:val="false"/>
          <w:sz w:val="20"/>
        </w:rPr>
        <w:t>SCHEDULE FAIR VALUE WARRANTS </w:t>
      </w:r>
    </w:p>
    <w:tbl>
      <w:tblPr>
        <w:tblW w:w="6045" w:type="dxa"/>
        <w:jc w:val="left"/>
        <w:tblInd w:w="0" w:type="dxa"/>
        <w:tblCellMar>
          <w:top w:w="0" w:type="dxa"/>
          <w:left w:w="0" w:type="dxa"/>
          <w:bottom w:w="0" w:type="dxa"/>
          <w:right w:w="0" w:type="dxa"/>
        </w:tblCellMar>
      </w:tblPr>
      <w:tblGrid>
        <w:gridCol w:w="2000"/>
        <w:gridCol w:w="60"/>
        <w:gridCol w:w="379"/>
        <w:gridCol w:w="1516"/>
        <w:gridCol w:w="60"/>
        <w:gridCol w:w="60"/>
        <w:gridCol w:w="379"/>
        <w:gridCol w:w="1516"/>
        <w:gridCol w:w="75"/>
      </w:tblGrid>
      <w:tr>
        <w:trPr/>
        <w:tc>
          <w:tcPr>
            <w:tcW w:w="20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Initial Measurement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 xml:space="preserve">As of </w:t>
              <w:br/>
              <w:t>December 31, 2022</w:t>
            </w:r>
          </w:p>
        </w:tc>
        <w:tc>
          <w:tcPr>
            <w:tcW w:w="75" w:type="dxa"/>
            <w:tcBorders/>
            <w:shd w:fill="auto" w:val="clear"/>
            <w:vAlign w:val="center"/>
          </w:tcPr>
          <w:p>
            <w:pPr>
              <w:pStyle w:val="TableContents"/>
              <w:spacing w:before="0" w:after="283"/>
              <w:rPr/>
            </w:pPr>
            <w:r>
              <w:rPr/>
              <w:t> </w:t>
            </w:r>
          </w:p>
        </w:tc>
      </w:tr>
      <w:tr>
        <w:trPr/>
        <w:tc>
          <w:tcPr>
            <w:tcW w:w="200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Common stock price</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16" w:name="xdx_98F_eus-gaap--SharePrice_iI_pid_c202"/>
            <w:bookmarkEnd w:id="716"/>
          </w:p>
        </w:tc>
        <w:tc>
          <w:tcPr>
            <w:tcW w:w="151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17" w:name="xdx_98A_eus-gaap--SharePrice_iI_pid_c202"/>
            <w:bookmarkEnd w:id="717"/>
          </w:p>
        </w:tc>
        <w:tc>
          <w:tcPr>
            <w:tcW w:w="151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11.09</w:t>
            </w:r>
          </w:p>
        </w:tc>
        <w:tc>
          <w:tcPr>
            <w:tcW w:w="75" w:type="dxa"/>
            <w:tcBorders/>
            <w:shd w:fill="CCEEFF" w:val="clear"/>
            <w:vAlign w:val="center"/>
          </w:tcPr>
          <w:p>
            <w:pPr>
              <w:pStyle w:val="TableContents"/>
              <w:spacing w:before="0" w:after="283"/>
              <w:jc w:val="left"/>
              <w:rPr/>
            </w:pPr>
            <w:r>
              <w:rPr/>
              <w:t> </w:t>
            </w:r>
          </w:p>
        </w:tc>
      </w:tr>
      <w:tr>
        <w:trPr/>
        <w:tc>
          <w:tcPr>
            <w:tcW w:w="20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18" w:name="xdx_98A_eus-gaap--WarrantsAndRightsOutst"/>
            <w:bookmarkEnd w:id="718"/>
          </w:p>
        </w:tc>
        <w:tc>
          <w:tcPr>
            <w:tcW w:w="151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19" w:name="xdx_98A_eus-gaap--WarrantsAndRightsOutst"/>
            <w:bookmarkEnd w:id="719"/>
          </w:p>
        </w:tc>
        <w:tc>
          <w:tcPr>
            <w:tcW w:w="151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0.01</w:t>
            </w:r>
          </w:p>
        </w:tc>
        <w:tc>
          <w:tcPr>
            <w:tcW w:w="75" w:type="dxa"/>
            <w:tcBorders/>
            <w:shd w:fill="FFFFFF" w:val="clear"/>
            <w:vAlign w:val="center"/>
          </w:tcPr>
          <w:p>
            <w:pPr>
              <w:pStyle w:val="TableContents"/>
              <w:spacing w:before="0" w:after="283"/>
              <w:jc w:val="left"/>
              <w:rPr/>
            </w:pPr>
            <w:r>
              <w:rPr/>
              <w:t> </w:t>
            </w:r>
          </w:p>
        </w:tc>
      </w:tr>
      <w:tr>
        <w:trPr/>
        <w:tc>
          <w:tcPr>
            <w:tcW w:w="20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left"/>
              <w:rPr/>
            </w:pPr>
            <w:r>
              <w:rPr/>
              <w:t> </w:t>
            </w:r>
          </w:p>
        </w:tc>
        <w:tc>
          <w:tcPr>
            <w:tcW w:w="1516" w:type="dxa"/>
            <w:tcBorders/>
            <w:shd w:fill="CCEEFF" w:val="clear"/>
            <w:vAlign w:val="center"/>
          </w:tcPr>
          <w:p>
            <w:pPr>
              <w:pStyle w:val="TableContents"/>
              <w:spacing w:before="0" w:after="283"/>
              <w:jc w:val="right"/>
              <w:rPr>
                <w:rFonts w:ascii="Times New Roman;Times;Serif" w:hAnsi="Times New Roman;Times;Serif"/>
              </w:rPr>
            </w:pPr>
            <w:bookmarkStart w:id="720" w:name="xdx_909_eus-gaap--WarrantsAndRightsOutst"/>
            <w:bookmarkEnd w:id="720"/>
            <w:r>
              <w:rPr>
                <w:rFonts w:ascii="Times New Roman;Times;Serif" w:hAnsi="Times New Roman;Times;Serif"/>
              </w:rPr>
              <w:t>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left"/>
              <w:rPr/>
            </w:pPr>
            <w:r>
              <w:rPr/>
              <w:t> </w:t>
            </w:r>
          </w:p>
        </w:tc>
        <w:tc>
          <w:tcPr>
            <w:tcW w:w="1516" w:type="dxa"/>
            <w:tcBorders/>
            <w:shd w:fill="CCEEFF" w:val="clear"/>
            <w:vAlign w:val="center"/>
          </w:tcPr>
          <w:p>
            <w:pPr>
              <w:pStyle w:val="TableContents"/>
              <w:spacing w:before="0" w:after="283"/>
              <w:jc w:val="right"/>
              <w:rPr>
                <w:rFonts w:ascii="Times New Roman;Times;Serif" w:hAnsi="Times New Roman;Times;Serif"/>
              </w:rPr>
            </w:pPr>
            <w:bookmarkStart w:id="721" w:name="xdx_90E_eus-gaap--WarrantsAndRightsOutst"/>
            <w:bookmarkEnd w:id="721"/>
            <w:r>
              <w:rPr>
                <w:rFonts w:ascii="Times New Roman;Times;Serif" w:hAnsi="Times New Roman;Times;Serif"/>
              </w:rPr>
              <w:t>0%</w:t>
            </w:r>
          </w:p>
        </w:tc>
        <w:tc>
          <w:tcPr>
            <w:tcW w:w="75" w:type="dxa"/>
            <w:tcBorders/>
            <w:shd w:fill="CCEEFF" w:val="clear"/>
            <w:vAlign w:val="center"/>
          </w:tcPr>
          <w:p>
            <w:pPr>
              <w:pStyle w:val="TableContents"/>
              <w:spacing w:before="0" w:after="283"/>
              <w:jc w:val="left"/>
              <w:rPr/>
            </w:pPr>
            <w:r>
              <w:rPr/>
              <w:t> </w:t>
            </w:r>
          </w:p>
        </w:tc>
      </w:tr>
      <w:tr>
        <w:trPr/>
        <w:tc>
          <w:tcPr>
            <w:tcW w:w="20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Term</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jc w:val="left"/>
              <w:rPr/>
            </w:pPr>
            <w:r>
              <w:rPr/>
              <w:t> </w:t>
            </w:r>
          </w:p>
        </w:tc>
        <w:tc>
          <w:tcPr>
            <w:tcW w:w="1516" w:type="dxa"/>
            <w:tcBorders/>
            <w:shd w:fill="FFFFFF" w:val="clear"/>
            <w:vAlign w:val="center"/>
          </w:tcPr>
          <w:p>
            <w:pPr>
              <w:pStyle w:val="TableContents"/>
              <w:spacing w:before="0" w:after="283"/>
              <w:jc w:val="right"/>
              <w:rPr>
                <w:rFonts w:ascii="Times New Roman;Times;Serif" w:hAnsi="Times New Roman;Times;Serif"/>
              </w:rPr>
            </w:pPr>
            <w:bookmarkStart w:id="722" w:name="xdx_908_eus-gaap--WarrantsAndRightsOutst"/>
            <w:bookmarkEnd w:id="722"/>
            <w:r>
              <w:rPr>
                <w:rFonts w:ascii="Times New Roman;Times;Serif" w:hAnsi="Times New Roman;Times;Serif"/>
              </w:rPr>
              <w:t>10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jc w:val="left"/>
              <w:rPr/>
            </w:pPr>
            <w:r>
              <w:rPr/>
              <w:t> </w:t>
            </w:r>
          </w:p>
        </w:tc>
        <w:tc>
          <w:tcPr>
            <w:tcW w:w="1516" w:type="dxa"/>
            <w:tcBorders/>
            <w:shd w:fill="FFFFFF" w:val="clear"/>
            <w:vAlign w:val="center"/>
          </w:tcPr>
          <w:p>
            <w:pPr>
              <w:pStyle w:val="TableContents"/>
              <w:spacing w:before="0" w:after="283"/>
              <w:jc w:val="right"/>
              <w:rPr>
                <w:rFonts w:ascii="Times New Roman;Times;Serif" w:hAnsi="Times New Roman;Times;Serif"/>
              </w:rPr>
            </w:pPr>
            <w:bookmarkStart w:id="723" w:name="xdx_90F_eus-gaap--WarrantsAndRightsOutst"/>
            <w:bookmarkEnd w:id="723"/>
            <w:r>
              <w:rPr>
                <w:rFonts w:ascii="Times New Roman;Times;Serif" w:hAnsi="Times New Roman;Times;Serif"/>
              </w:rPr>
              <w:t>9.77</w:t>
            </w:r>
          </w:p>
        </w:tc>
        <w:tc>
          <w:tcPr>
            <w:tcW w:w="75" w:type="dxa"/>
            <w:tcBorders/>
            <w:shd w:fill="FFFFFF" w:val="clear"/>
            <w:vAlign w:val="center"/>
          </w:tcPr>
          <w:p>
            <w:pPr>
              <w:pStyle w:val="TableContents"/>
              <w:spacing w:before="0" w:after="283"/>
              <w:jc w:val="left"/>
              <w:rPr/>
            </w:pPr>
            <w:r>
              <w:rPr/>
              <w:t> </w:t>
            </w:r>
          </w:p>
        </w:tc>
      </w:tr>
      <w:tr>
        <w:trPr/>
        <w:tc>
          <w:tcPr>
            <w:tcW w:w="200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left"/>
              <w:rPr/>
            </w:pPr>
            <w:r>
              <w:rPr/>
              <w:t> </w:t>
            </w:r>
          </w:p>
        </w:tc>
        <w:tc>
          <w:tcPr>
            <w:tcW w:w="1516" w:type="dxa"/>
            <w:tcBorders/>
            <w:shd w:fill="CCEEFF" w:val="clear"/>
            <w:vAlign w:val="center"/>
          </w:tcPr>
          <w:p>
            <w:pPr>
              <w:pStyle w:val="TableContents"/>
              <w:spacing w:before="0" w:after="283"/>
              <w:jc w:val="right"/>
              <w:rPr>
                <w:rFonts w:ascii="Times New Roman;Times;Serif" w:hAnsi="Times New Roman;Times;Serif"/>
              </w:rPr>
            </w:pPr>
            <w:bookmarkStart w:id="724" w:name="xdx_904_eus-gaap--WarrantsAndRightsOutst"/>
            <w:bookmarkEnd w:id="724"/>
            <w:r>
              <w:rPr>
                <w:rFonts w:ascii="Times New Roman;Times;Serif" w:hAnsi="Times New Roman;Times;Serif"/>
              </w:rPr>
              <w:t>94.00%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left"/>
              <w:rPr/>
            </w:pPr>
            <w:r>
              <w:rPr/>
              <w:t> </w:t>
            </w:r>
          </w:p>
        </w:tc>
        <w:tc>
          <w:tcPr>
            <w:tcW w:w="1516" w:type="dxa"/>
            <w:tcBorders/>
            <w:shd w:fill="CCEEFF" w:val="clear"/>
            <w:vAlign w:val="center"/>
          </w:tcPr>
          <w:p>
            <w:pPr>
              <w:pStyle w:val="TableContents"/>
              <w:spacing w:before="0" w:after="283"/>
              <w:jc w:val="right"/>
              <w:rPr>
                <w:rFonts w:ascii="Times New Roman;Times;Serif" w:hAnsi="Times New Roman;Times;Serif"/>
              </w:rPr>
            </w:pPr>
            <w:bookmarkStart w:id="725" w:name="xdx_90E_eus-gaap--WarrantsAndRightsOutst"/>
            <w:bookmarkEnd w:id="725"/>
            <w:r>
              <w:rPr>
                <w:rFonts w:ascii="Times New Roman;Times;Serif" w:hAnsi="Times New Roman;Times;Serif"/>
              </w:rPr>
              <w:t>90.00%</w:t>
            </w:r>
          </w:p>
        </w:tc>
        <w:tc>
          <w:tcPr>
            <w:tcW w:w="75" w:type="dxa"/>
            <w:tcBorders/>
            <w:shd w:fill="CCEEFF" w:val="clear"/>
            <w:vAlign w:val="center"/>
          </w:tcPr>
          <w:p>
            <w:pPr>
              <w:pStyle w:val="TableContents"/>
              <w:spacing w:before="0" w:after="283"/>
              <w:jc w:val="left"/>
              <w:rPr/>
            </w:pPr>
            <w:r>
              <w:rPr/>
              <w:t> </w:t>
            </w:r>
          </w:p>
        </w:tc>
      </w:tr>
      <w:tr>
        <w:trPr/>
        <w:tc>
          <w:tcPr>
            <w:tcW w:w="200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jc w:val="left"/>
              <w:rPr/>
            </w:pPr>
            <w:r>
              <w:rPr/>
              <w:t> </w:t>
            </w:r>
            <w:bookmarkStart w:id="726" w:name="xdx_984_eus-gaap--WarrantsAndRightsOutst"/>
            <w:bookmarkEnd w:id="726"/>
          </w:p>
        </w:tc>
        <w:tc>
          <w:tcPr>
            <w:tcW w:w="151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3.90%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jc w:val="left"/>
              <w:rPr/>
            </w:pPr>
            <w:r>
              <w:rPr/>
              <w:t> </w:t>
            </w:r>
            <w:bookmarkStart w:id="727" w:name="xdx_98E_eus-gaap--WarrantsAndRightsOutst"/>
            <w:bookmarkEnd w:id="727"/>
          </w:p>
        </w:tc>
        <w:tc>
          <w:tcPr>
            <w:tcW w:w="151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3.90%</w:t>
            </w:r>
          </w:p>
        </w:tc>
        <w:tc>
          <w:tcPr>
            <w:tcW w:w="75" w:type="dxa"/>
            <w:tcBorders/>
            <w:shd w:fill="FFFFFF" w:val="clear"/>
            <w:vAlign w:val="center"/>
          </w:tcPr>
          <w:p>
            <w:pPr>
              <w:pStyle w:val="TableContents"/>
              <w:spacing w:before="0" w:after="283"/>
              <w:jc w:val="left"/>
              <w:rPr/>
            </w:pPr>
            <w:r>
              <w:rPr/>
              <w:t> </w:t>
            </w:r>
          </w:p>
        </w:tc>
      </w:tr>
      <w:tr>
        <w:trPr/>
        <w:tc>
          <w:tcPr>
            <w:tcW w:w="200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Fair value</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28" w:name="xdx_981_ecustom--FairValueOfWarrant_iI_p"/>
            <w:bookmarkEnd w:id="728"/>
          </w:p>
        </w:tc>
        <w:tc>
          <w:tcPr>
            <w:tcW w:w="151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13.99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29" w:name="xdx_98F_ecustom--FairValueOfWarrant_iI_p"/>
            <w:bookmarkEnd w:id="729"/>
          </w:p>
        </w:tc>
        <w:tc>
          <w:tcPr>
            <w:tcW w:w="151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11.89</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F-26</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$10 Warrants:</w:t>
      </w:r>
    </w:p>
    <w:p>
      <w:pPr>
        <w:pStyle w:val="TextBody"/>
        <w:spacing w:before="0" w:after="0"/>
        <w:ind w:left="0" w:right="0" w:hanging="0"/>
        <w:jc w:val="both"/>
        <w:rPr>
          <w:caps w:val="false"/>
          <w:smallCaps w:val="false"/>
        </w:rPr>
      </w:pPr>
      <w:r>
        <w:rPr>
          <w:caps w:val="false"/>
          <w:smallCaps w:val="false"/>
        </w:rPr>
        <w:t> </w:t>
      </w:r>
    </w:p>
    <w:tbl>
      <w:tblPr>
        <w:tblW w:w="3430" w:type="dxa"/>
        <w:jc w:val="left"/>
        <w:tblInd w:w="0" w:type="dxa"/>
        <w:tblCellMar>
          <w:top w:w="0" w:type="dxa"/>
          <w:left w:w="0" w:type="dxa"/>
          <w:bottom w:w="0" w:type="dxa"/>
          <w:right w:w="0" w:type="dxa"/>
        </w:tblCellMar>
      </w:tblPr>
      <w:tblGrid>
        <w:gridCol w:w="2000"/>
        <w:gridCol w:w="60"/>
        <w:gridCol w:w="259"/>
        <w:gridCol w:w="1036"/>
        <w:gridCol w:w="75"/>
      </w:tblGrid>
      <w:tr>
        <w:trPr/>
        <w:tc>
          <w:tcPr>
            <w:tcW w:w="20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 xml:space="preserve">Initial </w:t>
              <w:br/>
              <w:t>Measurement</w:t>
            </w:r>
          </w:p>
        </w:tc>
        <w:tc>
          <w:tcPr>
            <w:tcW w:w="75" w:type="dxa"/>
            <w:tcBorders/>
            <w:shd w:fill="auto" w:val="clear"/>
            <w:vAlign w:val="center"/>
          </w:tcPr>
          <w:p>
            <w:pPr>
              <w:pStyle w:val="TableContents"/>
              <w:spacing w:before="0" w:after="283"/>
              <w:rPr/>
            </w:pPr>
            <w:r>
              <w:rPr/>
              <w:t> </w:t>
            </w:r>
          </w:p>
        </w:tc>
      </w:tr>
      <w:tr>
        <w:trPr/>
        <w:tc>
          <w:tcPr>
            <w:tcW w:w="200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Common stock price</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30" w:name="xdx_98D_eus-gaap--SharePrice_iI_pid_c202"/>
            <w:bookmarkEnd w:id="730"/>
          </w:p>
        </w:tc>
        <w:tc>
          <w:tcPr>
            <w:tcW w:w="103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14.00</w:t>
            </w:r>
          </w:p>
        </w:tc>
        <w:tc>
          <w:tcPr>
            <w:tcW w:w="75" w:type="dxa"/>
            <w:tcBorders/>
            <w:shd w:fill="CCEEFF" w:val="clear"/>
            <w:vAlign w:val="center"/>
          </w:tcPr>
          <w:p>
            <w:pPr>
              <w:pStyle w:val="TableContents"/>
              <w:spacing w:before="0" w:after="283"/>
              <w:jc w:val="left"/>
              <w:rPr/>
            </w:pPr>
            <w:r>
              <w:rPr/>
              <w:t> </w:t>
            </w:r>
          </w:p>
        </w:tc>
      </w:tr>
      <w:tr>
        <w:trPr/>
        <w:tc>
          <w:tcPr>
            <w:tcW w:w="20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spacing w:before="0" w:after="283"/>
              <w:rPr/>
            </w:pPr>
            <w:r>
              <w:rPr/>
              <w:t> </w:t>
            </w:r>
          </w:p>
        </w:tc>
        <w:tc>
          <w:tcPr>
            <w:tcW w:w="259"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31" w:name="xdx_98C_eus-gaap--WarrantsAndRightsOutst"/>
            <w:bookmarkEnd w:id="731"/>
          </w:p>
        </w:tc>
        <w:tc>
          <w:tcPr>
            <w:tcW w:w="103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10.00</w:t>
            </w:r>
          </w:p>
        </w:tc>
        <w:tc>
          <w:tcPr>
            <w:tcW w:w="75" w:type="dxa"/>
            <w:tcBorders/>
            <w:shd w:fill="FFFFFF" w:val="clear"/>
            <w:vAlign w:val="center"/>
          </w:tcPr>
          <w:p>
            <w:pPr>
              <w:pStyle w:val="TableContents"/>
              <w:spacing w:before="0" w:after="283"/>
              <w:jc w:val="left"/>
              <w:rPr/>
            </w:pPr>
            <w:r>
              <w:rPr/>
              <w:t> </w:t>
            </w:r>
          </w:p>
        </w:tc>
      </w:tr>
      <w:tr>
        <w:trPr/>
        <w:tc>
          <w:tcPr>
            <w:tcW w:w="20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036" w:type="dxa"/>
            <w:tcBorders/>
            <w:shd w:fill="CCEEFF" w:val="clear"/>
            <w:vAlign w:val="center"/>
          </w:tcPr>
          <w:p>
            <w:pPr>
              <w:pStyle w:val="TableContents"/>
              <w:spacing w:before="0" w:after="283"/>
              <w:jc w:val="right"/>
              <w:rPr>
                <w:rFonts w:ascii="Times New Roman;Times;Serif" w:hAnsi="Times New Roman;Times;Serif"/>
              </w:rPr>
            </w:pPr>
            <w:bookmarkStart w:id="732" w:name="xdx_90E_eus-gaap--WarrantsAndRightsOutst"/>
            <w:bookmarkEnd w:id="732"/>
            <w:r>
              <w:rPr>
                <w:rFonts w:ascii="Times New Roman;Times;Serif" w:hAnsi="Times New Roman;Times;Serif"/>
              </w:rPr>
              <w:t>0%</w:t>
            </w:r>
          </w:p>
        </w:tc>
        <w:tc>
          <w:tcPr>
            <w:tcW w:w="75" w:type="dxa"/>
            <w:tcBorders/>
            <w:shd w:fill="CCEEFF" w:val="clear"/>
            <w:vAlign w:val="center"/>
          </w:tcPr>
          <w:p>
            <w:pPr>
              <w:pStyle w:val="TableContents"/>
              <w:spacing w:before="0" w:after="283"/>
              <w:jc w:val="left"/>
              <w:rPr/>
            </w:pPr>
            <w:r>
              <w:rPr/>
              <w:t> </w:t>
            </w:r>
          </w:p>
        </w:tc>
      </w:tr>
      <w:tr>
        <w:trPr/>
        <w:tc>
          <w:tcPr>
            <w:tcW w:w="20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Term</w:t>
            </w:r>
          </w:p>
        </w:tc>
        <w:tc>
          <w:tcPr>
            <w:tcW w:w="60" w:type="dxa"/>
            <w:tcBorders/>
            <w:shd w:fill="FFFFFF" w:val="clear"/>
            <w:vAlign w:val="center"/>
          </w:tcPr>
          <w:p>
            <w:pPr>
              <w:pStyle w:val="TableContents"/>
              <w:spacing w:before="0" w:after="283"/>
              <w:rPr/>
            </w:pPr>
            <w:r>
              <w:rPr/>
              <w:t> </w:t>
            </w:r>
          </w:p>
        </w:tc>
        <w:tc>
          <w:tcPr>
            <w:tcW w:w="259" w:type="dxa"/>
            <w:tcBorders/>
            <w:shd w:fill="FFFFFF" w:val="clear"/>
            <w:vAlign w:val="center"/>
          </w:tcPr>
          <w:p>
            <w:pPr>
              <w:pStyle w:val="TableContents"/>
              <w:spacing w:before="0" w:after="283"/>
              <w:jc w:val="left"/>
              <w:rPr/>
            </w:pPr>
            <w:r>
              <w:rPr/>
              <w:t> </w:t>
            </w:r>
          </w:p>
        </w:tc>
        <w:tc>
          <w:tcPr>
            <w:tcW w:w="1036" w:type="dxa"/>
            <w:tcBorders/>
            <w:shd w:fill="FFFFFF" w:val="clear"/>
            <w:vAlign w:val="center"/>
          </w:tcPr>
          <w:p>
            <w:pPr>
              <w:pStyle w:val="TableContents"/>
              <w:spacing w:before="0" w:after="283"/>
              <w:jc w:val="right"/>
              <w:rPr>
                <w:rFonts w:ascii="Times New Roman;Times;Serif" w:hAnsi="Times New Roman;Times;Serif"/>
              </w:rPr>
            </w:pPr>
            <w:bookmarkStart w:id="733" w:name="xdx_906_eus-gaap--WarrantsAndRightsOutst"/>
            <w:bookmarkEnd w:id="733"/>
            <w:r>
              <w:rPr>
                <w:rFonts w:ascii="Times New Roman;Times;Serif" w:hAnsi="Times New Roman;Times;Serif"/>
              </w:rPr>
              <w:t>10</w:t>
            </w:r>
          </w:p>
        </w:tc>
        <w:tc>
          <w:tcPr>
            <w:tcW w:w="75" w:type="dxa"/>
            <w:tcBorders/>
            <w:shd w:fill="FFFFFF" w:val="clear"/>
            <w:vAlign w:val="center"/>
          </w:tcPr>
          <w:p>
            <w:pPr>
              <w:pStyle w:val="TableContents"/>
              <w:spacing w:before="0" w:after="283"/>
              <w:jc w:val="left"/>
              <w:rPr/>
            </w:pPr>
            <w:r>
              <w:rPr/>
              <w:t> </w:t>
            </w:r>
          </w:p>
        </w:tc>
      </w:tr>
      <w:tr>
        <w:trPr/>
        <w:tc>
          <w:tcPr>
            <w:tcW w:w="200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036" w:type="dxa"/>
            <w:tcBorders/>
            <w:shd w:fill="CCEEFF" w:val="clear"/>
            <w:vAlign w:val="center"/>
          </w:tcPr>
          <w:p>
            <w:pPr>
              <w:pStyle w:val="TableContents"/>
              <w:spacing w:before="0" w:after="283"/>
              <w:jc w:val="right"/>
              <w:rPr>
                <w:rFonts w:ascii="Times New Roman;Times;Serif" w:hAnsi="Times New Roman;Times;Serif"/>
              </w:rPr>
            </w:pPr>
            <w:bookmarkStart w:id="734" w:name="xdx_90D_eus-gaap--WarrantsAndRightsOutst"/>
            <w:bookmarkEnd w:id="734"/>
            <w:r>
              <w:rPr>
                <w:rFonts w:ascii="Times New Roman;Times;Serif" w:hAnsi="Times New Roman;Times;Serif"/>
              </w:rPr>
              <w:t>85.00%</w:t>
            </w:r>
          </w:p>
        </w:tc>
        <w:tc>
          <w:tcPr>
            <w:tcW w:w="75" w:type="dxa"/>
            <w:tcBorders/>
            <w:shd w:fill="CCEEFF" w:val="clear"/>
            <w:vAlign w:val="center"/>
          </w:tcPr>
          <w:p>
            <w:pPr>
              <w:pStyle w:val="TableContents"/>
              <w:spacing w:before="0" w:after="283"/>
              <w:jc w:val="left"/>
              <w:rPr/>
            </w:pPr>
            <w:r>
              <w:rPr/>
              <w:t> </w:t>
            </w:r>
          </w:p>
        </w:tc>
      </w:tr>
      <w:tr>
        <w:trPr/>
        <w:tc>
          <w:tcPr>
            <w:tcW w:w="200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vAlign w:val="center"/>
          </w:tcPr>
          <w:p>
            <w:pPr>
              <w:pStyle w:val="TableContents"/>
              <w:spacing w:before="0" w:after="283"/>
              <w:rPr/>
            </w:pPr>
            <w:r>
              <w:rPr/>
              <w:t> </w:t>
            </w:r>
          </w:p>
        </w:tc>
        <w:tc>
          <w:tcPr>
            <w:tcW w:w="259" w:type="dxa"/>
            <w:tcBorders/>
            <w:shd w:fill="FFFFFF" w:val="clear"/>
            <w:vAlign w:val="center"/>
          </w:tcPr>
          <w:p>
            <w:pPr>
              <w:pStyle w:val="TableContents"/>
              <w:spacing w:before="0" w:after="283"/>
              <w:jc w:val="left"/>
              <w:rPr/>
            </w:pPr>
            <w:r>
              <w:rPr/>
              <w:t> </w:t>
            </w:r>
            <w:bookmarkStart w:id="735" w:name="xdx_98F_eus-gaap--WarrantsAndRightsOutst"/>
            <w:bookmarkEnd w:id="735"/>
          </w:p>
        </w:tc>
        <w:tc>
          <w:tcPr>
            <w:tcW w:w="103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4.10%</w:t>
            </w:r>
          </w:p>
        </w:tc>
        <w:tc>
          <w:tcPr>
            <w:tcW w:w="75" w:type="dxa"/>
            <w:tcBorders/>
            <w:shd w:fill="FFFFFF" w:val="clear"/>
            <w:vAlign w:val="center"/>
          </w:tcPr>
          <w:p>
            <w:pPr>
              <w:pStyle w:val="TableContents"/>
              <w:spacing w:before="0" w:after="283"/>
              <w:jc w:val="left"/>
              <w:rPr/>
            </w:pPr>
            <w:r>
              <w:rPr/>
              <w:t> </w:t>
            </w:r>
          </w:p>
        </w:tc>
      </w:tr>
      <w:tr>
        <w:trPr/>
        <w:tc>
          <w:tcPr>
            <w:tcW w:w="200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Fair value</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36" w:name="xdx_981_ecustom--FairValueOfWarrant_iI_p"/>
            <w:bookmarkEnd w:id="736"/>
          </w:p>
        </w:tc>
        <w:tc>
          <w:tcPr>
            <w:tcW w:w="103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10.42</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bookmarkStart w:id="737" w:name="xdx_8A8_zPqvWbXp5nU6"/>
      <w:bookmarkEnd w:id="737"/>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738" w:name="xdx_891_eus-gaap--ScheduleOfStockholders"/>
      <w:bookmarkEnd w:id="738"/>
      <w:r>
        <w:rPr>
          <w:rFonts w:ascii="Times New Roman;Times;Serif" w:hAnsi="Times New Roman;Times;Serif"/>
          <w:b w:val="false"/>
          <w:i w:val="false"/>
          <w:caps w:val="false"/>
          <w:smallCaps w:val="false"/>
          <w:sz w:val="20"/>
        </w:rPr>
        <w:t>The following tables presents a roll-forward of the Company’s warrants from January 1, 2022 to December 31, 2022:</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739" w:name="xdx_8B5_zRMGbYdQpYpb"/>
      <w:bookmarkEnd w:id="739"/>
      <w:r>
        <w:rPr>
          <w:rFonts w:ascii="Times New Roman;Times;Serif" w:hAnsi="Times New Roman;Times;Serif"/>
          <w:b w:val="false"/>
          <w:i w:val="false"/>
          <w:caps w:val="false"/>
          <w:smallCaps w:val="false"/>
          <w:sz w:val="20"/>
        </w:rPr>
        <w:t>SCHEDULE OF ROLL FORWARD IN WARRANTS</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w:t>
      </w:r>
    </w:p>
    <w:p>
      <w:pPr>
        <w:pStyle w:val="TextBody"/>
        <w:spacing w:before="0" w:after="0"/>
        <w:jc w:val="both"/>
        <w:rPr>
          <w:caps w:val="false"/>
          <w:smallCaps w:val="false"/>
        </w:rPr>
      </w:pPr>
      <w:r>
        <w:rPr>
          <w:caps w:val="false"/>
          <w:smallCaps w:val="false"/>
        </w:rPr>
        <w:t> </w:t>
      </w:r>
    </w:p>
    <w:tbl>
      <w:tblPr>
        <w:tblW w:w="6654" w:type="dxa"/>
        <w:jc w:val="left"/>
        <w:tblInd w:w="0" w:type="dxa"/>
        <w:tblCellMar>
          <w:top w:w="0" w:type="dxa"/>
          <w:left w:w="0" w:type="dxa"/>
          <w:bottom w:w="0" w:type="dxa"/>
          <w:right w:w="0" w:type="dxa"/>
        </w:tblCellMar>
      </w:tblPr>
      <w:tblGrid>
        <w:gridCol w:w="4100"/>
        <w:gridCol w:w="60"/>
        <w:gridCol w:w="139"/>
        <w:gridCol w:w="2280"/>
        <w:gridCol w:w="75"/>
      </w:tblGrid>
      <w:tr>
        <w:trPr/>
        <w:tc>
          <w:tcPr>
            <w:tcW w:w="4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740" w:name="xdx_495_20220101__20221231__us-gaap--Sta"/>
            <w:bookmarkEnd w:id="740"/>
          </w:p>
        </w:tc>
        <w:tc>
          <w:tcPr>
            <w:tcW w:w="2419" w:type="dxa"/>
            <w:gridSpan w:val="2"/>
            <w:tcBorders>
              <w:bottom w:val="single" w:sz="12" w:space="0" w:color="000000"/>
            </w:tcBorders>
            <w:shd w:fill="auto" w:val="clear"/>
            <w:tcMar>
              <w:bottom w:w="28" w:type="dxa"/>
            </w:tcMar>
            <w:vAlign w:val="center"/>
          </w:tcPr>
          <w:p>
            <w:pPr>
              <w:pStyle w:val="TableContents"/>
              <w:spacing w:before="0" w:after="283"/>
              <w:jc w:val="center"/>
              <w:rPr/>
            </w:pPr>
            <w:r>
              <w:rPr/>
              <w:t>Common Stock Warrants</w:t>
            </w:r>
          </w:p>
        </w:tc>
        <w:tc>
          <w:tcPr>
            <w:tcW w:w="75" w:type="dxa"/>
            <w:tcBorders/>
            <w:shd w:fill="auto" w:val="clear"/>
            <w:vAlign w:val="center"/>
          </w:tcPr>
          <w:p>
            <w:pPr>
              <w:pStyle w:val="TableContents"/>
              <w:spacing w:before="0" w:after="283"/>
              <w:rPr/>
            </w:pPr>
            <w:r>
              <w:rPr/>
              <w:t> </w:t>
            </w:r>
            <w:bookmarkStart w:id="741" w:name="xdx_F40_zJvK3WPWRUh8"/>
            <w:bookmarkStart w:id="742" w:name="xdx_402_eus-gaap--ShareBasedCompensation"/>
            <w:bookmarkEnd w:id="741"/>
            <w:bookmarkEnd w:id="742"/>
          </w:p>
        </w:tc>
      </w:tr>
      <w:tr>
        <w:trPr/>
        <w:tc>
          <w:tcPr>
            <w:tcW w:w="4100" w:type="dxa"/>
            <w:tcBorders/>
            <w:shd w:fill="CCEEFF" w:val="clear"/>
            <w:vAlign w:val="center"/>
          </w:tcPr>
          <w:p>
            <w:pPr>
              <w:pStyle w:val="TableContents"/>
              <w:spacing w:before="0" w:after="283"/>
              <w:rPr/>
            </w:pPr>
            <w:r>
              <w:rPr/>
              <w:t>**Warrants Outstanding, January 1, 2022</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jc w:val="left"/>
              <w:rPr/>
            </w:pPr>
            <w:r>
              <w:rPr/>
              <w:t> </w:t>
            </w:r>
          </w:p>
        </w:tc>
        <w:tc>
          <w:tcPr>
            <w:tcW w:w="228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bookmarkStart w:id="743" w:name="xdx_409_ecustom--ShareBasedCompensationA"/>
            <w:bookmarkEnd w:id="743"/>
          </w:p>
        </w:tc>
      </w:tr>
      <w:tr>
        <w:trPr/>
        <w:tc>
          <w:tcPr>
            <w:tcW w:w="4100" w:type="dxa"/>
            <w:tcBorders/>
            <w:shd w:fill="FFFFFF" w:val="clear"/>
            <w:vAlign w:val="center"/>
          </w:tcPr>
          <w:p>
            <w:pPr>
              <w:pStyle w:val="TableContents"/>
              <w:spacing w:before="0" w:after="283"/>
              <w:jc w:val="left"/>
              <w:rPr/>
            </w:pPr>
            <w:r>
              <w:rPr/>
              <w:t>Assumed in the merger</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jc w:val="left"/>
              <w:rPr/>
            </w:pPr>
            <w:r>
              <w:rPr/>
              <w:t> </w:t>
            </w:r>
          </w:p>
        </w:tc>
        <w:tc>
          <w:tcPr>
            <w:tcW w:w="2280" w:type="dxa"/>
            <w:tcBorders/>
            <w:shd w:fill="FFFFFF" w:val="clear"/>
            <w:vAlign w:val="center"/>
          </w:tcPr>
          <w:p>
            <w:pPr>
              <w:pStyle w:val="TableContents"/>
              <w:spacing w:before="0" w:after="283"/>
              <w:jc w:val="right"/>
              <w:rPr/>
            </w:pPr>
            <w:r>
              <w:rPr/>
              <w:t>4,627,858</w:t>
            </w:r>
          </w:p>
        </w:tc>
        <w:tc>
          <w:tcPr>
            <w:tcW w:w="75" w:type="dxa"/>
            <w:tcBorders/>
            <w:shd w:fill="FFFFFF" w:val="clear"/>
            <w:vAlign w:val="center"/>
          </w:tcPr>
          <w:p>
            <w:pPr>
              <w:pStyle w:val="TableContents"/>
              <w:spacing w:before="0" w:after="283"/>
              <w:jc w:val="left"/>
              <w:rPr/>
            </w:pPr>
            <w:r>
              <w:rPr/>
              <w:t> </w:t>
            </w:r>
            <w:bookmarkStart w:id="744" w:name="xdx_409_eus-gaap--ShareBasedCompensation"/>
            <w:bookmarkEnd w:id="744"/>
          </w:p>
        </w:tc>
      </w:tr>
      <w:tr>
        <w:trPr/>
        <w:tc>
          <w:tcPr>
            <w:tcW w:w="4100" w:type="dxa"/>
            <w:tcBorders/>
            <w:shd w:fill="CCEEFF" w:val="clear"/>
            <w:vAlign w:val="center"/>
          </w:tcPr>
          <w:p>
            <w:pPr>
              <w:pStyle w:val="TableContents"/>
              <w:spacing w:before="0" w:after="283"/>
              <w:jc w:val="left"/>
              <w:rPr/>
            </w:pPr>
            <w:r>
              <w:rPr/>
              <w:t>Exercised subsequent to the merger</w:t>
            </w:r>
          </w:p>
        </w:tc>
        <w:tc>
          <w:tcPr>
            <w:tcW w:w="60" w:type="dxa"/>
            <w:tcBorders/>
            <w:shd w:fill="CCEEFF" w:val="clear"/>
            <w:vAlign w:val="center"/>
          </w:tcPr>
          <w:p>
            <w:pPr>
              <w:pStyle w:val="TableContents"/>
              <w:spacing w:before="0" w:after="283"/>
              <w:rPr/>
            </w:pPr>
            <w:r>
              <w:rPr/>
              <w:t> </w:t>
            </w:r>
          </w:p>
        </w:tc>
        <w:tc>
          <w:tcPr>
            <w:tcW w:w="13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228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bookmarkStart w:id="745" w:name="xdx_40E_eus-gaap--ShareBasedCompensation"/>
            <w:bookmarkEnd w:id="745"/>
          </w:p>
        </w:tc>
      </w:tr>
      <w:tr>
        <w:trPr/>
        <w:tc>
          <w:tcPr>
            <w:tcW w:w="4100" w:type="dxa"/>
            <w:tcBorders/>
            <w:shd w:fill="FFFFFF" w:val="clear"/>
            <w:vAlign w:val="center"/>
          </w:tcPr>
          <w:p>
            <w:pPr>
              <w:pStyle w:val="TableContents"/>
              <w:spacing w:before="0" w:after="283"/>
              <w:rPr/>
            </w:pPr>
            <w:r>
              <w:rPr/>
              <w:t>Warrants Outstanding, December 31, 2022</w:t>
            </w:r>
          </w:p>
        </w:tc>
        <w:tc>
          <w:tcPr>
            <w:tcW w:w="60" w:type="dxa"/>
            <w:tcBorders/>
            <w:shd w:fill="FFFFFF" w:val="clear"/>
            <w:vAlign w:val="center"/>
          </w:tcPr>
          <w:p>
            <w:pPr>
              <w:pStyle w:val="TableContents"/>
              <w:spacing w:before="0" w:after="283"/>
              <w:rPr/>
            </w:pPr>
            <w:r>
              <w:rPr/>
              <w:t> </w:t>
            </w:r>
          </w:p>
        </w:tc>
        <w:tc>
          <w:tcPr>
            <w:tcW w:w="139"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2280" w:type="dxa"/>
            <w:tcBorders>
              <w:bottom w:val="double" w:sz="6" w:space="0" w:color="000000"/>
            </w:tcBorders>
            <w:shd w:fill="FFFFFF" w:val="clear"/>
            <w:tcMar>
              <w:bottom w:w="28" w:type="dxa"/>
            </w:tcMar>
            <w:vAlign w:val="center"/>
          </w:tcPr>
          <w:p>
            <w:pPr>
              <w:pStyle w:val="TableContents"/>
              <w:spacing w:before="0" w:after="283"/>
              <w:jc w:val="right"/>
              <w:rPr/>
            </w:pPr>
            <w:r>
              <w:rPr/>
              <w:t>4,627,858</w:t>
            </w:r>
          </w:p>
        </w:tc>
        <w:tc>
          <w:tcPr>
            <w:tcW w:w="75" w:type="dxa"/>
            <w:tcBorders/>
            <w:shd w:fill="FFFFFF" w:val="clear"/>
            <w:vAlign w:val="center"/>
          </w:tcPr>
          <w:p>
            <w:pPr>
              <w:pStyle w:val="TableContents"/>
              <w:spacing w:before="0" w:after="283"/>
              <w:jc w:val="left"/>
              <w:rPr/>
            </w:pPr>
            <w:r>
              <w:rPr/>
              <w:t> </w:t>
            </w:r>
          </w:p>
        </w:tc>
      </w:tr>
    </w:tbl>
    <w:p>
      <w:pPr>
        <w:pStyle w:val="TextBody"/>
        <w:spacing w:before="0" w:after="0"/>
        <w:jc w:val="both"/>
        <w:rPr>
          <w:caps/>
        </w:rPr>
      </w:pPr>
      <w:r>
        <w:rPr>
          <w:caps/>
        </w:rPr>
        <w:t> </w:t>
      </w:r>
    </w:p>
    <w:p>
      <w:pPr>
        <w:pStyle w:val="TextBody"/>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**There were no warrants issued, exercised and outstanding prior to January 1, 2022.</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p>
      <w:pPr>
        <w:pStyle w:val="TextBody"/>
        <w:spacing w:before="0" w:after="0"/>
        <w:jc w:val="both"/>
        <w:rPr>
          <w:caps w:val="false"/>
          <w:smallCaps w:val="false"/>
        </w:rPr>
      </w:pPr>
      <w:r>
        <w:rPr>
          <w:caps w:val="false"/>
          <w:smallCaps w:val="false"/>
        </w:rPr>
        <w:t> </w:t>
      </w:r>
    </w:p>
    <w:tbl>
      <w:tblPr>
        <w:tblW w:w="6654" w:type="dxa"/>
        <w:jc w:val="left"/>
        <w:tblInd w:w="0" w:type="dxa"/>
        <w:tblCellMar>
          <w:top w:w="0" w:type="dxa"/>
          <w:left w:w="0" w:type="dxa"/>
          <w:bottom w:w="0" w:type="dxa"/>
          <w:right w:w="0" w:type="dxa"/>
        </w:tblCellMar>
      </w:tblPr>
      <w:tblGrid>
        <w:gridCol w:w="4100"/>
        <w:gridCol w:w="60"/>
        <w:gridCol w:w="139"/>
        <w:gridCol w:w="2280"/>
        <w:gridCol w:w="75"/>
      </w:tblGrid>
      <w:tr>
        <w:trPr/>
        <w:tc>
          <w:tcPr>
            <w:tcW w:w="4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746" w:name="xdx_493_20220101__20221231__us-gaap--Sta"/>
            <w:bookmarkEnd w:id="746"/>
          </w:p>
        </w:tc>
        <w:tc>
          <w:tcPr>
            <w:tcW w:w="2419" w:type="dxa"/>
            <w:gridSpan w:val="2"/>
            <w:tcBorders>
              <w:bottom w:val="single" w:sz="12" w:space="0" w:color="000000"/>
            </w:tcBorders>
            <w:shd w:fill="auto" w:val="clear"/>
            <w:tcMar>
              <w:bottom w:w="28" w:type="dxa"/>
            </w:tcMar>
            <w:vAlign w:val="center"/>
          </w:tcPr>
          <w:p>
            <w:pPr>
              <w:pStyle w:val="TableContents"/>
              <w:spacing w:before="0" w:after="283"/>
              <w:jc w:val="center"/>
              <w:rPr/>
            </w:pPr>
            <w:r>
              <w:rPr/>
              <w:t>Common Stock Warrants</w:t>
            </w:r>
          </w:p>
        </w:tc>
        <w:tc>
          <w:tcPr>
            <w:tcW w:w="75" w:type="dxa"/>
            <w:tcBorders/>
            <w:shd w:fill="auto" w:val="clear"/>
            <w:vAlign w:val="center"/>
          </w:tcPr>
          <w:p>
            <w:pPr>
              <w:pStyle w:val="TableContents"/>
              <w:spacing w:before="0" w:after="283"/>
              <w:rPr/>
            </w:pPr>
            <w:r>
              <w:rPr/>
              <w:t> </w:t>
            </w:r>
            <w:bookmarkStart w:id="747" w:name="xdx_F45_zX9S5C9A2Q55"/>
            <w:bookmarkStart w:id="748" w:name="xdx_408_eus-gaap--ShareBasedCompensation"/>
            <w:bookmarkEnd w:id="747"/>
            <w:bookmarkEnd w:id="748"/>
          </w:p>
        </w:tc>
      </w:tr>
      <w:tr>
        <w:trPr/>
        <w:tc>
          <w:tcPr>
            <w:tcW w:w="4100" w:type="dxa"/>
            <w:tcBorders/>
            <w:shd w:fill="CCEEFF" w:val="clear"/>
            <w:vAlign w:val="center"/>
          </w:tcPr>
          <w:p>
            <w:pPr>
              <w:pStyle w:val="TableContents"/>
              <w:spacing w:before="0" w:after="283"/>
              <w:rPr/>
            </w:pPr>
            <w:r>
              <w:rPr/>
              <w:t>**Warrants Outstanding, January 1, 2022</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jc w:val="left"/>
              <w:rPr/>
            </w:pPr>
            <w:r>
              <w:rPr/>
              <w:t> </w:t>
            </w:r>
          </w:p>
        </w:tc>
        <w:tc>
          <w:tcPr>
            <w:tcW w:w="228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bookmarkStart w:id="749" w:name="xdx_409_ecustom--ShareBasedCompensationA"/>
            <w:bookmarkEnd w:id="749"/>
          </w:p>
        </w:tc>
      </w:tr>
      <w:tr>
        <w:trPr/>
        <w:tc>
          <w:tcPr>
            <w:tcW w:w="4100" w:type="dxa"/>
            <w:tcBorders/>
            <w:shd w:fill="FFFFFF" w:val="clear"/>
            <w:vAlign w:val="center"/>
          </w:tcPr>
          <w:p>
            <w:pPr>
              <w:pStyle w:val="TableContents"/>
              <w:spacing w:before="0" w:after="283"/>
              <w:jc w:val="left"/>
              <w:rPr/>
            </w:pPr>
            <w:r>
              <w:rPr/>
              <w:t>Assumed in the merger</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jc w:val="left"/>
              <w:rPr/>
            </w:pPr>
            <w:r>
              <w:rPr/>
              <w:t> </w:t>
            </w:r>
          </w:p>
        </w:tc>
        <w:tc>
          <w:tcPr>
            <w:tcW w:w="2280" w:type="dxa"/>
            <w:tcBorders/>
            <w:shd w:fill="FFFFFF" w:val="clear"/>
            <w:vAlign w:val="center"/>
          </w:tcPr>
          <w:p>
            <w:pPr>
              <w:pStyle w:val="TableContents"/>
              <w:spacing w:before="0" w:after="283"/>
              <w:jc w:val="right"/>
              <w:rPr/>
            </w:pPr>
            <w:r>
              <w:rPr/>
              <w:t>9,487,500</w:t>
            </w:r>
          </w:p>
        </w:tc>
        <w:tc>
          <w:tcPr>
            <w:tcW w:w="75" w:type="dxa"/>
            <w:tcBorders/>
            <w:shd w:fill="FFFFFF" w:val="clear"/>
            <w:vAlign w:val="center"/>
          </w:tcPr>
          <w:p>
            <w:pPr>
              <w:pStyle w:val="TableContents"/>
              <w:spacing w:before="0" w:after="283"/>
              <w:jc w:val="left"/>
              <w:rPr/>
            </w:pPr>
            <w:r>
              <w:rPr/>
              <w:t> </w:t>
            </w:r>
            <w:bookmarkStart w:id="750" w:name="xdx_40A_eus-gaap--ShareBasedCompensation"/>
            <w:bookmarkEnd w:id="750"/>
          </w:p>
        </w:tc>
      </w:tr>
      <w:tr>
        <w:trPr/>
        <w:tc>
          <w:tcPr>
            <w:tcW w:w="4100" w:type="dxa"/>
            <w:tcBorders/>
            <w:shd w:fill="CCEEFF" w:val="clear"/>
            <w:vAlign w:val="center"/>
          </w:tcPr>
          <w:p>
            <w:pPr>
              <w:pStyle w:val="TableContents"/>
              <w:spacing w:before="0" w:after="283"/>
              <w:jc w:val="left"/>
              <w:rPr/>
            </w:pPr>
            <w:r>
              <w:rPr/>
              <w:t>Exercised subsequent to the merger</w:t>
            </w:r>
          </w:p>
        </w:tc>
        <w:tc>
          <w:tcPr>
            <w:tcW w:w="60" w:type="dxa"/>
            <w:tcBorders/>
            <w:shd w:fill="CCEEFF" w:val="clear"/>
            <w:vAlign w:val="center"/>
          </w:tcPr>
          <w:p>
            <w:pPr>
              <w:pStyle w:val="TableContents"/>
              <w:spacing w:before="0" w:after="283"/>
              <w:rPr/>
            </w:pPr>
            <w:r>
              <w:rPr/>
              <w:t> </w:t>
            </w:r>
          </w:p>
        </w:tc>
        <w:tc>
          <w:tcPr>
            <w:tcW w:w="13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228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bookmarkStart w:id="751" w:name="xdx_40E_eus-gaap--ShareBasedCompensation"/>
            <w:bookmarkEnd w:id="751"/>
          </w:p>
        </w:tc>
      </w:tr>
      <w:tr>
        <w:trPr/>
        <w:tc>
          <w:tcPr>
            <w:tcW w:w="4100" w:type="dxa"/>
            <w:tcBorders/>
            <w:shd w:fill="FFFFFF" w:val="clear"/>
            <w:vAlign w:val="center"/>
          </w:tcPr>
          <w:p>
            <w:pPr>
              <w:pStyle w:val="TableContents"/>
              <w:spacing w:before="0" w:after="283"/>
              <w:rPr/>
            </w:pPr>
            <w:r>
              <w:rPr/>
              <w:t>Warrants Outstanding, December 31, 2022</w:t>
            </w:r>
          </w:p>
        </w:tc>
        <w:tc>
          <w:tcPr>
            <w:tcW w:w="60" w:type="dxa"/>
            <w:tcBorders/>
            <w:shd w:fill="FFFFFF" w:val="clear"/>
            <w:vAlign w:val="center"/>
          </w:tcPr>
          <w:p>
            <w:pPr>
              <w:pStyle w:val="TableContents"/>
              <w:spacing w:before="0" w:after="283"/>
              <w:rPr/>
            </w:pPr>
            <w:r>
              <w:rPr/>
              <w:t> </w:t>
            </w:r>
          </w:p>
        </w:tc>
        <w:tc>
          <w:tcPr>
            <w:tcW w:w="139"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2280" w:type="dxa"/>
            <w:tcBorders>
              <w:bottom w:val="double" w:sz="6" w:space="0" w:color="000000"/>
            </w:tcBorders>
            <w:shd w:fill="FFFFFF" w:val="clear"/>
            <w:tcMar>
              <w:bottom w:w="28" w:type="dxa"/>
            </w:tcMar>
            <w:vAlign w:val="center"/>
          </w:tcPr>
          <w:p>
            <w:pPr>
              <w:pStyle w:val="TableContents"/>
              <w:spacing w:before="0" w:after="283"/>
              <w:jc w:val="right"/>
              <w:rPr/>
            </w:pPr>
            <w:r>
              <w:rPr/>
              <w:t>9,487,500</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**There were no warrants issued, exercised and outstanding prior to January 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Warrants:</w:t>
      </w:r>
    </w:p>
    <w:p>
      <w:pPr>
        <w:pStyle w:val="TextBody"/>
        <w:spacing w:before="0" w:after="0"/>
        <w:ind w:left="0" w:right="0" w:hanging="0"/>
        <w:jc w:val="both"/>
        <w:rPr>
          <w:caps w:val="false"/>
          <w:smallCaps w:val="false"/>
        </w:rPr>
      </w:pPr>
      <w:r>
        <w:rPr>
          <w:caps w:val="false"/>
          <w:smallCaps w:val="false"/>
        </w:rPr>
        <w:t> </w:t>
      </w:r>
    </w:p>
    <w:tbl>
      <w:tblPr>
        <w:tblW w:w="6689" w:type="dxa"/>
        <w:jc w:val="left"/>
        <w:tblInd w:w="0" w:type="dxa"/>
        <w:tblCellMar>
          <w:top w:w="0" w:type="dxa"/>
          <w:left w:w="0" w:type="dxa"/>
          <w:bottom w:w="0" w:type="dxa"/>
          <w:right w:w="0" w:type="dxa"/>
        </w:tblCellMar>
      </w:tblPr>
      <w:tblGrid>
        <w:gridCol w:w="4100"/>
        <w:gridCol w:w="60"/>
        <w:gridCol w:w="130"/>
        <w:gridCol w:w="2289"/>
        <w:gridCol w:w="110"/>
      </w:tblGrid>
      <w:tr>
        <w:trPr/>
        <w:tc>
          <w:tcPr>
            <w:tcW w:w="4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752" w:name="xdx_49F_20220101__20221231__us-gaap--Sta"/>
            <w:bookmarkEnd w:id="752"/>
          </w:p>
        </w:tc>
        <w:tc>
          <w:tcPr>
            <w:tcW w:w="241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Common Stock Warrants</w:t>
            </w:r>
          </w:p>
        </w:tc>
        <w:tc>
          <w:tcPr>
            <w:tcW w:w="110" w:type="dxa"/>
            <w:tcBorders/>
            <w:shd w:fill="auto" w:val="clear"/>
            <w:vAlign w:val="center"/>
          </w:tcPr>
          <w:p>
            <w:pPr>
              <w:pStyle w:val="TableContents"/>
              <w:spacing w:before="0" w:after="283"/>
              <w:rPr/>
            </w:pPr>
            <w:r>
              <w:rPr/>
              <w:t> </w:t>
            </w:r>
            <w:bookmarkStart w:id="753" w:name="xdx_408_eus-gaap--ShareBasedCompensation"/>
            <w:bookmarkEnd w:id="753"/>
          </w:p>
        </w:tc>
      </w:tr>
      <w:tr>
        <w:trPr/>
        <w:tc>
          <w:tcPr>
            <w:tcW w:w="4100" w:type="dxa"/>
            <w:tcBorders/>
            <w:shd w:fill="CCEEFF" w:val="clear"/>
            <w:vAlign w:val="center"/>
          </w:tcPr>
          <w:p>
            <w:pPr>
              <w:pStyle w:val="TableContents"/>
              <w:spacing w:before="0" w:after="283"/>
              <w:rPr>
                <w:rFonts w:ascii="Times New Roman;Times;Serif" w:hAnsi="Times New Roman;Times;Serif"/>
              </w:rPr>
            </w:pPr>
            <w:bookmarkStart w:id="754" w:name="xdx_F40_zEORDX5tTU8i"/>
            <w:bookmarkEnd w:id="754"/>
            <w:r>
              <w:rPr>
                <w:rFonts w:ascii="Times New Roman;Times;Serif" w:hAnsi="Times New Roman;Times;Serif"/>
              </w:rPr>
              <w:t>**Warrants Outstanding, January 1, 2022</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jc w:val="left"/>
              <w:rPr/>
            </w:pPr>
            <w:r>
              <w:rPr/>
              <w:t> </w:t>
            </w:r>
          </w:p>
        </w:tc>
        <w:tc>
          <w:tcPr>
            <w:tcW w:w="228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bookmarkStart w:id="755" w:name="xdx_403_ecustom--ShareBasedCompensationA"/>
            <w:bookmarkEnd w:id="755"/>
          </w:p>
        </w:tc>
      </w:tr>
      <w:tr>
        <w:trPr/>
        <w:tc>
          <w:tcPr>
            <w:tcW w:w="410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Issued in conjunction with merger</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jc w:val="left"/>
              <w:rPr/>
            </w:pPr>
            <w:r>
              <w:rPr/>
              <w:t> </w:t>
            </w:r>
          </w:p>
        </w:tc>
        <w:tc>
          <w:tcPr>
            <w:tcW w:w="2289"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4,193,056</w:t>
            </w:r>
          </w:p>
        </w:tc>
        <w:tc>
          <w:tcPr>
            <w:tcW w:w="110" w:type="dxa"/>
            <w:tcBorders/>
            <w:shd w:fill="FFFFFF" w:val="clear"/>
            <w:vAlign w:val="center"/>
          </w:tcPr>
          <w:p>
            <w:pPr>
              <w:pStyle w:val="TableContents"/>
              <w:spacing w:before="0" w:after="283"/>
              <w:jc w:val="left"/>
              <w:rPr/>
            </w:pPr>
            <w:r>
              <w:rPr/>
              <w:t> </w:t>
            </w:r>
            <w:bookmarkStart w:id="756" w:name="xdx_404_eus-gaap--ShareBasedCompensation"/>
            <w:bookmarkEnd w:id="756"/>
          </w:p>
        </w:tc>
      </w:tr>
      <w:tr>
        <w:trPr/>
        <w:tc>
          <w:tcPr>
            <w:tcW w:w="41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Exercised subsequent to the merger</w:t>
            </w:r>
          </w:p>
        </w:tc>
        <w:tc>
          <w:tcPr>
            <w:tcW w:w="60" w:type="dxa"/>
            <w:tcBorders/>
            <w:shd w:fill="CCEEFF" w:val="clear"/>
            <w:vAlign w:val="center"/>
          </w:tcPr>
          <w:p>
            <w:pPr>
              <w:pStyle w:val="TableContents"/>
              <w:spacing w:before="0" w:after="283"/>
              <w:rPr/>
            </w:pPr>
            <w:r>
              <w:rPr/>
              <w:t> </w:t>
            </w:r>
          </w:p>
        </w:tc>
        <w:tc>
          <w:tcPr>
            <w:tcW w:w="13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228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(1,600,000</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57" w:name="xdx_404_eus-gaap--ShareBasedCompensation"/>
            <w:bookmarkEnd w:id="757"/>
          </w:p>
        </w:tc>
      </w:tr>
      <w:tr>
        <w:trPr/>
        <w:tc>
          <w:tcPr>
            <w:tcW w:w="41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Warrants Outstanding, December 31, 2022</w:t>
            </w:r>
          </w:p>
        </w:tc>
        <w:tc>
          <w:tcPr>
            <w:tcW w:w="60" w:type="dxa"/>
            <w:tcBorders/>
            <w:shd w:fill="FFFFFF" w:val="clear"/>
            <w:vAlign w:val="center"/>
          </w:tcPr>
          <w:p>
            <w:pPr>
              <w:pStyle w:val="TableContents"/>
              <w:spacing w:before="0" w:after="283"/>
              <w:rPr/>
            </w:pPr>
            <w:r>
              <w:rPr/>
              <w:t> </w:t>
            </w:r>
          </w:p>
        </w:tc>
        <w:tc>
          <w:tcPr>
            <w:tcW w:w="13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228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2,593,056</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rPr>
      </w:pPr>
      <w:r>
        <w:rPr>
          <w:caps/>
        </w:rPr>
        <w:t> </w:t>
      </w:r>
    </w:p>
    <w:tbl>
      <w:tblPr>
        <w:tblW w:w="7120" w:type="dxa"/>
        <w:jc w:val="left"/>
        <w:tblInd w:w="0" w:type="dxa"/>
        <w:tblCellMar>
          <w:top w:w="0" w:type="dxa"/>
          <w:left w:w="0" w:type="dxa"/>
          <w:bottom w:w="0" w:type="dxa"/>
          <w:right w:w="0" w:type="dxa"/>
        </w:tblCellMar>
      </w:tblPr>
      <w:tblGrid>
        <w:gridCol w:w="245"/>
        <w:gridCol w:w="6875"/>
      </w:tblGrid>
      <w:tr>
        <w:trPr/>
        <w:tc>
          <w:tcPr>
            <w:tcW w:w="245" w:type="dxa"/>
            <w:tcBorders/>
            <w:shd w:fill="auto" w:val="clear"/>
            <w:vAlign w:val="center"/>
          </w:tcPr>
          <w:p>
            <w:pPr>
              <w:pStyle w:val="TableContents"/>
              <w:spacing w:before="0" w:after="283"/>
              <w:jc w:val="right"/>
              <w:rPr>
                <w:rFonts w:ascii="Times New Roman;Times;Serif" w:hAnsi="Times New Roman;Times;Serif"/>
                <w:i/>
                <w:sz w:val="20"/>
              </w:rPr>
            </w:pPr>
            <w:bookmarkStart w:id="758" w:name="xdx_F00_zzApbBrK67xa"/>
            <w:bookmarkEnd w:id="758"/>
            <w:r>
              <w:rPr>
                <w:rFonts w:ascii="Times New Roman;Times;Serif" w:hAnsi="Times New Roman;Times;Serif"/>
                <w:i/>
                <w:sz w:val="20"/>
              </w:rPr>
              <w:t>**</w:t>
            </w:r>
          </w:p>
        </w:tc>
        <w:tc>
          <w:tcPr>
            <w:tcW w:w="6875" w:type="dxa"/>
            <w:tcBorders/>
            <w:shd w:fill="auto" w:val="clear"/>
            <w:vAlign w:val="center"/>
          </w:tcPr>
          <w:p>
            <w:pPr>
              <w:pStyle w:val="TableContents"/>
              <w:spacing w:before="0" w:after="283"/>
              <w:jc w:val="both"/>
              <w:rPr>
                <w:rFonts w:ascii="Times New Roman;Times;Serif" w:hAnsi="Times New Roman;Times;Serif"/>
                <w:i/>
                <w:sz w:val="20"/>
              </w:rPr>
            </w:pPr>
            <w:bookmarkStart w:id="759" w:name="xdx_F15_zqU5fJTvtMz"/>
            <w:bookmarkEnd w:id="759"/>
            <w:r>
              <w:rPr>
                <w:rFonts w:ascii="Times New Roman;Times;Serif" w:hAnsi="Times New Roman;Times;Serif"/>
                <w:i/>
                <w:sz w:val="20"/>
              </w:rPr>
              <w:t>There were no warrants issued, exercised and outstanding prior to January 1, 2022.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aggregate fair values of the Company’s warrant liabilities for which fair value is determined by Level 3 Inputs. The only class of warrants that were determined to be Level 3 are the term loan warrants.</w:t>
      </w:r>
    </w:p>
    <w:p>
      <w:pPr>
        <w:pStyle w:val="TextBody"/>
        <w:spacing w:before="0" w:after="0"/>
        <w:ind w:left="0" w:right="0" w:hanging="0"/>
        <w:rPr>
          <w:caps w:val="false"/>
          <w:smallCaps w:val="false"/>
        </w:rPr>
      </w:pPr>
      <w:r>
        <w:rPr>
          <w:caps w:val="false"/>
          <w:smallCaps w:val="false"/>
        </w:rPr>
        <w:t> </w:t>
      </w:r>
    </w:p>
    <w:tbl>
      <w:tblPr>
        <w:tblW w:w="4889" w:type="dxa"/>
        <w:jc w:val="left"/>
        <w:tblInd w:w="0" w:type="dxa"/>
        <w:tblCellMar>
          <w:top w:w="0" w:type="dxa"/>
          <w:left w:w="0" w:type="dxa"/>
          <w:bottom w:w="0" w:type="dxa"/>
          <w:right w:w="0" w:type="dxa"/>
        </w:tblCellMar>
      </w:tblPr>
      <w:tblGrid>
        <w:gridCol w:w="3080"/>
        <w:gridCol w:w="60"/>
        <w:gridCol w:w="256"/>
        <w:gridCol w:w="1383"/>
        <w:gridCol w:w="110"/>
      </w:tblGrid>
      <w:tr>
        <w:trPr/>
        <w:tc>
          <w:tcPr>
            <w:tcW w:w="30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bookmarkStart w:id="760" w:name="xdx_490_20220101__20221231__us-gaap--Sta"/>
            <w:bookmarkEnd w:id="760"/>
          </w:p>
        </w:tc>
        <w:tc>
          <w:tcPr>
            <w:tcW w:w="16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Warrant Liability</w:t>
            </w:r>
          </w:p>
        </w:tc>
        <w:tc>
          <w:tcPr>
            <w:tcW w:w="110" w:type="dxa"/>
            <w:tcBorders/>
            <w:shd w:fill="auto" w:val="clear"/>
            <w:vAlign w:val="center"/>
          </w:tcPr>
          <w:p>
            <w:pPr>
              <w:pStyle w:val="TableContents"/>
              <w:spacing w:before="0" w:after="283"/>
              <w:rPr/>
            </w:pPr>
            <w:r>
              <w:rPr/>
              <w:t> </w:t>
            </w:r>
            <w:bookmarkStart w:id="761" w:name="xdx_406_eus-gaap--SharesSubjectToMandato"/>
            <w:bookmarkEnd w:id="761"/>
          </w:p>
        </w:tc>
      </w:tr>
      <w:tr>
        <w:trPr/>
        <w:tc>
          <w:tcPr>
            <w:tcW w:w="3080" w:type="dxa"/>
            <w:tcBorders/>
            <w:shd w:fill="CCEEFF"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Balances, January 1, 2022</w:t>
            </w:r>
            <w:bookmarkStart w:id="762" w:name="xdx_F49_zylirh3TdqX7"/>
            <w:bookmarkEnd w:id="762"/>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38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bookmarkStart w:id="763" w:name="xdx_406_ecustom--IssuanceOfWarrants_pn3n"/>
            <w:bookmarkEnd w:id="763"/>
          </w:p>
        </w:tc>
      </w:tr>
      <w:tr>
        <w:trPr/>
        <w:tc>
          <w:tcPr>
            <w:tcW w:w="308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Issuance of warrants</w:t>
            </w:r>
          </w:p>
        </w:tc>
        <w:tc>
          <w:tcPr>
            <w:tcW w:w="60"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jc w:val="left"/>
              <w:rPr/>
            </w:pPr>
            <w:r>
              <w:rPr/>
              <w:t> </w:t>
            </w:r>
          </w:p>
        </w:tc>
        <w:tc>
          <w:tcPr>
            <w:tcW w:w="138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52,956</w:t>
            </w:r>
          </w:p>
        </w:tc>
        <w:tc>
          <w:tcPr>
            <w:tcW w:w="110" w:type="dxa"/>
            <w:tcBorders/>
            <w:shd w:fill="FFFFFF" w:val="clear"/>
            <w:vAlign w:val="center"/>
          </w:tcPr>
          <w:p>
            <w:pPr>
              <w:pStyle w:val="TableContents"/>
              <w:spacing w:before="0" w:after="283"/>
              <w:jc w:val="left"/>
              <w:rPr/>
            </w:pPr>
            <w:r>
              <w:rPr/>
              <w:t> </w:t>
            </w:r>
            <w:bookmarkStart w:id="764" w:name="xdx_40A_ecustom--ExerciseOfWarrants_iN_p"/>
            <w:bookmarkEnd w:id="764"/>
          </w:p>
        </w:tc>
      </w:tr>
      <w:tr>
        <w:trPr/>
        <w:tc>
          <w:tcPr>
            <w:tcW w:w="3080" w:type="dxa"/>
            <w:tcBorders/>
            <w:shd w:fill="CCEEFF"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pPr>
            <w:r>
              <w:rPr/>
              <w:t> </w:t>
            </w:r>
          </w:p>
        </w:tc>
        <w:tc>
          <w:tcPr>
            <w:tcW w:w="138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(16,669</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65" w:name="xdx_407_eus-gaap--FairValueAdjustmentOfW"/>
            <w:bookmarkEnd w:id="765"/>
          </w:p>
        </w:tc>
      </w:tr>
      <w:tr>
        <w:trPr/>
        <w:tc>
          <w:tcPr>
            <w:tcW w:w="3080" w:type="dxa"/>
            <w:tcBorders/>
            <w:shd w:fill="FFFFFF"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Change in fair value of warrants</w:t>
            </w:r>
          </w:p>
        </w:tc>
        <w:tc>
          <w:tcPr>
            <w:tcW w:w="60" w:type="dxa"/>
            <w:tcBorders/>
            <w:shd w:fill="FFFFFF" w:val="clear"/>
            <w:vAlign w:val="center"/>
          </w:tcPr>
          <w:p>
            <w:pPr>
              <w:pStyle w:val="TableContents"/>
              <w:spacing w:before="0" w:after="283"/>
              <w:rPr/>
            </w:pPr>
            <w:r>
              <w:rPr/>
              <w:t> </w:t>
            </w:r>
          </w:p>
        </w:tc>
        <w:tc>
          <w:tcPr>
            <w:tcW w:w="25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38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(5,446</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66" w:name="xdx_404_eus-gaap--SharesSubjectToMandato"/>
            <w:bookmarkEnd w:id="766"/>
          </w:p>
        </w:tc>
      </w:tr>
      <w:tr>
        <w:trPr/>
        <w:tc>
          <w:tcPr>
            <w:tcW w:w="3080" w:type="dxa"/>
            <w:tcBorders/>
            <w:shd w:fill="CCEEFF"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Balances, December 31, 2022</w:t>
            </w:r>
          </w:p>
        </w:tc>
        <w:tc>
          <w:tcPr>
            <w:tcW w:w="60" w:type="dxa"/>
            <w:tcBorders/>
            <w:shd w:fill="CCEEFF" w:val="clear"/>
            <w:vAlign w:val="center"/>
          </w:tcPr>
          <w:p>
            <w:pPr>
              <w:pStyle w:val="TableContents"/>
              <w:spacing w:before="0" w:after="283"/>
              <w:rPr/>
            </w:pPr>
            <w:r>
              <w:rPr/>
              <w:t> </w:t>
            </w:r>
          </w:p>
        </w:tc>
        <w:tc>
          <w:tcPr>
            <w:tcW w:w="256"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38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30,841</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7120" w:type="dxa"/>
        <w:jc w:val="left"/>
        <w:tblInd w:w="0" w:type="dxa"/>
        <w:tblCellMar>
          <w:top w:w="0" w:type="dxa"/>
          <w:left w:w="0" w:type="dxa"/>
          <w:bottom w:w="0" w:type="dxa"/>
          <w:right w:w="0" w:type="dxa"/>
        </w:tblCellMar>
      </w:tblPr>
      <w:tblGrid>
        <w:gridCol w:w="245"/>
        <w:gridCol w:w="6875"/>
      </w:tblGrid>
      <w:tr>
        <w:trPr/>
        <w:tc>
          <w:tcPr>
            <w:tcW w:w="245" w:type="dxa"/>
            <w:tcBorders/>
            <w:shd w:fill="auto" w:val="clear"/>
            <w:vAlign w:val="center"/>
          </w:tcPr>
          <w:p>
            <w:pPr>
              <w:pStyle w:val="TableContents"/>
              <w:spacing w:before="0" w:after="283"/>
              <w:jc w:val="right"/>
              <w:rPr>
                <w:rFonts w:ascii="Times New Roman;Times;Serif" w:hAnsi="Times New Roman;Times;Serif"/>
                <w:i/>
                <w:sz w:val="20"/>
              </w:rPr>
            </w:pPr>
            <w:bookmarkStart w:id="767" w:name="xdx_F0C_zUm0pR0qW3Ci"/>
            <w:bookmarkEnd w:id="767"/>
            <w:r>
              <w:rPr>
                <w:rFonts w:ascii="Times New Roman;Times;Serif" w:hAnsi="Times New Roman;Times;Serif"/>
                <w:i/>
                <w:sz w:val="20"/>
              </w:rPr>
              <w:t>**</w:t>
            </w:r>
          </w:p>
        </w:tc>
        <w:tc>
          <w:tcPr>
            <w:tcW w:w="6875" w:type="dxa"/>
            <w:tcBorders/>
            <w:shd w:fill="auto" w:val="clear"/>
            <w:vAlign w:val="center"/>
          </w:tcPr>
          <w:p>
            <w:pPr>
              <w:pStyle w:val="TableContents"/>
              <w:spacing w:before="0" w:after="283"/>
              <w:jc w:val="both"/>
              <w:rPr>
                <w:rFonts w:ascii="Times New Roman;Times;Serif" w:hAnsi="Times New Roman;Times;Serif"/>
                <w:i/>
                <w:sz w:val="20"/>
              </w:rPr>
            </w:pPr>
            <w:bookmarkStart w:id="768" w:name="xdx_F1B_zbs3SCEo7Ldc"/>
            <w:bookmarkEnd w:id="768"/>
            <w:r>
              <w:rPr>
                <w:rFonts w:ascii="Times New Roman;Times;Serif" w:hAnsi="Times New Roman;Times;Serif"/>
                <w:i/>
                <w:sz w:val="20"/>
              </w:rPr>
              <w:t>There were no warrants issued, exercised and outstanding prior to January 1, 2022.</w:t>
            </w:r>
          </w:p>
        </w:tc>
      </w:tr>
    </w:tbl>
    <w:p>
      <w:pPr>
        <w:pStyle w:val="TextBody"/>
        <w:spacing w:before="0" w:after="0"/>
        <w:ind w:left="0" w:right="0" w:hanging="0"/>
        <w:rPr>
          <w:caps w:val="false"/>
          <w:smallCaps w:val="false"/>
        </w:rPr>
      </w:pPr>
      <w:bookmarkStart w:id="769" w:name="xdx_8AC_zPLJMW5Ql4Kf"/>
      <w:bookmarkEnd w:id="769"/>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F-27</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bookmarkStart w:id="770" w:name="xdx_801_eus-gaap--StockholdersEquityNote"/>
      <w:bookmarkEnd w:id="770"/>
      <w:r>
        <w:rPr>
          <w:rFonts w:ascii="Times New Roman;Times;Serif" w:hAnsi="Times New Roman;Times;Serif"/>
          <w:b/>
          <w:i w:val="false"/>
          <w:caps/>
          <w:sz w:val="20"/>
        </w:rPr>
        <w:t xml:space="preserve">Note 13 - </w:t>
      </w:r>
      <w:bookmarkStart w:id="771" w:name="xdx_823_z3P2qeKQcMSf"/>
      <w:bookmarkEnd w:id="771"/>
      <w:r>
        <w:rPr>
          <w:rFonts w:ascii="Times New Roman;Times;Serif" w:hAnsi="Times New Roman;Times;Serif"/>
          <w:b/>
          <w:i w:val="false"/>
          <w:caps/>
          <w:sz w:val="20"/>
        </w:rPr>
        <w:t>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up to </w:t>
      </w:r>
      <w:bookmarkStart w:id="772" w:name="xdx_90E_eus-gaap--CommonStockSharesAutho"/>
      <w:bookmarkEnd w:id="772"/>
      <w:r>
        <w:rPr>
          <w:rFonts w:ascii="Times New Roman;Times;Serif" w:hAnsi="Times New Roman;Times;Serif"/>
          <w:b w:val="false"/>
          <w:i w:val="false"/>
          <w:caps w:val="false"/>
          <w:smallCaps w:val="false"/>
          <w:sz w:val="20"/>
        </w:rPr>
        <w:t>170,000,000 shares of common stock with $</w:t>
      </w:r>
      <w:bookmarkStart w:id="773" w:name="xdx_908_eus-gaap--CommonStockParOrStated"/>
      <w:bookmarkEnd w:id="773"/>
      <w:r>
        <w:rPr>
          <w:rFonts w:ascii="Times New Roman;Times;Serif" w:hAnsi="Times New Roman;Times;Serif"/>
          <w:b w:val="false"/>
          <w:i w:val="false"/>
          <w:caps w:val="false"/>
          <w:smallCaps w:val="false"/>
          <w:sz w:val="20"/>
        </w:rPr>
        <w:t xml:space="preserve">0.0001 par value. Common stockholders are entitled to dividends if and when declared by the Board of Directors subject to the rights of the preferred stockholders. As of December 31, 2022 and 2021, there were </w:t>
      </w:r>
      <w:bookmarkStart w:id="774" w:name="xdx_90A_eus-gaap--CommonStockSharesOutst"/>
      <w:bookmarkStart w:id="775" w:name="xdx_908_eus-gaap--CommonStockSharesIssue"/>
      <w:bookmarkEnd w:id="774"/>
      <w:bookmarkEnd w:id="775"/>
      <w:r>
        <w:rPr>
          <w:rFonts w:ascii="Times New Roman;Times;Serif" w:hAnsi="Times New Roman;Times;Serif"/>
          <w:b w:val="false"/>
          <w:i w:val="false"/>
          <w:caps w:val="false"/>
          <w:smallCaps w:val="false"/>
          <w:sz w:val="20"/>
        </w:rPr>
        <w:t xml:space="preserve">43,272,728 and </w:t>
      </w:r>
      <w:bookmarkStart w:id="776" w:name="xdx_906_eus-gaap--CommonStockSharesOutst"/>
      <w:bookmarkStart w:id="777" w:name="xdx_90B_eus-gaap--CommonStockSharesIssue"/>
      <w:bookmarkEnd w:id="776"/>
      <w:bookmarkEnd w:id="777"/>
      <w:r>
        <w:rPr>
          <w:rFonts w:ascii="Times New Roman;Times;Serif" w:hAnsi="Times New Roman;Times;Serif"/>
          <w:b w:val="false"/>
          <w:i w:val="false"/>
          <w:caps w:val="false"/>
          <w:smallCaps w:val="false"/>
          <w:sz w:val="20"/>
        </w:rPr>
        <w:t>36,496,998 shares issued and outstanding retroactively adjusted and no dividends on common stock had been declared by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2022, Dragonfly entered into a Stock Purchase Agreement with THOR Industries, whereby THOR purchased shares of Dragonfly common stock for $</w:t>
      </w:r>
      <w:bookmarkStart w:id="778" w:name="xdx_903_eus-gaap--StockIssuedDuringPerio"/>
      <w:bookmarkEnd w:id="778"/>
      <w:r>
        <w:rPr>
          <w:rFonts w:ascii="Times New Roman;Times;Serif" w:hAnsi="Times New Roman;Times;Serif"/>
          <w:b w:val="false"/>
          <w:i w:val="false"/>
          <w:caps w:val="false"/>
          <w:smallCaps w:val="false"/>
          <w:sz w:val="20"/>
        </w:rPr>
        <w:t>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779" w:name="xdx_899_ecustom--SummaryOfReservedShares"/>
      <w:bookmarkEnd w:id="779"/>
      <w:r>
        <w:rPr>
          <w:rFonts w:ascii="Times New Roman;Times;Serif" w:hAnsi="Times New Roman;Times;Serif"/>
          <w:b w:val="false"/>
          <w:i w:val="false"/>
          <w:caps w:val="false"/>
          <w:smallCaps w:val="false"/>
          <w:sz w:val="20"/>
        </w:rPr>
        <w:t>As of December 31, 2022 and 2021, the Company had reserved shares of common stock for issuance as follows: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780" w:name="xdx_8B1_zQuQB3dHk5u5"/>
      <w:bookmarkEnd w:id="780"/>
      <w:r>
        <w:rPr>
          <w:rFonts w:ascii="Times New Roman;Times;Serif" w:hAnsi="Times New Roman;Times;Serif"/>
          <w:b w:val="false"/>
          <w:i w:val="false"/>
          <w:caps w:val="false"/>
          <w:smallCaps w:val="false"/>
          <w:sz w:val="20"/>
        </w:rPr>
        <w:t>SUMMARY OF RESERVED SHARES OF COMMON STOCK FOR ISSUANCE </w:t>
      </w:r>
    </w:p>
    <w:tbl>
      <w:tblPr>
        <w:tblW w:w="5998" w:type="dxa"/>
        <w:jc w:val="left"/>
        <w:tblInd w:w="0" w:type="dxa"/>
        <w:tblCellMar>
          <w:top w:w="0" w:type="dxa"/>
          <w:left w:w="0" w:type="dxa"/>
          <w:bottom w:w="0" w:type="dxa"/>
          <w:right w:w="0" w:type="dxa"/>
        </w:tblCellMar>
      </w:tblPr>
      <w:tblGrid>
        <w:gridCol w:w="3035"/>
        <w:gridCol w:w="60"/>
        <w:gridCol w:w="63"/>
        <w:gridCol w:w="1291"/>
        <w:gridCol w:w="60"/>
        <w:gridCol w:w="60"/>
        <w:gridCol w:w="70"/>
        <w:gridCol w:w="1284"/>
        <w:gridCol w:w="75"/>
      </w:tblGrid>
      <w:tr>
        <w:trPr/>
        <w:tc>
          <w:tcPr>
            <w:tcW w:w="30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781" w:name="xdx_497_20221231_zL5DtuKjpYPk"/>
            <w:bookmarkEnd w:id="781"/>
          </w:p>
        </w:tc>
        <w:tc>
          <w:tcPr>
            <w:tcW w:w="135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rPr>
            </w:pPr>
            <w:r>
              <w:rPr>
                <w:rFonts w:ascii="Times New Roman;Times;Serif" w:hAnsi="Times New Roman;Times;Serif"/>
              </w:rPr>
              <w:t>December 31,</w:t>
            </w:r>
          </w:p>
          <w:p>
            <w:pPr>
              <w:pStyle w:val="TableContents"/>
              <w:spacing w:before="0" w:after="283"/>
              <w:jc w:val="center"/>
              <w:rPr>
                <w:rFonts w:ascii="Times New Roman;Times;Serif" w:hAnsi="Times New Roman;Times;Serif"/>
              </w:rPr>
            </w:pPr>
            <w:r>
              <w:rPr>
                <w:rFonts w:ascii="Times New Roman;Times;Serif" w:hAnsi="Times New Roman;Times;Serif"/>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782" w:name="xdx_492_20211231_zfBN2IuuEw47"/>
            <w:bookmarkEnd w:id="782"/>
          </w:p>
        </w:tc>
        <w:tc>
          <w:tcPr>
            <w:tcW w:w="135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rPr>
            </w:pPr>
            <w:r>
              <w:rPr>
                <w:rFonts w:ascii="Times New Roman;Times;Serif" w:hAnsi="Times New Roman;Times;Serif"/>
              </w:rPr>
              <w:t>December 31,</w:t>
            </w:r>
          </w:p>
          <w:p>
            <w:pPr>
              <w:pStyle w:val="TableContents"/>
              <w:spacing w:before="0" w:after="283"/>
              <w:jc w:val="center"/>
              <w:rPr>
                <w:rFonts w:ascii="Times New Roman;Times;Serif" w:hAnsi="Times New Roman;Times;Serif"/>
              </w:rPr>
            </w:pPr>
            <w:r>
              <w:rPr>
                <w:rFonts w:ascii="Times New Roman;Times;Serif" w:hAnsi="Times New Roman;Times;Serif"/>
              </w:rPr>
              <w:t>2021</w:t>
            </w:r>
          </w:p>
        </w:tc>
        <w:tc>
          <w:tcPr>
            <w:tcW w:w="75" w:type="dxa"/>
            <w:tcBorders/>
            <w:shd w:fill="auto" w:val="clear"/>
            <w:vAlign w:val="center"/>
          </w:tcPr>
          <w:p>
            <w:pPr>
              <w:pStyle w:val="TableContents"/>
              <w:spacing w:before="0" w:after="283"/>
              <w:rPr/>
            </w:pPr>
            <w:r>
              <w:rPr/>
              <w:t> </w:t>
            </w:r>
            <w:bookmarkStart w:id="783" w:name="xdx_40E_eus-gaap--ShareBasedCompensation"/>
            <w:bookmarkEnd w:id="783"/>
          </w:p>
        </w:tc>
      </w:tr>
      <w:tr>
        <w:trPr/>
        <w:tc>
          <w:tcPr>
            <w:tcW w:w="303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Options issued and outstanding</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3,642,958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128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3,690,955</w:t>
            </w:r>
          </w:p>
        </w:tc>
        <w:tc>
          <w:tcPr>
            <w:tcW w:w="75" w:type="dxa"/>
            <w:tcBorders/>
            <w:shd w:fill="CCEEFF" w:val="clear"/>
            <w:vAlign w:val="center"/>
          </w:tcPr>
          <w:p>
            <w:pPr>
              <w:pStyle w:val="TableContents"/>
              <w:spacing w:before="0" w:after="283"/>
              <w:jc w:val="left"/>
              <w:rPr/>
            </w:pPr>
            <w:r>
              <w:rPr/>
              <w:t> </w:t>
            </w:r>
            <w:bookmarkStart w:id="784" w:name="xdx_40F_eus-gaap--CommonStockSharesOutst"/>
            <w:bookmarkEnd w:id="784"/>
          </w:p>
        </w:tc>
      </w:tr>
      <w:tr>
        <w:trPr/>
        <w:tc>
          <w:tcPr>
            <w:tcW w:w="303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Common stock outstanding</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left"/>
              <w:rPr/>
            </w:pPr>
            <w:r>
              <w:rPr/>
              <w:t> </w:t>
            </w:r>
          </w:p>
        </w:tc>
        <w:tc>
          <w:tcPr>
            <w:tcW w:w="129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43,272,728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jc w:val="left"/>
              <w:rPr/>
            </w:pPr>
            <w:r>
              <w:rPr/>
              <w:t> </w:t>
            </w:r>
          </w:p>
        </w:tc>
        <w:tc>
          <w:tcPr>
            <w:tcW w:w="1284"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36,496,998</w:t>
            </w:r>
          </w:p>
        </w:tc>
        <w:tc>
          <w:tcPr>
            <w:tcW w:w="75" w:type="dxa"/>
            <w:tcBorders/>
            <w:shd w:fill="FFFFFF" w:val="clear"/>
            <w:vAlign w:val="center"/>
          </w:tcPr>
          <w:p>
            <w:pPr>
              <w:pStyle w:val="TableContents"/>
              <w:spacing w:before="0" w:after="283"/>
              <w:jc w:val="left"/>
              <w:rPr/>
            </w:pPr>
            <w:r>
              <w:rPr/>
              <w:t> </w:t>
            </w:r>
            <w:bookmarkStart w:id="785" w:name="xdx_406_eus-gaap--ClassOfWarrantOrRightO"/>
            <w:bookmarkEnd w:id="785"/>
          </w:p>
        </w:tc>
      </w:tr>
      <w:tr>
        <w:trPr/>
        <w:tc>
          <w:tcPr>
            <w:tcW w:w="303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Warrants outstanding</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16,708,414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128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bookmarkStart w:id="786" w:name="xdx_403_ecustom--EarnoutShares_iI_pid_zT"/>
            <w:bookmarkEnd w:id="786"/>
          </w:p>
        </w:tc>
      </w:tr>
      <w:tr>
        <w:trPr/>
        <w:tc>
          <w:tcPr>
            <w:tcW w:w="303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Earnout shares</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left"/>
              <w:rPr/>
            </w:pPr>
            <w:r>
              <w:rPr/>
              <w:t> </w:t>
            </w:r>
          </w:p>
        </w:tc>
        <w:tc>
          <w:tcPr>
            <w:tcW w:w="129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40,000,000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jc w:val="left"/>
              <w:rPr/>
            </w:pPr>
            <w:r>
              <w:rPr/>
              <w:t> </w:t>
            </w:r>
          </w:p>
        </w:tc>
        <w:tc>
          <w:tcPr>
            <w:tcW w:w="1284"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bookmarkStart w:id="787" w:name="xdx_40D_eus-gaap--ShareBasedCompensation"/>
            <w:bookmarkEnd w:id="787"/>
          </w:p>
        </w:tc>
      </w:tr>
      <w:tr>
        <w:trPr/>
        <w:tc>
          <w:tcPr>
            <w:tcW w:w="3035"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Shares available for future issuance </w:t>
            </w:r>
            <w:bookmarkStart w:id="788" w:name="xdx_F4C_zmJluiP8Bq36"/>
            <w:bookmarkEnd w:id="788"/>
            <w:r>
              <w:rPr>
                <w:rFonts w:ascii="Times New Roman;Times;Serif" w:hAnsi="Times New Roman;Times;Serif"/>
                <w:sz w:val="20"/>
              </w:rPr>
              <w:t>1</w:t>
            </w:r>
          </w:p>
        </w:tc>
        <w:tc>
          <w:tcPr>
            <w:tcW w:w="60" w:type="dxa"/>
            <w:tcBorders/>
            <w:shd w:fill="CCEEFF" w:val="clear"/>
            <w:vAlign w:val="center"/>
          </w:tcPr>
          <w:p>
            <w:pPr>
              <w:pStyle w:val="TableContents"/>
              <w:spacing w:before="0" w:after="283"/>
              <w:rPr/>
            </w:pPr>
            <w:r>
              <w:rPr/>
              <w:t> </w:t>
            </w:r>
          </w:p>
        </w:tc>
        <w:tc>
          <w:tcPr>
            <w:tcW w:w="6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4,924,914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12,207</w:t>
            </w:r>
          </w:p>
        </w:tc>
        <w:tc>
          <w:tcPr>
            <w:tcW w:w="75" w:type="dxa"/>
            <w:tcBorders/>
            <w:shd w:fill="CCEEFF" w:val="clear"/>
            <w:vAlign w:val="center"/>
          </w:tcPr>
          <w:p>
            <w:pPr>
              <w:pStyle w:val="TableContents"/>
              <w:spacing w:before="0" w:after="283"/>
              <w:jc w:val="left"/>
              <w:rPr/>
            </w:pPr>
            <w:r>
              <w:rPr/>
              <w:t> </w:t>
            </w:r>
            <w:bookmarkStart w:id="789" w:name="xdx_40E_eus-gaap--CommonStockCapitalShar"/>
            <w:bookmarkEnd w:id="789"/>
          </w:p>
        </w:tc>
      </w:tr>
      <w:tr>
        <w:trPr/>
        <w:tc>
          <w:tcPr>
            <w:tcW w:w="303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spacing w:before="0" w:after="283"/>
              <w:rPr/>
            </w:pPr>
            <w:r>
              <w:rPr/>
              <w:t> </w:t>
            </w:r>
          </w:p>
        </w:tc>
        <w:tc>
          <w:tcPr>
            <w:tcW w:w="63"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29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108,549,014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28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40,200,160</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4563" w:type="dxa"/>
        <w:jc w:val="left"/>
        <w:tblInd w:w="0" w:type="dxa"/>
        <w:tblCellMar>
          <w:top w:w="0" w:type="dxa"/>
          <w:left w:w="0" w:type="dxa"/>
          <w:bottom w:w="0" w:type="dxa"/>
          <w:right w:w="0" w:type="dxa"/>
        </w:tblCellMar>
      </w:tblPr>
      <w:tblGrid>
        <w:gridCol w:w="260"/>
        <w:gridCol w:w="23"/>
        <w:gridCol w:w="4280"/>
      </w:tblGrid>
      <w:tr>
        <w:trPr/>
        <w:tc>
          <w:tcPr>
            <w:tcW w:w="260" w:type="dxa"/>
            <w:tcBorders/>
            <w:shd w:fill="auto" w:val="clear"/>
            <w:vAlign w:val="center"/>
          </w:tcPr>
          <w:p>
            <w:pPr>
              <w:pStyle w:val="TableContents"/>
              <w:spacing w:before="0" w:after="283"/>
              <w:jc w:val="right"/>
              <w:rPr>
                <w:rFonts w:ascii="Times New Roman;Times;Serif" w:hAnsi="Times New Roman;Times;Serif"/>
                <w:i/>
                <w:sz w:val="20"/>
              </w:rPr>
            </w:pPr>
            <w:bookmarkStart w:id="790" w:name="xdx_F0C_zOOzcJmCRaO2"/>
            <w:bookmarkEnd w:id="790"/>
            <w:r>
              <w:rPr>
                <w:rFonts w:ascii="Times New Roman;Times;Serif" w:hAnsi="Times New Roman;Times;Serif"/>
                <w:i/>
                <w:sz w:val="20"/>
              </w:rPr>
              <w:t>(1)</w:t>
            </w:r>
          </w:p>
        </w:tc>
        <w:tc>
          <w:tcPr>
            <w:tcW w:w="23" w:type="dxa"/>
            <w:tcBorders/>
            <w:shd w:fill="auto" w:val="clear"/>
            <w:vAlign w:val="center"/>
          </w:tcPr>
          <w:p>
            <w:pPr>
              <w:pStyle w:val="TableContents"/>
              <w:spacing w:before="0" w:after="283"/>
              <w:rPr>
                <w:sz w:val="4"/>
                <w:szCs w:val="4"/>
              </w:rPr>
            </w:pPr>
            <w:r>
              <w:rPr>
                <w:sz w:val="4"/>
                <w:szCs w:val="4"/>
              </w:rPr>
            </w:r>
          </w:p>
        </w:tc>
        <w:tc>
          <w:tcPr>
            <w:tcW w:w="4280" w:type="dxa"/>
            <w:tcBorders/>
            <w:shd w:fill="auto" w:val="clear"/>
            <w:vAlign w:val="center"/>
          </w:tcPr>
          <w:p>
            <w:pPr>
              <w:pStyle w:val="TableContents"/>
              <w:spacing w:before="0" w:after="283"/>
              <w:jc w:val="both"/>
              <w:rPr>
                <w:rFonts w:ascii="Times New Roman;Times;Serif" w:hAnsi="Times New Roman;Times;Serif"/>
                <w:i/>
                <w:sz w:val="20"/>
              </w:rPr>
            </w:pPr>
            <w:bookmarkStart w:id="791" w:name="xdx_F1A_zxAm4zsNRjr6"/>
            <w:bookmarkEnd w:id="791"/>
            <w:r>
              <w:rPr>
                <w:rFonts w:ascii="Times New Roman;Times;Serif" w:hAnsi="Times New Roman;Times;Serif"/>
                <w:i/>
                <w:sz w:val="20"/>
              </w:rPr>
              <w:t>Refer to Stock Incentive Plan amendment at Note 14</w:t>
            </w:r>
          </w:p>
        </w:tc>
      </w:tr>
    </w:tbl>
    <w:p>
      <w:pPr>
        <w:pStyle w:val="TextBody"/>
        <w:spacing w:before="0" w:after="0"/>
        <w:ind w:left="0" w:right="0" w:hanging="0"/>
        <w:jc w:val="both"/>
        <w:rPr>
          <w:caps w:val="false"/>
          <w:smallCaps w:val="false"/>
        </w:rPr>
      </w:pPr>
      <w:bookmarkStart w:id="792" w:name="xdx_8A6_zjkwmcPeHXsf"/>
      <w:bookmarkEnd w:id="792"/>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CCM LLC entered into a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a Registration Rights Agreement (the “</w:t>
      </w:r>
      <w:r>
        <w:rPr>
          <w:rFonts w:ascii="Times New Roman;Times;Serif" w:hAnsi="Times New Roman;Times;Serif"/>
          <w:b/>
          <w:i w:val="false"/>
          <w:caps w:val="false"/>
          <w:smallCaps w:val="false"/>
          <w:sz w:val="20"/>
        </w:rPr>
        <w:t>ChEF RRA</w:t>
      </w:r>
      <w:r>
        <w:rPr>
          <w:rFonts w:ascii="Times New Roman;Times;Serif" w:hAnsi="Times New Roman;Times;Serif"/>
          <w:b w:val="false"/>
          <w:i w:val="false"/>
          <w:caps w:val="false"/>
          <w:smallCaps w:val="false"/>
          <w:sz w:val="20"/>
        </w:rPr>
        <w:t>”) in connection with the merger. Pursuant to the Purchase Agreement, the Company has the right to sell to CCM LLC an amount of shares of common stock, up to a maximum aggregate purchase price of $</w:t>
      </w:r>
      <w:bookmarkStart w:id="793" w:name="xdx_90E_ecustom--PlanOfMergerMaximumAggr"/>
      <w:bookmarkEnd w:id="793"/>
      <w:r>
        <w:rPr>
          <w:rFonts w:ascii="Times New Roman;Times;Serif" w:hAnsi="Times New Roman;Times;Serif"/>
          <w:b w:val="false"/>
          <w:i w:val="false"/>
          <w:caps w:val="false"/>
          <w:smallCaps w:val="false"/>
          <w:sz w:val="20"/>
        </w:rPr>
        <w:t>150,000, from time to time, pursuant to the terms of the Purchase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w:t>
      </w:r>
      <w:bookmarkStart w:id="794" w:name="xdx_906_ecustom--PlanOfMergerMaximumAggr"/>
      <w:bookmarkEnd w:id="794"/>
      <w:r>
        <w:rPr>
          <w:rFonts w:ascii="Times New Roman;Times;Serif" w:hAnsi="Times New Roman;Times;Serif"/>
          <w:b w:val="false"/>
          <w:i w:val="false"/>
          <w:caps w:val="false"/>
          <w:smallCaps w:val="false"/>
          <w:sz w:val="20"/>
        </w:rPr>
        <w:t>150,000, over the term of the equity facility (“</w:t>
      </w:r>
      <w:r>
        <w:rPr>
          <w:rFonts w:ascii="Times New Roman;Times;Serif" w:hAnsi="Times New Roman;Times;Serif"/>
          <w:b/>
          <w:i w:val="false"/>
          <w:caps w:val="false"/>
          <w:smallCaps w:val="false"/>
          <w:sz w:val="20"/>
        </w:rPr>
        <w:t>ChEF Equity Facility</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Purchase Agreement, CCM LLC will not be obligated to (but may, at its option, choose to) purchase shares of common stock to the extent the number of shares to be purchased would exceed the lowest of the number of shares of common stock (i) </w:t>
      </w:r>
      <w:bookmarkStart w:id="795" w:name="xdx_902_eus-gaap--ShareBasedCompensation"/>
      <w:bookmarkEnd w:id="795"/>
      <w:r>
        <w:rPr>
          <w:rFonts w:ascii="Times New Roman;Times;Serif" w:hAnsi="Times New Roman;Times;Serif"/>
          <w:b w:val="false"/>
          <w:i w:val="false"/>
          <w:caps w:val="false"/>
          <w:smallCaps w:val="false"/>
          <w:sz w:val="20"/>
        </w:rPr>
        <w:t>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ChEF RRA, the Company has agreed to provide CCM LLC with certain registration rights with respect to the shares of common stock issued subject to the Purchase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 Agreement will automatically terminate on the earliest to occur of (i) </w:t>
      </w:r>
      <w:bookmarkStart w:id="796" w:name="xdx_90D_eus-gaap--ShareBasedCompensation"/>
      <w:bookmarkEnd w:id="796"/>
      <w:r>
        <w:rPr>
          <w:rFonts w:ascii="Times New Roman;Times;Serif" w:hAnsi="Times New Roman;Times;Serif"/>
          <w:b w:val="false"/>
          <w:i w:val="false"/>
          <w:caps w:val="false"/>
          <w:smallCaps w:val="false"/>
          <w:sz w:val="20"/>
        </w:rPr>
        <w:t>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pStyle w:val="TextBody"/>
        <w:spacing w:before="0" w:after="0"/>
        <w:ind w:left="0" w:right="0" w:hanging="0"/>
        <w:jc w:val="both"/>
        <w:rPr>
          <w:caps/>
        </w:rPr>
      </w:pPr>
      <w:r>
        <w:rPr>
          <w:caps/>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F-28</w:t>
            </w:r>
          </w:p>
        </w:tc>
      </w:tr>
    </w:tbl>
    <w:p>
      <w:pPr>
        <w:pStyle w:val="TextBody"/>
        <w:spacing w:before="120" w:after="283"/>
        <w:rPr/>
      </w:pPr>
      <w:r>
        <w:rPr/>
        <w:t> </w:t>
      </w:r>
    </w:p>
    <w:p>
      <w:pPr>
        <w:pStyle w:val="TextBody"/>
        <w:spacing w:before="0" w:after="0"/>
        <w:ind w:left="0" w:right="0" w:hanging="0"/>
        <w:rPr>
          <w:caps/>
        </w:rPr>
      </w:pPr>
      <w:r>
        <w:rPr>
          <w:caps/>
        </w:rPr>
        <w:t> </w:t>
      </w:r>
    </w:p>
    <w:p>
      <w:pPr>
        <w:pStyle w:val="TextBody"/>
        <w:spacing w:before="0" w:after="0"/>
        <w:ind w:left="0" w:right="0" w:hanging="0"/>
        <w:jc w:val="both"/>
        <w:rPr>
          <w:rFonts w:ascii="Times New Roman;Times;Serif" w:hAnsi="Times New Roman;Times;Serif"/>
          <w:b/>
          <w:i w:val="false"/>
          <w:caps/>
          <w:sz w:val="20"/>
        </w:rPr>
      </w:pPr>
      <w:bookmarkStart w:id="797" w:name="xdx_80E_eus-gaap--DisclosureOfCompensati"/>
      <w:bookmarkEnd w:id="797"/>
      <w:r>
        <w:rPr>
          <w:rFonts w:ascii="Times New Roman;Times;Serif" w:hAnsi="Times New Roman;Times;Serif"/>
          <w:b/>
          <w:i w:val="false"/>
          <w:caps/>
          <w:sz w:val="20"/>
        </w:rPr>
        <w:t xml:space="preserve">Note 14 - </w:t>
      </w:r>
      <w:bookmarkStart w:id="798" w:name="xdx_828_zmNNgMAyqIhk"/>
      <w:bookmarkEnd w:id="798"/>
      <w:r>
        <w:rPr>
          <w:rFonts w:ascii="Times New Roman;Times;Serif" w:hAnsi="Times New Roman;Times;Serif"/>
          <w:b/>
          <w:i w:val="false"/>
          <w:caps/>
          <w:sz w:val="20"/>
        </w:rPr>
        <w:t>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2019, the Board of Directors approved the 2019 Stock Incentive Plan (the “</w:t>
      </w:r>
      <w:r>
        <w:rPr>
          <w:rFonts w:ascii="Times New Roman;Times;Serif" w:hAnsi="Times New Roman;Times;Serif"/>
          <w:b/>
          <w:i w:val="false"/>
          <w:caps w:val="false"/>
          <w:smallCaps w:val="false"/>
          <w:sz w:val="20"/>
        </w:rPr>
        <w:t>2019 Plan</w:t>
      </w:r>
      <w:r>
        <w:rPr>
          <w:rFonts w:ascii="Times New Roman;Times;Serif" w:hAnsi="Times New Roman;Times;Serif"/>
          <w:b w:val="false"/>
          <w:i w:val="false"/>
          <w:caps w:val="false"/>
          <w:smallCaps w:val="false"/>
          <w:sz w:val="20"/>
        </w:rPr>
        <w:t xml:space="preserve">”) with a term of </w:t>
      </w:r>
      <w:bookmarkStart w:id="799" w:name="xdx_900_eus-gaap--SharebasedCompensation"/>
      <w:bookmarkEnd w:id="799"/>
      <w:r>
        <w:rPr>
          <w:rFonts w:ascii="Times New Roman;Times;Serif" w:hAnsi="Times New Roman;Times;Serif"/>
          <w:b w:val="false"/>
          <w:i w:val="false"/>
          <w:caps w:val="false"/>
          <w:smallCaps w:val="false"/>
          <w:sz w:val="20"/>
        </w:rPr>
        <w:t xml:space="preserve">ten years. The Plan was administered by the Board of Directors, which was authorized to grant, at its discretion, awards to employees, directors, and consultants. The maximum number of common shares that were reserved for grants of awards under the Plan was </w:t>
      </w:r>
      <w:bookmarkStart w:id="800" w:name="xdx_90D_eus-gaap--ShareBasedCompensation"/>
      <w:bookmarkEnd w:id="800"/>
      <w:r>
        <w:rPr>
          <w:rFonts w:ascii="Times New Roman;Times;Serif" w:hAnsi="Times New Roman;Times;Serif"/>
          <w:b w:val="false"/>
          <w:i w:val="false"/>
          <w:caps w:val="false"/>
          <w:smallCaps w:val="false"/>
          <w:sz w:val="20"/>
        </w:rPr>
        <w:t>3,000,000 shares. The Plan provided for the grant of stock options (both incentive stock options and nonqualified stock options), and the grants and sale of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Shares issued under this Plan may be drawn from authorized and unissued shares, or shares reacquired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of 2021, the Board of Directors approved the 2021 Stock Incentive Plan (the “</w:t>
      </w:r>
      <w:r>
        <w:rPr>
          <w:rFonts w:ascii="Times New Roman;Times;Serif" w:hAnsi="Times New Roman;Times;Serif"/>
          <w:b/>
          <w:i w:val="false"/>
          <w:caps w:val="false"/>
          <w:smallCaps w:val="false"/>
          <w:sz w:val="20"/>
        </w:rPr>
        <w:t>2021 Plan</w:t>
      </w:r>
      <w:r>
        <w:rPr>
          <w:rFonts w:ascii="Times New Roman;Times;Serif" w:hAnsi="Times New Roman;Times;Serif"/>
          <w:b w:val="false"/>
          <w:i w:val="false"/>
          <w:caps w:val="false"/>
          <w:smallCaps w:val="false"/>
          <w:sz w:val="20"/>
        </w:rPr>
        <w:t>” and, together with the 2019 Plan, the “</w:t>
      </w:r>
      <w:r>
        <w:rPr>
          <w:rFonts w:ascii="Times New Roman;Times;Serif" w:hAnsi="Times New Roman;Times;Serif"/>
          <w:b/>
          <w:i w:val="false"/>
          <w:caps w:val="false"/>
          <w:smallCaps w:val="false"/>
          <w:sz w:val="20"/>
        </w:rPr>
        <w:t>Prior Plans</w:t>
      </w:r>
      <w:r>
        <w:rPr>
          <w:rFonts w:ascii="Times New Roman;Times;Serif" w:hAnsi="Times New Roman;Times;Serif"/>
          <w:b w:val="false"/>
          <w:i w:val="false"/>
          <w:caps w:val="false"/>
          <w:smallCaps w:val="false"/>
          <w:sz w:val="20"/>
        </w:rPr>
        <w:t xml:space="preserve">”) with a term of </w:t>
      </w:r>
      <w:bookmarkStart w:id="801" w:name="xdx_90C_eus-gaap--SharebasedCompensation"/>
      <w:bookmarkEnd w:id="801"/>
      <w:r>
        <w:rPr>
          <w:rFonts w:ascii="Times New Roman;Times;Serif" w:hAnsi="Times New Roman;Times;Serif"/>
          <w:b w:val="false"/>
          <w:i w:val="false"/>
          <w:caps w:val="false"/>
          <w:smallCaps w:val="false"/>
          <w:sz w:val="20"/>
        </w:rPr>
        <w:t xml:space="preserve">ten years. The Plan was administered by the Board of Directors, which was authorized to grant, at its discretion, awards to employees, directors, and consultants. The maximum number of common shares reserved for grants of awards under the Plan was </w:t>
      </w:r>
      <w:bookmarkStart w:id="802" w:name="xdx_900_eus-gaap--ShareBasedCompensation"/>
      <w:bookmarkEnd w:id="802"/>
      <w:r>
        <w:rPr>
          <w:rFonts w:ascii="Times New Roman;Times;Serif" w:hAnsi="Times New Roman;Times;Serif"/>
          <w:b w:val="false"/>
          <w:i w:val="false"/>
          <w:caps w:val="false"/>
          <w:smallCaps w:val="false"/>
          <w:sz w:val="20"/>
        </w:rPr>
        <w:t xml:space="preserve">1,000,000 shares which was amended and increased to </w:t>
      </w:r>
      <w:bookmarkStart w:id="803" w:name="xdx_90F_eus-gaap--ShareBasedCompensation"/>
      <w:bookmarkEnd w:id="803"/>
      <w:r>
        <w:rPr>
          <w:rFonts w:ascii="Times New Roman;Times;Serif" w:hAnsi="Times New Roman;Times;Serif"/>
          <w:b w:val="false"/>
          <w:i w:val="false"/>
          <w:caps w:val="false"/>
          <w:smallCaps w:val="false"/>
          <w:sz w:val="20"/>
        </w:rPr>
        <w:t>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pStyle w:val="TextBody"/>
        <w:spacing w:before="0" w:after="0"/>
        <w:ind w:left="0" w:right="0" w:hanging="0"/>
        <w:jc w:val="both"/>
        <w:rPr>
          <w:caps/>
        </w:rPr>
      </w:pPr>
      <w:r>
        <w:rPr>
          <w:caps/>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shareholders and board members approved the 2022 Equity Incentive Plan (the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 xml:space="preserve">”). A total of </w:t>
      </w:r>
      <w:bookmarkStart w:id="804" w:name="xdx_907_eus-gaap--CommonStockCapitalShar"/>
      <w:bookmarkEnd w:id="804"/>
      <w:r>
        <w:rPr>
          <w:rFonts w:ascii="Times New Roman;Times;Serif" w:hAnsi="Times New Roman;Times;Serif"/>
          <w:b w:val="false"/>
          <w:i w:val="false"/>
          <w:caps w:val="false"/>
          <w:smallCaps w:val="false"/>
          <w:sz w:val="20"/>
        </w:rPr>
        <w:t>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pStyle w:val="TextBody"/>
        <w:spacing w:before="0" w:after="0"/>
        <w:ind w:left="0" w:right="0" w:hanging="0"/>
        <w:rPr>
          <w:caps w:val="false"/>
          <w:smallCaps w:val="false"/>
        </w:rPr>
      </w:pPr>
      <w:r>
        <w:rPr>
          <w:caps w:val="false"/>
          <w:smallCaps w:val="false"/>
        </w:rPr>
        <w:t> </w:t>
      </w:r>
    </w:p>
    <w:p>
      <w:pPr>
        <w:pStyle w:val="TextBody"/>
        <w:jc w:val="both"/>
        <w:rPr/>
      </w:pPr>
      <w:r>
        <w:rPr/>
        <w:t>The Company maintains an Employee Stock Purchase Plan (“</w:t>
      </w:r>
      <w:r>
        <w:rPr>
          <w:b/>
        </w:rPr>
        <w:t>ESPP</w:t>
      </w:r>
      <w:r>
        <w:rPr/>
        <w:t xml:space="preserve">”) which is designed to allow eligible employees and the eligible employees of our participating subsidiaries to purchase shares of our common stock, at semi-annual intervals, with their accumulated payroll deductions. A total of </w:t>
      </w:r>
      <w:bookmarkStart w:id="805" w:name="xdx_905_eus-gaap--StockIssuedDuringPerio"/>
      <w:bookmarkEnd w:id="805"/>
      <w:r>
        <w:rPr/>
        <w:t xml:space="preserve">2,464,400 shares of the Company’s common stock will initially be available for issuance under the ESPP. The share limit will automatically increase on the first trading day in January of each year by an amount equal to lesser of (1) </w:t>
      </w:r>
      <w:bookmarkStart w:id="806" w:name="xdx_90B_ecustom--OutstandingSharesPercen"/>
      <w:bookmarkEnd w:id="806"/>
      <w:r>
        <w:rPr/>
        <w:t xml:space="preserve">1% of the total number of outstanding shares of our common stock on December 31 in the prior year, (2) </w:t>
      </w:r>
      <w:bookmarkStart w:id="807" w:name="xdx_906_eus-gaap--StockIssuedDuringPerio"/>
      <w:bookmarkEnd w:id="807"/>
      <w:r>
        <w:rPr/>
        <w:t>1,500,000 shares, or (3) such number as determined by the Company’s 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808" w:name="xdx_892_eus-gaap--ScheduleOfShareBasedCo"/>
      <w:bookmarkEnd w:id="808"/>
      <w:r>
        <w:rPr>
          <w:rFonts w:ascii="Times New Roman;Times;Serif" w:hAnsi="Times New Roman;Times;Serif"/>
          <w:b w:val="false"/>
          <w:i w:val="false"/>
          <w:caps w:val="false"/>
          <w:smallCaps w:val="false"/>
          <w:sz w:val="20"/>
        </w:rPr>
        <w:t>A summary of the Company’s option activity and related information follows:</w:t>
      </w:r>
    </w:p>
    <w:p>
      <w:pPr>
        <w:pStyle w:val="TextBody"/>
        <w:spacing w:before="0" w:after="0"/>
        <w:ind w:left="0" w:right="0" w:hanging="0"/>
        <w:jc w:val="both"/>
        <w:rPr>
          <w:caps w:val="false"/>
          <w:smallCaps w:val="false"/>
        </w:rPr>
      </w:pPr>
      <w:r>
        <w:rPr>
          <w:caps w:val="false"/>
          <w:smallCaps w:val="false"/>
        </w:rPr>
        <w:t> </w:t>
      </w:r>
      <w:bookmarkStart w:id="809" w:name="xdx_8BA_zeIZVFGg7gqd"/>
      <w:bookmarkEnd w:id="809"/>
      <w:r>
        <w:rPr>
          <w:rFonts w:ascii="Times New Roman;Times;Serif" w:hAnsi="Times New Roman;Times;Serif"/>
          <w:b w:val="false"/>
          <w:i w:val="false"/>
          <w:caps w:val="false"/>
          <w:smallCaps w:val="false"/>
          <w:sz w:val="20"/>
        </w:rPr>
        <w:t>SCHEDULE OF OPTION ACTIVITY AND RELATED INFORMATION</w:t>
      </w:r>
    </w:p>
    <w:tbl>
      <w:tblPr>
        <w:tblW w:w="10205" w:type="dxa"/>
        <w:jc w:val="left"/>
        <w:tblInd w:w="0" w:type="dxa"/>
        <w:tblCellMar>
          <w:top w:w="0" w:type="dxa"/>
          <w:left w:w="0" w:type="dxa"/>
          <w:bottom w:w="0" w:type="dxa"/>
          <w:right w:w="0" w:type="dxa"/>
        </w:tblCellMar>
      </w:tblPr>
      <w:tblGrid>
        <w:gridCol w:w="1682"/>
        <w:gridCol w:w="60"/>
        <w:gridCol w:w="60"/>
        <w:gridCol w:w="845"/>
        <w:gridCol w:w="80"/>
        <w:gridCol w:w="60"/>
        <w:gridCol w:w="246"/>
        <w:gridCol w:w="1112"/>
        <w:gridCol w:w="60"/>
        <w:gridCol w:w="60"/>
        <w:gridCol w:w="238"/>
        <w:gridCol w:w="1418"/>
        <w:gridCol w:w="60"/>
        <w:gridCol w:w="60"/>
        <w:gridCol w:w="318"/>
        <w:gridCol w:w="2030"/>
        <w:gridCol w:w="60"/>
        <w:gridCol w:w="60"/>
        <w:gridCol w:w="282"/>
        <w:gridCol w:w="1334"/>
        <w:gridCol w:w="80"/>
      </w:tblGrid>
      <w:tr>
        <w:trPr/>
        <w:tc>
          <w:tcPr>
            <w:tcW w:w="1682"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bookmarkStart w:id="810" w:name="xdx_F56_zEcJ2vlXV02f"/>
            <w:bookmarkEnd w:id="810"/>
            <w:r>
              <w:rPr>
                <w:rFonts w:ascii="Times New Roman;Times;Serif" w:hAnsi="Times New Roman;Times;Serif"/>
                <w:b w:val="false"/>
                <w:i w:val="false"/>
                <w:caps w:val="false"/>
                <w:smallCaps w:val="false"/>
                <w:position w:val="7"/>
                <w:sz w:val="16"/>
                <w:sz w:val="20"/>
              </w:rPr>
              <w:t>(1)</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8"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Weighted- </w:t>
              <w:br/>
              <w:t>Average Exercise 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56"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Weighted-</w:t>
              <w:br/>
              <w:t>Average Grant Date Fair Value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48"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Weighted- </w:t>
              <w:br/>
              <w:t>Average Remaining Contractual Life (in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16"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Aggregate Intrinsic value</w:t>
            </w:r>
          </w:p>
        </w:tc>
        <w:tc>
          <w:tcPr>
            <w:tcW w:w="80" w:type="dxa"/>
            <w:tcBorders/>
            <w:shd w:fill="auto" w:val="clear"/>
            <w:vAlign w:val="center"/>
          </w:tcPr>
          <w:p>
            <w:pPr>
              <w:pStyle w:val="TableContents"/>
              <w:spacing w:before="0" w:after="283"/>
              <w:rPr/>
            </w:pPr>
            <w:r>
              <w:rPr/>
              <w:t> </w:t>
            </w:r>
          </w:p>
        </w:tc>
      </w:tr>
      <w:tr>
        <w:trPr/>
        <w:tc>
          <w:tcPr>
            <w:tcW w:w="1682"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Balances, January 1,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811" w:name="xdx_98B_eus-gaap--ShareBasedCompensation"/>
            <w:bookmarkEnd w:id="811"/>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3,029,791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12" w:name="xdx_98B_eus-gaap--ShareBasedCompensation"/>
            <w:bookmarkEnd w:id="812"/>
          </w:p>
        </w:tc>
        <w:tc>
          <w:tcPr>
            <w:tcW w:w="1112" w:type="dxa"/>
            <w:tcBorders/>
            <w:shd w:fill="CCEEFF" w:val="clear"/>
            <w:vAlign w:val="center"/>
          </w:tcPr>
          <w:p>
            <w:pPr>
              <w:pStyle w:val="TableContents"/>
              <w:spacing w:before="0" w:after="283"/>
              <w:jc w:val="right"/>
              <w:rPr/>
            </w:pPr>
            <w:r>
              <w:rPr/>
              <w:t>   </w:t>
            </w:r>
            <w:r>
              <w:rPr>
                <w:rFonts w:ascii="Times New Roman;Times;Serif" w:hAnsi="Times New Roman;Times;Serif"/>
                <w:sz w:val="20"/>
              </w:rPr>
              <w:t>0.45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13" w:name="xdx_983_eus-gaap--SharebasedCompensation"/>
            <w:bookmarkEnd w:id="813"/>
          </w:p>
        </w:tc>
        <w:tc>
          <w:tcPr>
            <w:tcW w:w="14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0.72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8" w:type="dxa"/>
            <w:tcBorders/>
            <w:shd w:fill="CCEEFF" w:val="clear"/>
            <w:vAlign w:val="center"/>
          </w:tcPr>
          <w:p>
            <w:pPr>
              <w:pStyle w:val="TableContents"/>
              <w:spacing w:before="0" w:after="283"/>
              <w:jc w:val="left"/>
              <w:rPr/>
            </w:pPr>
            <w:r>
              <w:rPr/>
              <w:t> </w:t>
            </w:r>
          </w:p>
        </w:tc>
        <w:tc>
          <w:tcPr>
            <w:tcW w:w="2030" w:type="dxa"/>
            <w:tcBorders/>
            <w:shd w:fill="CCEEFF" w:val="clear"/>
            <w:vAlign w:val="center"/>
          </w:tcPr>
          <w:p>
            <w:pPr>
              <w:pStyle w:val="TableContents"/>
              <w:spacing w:before="0" w:after="283"/>
              <w:jc w:val="right"/>
              <w:rPr>
                <w:rFonts w:ascii="Times New Roman;Times;Serif" w:hAnsi="Times New Roman;Times;Serif"/>
                <w:sz w:val="20"/>
              </w:rPr>
            </w:pPr>
            <w:bookmarkStart w:id="814" w:name="xdx_90D_ecustom--SharebasedCompensationA"/>
            <w:bookmarkEnd w:id="814"/>
            <w:r>
              <w:rPr>
                <w:rFonts w:ascii="Times New Roman;Times;Serif" w:hAnsi="Times New Roman;Times;Serif"/>
                <w:sz w:val="20"/>
              </w:rPr>
              <w:t>7.92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15" w:name="xdx_98A_eus-gaap--ShareBasedCompensation"/>
            <w:bookmarkEnd w:id="815"/>
          </w:p>
        </w:tc>
        <w:tc>
          <w:tcPr>
            <w:tcW w:w="133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651</w:t>
            </w:r>
          </w:p>
        </w:tc>
        <w:tc>
          <w:tcPr>
            <w:tcW w:w="80" w:type="dxa"/>
            <w:tcBorders/>
            <w:shd w:fill="CCEEFF" w:val="clear"/>
            <w:vAlign w:val="center"/>
          </w:tcPr>
          <w:p>
            <w:pPr>
              <w:pStyle w:val="TableContents"/>
              <w:spacing w:before="0" w:after="283"/>
              <w:jc w:val="left"/>
              <w:rPr/>
            </w:pPr>
            <w:r>
              <w:rPr/>
              <w:t> </w:t>
            </w:r>
          </w:p>
        </w:tc>
      </w:tr>
      <w:tr>
        <w:trPr/>
        <w:tc>
          <w:tcPr>
            <w:tcW w:w="1682"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Options granted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816" w:name="xdx_98A_eus-gaap--ShareBasedCompensation"/>
            <w:bookmarkEnd w:id="816"/>
          </w:p>
        </w:tc>
        <w:tc>
          <w:tcPr>
            <w:tcW w:w="84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2,069,309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bookmarkStart w:id="817" w:name="xdx_98B_eus-gaap--ShareBasedCompensation"/>
            <w:bookmarkEnd w:id="817"/>
          </w:p>
        </w:tc>
        <w:tc>
          <w:tcPr>
            <w:tcW w:w="111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jc w:val="left"/>
              <w:rPr/>
            </w:pPr>
            <w:r>
              <w:rPr/>
              <w:t> </w:t>
            </w:r>
            <w:bookmarkStart w:id="818" w:name="xdx_982_eus-gaap--ShareBasedCompensation"/>
            <w:bookmarkEnd w:id="818"/>
          </w:p>
        </w:tc>
        <w:tc>
          <w:tcPr>
            <w:tcW w:w="1418" w:type="dxa"/>
            <w:tcBorders/>
            <w:shd w:fill="FFFFFF" w:val="clear"/>
            <w:vAlign w:val="center"/>
          </w:tcPr>
          <w:p>
            <w:pPr>
              <w:pStyle w:val="TableContents"/>
              <w:spacing w:before="0" w:after="283"/>
              <w:jc w:val="right"/>
              <w:rPr/>
            </w:pPr>
            <w:r>
              <w:rPr/>
              <w:t>      </w:t>
            </w:r>
            <w:r>
              <w:rPr>
                <w:rFonts w:ascii="Times New Roman;Times;Serif" w:hAnsi="Times New Roman;Times;Serif"/>
                <w:sz w:val="20"/>
              </w:rPr>
              <w:t>2.03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jc w:val="left"/>
              <w:rPr/>
            </w:pPr>
            <w:r>
              <w:rPr/>
              <w:t> </w:t>
            </w:r>
          </w:p>
        </w:tc>
        <w:tc>
          <w:tcPr>
            <w:tcW w:w="20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2" w:type="dxa"/>
            <w:tcBorders/>
            <w:shd w:fill="FFFFFF" w:val="clear"/>
            <w:vAlign w:val="center"/>
          </w:tcPr>
          <w:p>
            <w:pPr>
              <w:pStyle w:val="TableContents"/>
              <w:spacing w:before="0" w:after="283"/>
              <w:jc w:val="left"/>
              <w:rPr/>
            </w:pPr>
            <w:r>
              <w:rPr/>
              <w:t> </w:t>
            </w:r>
            <w:bookmarkStart w:id="819" w:name="xdx_98E_ecustom--ShareBasedCompensationA"/>
            <w:bookmarkEnd w:id="819"/>
          </w:p>
        </w:tc>
        <w:tc>
          <w:tcPr>
            <w:tcW w:w="133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3,551</w:t>
            </w:r>
          </w:p>
        </w:tc>
        <w:tc>
          <w:tcPr>
            <w:tcW w:w="80" w:type="dxa"/>
            <w:tcBorders/>
            <w:shd w:fill="FFFFFF" w:val="clear"/>
            <w:vAlign w:val="center"/>
          </w:tcPr>
          <w:p>
            <w:pPr>
              <w:pStyle w:val="TableContents"/>
              <w:spacing w:before="0" w:after="283"/>
              <w:jc w:val="left"/>
              <w:rPr/>
            </w:pPr>
            <w:r>
              <w:rPr/>
              <w:t> </w:t>
            </w:r>
          </w:p>
        </w:tc>
      </w:tr>
      <w:tr>
        <w:trPr/>
        <w:tc>
          <w:tcPr>
            <w:tcW w:w="1682"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Options forfeited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820" w:name="xdx_98D_eus-gaap--ShareBasedCompensation"/>
            <w:bookmarkEnd w:id="820"/>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(421,094</w:t>
            </w:r>
          </w:p>
        </w:tc>
        <w:tc>
          <w:tcPr>
            <w:tcW w:w="80"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bookmarkStart w:id="821" w:name="xdx_981_eus-gaap--ShareBasedCompensation"/>
            <w:bookmarkEnd w:id="821"/>
          </w:p>
        </w:tc>
        <w:tc>
          <w:tcPr>
            <w:tcW w:w="111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jc w:val="left"/>
              <w:rPr/>
            </w:pPr>
            <w:r>
              <w:rPr/>
              <w:t> </w:t>
            </w:r>
            <w:bookmarkStart w:id="822" w:name="xdx_984_eus-gaap--SharebasedCompensation"/>
            <w:bookmarkEnd w:id="822"/>
          </w:p>
        </w:tc>
        <w:tc>
          <w:tcPr>
            <w:tcW w:w="14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8" w:type="dxa"/>
            <w:tcBorders/>
            <w:shd w:fill="CCEEFF" w:val="clear"/>
            <w:vAlign w:val="center"/>
          </w:tcPr>
          <w:p>
            <w:pPr>
              <w:pStyle w:val="TableContents"/>
              <w:spacing w:before="0" w:after="283"/>
              <w:jc w:val="left"/>
              <w:rPr/>
            </w:pPr>
            <w:r>
              <w:rPr/>
              <w:t> </w:t>
            </w:r>
          </w:p>
        </w:tc>
        <w:tc>
          <w:tcPr>
            <w:tcW w:w="203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jc w:val="left"/>
              <w:rPr/>
            </w:pPr>
            <w:r>
              <w:rPr/>
              <w:t> </w:t>
            </w:r>
            <w:bookmarkStart w:id="823" w:name="xdx_983_ecustom--ShareBasedCompensationA"/>
            <w:bookmarkEnd w:id="823"/>
          </w:p>
        </w:tc>
        <w:tc>
          <w:tcPr>
            <w:tcW w:w="133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spacing w:before="0" w:after="283"/>
              <w:jc w:val="left"/>
              <w:rPr/>
            </w:pPr>
            <w:r>
              <w:rPr/>
              <w:t> </w:t>
            </w:r>
          </w:p>
        </w:tc>
      </w:tr>
      <w:tr>
        <w:trPr/>
        <w:tc>
          <w:tcPr>
            <w:tcW w:w="1682"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Options exercised</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24" w:name="xdx_980_eus-gaap--StockIssuedDuringPerio"/>
            <w:bookmarkEnd w:id="824"/>
          </w:p>
        </w:tc>
        <w:tc>
          <w:tcPr>
            <w:tcW w:w="84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(987,051</w:t>
            </w:r>
          </w:p>
        </w:tc>
        <w:tc>
          <w:tcPr>
            <w:tcW w:w="80" w:type="dxa"/>
            <w:tcBorders/>
            <w:shd w:fill="FFFF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46"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25" w:name="xdx_988_eus-gaap--ShareBasedCompensation"/>
            <w:bookmarkEnd w:id="825"/>
          </w:p>
        </w:tc>
        <w:tc>
          <w:tcPr>
            <w:tcW w:w="111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26" w:name="xdx_980_eus-gaap--SharebasedCompensation"/>
            <w:bookmarkEnd w:id="826"/>
          </w:p>
        </w:tc>
        <w:tc>
          <w:tcPr>
            <w:tcW w:w="141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jc w:val="left"/>
              <w:rPr/>
            </w:pPr>
            <w:r>
              <w:rPr/>
              <w:t> </w:t>
            </w:r>
          </w:p>
        </w:tc>
        <w:tc>
          <w:tcPr>
            <w:tcW w:w="20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2"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27" w:name="xdx_987_eus-gaap--ShareBasedCompensation"/>
            <w:bookmarkEnd w:id="827"/>
          </w:p>
        </w:tc>
        <w:tc>
          <w:tcPr>
            <w:tcW w:w="133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442</w:t>
            </w:r>
          </w:p>
        </w:tc>
        <w:tc>
          <w:tcPr>
            <w:tcW w:w="80" w:type="dxa"/>
            <w:tcBorders/>
            <w:shd w:fill="FFFFFF" w:val="clear"/>
            <w:vAlign w:val="center"/>
          </w:tcPr>
          <w:p>
            <w:pPr>
              <w:pStyle w:val="TableContents"/>
              <w:spacing w:before="0" w:after="283"/>
              <w:jc w:val="left"/>
              <w:rPr/>
            </w:pPr>
            <w:r>
              <w:rPr/>
              <w:t> </w:t>
            </w:r>
          </w:p>
        </w:tc>
      </w:tr>
      <w:tr>
        <w:trPr/>
        <w:tc>
          <w:tcPr>
            <w:tcW w:w="1682"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Balances, December 31,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828" w:name="xdx_989_eus-gaap--ShareBasedCompensation"/>
            <w:bookmarkEnd w:id="828"/>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3,690,955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29" w:name="xdx_985_eus-gaap--ShareBasedCompensation"/>
            <w:bookmarkEnd w:id="829"/>
          </w:p>
        </w:tc>
        <w:tc>
          <w:tcPr>
            <w:tcW w:w="111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30" w:name="xdx_98B_eus-gaap--SharebasedCompensation"/>
            <w:bookmarkEnd w:id="830"/>
          </w:p>
        </w:tc>
        <w:tc>
          <w:tcPr>
            <w:tcW w:w="14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8" w:type="dxa"/>
            <w:tcBorders/>
            <w:shd w:fill="CCEEFF" w:val="clear"/>
            <w:vAlign w:val="center"/>
          </w:tcPr>
          <w:p>
            <w:pPr>
              <w:pStyle w:val="TableContents"/>
              <w:spacing w:before="0" w:after="283"/>
              <w:jc w:val="left"/>
              <w:rPr/>
            </w:pPr>
            <w:r>
              <w:rPr/>
              <w:t> </w:t>
            </w:r>
          </w:p>
        </w:tc>
        <w:tc>
          <w:tcPr>
            <w:tcW w:w="2030" w:type="dxa"/>
            <w:tcBorders/>
            <w:shd w:fill="CCEEFF" w:val="clear"/>
            <w:vAlign w:val="center"/>
          </w:tcPr>
          <w:p>
            <w:pPr>
              <w:pStyle w:val="TableContents"/>
              <w:spacing w:before="0" w:after="283"/>
              <w:jc w:val="right"/>
              <w:rPr>
                <w:rFonts w:ascii="Times New Roman;Times;Serif" w:hAnsi="Times New Roman;Times;Serif"/>
                <w:sz w:val="20"/>
              </w:rPr>
            </w:pPr>
            <w:bookmarkStart w:id="831" w:name="xdx_909_eus-gaap--SharebasedCompensation"/>
            <w:bookmarkEnd w:id="831"/>
            <w:r>
              <w:rPr>
                <w:rFonts w:ascii="Times New Roman;Times;Serif" w:hAnsi="Times New Roman;Times;Serif"/>
                <w:sz w:val="20"/>
              </w:rPr>
              <w:t>8.52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32" w:name="xdx_98C_eus-gaap--ShareBasedCompensation"/>
            <w:bookmarkEnd w:id="832"/>
          </w:p>
        </w:tc>
        <w:tc>
          <w:tcPr>
            <w:tcW w:w="133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6,550</w:t>
            </w:r>
          </w:p>
        </w:tc>
        <w:tc>
          <w:tcPr>
            <w:tcW w:w="80" w:type="dxa"/>
            <w:tcBorders/>
            <w:shd w:fill="CCEEFF" w:val="clear"/>
            <w:vAlign w:val="center"/>
          </w:tcPr>
          <w:p>
            <w:pPr>
              <w:pStyle w:val="TableContents"/>
              <w:spacing w:before="0" w:after="283"/>
              <w:jc w:val="left"/>
              <w:rPr/>
            </w:pPr>
            <w:r>
              <w:rPr/>
              <w:t> </w:t>
            </w:r>
          </w:p>
        </w:tc>
      </w:tr>
      <w:tr>
        <w:trPr/>
        <w:tc>
          <w:tcPr>
            <w:tcW w:w="1682"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11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jc w:val="left"/>
              <w:rPr/>
            </w:pPr>
            <w:r>
              <w:rPr/>
              <w:t> </w:t>
            </w:r>
          </w:p>
        </w:tc>
        <w:tc>
          <w:tcPr>
            <w:tcW w:w="141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jc w:val="left"/>
              <w:rPr/>
            </w:pPr>
            <w:r>
              <w:rPr/>
              <w:t> </w:t>
            </w:r>
          </w:p>
        </w:tc>
        <w:tc>
          <w:tcPr>
            <w:tcW w:w="20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2" w:type="dxa"/>
            <w:tcBorders/>
            <w:shd w:fill="FFFFFF" w:val="clear"/>
            <w:vAlign w:val="center"/>
          </w:tcPr>
          <w:p>
            <w:pPr>
              <w:pStyle w:val="TableContents"/>
              <w:spacing w:before="0" w:after="283"/>
              <w:jc w:val="left"/>
              <w:rPr/>
            </w:pPr>
            <w:r>
              <w:rPr/>
              <w:t> </w:t>
            </w:r>
          </w:p>
        </w:tc>
        <w:tc>
          <w:tcPr>
            <w:tcW w:w="1334"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r>
      <w:tr>
        <w:trPr/>
        <w:tc>
          <w:tcPr>
            <w:tcW w:w="1682"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Balances, January 1, 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833" w:name="xdx_98C_eus-gaap--ShareBasedCompensation"/>
            <w:bookmarkEnd w:id="833"/>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3,690,955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34" w:name="xdx_986_eus-gaap--ShareBasedCompensation"/>
            <w:bookmarkEnd w:id="834"/>
          </w:p>
        </w:tc>
        <w:tc>
          <w:tcPr>
            <w:tcW w:w="111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35" w:name="xdx_982_eus-gaap--SharebasedCompensation"/>
            <w:bookmarkEnd w:id="835"/>
          </w:p>
        </w:tc>
        <w:tc>
          <w:tcPr>
            <w:tcW w:w="14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8" w:type="dxa"/>
            <w:tcBorders/>
            <w:shd w:fill="CCEEFF" w:val="clear"/>
            <w:vAlign w:val="center"/>
          </w:tcPr>
          <w:p>
            <w:pPr>
              <w:pStyle w:val="TableContents"/>
              <w:spacing w:before="0" w:after="283"/>
              <w:jc w:val="left"/>
              <w:rPr/>
            </w:pPr>
            <w:r>
              <w:rPr/>
              <w:t> </w:t>
            </w:r>
          </w:p>
        </w:tc>
        <w:tc>
          <w:tcPr>
            <w:tcW w:w="2030" w:type="dxa"/>
            <w:tcBorders/>
            <w:shd w:fill="CCEEFF" w:val="clear"/>
            <w:vAlign w:val="center"/>
          </w:tcPr>
          <w:p>
            <w:pPr>
              <w:pStyle w:val="TableContents"/>
              <w:spacing w:before="0" w:after="283"/>
              <w:jc w:val="right"/>
              <w:rPr>
                <w:rFonts w:ascii="Times New Roman;Times;Serif" w:hAnsi="Times New Roman;Times;Serif"/>
                <w:sz w:val="20"/>
              </w:rPr>
            </w:pPr>
            <w:bookmarkStart w:id="836" w:name="xdx_904_ecustom--SharebasedCompensationA"/>
            <w:bookmarkEnd w:id="836"/>
            <w:r>
              <w:rPr>
                <w:rFonts w:ascii="Times New Roman;Times;Serif" w:hAnsi="Times New Roman;Times;Serif"/>
                <w:sz w:val="20"/>
              </w:rPr>
              <w:t>8.52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37" w:name="xdx_98A_eus-gaap--ShareBasedCompensation"/>
            <w:bookmarkEnd w:id="837"/>
          </w:p>
        </w:tc>
        <w:tc>
          <w:tcPr>
            <w:tcW w:w="133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6,550</w:t>
            </w:r>
          </w:p>
        </w:tc>
        <w:tc>
          <w:tcPr>
            <w:tcW w:w="80" w:type="dxa"/>
            <w:tcBorders/>
            <w:shd w:fill="CCEEFF" w:val="clear"/>
            <w:vAlign w:val="center"/>
          </w:tcPr>
          <w:p>
            <w:pPr>
              <w:pStyle w:val="TableContents"/>
              <w:spacing w:before="0" w:after="283"/>
              <w:jc w:val="left"/>
              <w:rPr/>
            </w:pPr>
            <w:r>
              <w:rPr/>
              <w:t> </w:t>
            </w:r>
          </w:p>
        </w:tc>
      </w:tr>
      <w:tr>
        <w:trPr/>
        <w:tc>
          <w:tcPr>
            <w:tcW w:w="1682"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Options granted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838" w:name="xdx_984_eus-gaap--ShareBasedCompensation"/>
            <w:bookmarkEnd w:id="838"/>
          </w:p>
        </w:tc>
        <w:tc>
          <w:tcPr>
            <w:tcW w:w="84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572,428</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bookmarkStart w:id="839" w:name="xdx_984_eus-gaap--ShareBasedCompensation"/>
            <w:bookmarkEnd w:id="839"/>
          </w:p>
        </w:tc>
        <w:tc>
          <w:tcPr>
            <w:tcW w:w="111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jc w:val="left"/>
              <w:rPr/>
            </w:pPr>
            <w:r>
              <w:rPr/>
              <w:t> </w:t>
            </w:r>
            <w:bookmarkStart w:id="840" w:name="xdx_98C_eus-gaap--ShareBasedCompensation"/>
            <w:bookmarkEnd w:id="840"/>
          </w:p>
        </w:tc>
        <w:tc>
          <w:tcPr>
            <w:tcW w:w="14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jc w:val="left"/>
              <w:rPr/>
            </w:pPr>
            <w:r>
              <w:rPr/>
              <w:t> </w:t>
            </w:r>
          </w:p>
        </w:tc>
        <w:tc>
          <w:tcPr>
            <w:tcW w:w="20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2" w:type="dxa"/>
            <w:tcBorders/>
            <w:shd w:fill="FFFFFF" w:val="clear"/>
            <w:vAlign w:val="center"/>
          </w:tcPr>
          <w:p>
            <w:pPr>
              <w:pStyle w:val="TableContents"/>
              <w:spacing w:before="0" w:after="283"/>
              <w:jc w:val="left"/>
              <w:rPr/>
            </w:pPr>
            <w:r>
              <w:rPr/>
              <w:t> </w:t>
            </w:r>
            <w:bookmarkStart w:id="841" w:name="xdx_983_ecustom--ShareBasedCompensationA"/>
            <w:bookmarkEnd w:id="841"/>
          </w:p>
        </w:tc>
        <w:tc>
          <w:tcPr>
            <w:tcW w:w="133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jc w:val="left"/>
              <w:rPr/>
            </w:pPr>
            <w:r>
              <w:rPr/>
              <w:t> </w:t>
            </w:r>
          </w:p>
        </w:tc>
      </w:tr>
      <w:tr>
        <w:trPr/>
        <w:tc>
          <w:tcPr>
            <w:tcW w:w="1682"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Options forfeited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842" w:name="xdx_98E_eus-gaap--ShareBasedCompensation"/>
            <w:bookmarkEnd w:id="842"/>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(39,074</w:t>
            </w:r>
          </w:p>
        </w:tc>
        <w:tc>
          <w:tcPr>
            <w:tcW w:w="80"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bookmarkStart w:id="843" w:name="xdx_984_eus-gaap--ShareBasedCompensation"/>
            <w:bookmarkEnd w:id="843"/>
          </w:p>
        </w:tc>
        <w:tc>
          <w:tcPr>
            <w:tcW w:w="111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jc w:val="left"/>
              <w:rPr/>
            </w:pPr>
            <w:r>
              <w:rPr/>
              <w:t> </w:t>
            </w:r>
            <w:bookmarkStart w:id="844" w:name="xdx_98C_eus-gaap--SharebasedCompensation"/>
            <w:bookmarkEnd w:id="844"/>
          </w:p>
        </w:tc>
        <w:tc>
          <w:tcPr>
            <w:tcW w:w="14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8" w:type="dxa"/>
            <w:tcBorders/>
            <w:shd w:fill="CCEEFF" w:val="clear"/>
            <w:vAlign w:val="center"/>
          </w:tcPr>
          <w:p>
            <w:pPr>
              <w:pStyle w:val="TableContents"/>
              <w:spacing w:before="0" w:after="283"/>
              <w:jc w:val="left"/>
              <w:rPr/>
            </w:pPr>
            <w:r>
              <w:rPr/>
              <w:t> </w:t>
            </w:r>
          </w:p>
        </w:tc>
        <w:tc>
          <w:tcPr>
            <w:tcW w:w="203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jc w:val="left"/>
              <w:rPr/>
            </w:pPr>
            <w:r>
              <w:rPr/>
              <w:t> </w:t>
            </w:r>
            <w:bookmarkStart w:id="845" w:name="xdx_986_ecustom--ShareBasedCompensationA"/>
            <w:bookmarkEnd w:id="845"/>
          </w:p>
        </w:tc>
        <w:tc>
          <w:tcPr>
            <w:tcW w:w="133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spacing w:before="0" w:after="283"/>
              <w:jc w:val="left"/>
              <w:rPr/>
            </w:pPr>
            <w:r>
              <w:rPr/>
              <w:t> </w:t>
            </w:r>
          </w:p>
        </w:tc>
      </w:tr>
      <w:tr>
        <w:trPr/>
        <w:tc>
          <w:tcPr>
            <w:tcW w:w="1682"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Options exercised</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46" w:name="xdx_98C_eus-gaap--StockIssuedDuringPerio"/>
            <w:bookmarkEnd w:id="846"/>
          </w:p>
        </w:tc>
        <w:tc>
          <w:tcPr>
            <w:tcW w:w="84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(581,351</w:t>
            </w:r>
          </w:p>
        </w:tc>
        <w:tc>
          <w:tcPr>
            <w:tcW w:w="80" w:type="dxa"/>
            <w:tcBorders/>
            <w:shd w:fill="FFFF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46"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47" w:name="xdx_98D_eus-gaap--ShareBasedCompensation"/>
            <w:bookmarkEnd w:id="847"/>
          </w:p>
        </w:tc>
        <w:tc>
          <w:tcPr>
            <w:tcW w:w="111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48" w:name="xdx_98D_eus-gaap--SharebasedCompensation"/>
            <w:bookmarkEnd w:id="848"/>
          </w:p>
        </w:tc>
        <w:tc>
          <w:tcPr>
            <w:tcW w:w="141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0.89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jc w:val="left"/>
              <w:rPr/>
            </w:pPr>
            <w:r>
              <w:rPr/>
              <w:t> </w:t>
            </w:r>
          </w:p>
        </w:tc>
        <w:tc>
          <w:tcPr>
            <w:tcW w:w="20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2"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49" w:name="xdx_985_eus-gaap--ShareBasedCompensation"/>
            <w:bookmarkEnd w:id="849"/>
          </w:p>
        </w:tc>
        <w:tc>
          <w:tcPr>
            <w:tcW w:w="133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jc w:val="left"/>
              <w:rPr/>
            </w:pPr>
            <w:r>
              <w:rPr/>
              <w:t> </w:t>
            </w:r>
          </w:p>
        </w:tc>
      </w:tr>
      <w:tr>
        <w:trPr/>
        <w:tc>
          <w:tcPr>
            <w:tcW w:w="1682"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Balances, December 31, 2022</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850" w:name="xdx_98B_eus-gaap--ShareBasedCompensation"/>
            <w:bookmarkEnd w:id="850"/>
          </w:p>
        </w:tc>
        <w:tc>
          <w:tcPr>
            <w:tcW w:w="84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3,642,958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51" w:name="xdx_98C_eus-gaap--ShareBasedCompensation"/>
            <w:bookmarkEnd w:id="851"/>
          </w:p>
        </w:tc>
        <w:tc>
          <w:tcPr>
            <w:tcW w:w="111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52" w:name="xdx_985_eus-gaap--SharebasedCompensation"/>
            <w:bookmarkEnd w:id="852"/>
          </w:p>
        </w:tc>
        <w:tc>
          <w:tcPr>
            <w:tcW w:w="141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8" w:type="dxa"/>
            <w:tcBorders/>
            <w:shd w:fill="CCEEFF" w:val="clear"/>
            <w:vAlign w:val="center"/>
          </w:tcPr>
          <w:p>
            <w:pPr>
              <w:pStyle w:val="TableContents"/>
              <w:spacing w:before="0" w:after="283"/>
              <w:jc w:val="left"/>
              <w:rPr/>
            </w:pPr>
            <w:r>
              <w:rPr/>
              <w:t> </w:t>
            </w:r>
          </w:p>
        </w:tc>
        <w:tc>
          <w:tcPr>
            <w:tcW w:w="2030" w:type="dxa"/>
            <w:tcBorders/>
            <w:shd w:fill="CCEEFF" w:val="clear"/>
            <w:vAlign w:val="center"/>
          </w:tcPr>
          <w:p>
            <w:pPr>
              <w:pStyle w:val="TableContents"/>
              <w:spacing w:before="0" w:after="283"/>
              <w:jc w:val="right"/>
              <w:rPr>
                <w:rFonts w:ascii="Times New Roman;Times;Serif" w:hAnsi="Times New Roman;Times;Serif"/>
                <w:sz w:val="20"/>
              </w:rPr>
            </w:pPr>
            <w:bookmarkStart w:id="853" w:name="xdx_90B_eus-gaap--SharebasedCompensation"/>
            <w:bookmarkEnd w:id="853"/>
            <w:r>
              <w:rPr>
                <w:rFonts w:ascii="Times New Roman;Times;Serif" w:hAnsi="Times New Roman;Times;Serif"/>
                <w:sz w:val="20"/>
              </w:rPr>
              <w:t>7.90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2"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54" w:name="xdx_989_eus-gaap--ShareBasedCompensation"/>
            <w:bookmarkEnd w:id="854"/>
          </w:p>
        </w:tc>
        <w:tc>
          <w:tcPr>
            <w:tcW w:w="133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35,898</w:t>
            </w:r>
          </w:p>
        </w:tc>
        <w:tc>
          <w:tcPr>
            <w:tcW w:w="80" w:type="dxa"/>
            <w:tcBorders/>
            <w:shd w:fill="CCEEFF" w:val="clear"/>
            <w:vAlign w:val="center"/>
          </w:tcPr>
          <w:p>
            <w:pPr>
              <w:pStyle w:val="TableContents"/>
              <w:spacing w:before="0" w:after="283"/>
              <w:jc w:val="left"/>
              <w:rPr/>
            </w:pPr>
            <w:r>
              <w:rPr/>
              <w:t> </w:t>
            </w:r>
          </w:p>
        </w:tc>
      </w:tr>
      <w:tr>
        <w:trPr/>
        <w:tc>
          <w:tcPr>
            <w:tcW w:w="1682"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pPr>
            <w:r>
              <w:rPr/>
              <w:t> </w:t>
            </w:r>
          </w:p>
        </w:tc>
        <w:tc>
          <w:tcPr>
            <w:tcW w:w="111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jc w:val="left"/>
              <w:rPr/>
            </w:pPr>
            <w:r>
              <w:rPr/>
              <w:t> </w:t>
            </w:r>
          </w:p>
        </w:tc>
        <w:tc>
          <w:tcPr>
            <w:tcW w:w="141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jc w:val="left"/>
              <w:rPr/>
            </w:pPr>
            <w:r>
              <w:rPr/>
              <w:t> </w:t>
            </w:r>
          </w:p>
        </w:tc>
        <w:tc>
          <w:tcPr>
            <w:tcW w:w="20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2" w:type="dxa"/>
            <w:tcBorders/>
            <w:shd w:fill="FFFFFF" w:val="clear"/>
            <w:vAlign w:val="center"/>
          </w:tcPr>
          <w:p>
            <w:pPr>
              <w:pStyle w:val="TableContents"/>
              <w:spacing w:before="0" w:after="283"/>
              <w:jc w:val="left"/>
              <w:rPr/>
            </w:pPr>
            <w:r>
              <w:rPr/>
              <w:t> </w:t>
            </w:r>
          </w:p>
        </w:tc>
        <w:tc>
          <w:tcPr>
            <w:tcW w:w="1334"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r>
      <w:tr>
        <w:trPr/>
        <w:tc>
          <w:tcPr>
            <w:tcW w:w="1682"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At December 31, 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 </w:t>
            </w:r>
          </w:p>
        </w:tc>
        <w:tc>
          <w:tcPr>
            <w:tcW w:w="111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jc w:val="left"/>
              <w:rPr/>
            </w:pPr>
            <w:r>
              <w:rPr/>
              <w:t> </w:t>
            </w:r>
          </w:p>
        </w:tc>
        <w:tc>
          <w:tcPr>
            <w:tcW w:w="141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8" w:type="dxa"/>
            <w:tcBorders/>
            <w:shd w:fill="CCEEFF" w:val="clear"/>
            <w:vAlign w:val="center"/>
          </w:tcPr>
          <w:p>
            <w:pPr>
              <w:pStyle w:val="TableContents"/>
              <w:spacing w:before="0" w:after="283"/>
              <w:jc w:val="left"/>
              <w:rPr/>
            </w:pPr>
            <w:r>
              <w:rPr/>
              <w:t> </w:t>
            </w:r>
          </w:p>
        </w:tc>
        <w:tc>
          <w:tcPr>
            <w:tcW w:w="203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jc w:val="left"/>
              <w:rPr/>
            </w:pPr>
            <w:r>
              <w:rPr/>
              <w:t> </w:t>
            </w:r>
          </w:p>
        </w:tc>
        <w:tc>
          <w:tcPr>
            <w:tcW w:w="133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r>
      <w:tr>
        <w:trPr/>
        <w:tc>
          <w:tcPr>
            <w:tcW w:w="1682"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Vested and Exercisable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855" w:name="xdx_989_eus-gaap--ShareBasedCompensation"/>
            <w:bookmarkEnd w:id="855"/>
          </w:p>
        </w:tc>
        <w:tc>
          <w:tcPr>
            <w:tcW w:w="84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1,646,304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56" w:name="xdx_987_eus-gaap--ShareBasedCompensation"/>
            <w:bookmarkEnd w:id="856"/>
          </w:p>
        </w:tc>
        <w:tc>
          <w:tcPr>
            <w:tcW w:w="111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jc w:val="left"/>
              <w:rPr/>
            </w:pPr>
            <w:r>
              <w:rPr/>
              <w:t> </w:t>
            </w:r>
          </w:p>
        </w:tc>
        <w:tc>
          <w:tcPr>
            <w:tcW w:w="141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jc w:val="left"/>
              <w:rPr/>
            </w:pPr>
            <w:r>
              <w:rPr/>
              <w:t> </w:t>
            </w:r>
          </w:p>
        </w:tc>
        <w:tc>
          <w:tcPr>
            <w:tcW w:w="2030" w:type="dxa"/>
            <w:tcBorders/>
            <w:shd w:fill="FFFFFF" w:val="clear"/>
            <w:vAlign w:val="center"/>
          </w:tcPr>
          <w:p>
            <w:pPr>
              <w:pStyle w:val="TableContents"/>
              <w:spacing w:before="0" w:after="283"/>
              <w:jc w:val="right"/>
              <w:rPr>
                <w:rFonts w:ascii="Times New Roman;Times;Serif" w:hAnsi="Times New Roman;Times;Serif"/>
                <w:sz w:val="20"/>
              </w:rPr>
            </w:pPr>
            <w:bookmarkStart w:id="857" w:name="xdx_902_eus-gaap--SharebasedCompensation"/>
            <w:bookmarkEnd w:id="857"/>
            <w:r>
              <w:rPr>
                <w:rFonts w:ascii="Times New Roman;Times;Serif" w:hAnsi="Times New Roman;Times;Serif"/>
                <w:sz w:val="20"/>
              </w:rPr>
              <w:t>7.13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2" w:type="dxa"/>
            <w:tcBorders/>
            <w:shd w:fill="FFFF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58" w:name="xdx_986_eus-gaap--ShareBasedCompensation"/>
            <w:bookmarkEnd w:id="858"/>
          </w:p>
        </w:tc>
        <w:tc>
          <w:tcPr>
            <w:tcW w:w="133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17,114</w:t>
            </w:r>
          </w:p>
        </w:tc>
        <w:tc>
          <w:tcPr>
            <w:tcW w:w="80" w:type="dxa"/>
            <w:tcBorders/>
            <w:shd w:fill="FFFFFF" w:val="clear"/>
            <w:vAlign w:val="center"/>
          </w:tcPr>
          <w:p>
            <w:pPr>
              <w:pStyle w:val="TableContents"/>
              <w:spacing w:before="0" w:after="283"/>
              <w:jc w:val="left"/>
              <w:rPr/>
            </w:pPr>
            <w:r>
              <w:rPr/>
              <w:t> </w:t>
            </w:r>
          </w:p>
        </w:tc>
      </w:tr>
      <w:tr>
        <w:trPr/>
        <w:tc>
          <w:tcPr>
            <w:tcW w:w="1682"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Vested and expected to vest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859" w:name="xdx_981_eus-gaap--ShareBasedCompensation"/>
            <w:bookmarkEnd w:id="859"/>
          </w:p>
        </w:tc>
        <w:tc>
          <w:tcPr>
            <w:tcW w:w="84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3,642,958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60" w:name="xdx_985_eus-gaap--ShareBasedCompensation"/>
            <w:bookmarkEnd w:id="860"/>
          </w:p>
        </w:tc>
        <w:tc>
          <w:tcPr>
            <w:tcW w:w="111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jc w:val="left"/>
              <w:rPr/>
            </w:pPr>
            <w:r>
              <w:rPr/>
              <w:t> </w:t>
            </w:r>
          </w:p>
        </w:tc>
        <w:tc>
          <w:tcPr>
            <w:tcW w:w="141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8" w:type="dxa"/>
            <w:tcBorders/>
            <w:shd w:fill="CCEEFF" w:val="clear"/>
            <w:vAlign w:val="center"/>
          </w:tcPr>
          <w:p>
            <w:pPr>
              <w:pStyle w:val="TableContents"/>
              <w:spacing w:before="0" w:after="283"/>
              <w:jc w:val="left"/>
              <w:rPr/>
            </w:pPr>
            <w:r>
              <w:rPr/>
              <w:t> </w:t>
            </w:r>
          </w:p>
        </w:tc>
        <w:tc>
          <w:tcPr>
            <w:tcW w:w="2030" w:type="dxa"/>
            <w:tcBorders/>
            <w:shd w:fill="CCEEFF" w:val="clear"/>
            <w:vAlign w:val="center"/>
          </w:tcPr>
          <w:p>
            <w:pPr>
              <w:pStyle w:val="TableContents"/>
              <w:spacing w:before="0" w:after="283"/>
              <w:jc w:val="right"/>
              <w:rPr>
                <w:rFonts w:ascii="Times New Roman;Times;Serif" w:hAnsi="Times New Roman;Times;Serif"/>
                <w:sz w:val="20"/>
              </w:rPr>
            </w:pPr>
            <w:bookmarkStart w:id="861" w:name="xdx_903_eus-gaap--SharebasedCompensation"/>
            <w:bookmarkEnd w:id="861"/>
            <w:r>
              <w:rPr>
                <w:rFonts w:ascii="Times New Roman;Times;Serif" w:hAnsi="Times New Roman;Times;Serif"/>
                <w:sz w:val="20"/>
              </w:rPr>
              <w:t>7.90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bookmarkStart w:id="862" w:name="xdx_98E_eus-gaap--ShareBasedCompensation"/>
            <w:bookmarkEnd w:id="862"/>
          </w:p>
        </w:tc>
        <w:tc>
          <w:tcPr>
            <w:tcW w:w="133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35,898</w:t>
            </w:r>
          </w:p>
        </w:tc>
        <w:tc>
          <w:tcPr>
            <w:tcW w:w="8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4"/>
        <w:gridCol w:w="23"/>
        <w:gridCol w:w="9958"/>
      </w:tblGrid>
      <w:tr>
        <w:trPr/>
        <w:tc>
          <w:tcPr>
            <w:tcW w:w="224" w:type="dxa"/>
            <w:tcBorders/>
            <w:shd w:fill="auto" w:val="clear"/>
            <w:vAlign w:val="center"/>
          </w:tcPr>
          <w:p>
            <w:pPr>
              <w:pStyle w:val="TableContents"/>
              <w:spacing w:before="0" w:after="283"/>
              <w:jc w:val="right"/>
              <w:rPr>
                <w:rFonts w:ascii="Times New Roman;Times;Serif" w:hAnsi="Times New Roman;Times;Serif"/>
                <w:i/>
                <w:sz w:val="20"/>
              </w:rPr>
            </w:pPr>
            <w:bookmarkStart w:id="863" w:name="xdx_F07_zDuPsETOwsHa"/>
            <w:bookmarkEnd w:id="863"/>
            <w:r>
              <w:rPr>
                <w:rFonts w:ascii="Times New Roman;Times;Serif" w:hAnsi="Times New Roman;Times;Serif"/>
                <w:i/>
                <w:sz w:val="20"/>
              </w:rPr>
              <w:t>(1)</w:t>
            </w:r>
          </w:p>
        </w:tc>
        <w:tc>
          <w:tcPr>
            <w:tcW w:w="23" w:type="dxa"/>
            <w:tcBorders/>
            <w:shd w:fill="auto" w:val="clear"/>
            <w:vAlign w:val="center"/>
          </w:tcPr>
          <w:p>
            <w:pPr>
              <w:pStyle w:val="TableContents"/>
              <w:spacing w:before="0" w:after="283"/>
              <w:rPr>
                <w:sz w:val="4"/>
                <w:szCs w:val="4"/>
              </w:rPr>
            </w:pPr>
            <w:r>
              <w:rPr>
                <w:sz w:val="4"/>
                <w:szCs w:val="4"/>
              </w:rPr>
            </w:r>
          </w:p>
        </w:tc>
        <w:tc>
          <w:tcPr>
            <w:tcW w:w="9958" w:type="dxa"/>
            <w:tcBorders/>
            <w:shd w:fill="auto" w:val="clear"/>
            <w:vAlign w:val="center"/>
          </w:tcPr>
          <w:p>
            <w:pPr>
              <w:pStyle w:val="TableContents"/>
              <w:spacing w:before="0" w:after="283"/>
              <w:jc w:val="both"/>
              <w:rPr>
                <w:rFonts w:ascii="Times New Roman;Times;Serif" w:hAnsi="Times New Roman;Times;Serif"/>
                <w:i/>
                <w:sz w:val="20"/>
              </w:rPr>
            </w:pPr>
            <w:bookmarkStart w:id="864" w:name="xdx_F1A_zjIFRbiLIe4j"/>
            <w:bookmarkEnd w:id="864"/>
            <w:r>
              <w:rPr>
                <w:rFonts w:ascii="Times New Roman;Times;Serif" w:hAnsi="Times New Roman;Times;Serif"/>
                <w:i/>
                <w:sz w:val="20"/>
              </w:rPr>
              <w:t xml:space="preserve">Number of options and weighted average exercise price has been adjusted to reflect the exchange of Legacy Dragonfly’s stock options for New Dragonfly stock options at an exchange ratio of approximately </w:t>
            </w:r>
            <w:bookmarkStart w:id="865" w:name="xdx_909_eus-gaap--StockholdersEquityNote"/>
            <w:bookmarkStart w:id="866" w:name="xdx_90C_eus-gaap--StockholdersEquityNote"/>
            <w:bookmarkEnd w:id="865"/>
            <w:bookmarkEnd w:id="866"/>
            <w:r>
              <w:rPr>
                <w:rFonts w:ascii="Times New Roman;Times;Serif" w:hAnsi="Times New Roman;Times;Serif"/>
                <w:i/>
                <w:sz w:val="20"/>
              </w:rPr>
              <w:t>1.182 as a result of the merger. See Note 3 for further information.</w:t>
            </w:r>
          </w:p>
        </w:tc>
      </w:tr>
    </w:tbl>
    <w:p>
      <w:pPr>
        <w:pStyle w:val="TextBody"/>
        <w:spacing w:before="0" w:after="0"/>
        <w:ind w:left="0" w:right="0" w:hanging="0"/>
        <w:jc w:val="both"/>
        <w:rPr>
          <w:caps w:val="false"/>
          <w:smallCaps w:val="false"/>
        </w:rPr>
      </w:pPr>
      <w:bookmarkStart w:id="867" w:name="xdx_8A5_zR6Zqwi6r0S2"/>
      <w:bookmarkEnd w:id="867"/>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w:t>
      </w:r>
      <w:bookmarkStart w:id="868" w:name="xdx_902_eus-gaap--AllocatedShareBasedCom"/>
      <w:bookmarkEnd w:id="868"/>
      <w:r>
        <w:rPr>
          <w:rFonts w:ascii="Times New Roman;Times;Serif" w:hAnsi="Times New Roman;Times;Serif"/>
          <w:b w:val="false"/>
          <w:i w:val="false"/>
          <w:caps w:val="false"/>
          <w:smallCaps w:val="false"/>
          <w:sz w:val="20"/>
        </w:rPr>
        <w:t>2,467 and $</w:t>
      </w:r>
      <w:bookmarkStart w:id="869" w:name="xdx_90F_eus-gaap--AllocatedShareBasedCom"/>
      <w:bookmarkEnd w:id="869"/>
      <w:r>
        <w:rPr>
          <w:rFonts w:ascii="Times New Roman;Times;Serif" w:hAnsi="Times New Roman;Times;Serif"/>
          <w:b w:val="false"/>
          <w:i w:val="false"/>
          <w:caps w:val="false"/>
          <w:smallCaps w:val="false"/>
          <w:sz w:val="20"/>
        </w:rPr>
        <w:t>734 was recognized in the Company’s consolidated statements of operations for the years ended December 31, 2022 and 2021, respectively. Of the $</w:t>
      </w:r>
      <w:bookmarkStart w:id="870" w:name="xdx_90C_eus-gaap--AllocatedShareBasedCom"/>
      <w:bookmarkEnd w:id="870"/>
      <w:r>
        <w:rPr>
          <w:rFonts w:ascii="Times New Roman;Times;Serif" w:hAnsi="Times New Roman;Times;Serif"/>
          <w:b w:val="false"/>
          <w:i w:val="false"/>
          <w:caps w:val="false"/>
          <w:smallCaps w:val="false"/>
          <w:sz w:val="20"/>
        </w:rPr>
        <w:t>2,467 of share-based compensation incurred during the year ended December 31, 2022, $</w:t>
      </w:r>
      <w:bookmarkStart w:id="871" w:name="xdx_90C_eus-gaap--AllocatedShareBasedCom"/>
      <w:bookmarkEnd w:id="871"/>
      <w:r>
        <w:rPr>
          <w:rFonts w:ascii="Times New Roman;Times;Serif" w:hAnsi="Times New Roman;Times;Serif"/>
          <w:b w:val="false"/>
          <w:i w:val="false"/>
          <w:caps w:val="false"/>
          <w:smallCaps w:val="false"/>
          <w:sz w:val="20"/>
        </w:rPr>
        <w:t>155 is allocated to cost of goods sold, $</w:t>
      </w:r>
      <w:bookmarkStart w:id="872" w:name="xdx_900_eus-gaap--AllocatedShareBasedCom"/>
      <w:bookmarkEnd w:id="872"/>
      <w:r>
        <w:rPr>
          <w:rFonts w:ascii="Times New Roman;Times;Serif" w:hAnsi="Times New Roman;Times;Serif"/>
          <w:b w:val="false"/>
          <w:i w:val="false"/>
          <w:caps w:val="false"/>
          <w:smallCaps w:val="false"/>
          <w:sz w:val="20"/>
        </w:rPr>
        <w:t>149 to research and development, $</w:t>
      </w:r>
      <w:bookmarkStart w:id="873" w:name="xdx_905_eus-gaap--AllocatedShareBasedCom"/>
      <w:bookmarkEnd w:id="873"/>
      <w:r>
        <w:rPr>
          <w:rFonts w:ascii="Times New Roman;Times;Serif" w:hAnsi="Times New Roman;Times;Serif"/>
          <w:b w:val="false"/>
          <w:i w:val="false"/>
          <w:caps w:val="false"/>
          <w:smallCaps w:val="false"/>
          <w:sz w:val="20"/>
        </w:rPr>
        <w:t>654 to selling and marketing, and $</w:t>
      </w:r>
      <w:bookmarkStart w:id="874" w:name="xdx_90B_eus-gaap--AllocatedShareBasedCom"/>
      <w:bookmarkEnd w:id="874"/>
      <w:r>
        <w:rPr>
          <w:rFonts w:ascii="Times New Roman;Times;Serif" w:hAnsi="Times New Roman;Times;Serif"/>
          <w:b w:val="false"/>
          <w:i w:val="false"/>
          <w:caps w:val="false"/>
          <w:smallCaps w:val="false"/>
          <w:sz w:val="20"/>
        </w:rPr>
        <w:t>1,509 to general and administrative expenses. Of the $</w:t>
      </w:r>
      <w:bookmarkStart w:id="875" w:name="xdx_90E_eus-gaap--AllocatedShareBasedCom"/>
      <w:bookmarkEnd w:id="875"/>
      <w:r>
        <w:rPr>
          <w:rFonts w:ascii="Times New Roman;Times;Serif" w:hAnsi="Times New Roman;Times;Serif"/>
          <w:b w:val="false"/>
          <w:i w:val="false"/>
          <w:caps w:val="false"/>
          <w:smallCaps w:val="false"/>
          <w:sz w:val="20"/>
        </w:rPr>
        <w:t>734 of share-based compensation incurred during the year ended December 31, 2021, $</w:t>
      </w:r>
      <w:bookmarkStart w:id="876" w:name="xdx_907_eus-gaap--AllocatedShareBasedCom"/>
      <w:bookmarkEnd w:id="876"/>
      <w:r>
        <w:rPr>
          <w:rFonts w:ascii="Times New Roman;Times;Serif" w:hAnsi="Times New Roman;Times;Serif"/>
          <w:b w:val="false"/>
          <w:i w:val="false"/>
          <w:caps w:val="false"/>
          <w:smallCaps w:val="false"/>
          <w:sz w:val="20"/>
        </w:rPr>
        <w:t>252 is allocated to cost of goods sold, $</w:t>
      </w:r>
      <w:bookmarkStart w:id="877" w:name="xdx_90D_eus-gaap--AllocatedShareBasedCom"/>
      <w:bookmarkEnd w:id="877"/>
      <w:r>
        <w:rPr>
          <w:rFonts w:ascii="Times New Roman;Times;Serif" w:hAnsi="Times New Roman;Times;Serif"/>
          <w:b w:val="false"/>
          <w:i w:val="false"/>
          <w:caps w:val="false"/>
          <w:smallCaps w:val="false"/>
          <w:sz w:val="20"/>
        </w:rPr>
        <w:t>95 to research and development, $</w:t>
      </w:r>
      <w:bookmarkStart w:id="878" w:name="xdx_903_eus-gaap--AllocatedShareBasedCom"/>
      <w:bookmarkEnd w:id="878"/>
      <w:r>
        <w:rPr>
          <w:rFonts w:ascii="Times New Roman;Times;Serif" w:hAnsi="Times New Roman;Times;Serif"/>
          <w:b w:val="false"/>
          <w:i w:val="false"/>
          <w:caps w:val="false"/>
          <w:smallCaps w:val="false"/>
          <w:sz w:val="20"/>
        </w:rPr>
        <w:t>156 to selling and marketing, and $</w:t>
      </w:r>
      <w:bookmarkStart w:id="879" w:name="xdx_902_eus-gaap--AllocatedShareBasedCom"/>
      <w:bookmarkEnd w:id="879"/>
      <w:r>
        <w:rPr>
          <w:rFonts w:ascii="Times New Roman;Times;Serif" w:hAnsi="Times New Roman;Times;Serif"/>
          <w:b w:val="false"/>
          <w:i w:val="false"/>
          <w:caps w:val="false"/>
          <w:smallCaps w:val="false"/>
          <w:sz w:val="20"/>
        </w:rPr>
        <w:t>231 to general and administrative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2022, there were </w:t>
      </w:r>
      <w:bookmarkStart w:id="880" w:name="xdx_907_eus-gaap--ShareBasedCompensation"/>
      <w:bookmarkEnd w:id="880"/>
      <w:r>
        <w:rPr>
          <w:rFonts w:ascii="Times New Roman;Times;Serif" w:hAnsi="Times New Roman;Times;Serif"/>
          <w:b w:val="false"/>
          <w:i w:val="false"/>
          <w:caps w:val="false"/>
          <w:smallCaps w:val="false"/>
          <w:sz w:val="20"/>
        </w:rPr>
        <w:t>4,924,914 shares of unissued authorized and available for future awards under the plans.</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F-29</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pStyle w:val="TextBody"/>
        <w:spacing w:before="0" w:after="0"/>
        <w:ind w:left="0" w:right="0" w:hanging="0"/>
        <w:jc w:val="both"/>
        <w:rPr>
          <w:caps w:val="false"/>
          <w:smallCaps w:val="false"/>
        </w:rPr>
      </w:pPr>
      <w:bookmarkStart w:id="881" w:name="xdx_890_eus-gaap--ScheduleOfShareBasedPa"/>
      <w:bookmarkEnd w:id="881"/>
      <w:r>
        <w:rPr>
          <w:caps w:val="false"/>
          <w:smallCaps w:val="false"/>
        </w:rPr>
        <w:t> </w:t>
      </w:r>
      <w:bookmarkStart w:id="882" w:name="xdx_8BF_zwWFuhv0qKu"/>
      <w:bookmarkEnd w:id="882"/>
      <w:r>
        <w:rPr>
          <w:rFonts w:ascii="Times New Roman;Times;Serif" w:hAnsi="Times New Roman;Times;Serif"/>
          <w:b w:val="false"/>
          <w:i w:val="false"/>
          <w:caps w:val="false"/>
          <w:smallCaps w:val="false"/>
          <w:sz w:val="20"/>
        </w:rPr>
        <w:t>SCHEDULE OF VALUATION ASSUMPTIONS OF OPTIONS</w:t>
      </w:r>
    </w:p>
    <w:tbl>
      <w:tblPr>
        <w:tblW w:w="6265" w:type="dxa"/>
        <w:jc w:val="left"/>
        <w:tblInd w:w="0" w:type="dxa"/>
        <w:tblCellMar>
          <w:top w:w="0" w:type="dxa"/>
          <w:left w:w="0" w:type="dxa"/>
          <w:bottom w:w="0" w:type="dxa"/>
          <w:right w:w="0" w:type="dxa"/>
        </w:tblCellMar>
      </w:tblPr>
      <w:tblGrid>
        <w:gridCol w:w="4460"/>
        <w:gridCol w:w="60"/>
        <w:gridCol w:w="140"/>
        <w:gridCol w:w="635"/>
        <w:gridCol w:w="60"/>
        <w:gridCol w:w="60"/>
        <w:gridCol w:w="140"/>
        <w:gridCol w:w="635"/>
        <w:gridCol w:w="75"/>
      </w:tblGrid>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2021</w:t>
            </w:r>
          </w:p>
        </w:tc>
        <w:tc>
          <w:tcPr>
            <w:tcW w:w="75" w:type="dxa"/>
            <w:tcBorders/>
            <w:shd w:fill="auto" w:val="clear"/>
            <w:vAlign w:val="center"/>
          </w:tcPr>
          <w:p>
            <w:pPr>
              <w:pStyle w:val="TableContents"/>
              <w:spacing w:before="0" w:after="283"/>
              <w:rPr/>
            </w:pPr>
            <w:r>
              <w:rPr/>
              <w:t> </w:t>
            </w:r>
          </w:p>
        </w:tc>
      </w:tr>
      <w:tr>
        <w:trPr/>
        <w:tc>
          <w:tcPr>
            <w:tcW w:w="446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Weighted average fair value of options granted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883" w:name="xdx_980_eus-gaap--ShareBasedCompensation"/>
            <w:bookmarkEnd w:id="883"/>
          </w:p>
        </w:tc>
        <w:tc>
          <w:tcPr>
            <w:tcW w:w="6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884" w:name="xdx_988_eus-gaap--ShareBasedCompensation"/>
            <w:bookmarkEnd w:id="884"/>
          </w:p>
        </w:tc>
        <w:tc>
          <w:tcPr>
            <w:tcW w:w="6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2.05</w:t>
            </w:r>
          </w:p>
        </w:tc>
        <w:tc>
          <w:tcPr>
            <w:tcW w:w="75"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bookmarkStart w:id="885" w:name="xdx_98B_eus-gaap--ShareBasedCompensation"/>
            <w:bookmarkEnd w:id="885"/>
          </w:p>
        </w:tc>
        <w:tc>
          <w:tcPr>
            <w:tcW w:w="6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bookmarkStart w:id="886" w:name="xdx_98A_eus-gaap--ShareBasedCompensation"/>
            <w:bookmarkEnd w:id="886"/>
          </w:p>
        </w:tc>
        <w:tc>
          <w:tcPr>
            <w:tcW w:w="6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1.08%</w:t>
            </w:r>
          </w:p>
        </w:tc>
        <w:tc>
          <w:tcPr>
            <w:tcW w:w="75"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887" w:name="xdx_985_eus-gaap--ShareBasedCompensation"/>
            <w:bookmarkEnd w:id="887"/>
          </w:p>
        </w:tc>
        <w:tc>
          <w:tcPr>
            <w:tcW w:w="6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888" w:name="xdx_98B_eus-gaap--ShareBasedCompensation"/>
            <w:bookmarkEnd w:id="888"/>
          </w:p>
        </w:tc>
        <w:tc>
          <w:tcPr>
            <w:tcW w:w="6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52.6%</w:t>
            </w:r>
          </w:p>
        </w:tc>
        <w:tc>
          <w:tcPr>
            <w:tcW w:w="75"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Expected life (years)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rFonts w:ascii="Times New Roman;Times;Serif" w:hAnsi="Times New Roman;Times;Serif"/>
              </w:rPr>
            </w:pPr>
            <w:bookmarkStart w:id="889" w:name="xdx_909_eus-gaap--SharebasedCompensation"/>
            <w:bookmarkEnd w:id="889"/>
            <w:r>
              <w:rPr>
                <w:rFonts w:ascii="Times New Roman;Times;Serif" w:hAnsi="Times New Roman;Times;Serif"/>
              </w:rPr>
              <w:t>5.68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rFonts w:ascii="Times New Roman;Times;Serif" w:hAnsi="Times New Roman;Times;Serif"/>
              </w:rPr>
            </w:pPr>
            <w:bookmarkStart w:id="890" w:name="xdx_906_eus-gaap--SharebasedCompensation"/>
            <w:bookmarkEnd w:id="890"/>
            <w:r>
              <w:rPr>
                <w:rFonts w:ascii="Times New Roman;Times;Serif" w:hAnsi="Times New Roman;Times;Serif"/>
              </w:rPr>
              <w:t>6.02</w:t>
            </w:r>
          </w:p>
        </w:tc>
        <w:tc>
          <w:tcPr>
            <w:tcW w:w="75"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891" w:name="xdx_980_eus-gaap--ShareBasedCompensation"/>
            <w:bookmarkEnd w:id="891"/>
          </w:p>
        </w:tc>
        <w:tc>
          <w:tcPr>
            <w:tcW w:w="6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892" w:name="xdx_980_eus-gaap--ShareBasedCompensation"/>
            <w:bookmarkEnd w:id="892"/>
          </w:p>
        </w:tc>
        <w:tc>
          <w:tcPr>
            <w:tcW w:w="6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0.00%</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bookmarkStart w:id="893" w:name="xdx_8AE_zZJ0s21UZrRi"/>
      <w:bookmarkEnd w:id="893"/>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7, 2022, the Company granted </w:t>
      </w:r>
      <w:bookmarkStart w:id="894" w:name="xdx_90E_eus-gaap--ShareBasedCompensation"/>
      <w:bookmarkEnd w:id="894"/>
      <w:r>
        <w:rPr>
          <w:rFonts w:ascii="Times New Roman;Times;Serif" w:hAnsi="Times New Roman;Times;Serif"/>
          <w:b w:val="false"/>
          <w:i w:val="false"/>
          <w:caps w:val="false"/>
          <w:smallCaps w:val="false"/>
          <w:sz w:val="20"/>
        </w:rPr>
        <w:t>180,000 restricted stock units under the 2022 plan which vest one year from the grant date. The fair value of the restricted stock units on the date of grant was $</w:t>
      </w:r>
      <w:bookmarkStart w:id="895" w:name="xdx_90C_eus-gaap--StockIssuedDuringPerio"/>
      <w:bookmarkEnd w:id="895"/>
      <w:r>
        <w:rPr>
          <w:rFonts w:ascii="Times New Roman;Times;Serif" w:hAnsi="Times New Roman;Times;Serif"/>
          <w:b w:val="false"/>
          <w:i w:val="false"/>
          <w:caps w:val="false"/>
          <w:smallCaps w:val="false"/>
          <w:sz w:val="20"/>
        </w:rPr>
        <w:t>2,520, which is recognized as compensation expense over the requisite service period based on the value of the underlying shares on the date of grant.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bookmarkStart w:id="896" w:name="xdx_89C_eus-gaap--ScheduleOfUnvestedRest"/>
      <w:bookmarkEnd w:id="896"/>
      <w:r>
        <w:rPr>
          <w:rFonts w:ascii="Times New Roman;Times;Serif" w:hAnsi="Times New Roman;Times;Serif"/>
          <w:b w:val="false"/>
          <w:i w:val="false"/>
          <w:caps w:val="false"/>
          <w:smallCaps w:val="false"/>
          <w:sz w:val="20"/>
        </w:rPr>
        <w:t>There were no grants of restricted stock units prior to October 7, 2022. The following table presents the restricted stock units activity for the year ended December 31, 2022:</w:t>
      </w:r>
    </w:p>
    <w:p>
      <w:pPr>
        <w:pStyle w:val="TextBody"/>
        <w:jc w:val="both"/>
        <w:rPr>
          <w:caps w:val="false"/>
          <w:smallCaps w:val="false"/>
        </w:rPr>
      </w:pPr>
      <w:r>
        <w:rPr>
          <w:caps w:val="false"/>
          <w:smallCaps w:val="false"/>
        </w:rPr>
        <w:t> </w:t>
      </w:r>
      <w:bookmarkStart w:id="897" w:name="xdx_8B5_zDeJaufAlDF6"/>
      <w:bookmarkEnd w:id="897"/>
      <w:r>
        <w:rPr>
          <w:rFonts w:ascii="Times New Roman;Times;Serif" w:hAnsi="Times New Roman;Times;Serif"/>
          <w:b w:val="false"/>
          <w:i w:val="false"/>
          <w:caps w:val="false"/>
          <w:smallCaps w:val="false"/>
          <w:sz w:val="20"/>
        </w:rPr>
        <w:t>SCHEDULE OF RESTRICTED STOCK UNITS ACTIVITY</w:t>
      </w:r>
    </w:p>
    <w:tbl>
      <w:tblPr>
        <w:tblW w:w="9194" w:type="dxa"/>
        <w:jc w:val="left"/>
        <w:tblInd w:w="0" w:type="dxa"/>
        <w:tblCellMar>
          <w:top w:w="0" w:type="dxa"/>
          <w:left w:w="0" w:type="dxa"/>
          <w:bottom w:w="0" w:type="dxa"/>
          <w:right w:w="0" w:type="dxa"/>
        </w:tblCellMar>
      </w:tblPr>
      <w:tblGrid>
        <w:gridCol w:w="3575"/>
        <w:gridCol w:w="60"/>
        <w:gridCol w:w="121"/>
        <w:gridCol w:w="1623"/>
        <w:gridCol w:w="60"/>
        <w:gridCol w:w="60"/>
        <w:gridCol w:w="724"/>
        <w:gridCol w:w="2896"/>
        <w:gridCol w:w="75"/>
      </w:tblGrid>
      <w:tr>
        <w:trPr/>
        <w:tc>
          <w:tcPr>
            <w:tcW w:w="357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744" w:type="dxa"/>
            <w:gridSpan w:val="2"/>
            <w:tcBorders>
              <w:bottom w:val="single" w:sz="12" w:space="0" w:color="000000"/>
            </w:tcBorders>
            <w:shd w:fill="auto" w:val="clear"/>
            <w:tcMar>
              <w:bottom w:w="28" w:type="dxa"/>
            </w:tcMar>
            <w:vAlign w:val="center"/>
          </w:tcPr>
          <w:p>
            <w:pPr>
              <w:pStyle w:val="TableContents"/>
              <w:spacing w:before="0" w:after="283"/>
              <w:jc w:val="center"/>
              <w:rPr/>
            </w:pPr>
            <w:r>
              <w:rPr/>
              <w:t>Number of 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20" w:type="dxa"/>
            <w:gridSpan w:val="2"/>
            <w:tcBorders>
              <w:bottom w:val="single" w:sz="12" w:space="0" w:color="000000"/>
            </w:tcBorders>
            <w:shd w:fill="auto" w:val="clear"/>
            <w:tcMar>
              <w:bottom w:w="28" w:type="dxa"/>
            </w:tcMar>
            <w:vAlign w:val="center"/>
          </w:tcPr>
          <w:p>
            <w:pPr>
              <w:pStyle w:val="TableContents"/>
              <w:spacing w:before="0" w:after="283"/>
              <w:jc w:val="center"/>
              <w:rPr/>
            </w:pPr>
            <w:r>
              <w:rPr/>
              <w:t>Weighted-Average Fair Market Value</w:t>
            </w:r>
          </w:p>
        </w:tc>
        <w:tc>
          <w:tcPr>
            <w:tcW w:w="75" w:type="dxa"/>
            <w:tcBorders/>
            <w:shd w:fill="auto" w:val="clear"/>
            <w:vAlign w:val="center"/>
          </w:tcPr>
          <w:p>
            <w:pPr>
              <w:pStyle w:val="TableContents"/>
              <w:spacing w:before="0" w:after="283"/>
              <w:rPr/>
            </w:pPr>
            <w:r>
              <w:rPr/>
              <w:t> </w:t>
            </w:r>
          </w:p>
        </w:tc>
      </w:tr>
      <w:tr>
        <w:trPr/>
        <w:tc>
          <w:tcPr>
            <w:tcW w:w="3575" w:type="dxa"/>
            <w:tcBorders/>
            <w:shd w:fill="CCEEFF" w:val="clear"/>
            <w:vAlign w:val="center"/>
          </w:tcPr>
          <w:p>
            <w:pPr>
              <w:pStyle w:val="TableContents"/>
              <w:spacing w:before="0" w:after="283"/>
              <w:rPr/>
            </w:pPr>
            <w:r>
              <w:rPr/>
              <w:t>Unvested shares, December 31, 2021</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jc w:val="left"/>
              <w:rPr/>
            </w:pPr>
            <w:r>
              <w:rPr/>
              <w:t> </w:t>
            </w:r>
            <w:bookmarkStart w:id="898" w:name="xdx_987_eus-gaap--ShareBasedCompensation"/>
            <w:bookmarkEnd w:id="898"/>
          </w:p>
        </w:tc>
        <w:tc>
          <w:tcPr>
            <w:tcW w:w="1623"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left"/>
              <w:rPr/>
            </w:pPr>
            <w:r>
              <w:rPr/>
              <w:t> </w:t>
            </w:r>
            <w:bookmarkStart w:id="899" w:name="xdx_98F_eus-gaap--ShareBasedCompensation"/>
            <w:bookmarkEnd w:id="899"/>
          </w:p>
        </w:tc>
        <w:tc>
          <w:tcPr>
            <w:tcW w:w="2896"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3575" w:type="dxa"/>
            <w:tcBorders/>
            <w:shd w:fill="FFFFFF" w:val="clear"/>
            <w:vAlign w:val="center"/>
          </w:tcPr>
          <w:p>
            <w:pPr>
              <w:pStyle w:val="TableContents"/>
              <w:spacing w:before="0" w:after="283"/>
              <w:jc w:val="left"/>
              <w:rPr/>
            </w:pPr>
            <w:r>
              <w:rPr/>
              <w:t>Granted and unvested</w:t>
            </w:r>
          </w:p>
        </w:tc>
        <w:tc>
          <w:tcPr>
            <w:tcW w:w="6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jc w:val="left"/>
              <w:rPr/>
            </w:pPr>
            <w:r>
              <w:rPr/>
              <w:t> </w:t>
            </w:r>
            <w:bookmarkStart w:id="900" w:name="xdx_98A_eus-gaap--ShareBasedCompensation"/>
            <w:bookmarkEnd w:id="900"/>
          </w:p>
        </w:tc>
        <w:tc>
          <w:tcPr>
            <w:tcW w:w="1623" w:type="dxa"/>
            <w:tcBorders/>
            <w:shd w:fill="FFFFFF" w:val="clear"/>
            <w:vAlign w:val="center"/>
          </w:tcPr>
          <w:p>
            <w:pPr>
              <w:pStyle w:val="TableContents"/>
              <w:spacing w:before="0" w:after="283"/>
              <w:jc w:val="right"/>
              <w:rPr/>
            </w:pPr>
            <w:r>
              <w:rPr/>
              <w:t>180,000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24" w:type="dxa"/>
            <w:tcBorders/>
            <w:shd w:fill="FFFFFF" w:val="clear"/>
            <w:vAlign w:val="center"/>
          </w:tcPr>
          <w:p>
            <w:pPr>
              <w:pStyle w:val="TableContents"/>
              <w:spacing w:before="0" w:after="283"/>
              <w:jc w:val="left"/>
              <w:rPr/>
            </w:pPr>
            <w:r>
              <w:rPr/>
              <w:t>$</w:t>
            </w:r>
            <w:bookmarkStart w:id="901" w:name="xdx_987_eus-gaap--ShareBasedCompensation"/>
            <w:bookmarkEnd w:id="901"/>
          </w:p>
        </w:tc>
        <w:tc>
          <w:tcPr>
            <w:tcW w:w="2896" w:type="dxa"/>
            <w:tcBorders/>
            <w:shd w:fill="FFFFFF" w:val="clear"/>
            <w:vAlign w:val="center"/>
          </w:tcPr>
          <w:p>
            <w:pPr>
              <w:pStyle w:val="TableContents"/>
              <w:spacing w:before="0" w:after="283"/>
              <w:jc w:val="right"/>
              <w:rPr/>
            </w:pPr>
            <w:r>
              <w:rPr/>
              <w:t>14.00</w:t>
            </w:r>
          </w:p>
        </w:tc>
        <w:tc>
          <w:tcPr>
            <w:tcW w:w="75" w:type="dxa"/>
            <w:tcBorders/>
            <w:shd w:fill="FFFFFF" w:val="clear"/>
            <w:vAlign w:val="center"/>
          </w:tcPr>
          <w:p>
            <w:pPr>
              <w:pStyle w:val="TableContents"/>
              <w:spacing w:before="0" w:after="283"/>
              <w:jc w:val="left"/>
              <w:rPr/>
            </w:pPr>
            <w:r>
              <w:rPr/>
              <w:t> </w:t>
            </w:r>
          </w:p>
        </w:tc>
      </w:tr>
      <w:tr>
        <w:trPr/>
        <w:tc>
          <w:tcPr>
            <w:tcW w:w="3575" w:type="dxa"/>
            <w:tcBorders/>
            <w:shd w:fill="CCEEFF" w:val="clear"/>
            <w:vAlign w:val="center"/>
          </w:tcPr>
          <w:p>
            <w:pPr>
              <w:pStyle w:val="TableContents"/>
              <w:spacing w:before="0" w:after="283"/>
              <w:rPr/>
            </w:pPr>
            <w:r>
              <w:rPr/>
              <w:t>Vested</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jc w:val="left"/>
              <w:rPr/>
            </w:pPr>
            <w:r>
              <w:rPr/>
              <w:t> </w:t>
            </w:r>
            <w:bookmarkStart w:id="902" w:name="xdx_98D_eus-gaap--ShareBasedCompensation"/>
            <w:bookmarkEnd w:id="902"/>
          </w:p>
        </w:tc>
        <w:tc>
          <w:tcPr>
            <w:tcW w:w="1623"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24" w:type="dxa"/>
            <w:tcBorders/>
            <w:shd w:fill="CCEEFF" w:val="clear"/>
            <w:vAlign w:val="center"/>
          </w:tcPr>
          <w:p>
            <w:pPr>
              <w:pStyle w:val="TableContents"/>
              <w:spacing w:before="0" w:after="283"/>
              <w:jc w:val="left"/>
              <w:rPr/>
            </w:pPr>
            <w:r>
              <w:rPr/>
              <w:t> </w:t>
            </w:r>
            <w:bookmarkStart w:id="903" w:name="xdx_980_eus-gaap--ShareBasedCompensation"/>
            <w:bookmarkEnd w:id="903"/>
          </w:p>
        </w:tc>
        <w:tc>
          <w:tcPr>
            <w:tcW w:w="2896"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3575" w:type="dxa"/>
            <w:tcBorders/>
            <w:shd w:fill="FFFFFF" w:val="clear"/>
            <w:vAlign w:val="center"/>
          </w:tcPr>
          <w:p>
            <w:pPr>
              <w:pStyle w:val="TableContents"/>
              <w:spacing w:before="0" w:after="283"/>
              <w:rPr/>
            </w:pPr>
            <w:r>
              <w:rPr/>
              <w:t>Forfeited/Cancelled</w:t>
            </w:r>
          </w:p>
        </w:tc>
        <w:tc>
          <w:tcPr>
            <w:tcW w:w="60" w:type="dxa"/>
            <w:tcBorders/>
            <w:shd w:fill="FFFFFF" w:val="clear"/>
            <w:vAlign w:val="center"/>
          </w:tcPr>
          <w:p>
            <w:pPr>
              <w:pStyle w:val="TableContents"/>
              <w:spacing w:before="0" w:after="283"/>
              <w:rPr/>
            </w:pPr>
            <w:r>
              <w:rPr/>
              <w:t> </w:t>
            </w:r>
          </w:p>
        </w:tc>
        <w:tc>
          <w:tcPr>
            <w:tcW w:w="121"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904" w:name="xdx_989_eus-gaap--ShareBasedCompensation"/>
            <w:bookmarkEnd w:id="904"/>
          </w:p>
        </w:tc>
        <w:tc>
          <w:tcPr>
            <w:tcW w:w="1623"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24"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905" w:name="xdx_989_eus-gaap--ShareBasedCompensation"/>
            <w:bookmarkEnd w:id="905"/>
          </w:p>
        </w:tc>
        <w:tc>
          <w:tcPr>
            <w:tcW w:w="2896"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3575" w:type="dxa"/>
            <w:tcBorders/>
            <w:shd w:fill="CCEEFF" w:val="clear"/>
            <w:vAlign w:val="center"/>
          </w:tcPr>
          <w:p>
            <w:pPr>
              <w:pStyle w:val="TableContents"/>
              <w:spacing w:before="0" w:after="283"/>
              <w:rPr/>
            </w:pPr>
            <w:r>
              <w:rPr/>
              <w:t>Unvested shares, December 31, 2022</w:t>
            </w:r>
          </w:p>
        </w:tc>
        <w:tc>
          <w:tcPr>
            <w:tcW w:w="60" w:type="dxa"/>
            <w:tcBorders/>
            <w:shd w:fill="CCEEFF" w:val="clear"/>
            <w:vAlign w:val="center"/>
          </w:tcPr>
          <w:p>
            <w:pPr>
              <w:pStyle w:val="TableContents"/>
              <w:spacing w:before="0" w:after="283"/>
              <w:rPr/>
            </w:pPr>
            <w:r>
              <w:rPr/>
              <w:t> </w:t>
            </w:r>
          </w:p>
        </w:tc>
        <w:tc>
          <w:tcPr>
            <w:tcW w:w="121"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906" w:name="xdx_98E_eus-gaap--ShareBasedCompensation"/>
            <w:bookmarkEnd w:id="906"/>
          </w:p>
        </w:tc>
        <w:tc>
          <w:tcPr>
            <w:tcW w:w="1623" w:type="dxa"/>
            <w:tcBorders>
              <w:bottom w:val="double" w:sz="6" w:space="0" w:color="000000"/>
            </w:tcBorders>
            <w:shd w:fill="CCEEFF" w:val="clear"/>
            <w:tcMar>
              <w:bottom w:w="28" w:type="dxa"/>
            </w:tcMar>
            <w:vAlign w:val="center"/>
          </w:tcPr>
          <w:p>
            <w:pPr>
              <w:pStyle w:val="TableContents"/>
              <w:spacing w:before="0" w:after="283"/>
              <w:jc w:val="right"/>
              <w:rPr/>
            </w:pPr>
            <w:r>
              <w:rPr/>
              <w:t>180,000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24" w:type="dxa"/>
            <w:tcBorders>
              <w:bottom w:val="double" w:sz="6" w:space="0" w:color="000000"/>
            </w:tcBorders>
            <w:shd w:fill="CCEEFF" w:val="clear"/>
            <w:tcMar>
              <w:bottom w:w="28" w:type="dxa"/>
            </w:tcMar>
            <w:vAlign w:val="center"/>
          </w:tcPr>
          <w:p>
            <w:pPr>
              <w:pStyle w:val="TableContents"/>
              <w:spacing w:before="0" w:after="283"/>
              <w:jc w:val="left"/>
              <w:rPr/>
            </w:pPr>
            <w:r>
              <w:rPr/>
              <w:t>$</w:t>
            </w:r>
            <w:bookmarkStart w:id="907" w:name="xdx_983_eus-gaap--ShareBasedCompensation"/>
            <w:bookmarkEnd w:id="907"/>
          </w:p>
        </w:tc>
        <w:tc>
          <w:tcPr>
            <w:tcW w:w="2896" w:type="dxa"/>
            <w:tcBorders>
              <w:bottom w:val="double" w:sz="6" w:space="0" w:color="000000"/>
            </w:tcBorders>
            <w:shd w:fill="CCEEFF" w:val="clear"/>
            <w:tcMar>
              <w:bottom w:w="28" w:type="dxa"/>
            </w:tcMar>
            <w:vAlign w:val="center"/>
          </w:tcPr>
          <w:p>
            <w:pPr>
              <w:pStyle w:val="TableContents"/>
              <w:spacing w:before="0" w:after="283"/>
              <w:jc w:val="right"/>
              <w:rPr/>
            </w:pPr>
            <w:r>
              <w:rPr/>
              <w:t>14.00</w:t>
            </w:r>
          </w:p>
        </w:tc>
        <w:tc>
          <w:tcPr>
            <w:tcW w:w="75" w:type="dxa"/>
            <w:tcBorders/>
            <w:shd w:fill="CCEEFF" w:val="clear"/>
            <w:vAlign w:val="center"/>
          </w:tcPr>
          <w:p>
            <w:pPr>
              <w:pStyle w:val="TableContents"/>
              <w:spacing w:before="0" w:after="283"/>
              <w:jc w:val="left"/>
              <w:rPr/>
            </w:pPr>
            <w:r>
              <w:rPr/>
              <w:t> </w:t>
            </w:r>
          </w:p>
        </w:tc>
      </w:tr>
      <w:tr>
        <w:trPr/>
        <w:tc>
          <w:tcPr>
            <w:tcW w:w="3575" w:type="dxa"/>
            <w:tcBorders/>
            <w:shd w:fill="FFFFFF" w:val="clear"/>
            <w:vAlign w:val="center"/>
          </w:tcPr>
          <w:p>
            <w:pPr>
              <w:pStyle w:val="TableContents"/>
              <w:spacing w:before="0" w:after="283"/>
              <w:rPr/>
            </w:pPr>
            <w:r>
              <w:rPr/>
              <w:t>Vested as of December 31, 2022</w:t>
            </w:r>
          </w:p>
        </w:tc>
        <w:tc>
          <w:tcPr>
            <w:tcW w:w="60" w:type="dxa"/>
            <w:tcBorders/>
            <w:shd w:fill="FFFFFF" w:val="clear"/>
            <w:vAlign w:val="center"/>
          </w:tcPr>
          <w:p>
            <w:pPr>
              <w:pStyle w:val="TableContents"/>
              <w:spacing w:before="0" w:after="283"/>
              <w:rPr/>
            </w:pPr>
            <w:r>
              <w:rPr/>
              <w:t> </w:t>
            </w:r>
          </w:p>
        </w:tc>
        <w:tc>
          <w:tcPr>
            <w:tcW w:w="121"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908" w:name="xdx_983_eus-gaap--SharebasedCompensation"/>
            <w:bookmarkEnd w:id="908"/>
          </w:p>
        </w:tc>
        <w:tc>
          <w:tcPr>
            <w:tcW w:w="1623"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24" w:type="dxa"/>
            <w:tcBorders>
              <w:bottom w:val="double" w:sz="6" w:space="0" w:color="000000"/>
            </w:tcBorders>
            <w:shd w:fill="FFFFFF" w:val="clear"/>
            <w:tcMar>
              <w:bottom w:w="28" w:type="dxa"/>
            </w:tcMar>
            <w:vAlign w:val="center"/>
          </w:tcPr>
          <w:p>
            <w:pPr>
              <w:pStyle w:val="TableContents"/>
              <w:spacing w:before="0" w:after="283"/>
              <w:jc w:val="left"/>
              <w:rPr/>
            </w:pPr>
            <w:r>
              <w:rPr/>
              <w:t>$</w:t>
            </w:r>
            <w:bookmarkStart w:id="909" w:name="xdx_98B_ecustom--SharebasedCompensationA"/>
            <w:bookmarkEnd w:id="909"/>
          </w:p>
        </w:tc>
        <w:tc>
          <w:tcPr>
            <w:tcW w:w="2896"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bookmarkStart w:id="910" w:name="xdx_8A0_zSqDpAy5ADwl"/>
      <w:bookmarkEnd w:id="910"/>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bookmarkStart w:id="911" w:name="xdx_805_ecustom--RedeemableNoncontrollin"/>
      <w:bookmarkEnd w:id="911"/>
      <w:r>
        <w:rPr>
          <w:rFonts w:ascii="Times New Roman;Times;Serif" w:hAnsi="Times New Roman;Times;Serif"/>
          <w:b/>
          <w:i w:val="false"/>
          <w:caps/>
          <w:sz w:val="20"/>
        </w:rPr>
        <w:t xml:space="preserve">Note 15 - </w:t>
      </w:r>
      <w:bookmarkStart w:id="912" w:name="xdx_820_zdC07LEYgit8"/>
      <w:bookmarkEnd w:id="912"/>
      <w:r>
        <w:rPr>
          <w:rFonts w:ascii="Times New Roman;Times;Serif" w:hAnsi="Times New Roman;Times;Serif"/>
          <w:b/>
          <w:i w:val="false"/>
          <w:caps/>
          <w:sz w:val="20"/>
        </w:rPr>
        <w:t>REDEEMABLE PREFERRED STOCK RIGHTS</w:t>
      </w:r>
    </w:p>
    <w:p>
      <w:pPr>
        <w:pStyle w:val="TextBody"/>
        <w:spacing w:before="0" w:after="0"/>
        <w:ind w:left="0" w:right="0" w:hanging="0"/>
        <w:jc w:val="both"/>
        <w:rPr>
          <w:caps/>
        </w:rPr>
      </w:pPr>
      <w:r>
        <w:rPr>
          <w:caps/>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Legacy Redeemable Convertible Preferred Stock previously classified as temporary equity was retroactively adjusted, converted into common stock at an exchange ratio of approximately </w:t>
      </w:r>
      <w:bookmarkStart w:id="913" w:name="xdx_907_ecustom--RecapitalizationExchang"/>
      <w:bookmarkEnd w:id="913"/>
      <w:r>
        <w:rPr>
          <w:rFonts w:ascii="Times New Roman;Times;Serif" w:hAnsi="Times New Roman;Times;Serif"/>
          <w:b w:val="false"/>
          <w:i w:val="false"/>
          <w:caps w:val="false"/>
          <w:smallCaps w:val="false"/>
          <w:sz w:val="20"/>
        </w:rPr>
        <w:t>1.182, and reclassified to permanent equity as a result of the reverse recapitalization. As of December 31, 2022, there was no Legacy Redeemable Convertible Preferred Stock authorized, issued or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rights and preferences of the Legacy Dragonfly Redeemable Convertible Preferred Stock prior to the conversion in the merger: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w:t>
      </w:r>
      <w:bookmarkStart w:id="914" w:name="xdx_909_eus-gaap--PreferredStockDividend"/>
      <w:bookmarkEnd w:id="914"/>
      <w:r>
        <w:rPr>
          <w:rFonts w:ascii="Times New Roman;Times;Serif" w:hAnsi="Times New Roman;Times;Serif"/>
          <w:b w:val="false"/>
          <w:i w:val="false"/>
          <w:caps w:val="false"/>
          <w:smallCaps w:val="false"/>
          <w:sz w:val="20"/>
        </w:rPr>
        <w:t>No dividends have been declared to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record of the shares of Series A Preferred Stock, exclusively and as a separate class, shall be entitled to elect </w:t>
      </w:r>
      <w:bookmarkStart w:id="915" w:name="xdx_907_ecustom--NumberOfDirectorsElecte"/>
      <w:bookmarkEnd w:id="915"/>
      <w:r>
        <w:rPr>
          <w:rFonts w:ascii="Times New Roman;Times;Serif" w:hAnsi="Times New Roman;Times;Serif"/>
          <w:b w:val="false"/>
          <w:i w:val="false"/>
          <w:caps w:val="false"/>
          <w:smallCaps w:val="false"/>
          <w:sz w:val="20"/>
        </w:rPr>
        <w:t>one director of the Company (the “</w:t>
      </w:r>
      <w:r>
        <w:rPr>
          <w:rFonts w:ascii="Times New Roman;Times;Serif" w:hAnsi="Times New Roman;Times;Serif"/>
          <w:b/>
          <w:i w:val="false"/>
          <w:caps w:val="false"/>
          <w:smallCaps w:val="false"/>
          <w:sz w:val="20"/>
        </w:rPr>
        <w:t>Series A Director</w:t>
      </w:r>
      <w:r>
        <w:rPr>
          <w:rFonts w:ascii="Times New Roman;Times;Serif" w:hAnsi="Times New Roman;Times;Serif"/>
          <w:b w:val="false"/>
          <w:i w:val="false"/>
          <w:caps w:val="false"/>
          <w:smallCaps w:val="false"/>
          <w:sz w:val="20"/>
        </w:rPr>
        <w:t xml:space="preserve">”). The Series A Director shall be given </w:t>
      </w:r>
      <w:bookmarkStart w:id="916" w:name="xdx_90C_ecustom--NumberOfDirectorsElecte"/>
      <w:bookmarkEnd w:id="916"/>
      <w:r>
        <w:rPr>
          <w:rFonts w:ascii="Times New Roman;Times;Serif" w:hAnsi="Times New Roman;Times;Serif"/>
          <w:b w:val="false"/>
          <w:i w:val="false"/>
          <w:caps w:val="false"/>
          <w:smallCaps w:val="false"/>
          <w:sz w:val="20"/>
        </w:rPr>
        <w:t>two votes on any action requiring the vote or approval of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record of the shares of common stock, exclusively and as a separate class, shall be entitled to elect </w:t>
      </w:r>
      <w:bookmarkStart w:id="917" w:name="xdx_904_ecustom--NumberOfVotesPerDirecto"/>
      <w:bookmarkEnd w:id="917"/>
      <w:r>
        <w:rPr>
          <w:rFonts w:ascii="Times New Roman;Times;Serif" w:hAnsi="Times New Roman;Times;Serif"/>
          <w:b w:val="false"/>
          <w:i w:val="false"/>
          <w:caps w:val="false"/>
          <w:smallCaps w:val="false"/>
          <w:sz w:val="20"/>
        </w:rPr>
        <w:t>two directors of the Company, the “</w:t>
      </w:r>
      <w:r>
        <w:rPr>
          <w:rFonts w:ascii="Times New Roman;Times;Serif" w:hAnsi="Times New Roman;Times;Serif"/>
          <w:b/>
          <w:i w:val="false"/>
          <w:caps w:val="false"/>
          <w:smallCaps w:val="false"/>
          <w:sz w:val="20"/>
        </w:rPr>
        <w:t>Common Stock Director A</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Common Stock Director B</w:t>
      </w:r>
      <w:r>
        <w:rPr>
          <w:rFonts w:ascii="Times New Roman;Times;Serif" w:hAnsi="Times New Roman;Times;Serif"/>
          <w:b w:val="false"/>
          <w:i w:val="false"/>
          <w:caps w:val="false"/>
          <w:smallCaps w:val="false"/>
          <w:sz w:val="20"/>
        </w:rPr>
        <w:t xml:space="preserve">”). The Common Stock Director A shall be given </w:t>
      </w:r>
      <w:bookmarkStart w:id="918" w:name="xdx_90E_ecustom--NumberOfVotesPerDirecto"/>
      <w:bookmarkEnd w:id="918"/>
      <w:r>
        <w:rPr>
          <w:rFonts w:ascii="Times New Roman;Times;Serif" w:hAnsi="Times New Roman;Times;Serif"/>
          <w:b w:val="false"/>
          <w:i w:val="false"/>
          <w:caps w:val="false"/>
          <w:smallCaps w:val="false"/>
          <w:sz w:val="20"/>
        </w:rPr>
        <w:t xml:space="preserve">three votes on any action requiring the vote or approval of the Board of Directors and the Common Stock Director B shall be given </w:t>
      </w:r>
      <w:bookmarkStart w:id="919" w:name="xdx_90C_ecustom--NumberOfVotesPerDirecto"/>
      <w:bookmarkEnd w:id="919"/>
      <w:r>
        <w:rPr>
          <w:rFonts w:ascii="Times New Roman;Times;Serif" w:hAnsi="Times New Roman;Times;Serif"/>
          <w:b w:val="false"/>
          <w:i w:val="false"/>
          <w:caps w:val="false"/>
          <w:smallCaps w:val="false"/>
          <w:sz w:val="20"/>
        </w:rPr>
        <w:t>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F-30</w:t>
            </w:r>
          </w:p>
        </w:tc>
      </w:tr>
    </w:tbl>
    <w:p>
      <w:pPr>
        <w:pStyle w:val="TextBody"/>
        <w:spacing w:before="120" w:after="283"/>
        <w:rPr/>
      </w:pPr>
      <w:r>
        <w:rPr/>
        <w:t> </w:t>
      </w:r>
    </w:p>
    <w:p>
      <w:pPr>
        <w:pStyle w:val="TextBody"/>
        <w:spacing w:before="0" w:after="0"/>
        <w:ind w:left="0" w:right="0" w:hanging="0"/>
        <w:rPr>
          <w:caps/>
        </w:rPr>
      </w:pPr>
      <w:r>
        <w:rPr>
          <w:caps/>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Liquidation, Dissolution or Winding Up; Certain Mergers, Consolidations and Assets Sales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dissolution or winding up of the Company or deemed liquidation event, as defined, the holders of shares of Series A Preferred Stock then outstanding (the “</w:t>
      </w:r>
      <w:r>
        <w:rPr>
          <w:rFonts w:ascii="Times New Roman;Times;Serif" w:hAnsi="Times New Roman;Times;Serif"/>
          <w:b/>
          <w:i w:val="false"/>
          <w:caps w:val="false"/>
          <w:smallCaps w:val="false"/>
          <w:sz w:val="20"/>
        </w:rPr>
        <w:t>Series A shareholders</w:t>
      </w:r>
      <w:r>
        <w:rPr>
          <w:rFonts w:ascii="Times New Roman;Times;Serif" w:hAnsi="Times New Roman;Times;Serif"/>
          <w:b w:val="false"/>
          <w:i w:val="false"/>
          <w:caps w:val="false"/>
          <w:smallCaps w:val="false"/>
          <w:sz w:val="20"/>
        </w:rPr>
        <w:t>”) shall be entitled to be paid out of the assets of the Company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Company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Company available for distribution to its stockholders shall be distributed among the holders of shares of common stock, pro rata based on the number of shares held by each such holder.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Redemption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Company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Company under Nevada Law with ninety days after a deemed liquidation event is not within the control of the Company. As such the Preferred Stock is precluded from permanent equity classification and has been presented as mezzanine 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w:t>
      </w:r>
      <w:bookmarkStart w:id="920" w:name="xdx_907_ecustom--ConversionPrice_pid_c20"/>
      <w:bookmarkEnd w:id="920"/>
      <w:r>
        <w:rPr>
          <w:rFonts w:ascii="Times New Roman;Times;Serif" w:hAnsi="Times New Roman;Times;Serif"/>
          <w:b w:val="false"/>
          <w:i w:val="false"/>
          <w:caps w:val="false"/>
          <w:smallCaps w:val="false"/>
          <w:sz w:val="20"/>
        </w:rPr>
        <w:t>0.20. Such initial conversion price may be converted into common stock, subject to certain adjustments.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Mandatory Conversion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either (a) the closing of the sale of shares of common stock at a price of at least $</w:t>
      </w:r>
      <w:bookmarkStart w:id="921" w:name="xdx_905_ecustom--StockPriceTriggerForMan"/>
      <w:bookmarkEnd w:id="921"/>
      <w:r>
        <w:rPr>
          <w:rFonts w:ascii="Times New Roman;Times;Serif" w:hAnsi="Times New Roman;Times;Serif"/>
          <w:b w:val="false"/>
          <w:i w:val="false"/>
          <w:caps w:val="false"/>
          <w:smallCaps w:val="false"/>
          <w:sz w:val="20"/>
        </w:rPr>
        <w:t>1.00 per share, in a firm-commitment underwritten public offering pursuant to an effective registration statement under the Securities Act of 1933, as amended, resulting in at least $</w:t>
      </w:r>
      <w:bookmarkStart w:id="922" w:name="xdx_908_ecustom--MinimumGrossProceedsFor"/>
      <w:bookmarkEnd w:id="922"/>
      <w:r>
        <w:rPr>
          <w:rFonts w:ascii="Times New Roman;Times;Serif" w:hAnsi="Times New Roman;Times;Serif"/>
          <w:b w:val="false"/>
          <w:i w:val="false"/>
          <w:caps w:val="false"/>
          <w:smallCaps w:val="false"/>
          <w:sz w:val="20"/>
        </w:rPr>
        <w:t xml:space="preserve">25,000 of gross proceeds to the Company or (b) the date and time, or the occurrence of an event, specified by vote or written consent of the holders of more than </w:t>
      </w:r>
      <w:bookmarkStart w:id="923" w:name="xdx_90B_ecustom--PercentageOfVotesForMan"/>
      <w:bookmarkEnd w:id="923"/>
      <w:r>
        <w:rPr>
          <w:rFonts w:ascii="Times New Roman;Times;Serif" w:hAnsi="Times New Roman;Times;Serif"/>
          <w:b w:val="false"/>
          <w:i w:val="false"/>
          <w:caps w:val="false"/>
          <w:smallCaps w:val="false"/>
          <w:sz w:val="20"/>
        </w:rPr>
        <w:t>50% of the then outstanding shares of Series A Preferred Stock, then (i) all outstanding shares of Series A Preferred Stock shall automatically be converted into shares of common stock, at the then effective conversion rate and (ii) such shares may not be reissued by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bookmarkStart w:id="924" w:name="xdx_806_eus-gaap--EarningsPerShareTextBl"/>
      <w:bookmarkEnd w:id="924"/>
      <w:r>
        <w:rPr>
          <w:rFonts w:ascii="Times New Roman;Times;Serif" w:hAnsi="Times New Roman;Times;Serif"/>
          <w:b/>
          <w:i w:val="false"/>
          <w:caps/>
          <w:sz w:val="20"/>
        </w:rPr>
        <w:t xml:space="preserve">Note 16 - </w:t>
      </w:r>
      <w:bookmarkStart w:id="925" w:name="xdx_82E_zxSERjxmmgUd"/>
      <w:bookmarkEnd w:id="925"/>
      <w:r>
        <w:rPr>
          <w:rFonts w:ascii="Times New Roman;Times;Serif" w:hAnsi="Times New Roman;Times;Serif"/>
          <w:b/>
          <w:i w:val="false"/>
          <w:caps/>
          <w:sz w:val="20"/>
        </w:rPr>
        <w:t>EARNINGS (LOSS)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Earnings (Loss) per Common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926" w:name="xdx_893_eus-gaap--ScheduleOfEarningsPerS"/>
      <w:bookmarkEnd w:id="926"/>
      <w:r>
        <w:rPr>
          <w:rFonts w:ascii="Times New Roman;Times;Serif" w:hAnsi="Times New Roman;Times;Serif"/>
          <w:b w:val="false"/>
          <w:i w:val="false"/>
          <w:caps w:val="false"/>
          <w:smallCaps w:val="false"/>
          <w:sz w:val="20"/>
        </w:rPr>
        <w:t>The following table sets forth the information needed to compute basic and diluted (loss) earnings per share for the years ended December 31, 2022 and December 31, 2021:</w:t>
      </w:r>
    </w:p>
    <w:p>
      <w:pPr>
        <w:pStyle w:val="TextBody"/>
        <w:spacing w:before="0" w:after="0"/>
        <w:ind w:left="0" w:right="0" w:hanging="0"/>
        <w:rPr>
          <w:caps w:val="false"/>
          <w:smallCaps w:val="false"/>
        </w:rPr>
      </w:pPr>
      <w:r>
        <w:rPr>
          <w:caps w:val="false"/>
          <w:smallCaps w:val="false"/>
        </w:rPr>
        <w:t> </w:t>
      </w:r>
      <w:bookmarkStart w:id="927" w:name="xdx_8B9_zPglhMv919Kl"/>
      <w:bookmarkStart w:id="928" w:name="xdx_8BF_zBpp8QIUHiie"/>
      <w:bookmarkEnd w:id="927"/>
      <w:bookmarkEnd w:id="928"/>
      <w:r>
        <w:rPr>
          <w:rFonts w:ascii="Times New Roman;Times;Serif" w:hAnsi="Times New Roman;Times;Serif"/>
          <w:b w:val="false"/>
          <w:i w:val="false"/>
          <w:caps w:val="false"/>
          <w:smallCaps w:val="false"/>
          <w:sz w:val="20"/>
        </w:rPr>
        <w:t>SCHEDULE OF INFORMATION NEEDED TO COMPUTE BASIC AND DILUTED EARNINGS PER SHARE</w:t>
      </w:r>
    </w:p>
    <w:tbl>
      <w:tblPr>
        <w:tblW w:w="9153" w:type="dxa"/>
        <w:jc w:val="left"/>
        <w:tblInd w:w="0" w:type="dxa"/>
        <w:tblCellMar>
          <w:top w:w="0" w:type="dxa"/>
          <w:left w:w="0" w:type="dxa"/>
          <w:bottom w:w="0" w:type="dxa"/>
          <w:right w:w="0" w:type="dxa"/>
        </w:tblCellMar>
      </w:tblPr>
      <w:tblGrid>
        <w:gridCol w:w="5075"/>
        <w:gridCol w:w="60"/>
        <w:gridCol w:w="213"/>
        <w:gridCol w:w="1681"/>
        <w:gridCol w:w="95"/>
        <w:gridCol w:w="60"/>
        <w:gridCol w:w="213"/>
        <w:gridCol w:w="1681"/>
        <w:gridCol w:w="75"/>
      </w:tblGrid>
      <w:tr>
        <w:trPr/>
        <w:tc>
          <w:tcPr>
            <w:tcW w:w="50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929" w:name="xdx_49D_20220101__20221231_z88hk2fYkF4b"/>
            <w:bookmarkEnd w:id="929"/>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December 31, 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930" w:name="xdx_49F_20210101_20211231"/>
            <w:bookmarkEnd w:id="930"/>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December 31, 2021</w:t>
            </w:r>
          </w:p>
        </w:tc>
        <w:tc>
          <w:tcPr>
            <w:tcW w:w="75" w:type="dxa"/>
            <w:tcBorders/>
            <w:shd w:fill="auto" w:val="clear"/>
            <w:vAlign w:val="center"/>
          </w:tcPr>
          <w:p>
            <w:pPr>
              <w:pStyle w:val="TableContents"/>
              <w:spacing w:before="0" w:after="283"/>
              <w:rPr/>
            </w:pPr>
            <w:r>
              <w:rPr/>
              <w:t> </w:t>
            </w:r>
            <w:bookmarkStart w:id="931" w:name="xdx_40C_eus-gaap--EarningsPerShareBasicA"/>
            <w:bookmarkEnd w:id="931"/>
          </w:p>
        </w:tc>
      </w:tr>
      <w:tr>
        <w:trPr/>
        <w:tc>
          <w:tcPr>
            <w:tcW w:w="507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Basic (Loss) Earnings per common share:</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68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681"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bookmarkStart w:id="932" w:name="xdx_40E_eus-gaap--NetIncomeLossAvailable"/>
            <w:bookmarkEnd w:id="932"/>
          </w:p>
        </w:tc>
      </w:tr>
      <w:tr>
        <w:trPr/>
        <w:tc>
          <w:tcPr>
            <w:tcW w:w="507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(Loss) Income available to common shareholders</w:t>
            </w:r>
          </w:p>
        </w:tc>
        <w:tc>
          <w:tcPr>
            <w:tcW w:w="60" w:type="dxa"/>
            <w:tcBorders/>
            <w:shd w:fill="FFFFFF" w:val="clear"/>
            <w:vAlign w:val="center"/>
          </w:tcPr>
          <w:p>
            <w:pPr>
              <w:pStyle w:val="TableContents"/>
              <w:spacing w:before="0" w:after="283"/>
              <w:rPr/>
            </w:pPr>
            <w:r>
              <w:rPr/>
              <w:t> </w:t>
            </w:r>
          </w:p>
        </w:tc>
        <w:tc>
          <w:tcPr>
            <w:tcW w:w="213" w:type="dxa"/>
            <w:tcBorders>
              <w:bottom w:val="single" w:sz="12"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213" w:type="dxa"/>
            <w:tcBorders>
              <w:bottom w:val="single" w:sz="12"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4,338</w:t>
            </w:r>
          </w:p>
        </w:tc>
        <w:tc>
          <w:tcPr>
            <w:tcW w:w="75" w:type="dxa"/>
            <w:tcBorders/>
            <w:shd w:fill="FFFFFF" w:val="clear"/>
            <w:vAlign w:val="center"/>
          </w:tcPr>
          <w:p>
            <w:pPr>
              <w:pStyle w:val="TableContents"/>
              <w:spacing w:before="0" w:after="283"/>
              <w:jc w:val="left"/>
              <w:rPr/>
            </w:pPr>
            <w:r>
              <w:rPr/>
              <w:t> </w:t>
            </w:r>
            <w:bookmarkStart w:id="933" w:name="xdx_409_eus-gaap--WeightedAverageNumberO"/>
            <w:bookmarkEnd w:id="933"/>
          </w:p>
        </w:tc>
      </w:tr>
      <w:tr>
        <w:trPr/>
        <w:tc>
          <w:tcPr>
            <w:tcW w:w="507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68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68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35,579,137</w:t>
            </w:r>
          </w:p>
        </w:tc>
        <w:tc>
          <w:tcPr>
            <w:tcW w:w="75" w:type="dxa"/>
            <w:tcBorders/>
            <w:shd w:fill="CCEEFF" w:val="clear"/>
            <w:vAlign w:val="center"/>
          </w:tcPr>
          <w:p>
            <w:pPr>
              <w:pStyle w:val="TableContents"/>
              <w:spacing w:before="0" w:after="283"/>
              <w:jc w:val="left"/>
              <w:rPr/>
            </w:pPr>
            <w:r>
              <w:rPr/>
              <w:t> </w:t>
            </w:r>
            <w:bookmarkStart w:id="934" w:name="xdx_401_eus-gaap--EarningsPerShareBasic_"/>
            <w:bookmarkEnd w:id="934"/>
          </w:p>
        </w:tc>
      </w:tr>
      <w:tr>
        <w:trPr/>
        <w:tc>
          <w:tcPr>
            <w:tcW w:w="507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(Loss) Earnings per share, basic</w:t>
            </w:r>
          </w:p>
        </w:tc>
        <w:tc>
          <w:tcPr>
            <w:tcW w:w="60" w:type="dxa"/>
            <w:tcBorders/>
            <w:shd w:fill="FFFFFF" w:val="clear"/>
            <w:vAlign w:val="center"/>
          </w:tcPr>
          <w:p>
            <w:pPr>
              <w:pStyle w:val="TableContents"/>
              <w:spacing w:before="0" w:after="283"/>
              <w:rPr/>
            </w:pPr>
            <w:r>
              <w:rPr/>
              <w:t> </w:t>
            </w:r>
          </w:p>
        </w:tc>
        <w:tc>
          <w:tcPr>
            <w:tcW w:w="21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21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0.12</w:t>
            </w:r>
          </w:p>
        </w:tc>
        <w:tc>
          <w:tcPr>
            <w:tcW w:w="75" w:type="dxa"/>
            <w:tcBorders/>
            <w:shd w:fill="FFFFFF" w:val="clear"/>
            <w:vAlign w:val="center"/>
          </w:tcPr>
          <w:p>
            <w:pPr>
              <w:pStyle w:val="TableContents"/>
              <w:spacing w:before="0" w:after="283"/>
              <w:jc w:val="left"/>
              <w:rPr/>
            </w:pPr>
            <w:r>
              <w:rPr/>
              <w:t> </w:t>
            </w:r>
          </w:p>
        </w:tc>
      </w:tr>
      <w:tr>
        <w:trPr/>
        <w:tc>
          <w:tcPr>
            <w:tcW w:w="50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68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pPr>
            <w:r>
              <w:rPr/>
              <w:t> </w:t>
            </w:r>
          </w:p>
        </w:tc>
        <w:tc>
          <w:tcPr>
            <w:tcW w:w="1681"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bookmarkStart w:id="935" w:name="xdx_402_eus-gaap--EarningsPerShareDilute"/>
            <w:bookmarkEnd w:id="935"/>
          </w:p>
        </w:tc>
      </w:tr>
      <w:tr>
        <w:trPr/>
        <w:tc>
          <w:tcPr>
            <w:tcW w:w="507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Diluted (Loss) earnings per common share:</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681"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681"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bookmarkStart w:id="936" w:name="xdx_405_eus-gaap--NetIncomeLossAvailable"/>
            <w:bookmarkEnd w:id="936"/>
          </w:p>
        </w:tc>
      </w:tr>
      <w:tr>
        <w:trPr/>
        <w:tc>
          <w:tcPr>
            <w:tcW w:w="50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(Loss) Income available to common shareholders</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68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68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4,338</w:t>
            </w:r>
          </w:p>
        </w:tc>
        <w:tc>
          <w:tcPr>
            <w:tcW w:w="75" w:type="dxa"/>
            <w:tcBorders/>
            <w:shd w:fill="CCEEFF" w:val="clear"/>
            <w:vAlign w:val="center"/>
          </w:tcPr>
          <w:p>
            <w:pPr>
              <w:pStyle w:val="TableContents"/>
              <w:spacing w:before="0" w:after="283"/>
              <w:jc w:val="left"/>
              <w:rPr/>
            </w:pPr>
            <w:r>
              <w:rPr/>
              <w:t> </w:t>
            </w:r>
            <w:bookmarkStart w:id="937" w:name="xdx_40D_eus-gaap--WeightedAverageNumberO"/>
            <w:bookmarkEnd w:id="937"/>
          </w:p>
        </w:tc>
      </w:tr>
      <w:tr>
        <w:trPr/>
        <w:tc>
          <w:tcPr>
            <w:tcW w:w="507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FFFFFF" w:val="clear"/>
            <w:vAlign w:val="center"/>
          </w:tcPr>
          <w:p>
            <w:pPr>
              <w:pStyle w:val="TableContents"/>
              <w:spacing w:before="0" w:after="283"/>
              <w:rPr/>
            </w:pPr>
            <w:r>
              <w:rPr/>
              <w:t> </w:t>
            </w:r>
          </w:p>
        </w:tc>
        <w:tc>
          <w:tcPr>
            <w:tcW w:w="21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8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8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35,579,137</w:t>
            </w:r>
          </w:p>
        </w:tc>
        <w:tc>
          <w:tcPr>
            <w:tcW w:w="75" w:type="dxa"/>
            <w:tcBorders/>
            <w:shd w:fill="FFFFFF" w:val="clear"/>
            <w:vAlign w:val="center"/>
          </w:tcPr>
          <w:p>
            <w:pPr>
              <w:pStyle w:val="TableContents"/>
              <w:spacing w:before="0" w:after="283"/>
              <w:jc w:val="left"/>
              <w:rPr/>
            </w:pPr>
            <w:r>
              <w:rPr/>
              <w:t> </w:t>
            </w:r>
            <w:bookmarkStart w:id="938" w:name="xdx_40D_eus-gaap--IncrementalCommonShare"/>
            <w:bookmarkEnd w:id="938"/>
          </w:p>
        </w:tc>
      </w:tr>
      <w:tr>
        <w:trPr/>
        <w:tc>
          <w:tcPr>
            <w:tcW w:w="50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Dilutive effect related to stock options</w:t>
            </w:r>
          </w:p>
        </w:tc>
        <w:tc>
          <w:tcPr>
            <w:tcW w:w="60" w:type="dxa"/>
            <w:tcBorders/>
            <w:shd w:fill="CCEEFF" w:val="clear"/>
            <w:vAlign w:val="center"/>
          </w:tcPr>
          <w:p>
            <w:pPr>
              <w:pStyle w:val="TableContents"/>
              <w:spacing w:before="0" w:after="283"/>
              <w:rPr/>
            </w:pPr>
            <w:r>
              <w:rPr/>
              <w:t> </w:t>
            </w:r>
          </w:p>
        </w:tc>
        <w:tc>
          <w:tcPr>
            <w:tcW w:w="21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8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8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2,163,200</w:t>
            </w:r>
          </w:p>
        </w:tc>
        <w:tc>
          <w:tcPr>
            <w:tcW w:w="75" w:type="dxa"/>
            <w:tcBorders/>
            <w:shd w:fill="CCEEFF" w:val="clear"/>
            <w:vAlign w:val="center"/>
          </w:tcPr>
          <w:p>
            <w:pPr>
              <w:pStyle w:val="TableContents"/>
              <w:spacing w:before="0" w:after="283"/>
              <w:jc w:val="left"/>
              <w:rPr/>
            </w:pPr>
            <w:r>
              <w:rPr/>
              <w:t> </w:t>
            </w:r>
            <w:bookmarkStart w:id="939" w:name="xdx_400_eus-gaap--WeightedAverageNumberO"/>
            <w:bookmarkEnd w:id="939"/>
          </w:p>
        </w:tc>
      </w:tr>
      <w:tr>
        <w:trPr/>
        <w:tc>
          <w:tcPr>
            <w:tcW w:w="507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Weighted average diluted shares outstanding</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68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jc w:val="left"/>
              <w:rPr/>
            </w:pPr>
            <w:r>
              <w:rPr/>
              <w:t> </w:t>
            </w:r>
          </w:p>
        </w:tc>
        <w:tc>
          <w:tcPr>
            <w:tcW w:w="168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37,742,337</w:t>
            </w:r>
          </w:p>
        </w:tc>
        <w:tc>
          <w:tcPr>
            <w:tcW w:w="75" w:type="dxa"/>
            <w:tcBorders/>
            <w:shd w:fill="FFFFFF" w:val="clear"/>
            <w:vAlign w:val="center"/>
          </w:tcPr>
          <w:p>
            <w:pPr>
              <w:pStyle w:val="TableContents"/>
              <w:spacing w:before="0" w:after="283"/>
              <w:jc w:val="left"/>
              <w:rPr/>
            </w:pPr>
            <w:r>
              <w:rPr/>
              <w:t> </w:t>
            </w:r>
            <w:bookmarkStart w:id="940" w:name="xdx_40C_eus-gaap--EarningsPerShareDilute"/>
            <w:bookmarkEnd w:id="940"/>
          </w:p>
        </w:tc>
      </w:tr>
      <w:tr>
        <w:trPr/>
        <w:tc>
          <w:tcPr>
            <w:tcW w:w="507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(Loss) Earnings per share, diluted</w:t>
            </w:r>
          </w:p>
        </w:tc>
        <w:tc>
          <w:tcPr>
            <w:tcW w:w="60" w:type="dxa"/>
            <w:tcBorders/>
            <w:shd w:fill="CCEEFF" w:val="clear"/>
            <w:vAlign w:val="center"/>
          </w:tcPr>
          <w:p>
            <w:pPr>
              <w:pStyle w:val="TableContents"/>
              <w:spacing w:before="0" w:after="283"/>
              <w:rPr/>
            </w:pPr>
            <w:r>
              <w:rPr/>
              <w:t> </w:t>
            </w:r>
          </w:p>
        </w:tc>
        <w:tc>
          <w:tcPr>
            <w:tcW w:w="21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1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0.11</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941" w:name="xdx_8A2_z7zvoUCXon55"/>
      <w:bookmarkEnd w:id="941"/>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F-31</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942" w:name="xdx_89A_eus-gaap--ScheduleOfAntidilutive"/>
      <w:bookmarkEnd w:id="942"/>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income per share net (loss) income per share because their effect was anti-dilutive:</w:t>
      </w:r>
    </w:p>
    <w:p>
      <w:pPr>
        <w:pStyle w:val="TextBody"/>
        <w:spacing w:before="0" w:after="0"/>
        <w:ind w:left="0" w:right="0" w:hanging="0"/>
        <w:jc w:val="both"/>
        <w:rPr>
          <w:caps w:val="false"/>
          <w:smallCaps w:val="false"/>
        </w:rPr>
      </w:pPr>
      <w:r>
        <w:rPr>
          <w:caps w:val="false"/>
          <w:smallCaps w:val="false"/>
        </w:rPr>
        <w:t> </w:t>
      </w:r>
      <w:bookmarkStart w:id="943" w:name="xdx_8B7_zk4s73Nvk2w9"/>
      <w:bookmarkEnd w:id="943"/>
      <w:r>
        <w:rPr>
          <w:rFonts w:ascii="Times New Roman;Times;Serif" w:hAnsi="Times New Roman;Times;Serif"/>
          <w:b w:val="false"/>
          <w:i w:val="false"/>
          <w:caps w:val="false"/>
          <w:smallCaps w:val="false"/>
          <w:sz w:val="20"/>
        </w:rPr>
        <w:t>SCHEDULE OF POTENTIAL SHARES OF COMMON STOCK EXCLUDED FROM DILUTED NET (LOSS) INCOME PER SHARE</w:t>
      </w:r>
    </w:p>
    <w:p>
      <w:pPr>
        <w:pStyle w:val="TextBody"/>
        <w:spacing w:before="0" w:after="0"/>
        <w:ind w:left="0" w:right="0" w:hanging="0"/>
        <w:jc w:val="both"/>
        <w:rPr>
          <w:caps w:val="false"/>
          <w:smallCaps w:val="false"/>
        </w:rPr>
      </w:pPr>
      <w:r>
        <w:rPr>
          <w:caps w:val="false"/>
          <w:smallCaps w:val="false"/>
        </w:rPr>
        <w:t> </w:t>
      </w:r>
    </w:p>
    <w:tbl>
      <w:tblPr>
        <w:tblW w:w="8908" w:type="dxa"/>
        <w:jc w:val="left"/>
        <w:tblInd w:w="0" w:type="dxa"/>
        <w:tblCellMar>
          <w:top w:w="0" w:type="dxa"/>
          <w:left w:w="0" w:type="dxa"/>
          <w:bottom w:w="0" w:type="dxa"/>
          <w:right w:w="0" w:type="dxa"/>
        </w:tblCellMar>
      </w:tblPr>
      <w:tblGrid>
        <w:gridCol w:w="4865"/>
        <w:gridCol w:w="60"/>
        <w:gridCol w:w="98"/>
        <w:gridCol w:w="1796"/>
        <w:gridCol w:w="60"/>
        <w:gridCol w:w="60"/>
        <w:gridCol w:w="219"/>
        <w:gridCol w:w="1675"/>
        <w:gridCol w:w="75"/>
      </w:tblGrid>
      <w:tr>
        <w:trPr/>
        <w:tc>
          <w:tcPr>
            <w:tcW w:w="48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December 31, 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December 31, 2021</w:t>
            </w:r>
          </w:p>
        </w:tc>
        <w:tc>
          <w:tcPr>
            <w:tcW w:w="75" w:type="dxa"/>
            <w:tcBorders/>
            <w:shd w:fill="auto" w:val="clear"/>
            <w:vAlign w:val="center"/>
          </w:tcPr>
          <w:p>
            <w:pPr>
              <w:pStyle w:val="TableContents"/>
              <w:spacing w:before="0" w:after="283"/>
              <w:rPr/>
            </w:pPr>
            <w:r>
              <w:rPr/>
              <w:t> </w:t>
            </w:r>
          </w:p>
        </w:tc>
      </w:tr>
      <w:tr>
        <w:trPr/>
        <w:tc>
          <w:tcPr>
            <w:tcW w:w="486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jc w:val="left"/>
              <w:rPr/>
            </w:pPr>
            <w:r>
              <w:rPr/>
              <w:t> </w:t>
            </w:r>
            <w:bookmarkStart w:id="944" w:name="xdx_983_eus-gaap--AntidilutiveSecurities"/>
            <w:bookmarkEnd w:id="944"/>
          </w:p>
        </w:tc>
        <w:tc>
          <w:tcPr>
            <w:tcW w:w="179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16,708,414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jc w:val="left"/>
              <w:rPr/>
            </w:pPr>
            <w:r>
              <w:rPr/>
              <w:t> </w:t>
            </w:r>
            <w:bookmarkStart w:id="945" w:name="xdx_988_eus-gaap--AntidilutiveSecurities"/>
            <w:bookmarkEnd w:id="945"/>
          </w:p>
        </w:tc>
        <w:tc>
          <w:tcPr>
            <w:tcW w:w="167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r>
        <w:trPr/>
        <w:tc>
          <w:tcPr>
            <w:tcW w:w="486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Restricted stock units</w:t>
            </w:r>
          </w:p>
        </w:tc>
        <w:tc>
          <w:tcPr>
            <w:tcW w:w="60"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jc w:val="left"/>
              <w:rPr/>
            </w:pPr>
            <w:r>
              <w:rPr/>
              <w:t> </w:t>
            </w:r>
            <w:bookmarkStart w:id="946" w:name="xdx_98D_eus-gaap--AntidilutiveSecurities"/>
            <w:bookmarkEnd w:id="946"/>
          </w:p>
        </w:tc>
        <w:tc>
          <w:tcPr>
            <w:tcW w:w="179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9" w:type="dxa"/>
            <w:tcBorders/>
            <w:shd w:fill="FFFFFF" w:val="clear"/>
            <w:vAlign w:val="center"/>
          </w:tcPr>
          <w:p>
            <w:pPr>
              <w:pStyle w:val="TableContents"/>
              <w:spacing w:before="0" w:after="283"/>
              <w:jc w:val="left"/>
              <w:rPr/>
            </w:pPr>
            <w:r>
              <w:rPr/>
              <w:t> </w:t>
            </w:r>
            <w:bookmarkStart w:id="947" w:name="xdx_98F_eus-gaap--AntidilutiveSecurities"/>
            <w:bookmarkEnd w:id="947"/>
          </w:p>
        </w:tc>
        <w:tc>
          <w:tcPr>
            <w:tcW w:w="16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486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spacing w:before="0" w:after="283"/>
              <w:rPr/>
            </w:pPr>
            <w:r>
              <w:rPr/>
              <w:t> </w:t>
            </w:r>
          </w:p>
        </w:tc>
        <w:tc>
          <w:tcPr>
            <w:tcW w:w="98"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948" w:name="xdx_988_eus-gaap--AntidilutiveSecurities"/>
            <w:bookmarkEnd w:id="948"/>
          </w:p>
        </w:tc>
        <w:tc>
          <w:tcPr>
            <w:tcW w:w="1796"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3,642,958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9"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949" w:name="xdx_980_eus-gaap--AntidilutiveSecurities"/>
            <w:bookmarkEnd w:id="949"/>
          </w:p>
        </w:tc>
        <w:tc>
          <w:tcPr>
            <w:tcW w:w="1675" w:type="dxa"/>
            <w:tcBorders>
              <w:bottom w:val="single" w:sz="12" w:space="0" w:color="000000"/>
            </w:tcBorders>
            <w:shd w:fill="CCEEFF" w:val="clear"/>
            <w:tcMar>
              <w:bottom w:w="28" w:type="dxa"/>
            </w:tcMar>
            <w:vAlign w:val="center"/>
          </w:tcPr>
          <w:p>
            <w:pPr>
              <w:pStyle w:val="TableContents"/>
              <w:spacing w:before="0" w:after="283"/>
              <w:jc w:val="right"/>
              <w:rPr/>
            </w:pPr>
            <w:r>
              <w:rPr/>
              <w:t>      </w:t>
            </w: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r>
        <w:trPr/>
        <w:tc>
          <w:tcPr>
            <w:tcW w:w="486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FFFFFF" w:val="clear"/>
            <w:vAlign w:val="center"/>
          </w:tcPr>
          <w:p>
            <w:pPr>
              <w:pStyle w:val="TableContents"/>
              <w:spacing w:before="0" w:after="283"/>
              <w:rPr/>
            </w:pPr>
            <w:r>
              <w:rPr/>
              <w:t> </w:t>
            </w:r>
          </w:p>
        </w:tc>
        <w:tc>
          <w:tcPr>
            <w:tcW w:w="98"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950" w:name="xdx_98A_eus-gaap--AntidilutiveSecurities"/>
            <w:bookmarkEnd w:id="950"/>
          </w:p>
        </w:tc>
        <w:tc>
          <w:tcPr>
            <w:tcW w:w="179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20,531,372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9"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951" w:name="xdx_983_eus-gaap--AntidilutiveSecurities"/>
            <w:bookmarkEnd w:id="951"/>
          </w:p>
        </w:tc>
        <w:tc>
          <w:tcPr>
            <w:tcW w:w="167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bookmarkStart w:id="952" w:name="xdx_8A0_zXsFkdWypmfd"/>
      <w:bookmarkEnd w:id="952"/>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953" w:name="xdx_802_ecustom--ProformaFinancialStatem"/>
      <w:bookmarkEnd w:id="953"/>
      <w:r>
        <w:rPr>
          <w:rFonts w:ascii="Times New Roman;Times;Serif" w:hAnsi="Times New Roman;Times;Serif"/>
          <w:b/>
          <w:i w:val="false"/>
          <w:caps w:val="false"/>
          <w:smallCaps w:val="false"/>
          <w:sz w:val="20"/>
        </w:rPr>
        <w:t xml:space="preserve">NOTE 17 – </w:t>
      </w:r>
      <w:bookmarkStart w:id="954" w:name="xdx_824_zX6pE4NM0aK9"/>
      <w:bookmarkEnd w:id="954"/>
      <w:r>
        <w:rPr>
          <w:rFonts w:ascii="Times New Roman;Times;Serif" w:hAnsi="Times New Roman;Times;Serif"/>
          <w:b/>
          <w:i w:val="false"/>
          <w:caps w:val="false"/>
          <w:smallCaps w:val="false"/>
          <w:sz w:val="20"/>
        </w:rPr>
        <w:t>SUBSEQUENT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the Company entered into a convertible promissory note with a board member in the amount of $</w:t>
      </w:r>
      <w:bookmarkStart w:id="955" w:name="xdx_90D_eus-gaap--ConvertibleNotesPayabl"/>
      <w:bookmarkEnd w:id="955"/>
      <w:r>
        <w:rPr>
          <w:rFonts w:ascii="Times New Roman;Times;Serif" w:hAnsi="Times New Roman;Times;Serif"/>
          <w:b w:val="false"/>
          <w:i w:val="false"/>
          <w:caps w:val="false"/>
          <w:smallCaps w:val="false"/>
          <w:sz w:val="20"/>
        </w:rPr>
        <w:t>1,000, or the Principal Amount. Upon execution of the Note and funding of the original principal sum, a payment of $</w:t>
      </w:r>
      <w:bookmarkStart w:id="956" w:name="xdx_909_eus-gaap--DebtInstrumentFaceAmou"/>
      <w:bookmarkEnd w:id="956"/>
      <w:r>
        <w:rPr>
          <w:rFonts w:ascii="Times New Roman;Times;Serif" w:hAnsi="Times New Roman;Times;Serif"/>
          <w:b w:val="false"/>
          <w:i w:val="false"/>
          <w:caps w:val="false"/>
          <w:smallCaps w:val="false"/>
          <w:sz w:val="20"/>
        </w:rPr>
        <w:t>100, or the Loan Fee, was fully earned as of the date of the note and was due and payable in full in cash on April 4, 2023. The Company paid the Principal Amount and the Loan Fee on April 1, 2023 and April 4, 2023,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Company changed its state of incorporation from the State of Delaware to the State of Nevada (the “</w:t>
      </w:r>
      <w:r>
        <w:rPr>
          <w:rFonts w:ascii="Times New Roman;Times;Serif" w:hAnsi="Times New Roman;Times;Serif"/>
          <w:b/>
          <w:i w:val="false"/>
          <w:caps w:val="false"/>
          <w:smallCaps w:val="false"/>
          <w:sz w:val="20"/>
        </w:rPr>
        <w:t>Reincorporation</w:t>
      </w:r>
      <w:r>
        <w:rPr>
          <w:rFonts w:ascii="Times New Roman;Times;Serif" w:hAnsi="Times New Roman;Times;Serif"/>
          <w:b w:val="false"/>
          <w:i w:val="false"/>
          <w:caps w:val="false"/>
          <w:smallCaps w:val="false"/>
          <w:sz w:val="20"/>
        </w:rPr>
        <w:t>”) pursuant to a plan of conversion dated March 30, 2023 (the “</w:t>
      </w:r>
      <w:r>
        <w:rPr>
          <w:rFonts w:ascii="Times New Roman;Times;Serif" w:hAnsi="Times New Roman;Times;Serif"/>
          <w:b/>
          <w:i w:val="false"/>
          <w:caps w:val="false"/>
          <w:smallCaps w:val="false"/>
          <w:sz w:val="20"/>
        </w:rPr>
        <w:t>Plan of Conversion</w:t>
      </w:r>
      <w:r>
        <w:rPr>
          <w:rFonts w:ascii="Times New Roman;Times;Serif" w:hAnsi="Times New Roman;Times;Serif"/>
          <w:b w:val="false"/>
          <w:i w:val="false"/>
          <w:caps w:val="false"/>
          <w:smallCaps w:val="false"/>
          <w:sz w:val="20"/>
        </w:rPr>
        <w:t>”). Pursuant to the Plan of Conversion, the issued and outstanding shares of common stock of the Company were automatically converted into common stock of the reincorporated company at the effective time of the Reincorporation.</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Purchase Agreement described in Note 13 the Company issued </w:t>
      </w:r>
      <w:bookmarkStart w:id="957" w:name="xdx_901_eus-gaap--StockIssuedDuringPerio"/>
      <w:bookmarkEnd w:id="957"/>
      <w:r>
        <w:rPr>
          <w:rFonts w:ascii="Times New Roman;Times;Serif" w:hAnsi="Times New Roman;Times;Serif"/>
          <w:b w:val="false"/>
          <w:i w:val="false"/>
          <w:caps w:val="false"/>
          <w:smallCaps w:val="false"/>
          <w:sz w:val="20"/>
        </w:rPr>
        <w:t>98,500 shares pursuant to the Purchase Agreement with CCM LLC for aggregate net proceeds to the Company of $</w:t>
      </w:r>
      <w:bookmarkStart w:id="958" w:name="xdx_904_eus-gaap--ProceedsFromIssuanceOf"/>
      <w:bookmarkEnd w:id="958"/>
      <w:r>
        <w:rPr>
          <w:rFonts w:ascii="Times New Roman;Times;Serif" w:hAnsi="Times New Roman;Times;Serif"/>
          <w:b w:val="false"/>
          <w:i w:val="false"/>
          <w:caps w:val="false"/>
          <w:smallCaps w:val="false"/>
          <w:sz w:val="20"/>
        </w:rPr>
        <w:t>671 through April 17, 2023.</w:t>
      </w:r>
    </w:p>
    <w:p>
      <w:pPr>
        <w:pStyle w:val="TextBody"/>
        <w:spacing w:before="0" w:after="0"/>
        <w:ind w:left="0" w:right="0" w:hanging="0"/>
        <w:jc w:val="both"/>
        <w:rPr>
          <w:caps w:val="false"/>
          <w:smallCaps w:val="false"/>
        </w:rPr>
      </w:pPr>
      <w:bookmarkStart w:id="959" w:name="xdx_814_zl1Raih2iipl"/>
      <w:bookmarkEnd w:id="959"/>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F-32</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expenses to be borne by the registrant in connection with the issuance and distribution of the securities being registered hereby.</w:t>
      </w:r>
    </w:p>
    <w:p>
      <w:pPr>
        <w:pStyle w:val="TextBody"/>
        <w:spacing w:before="0" w:after="0"/>
        <w:ind w:left="0" w:right="0" w:hanging="0"/>
        <w:jc w:val="both"/>
        <w:rPr>
          <w:caps w:val="false"/>
          <w:smallCaps w:val="false"/>
        </w:rPr>
      </w:pPr>
      <w:r>
        <w:rPr>
          <w:caps w:val="false"/>
          <w:smallCaps w:val="false"/>
        </w:rPr>
        <w:t> </w:t>
      </w:r>
    </w:p>
    <w:tbl>
      <w:tblPr>
        <w:tblW w:w="5655" w:type="dxa"/>
        <w:jc w:val="left"/>
        <w:tblInd w:w="0" w:type="dxa"/>
        <w:tblCellMar>
          <w:top w:w="0" w:type="dxa"/>
          <w:left w:w="0" w:type="dxa"/>
          <w:bottom w:w="0" w:type="dxa"/>
          <w:right w:w="0" w:type="dxa"/>
        </w:tblCellMar>
      </w:tblPr>
      <w:tblGrid>
        <w:gridCol w:w="4400"/>
        <w:gridCol w:w="60"/>
        <w:gridCol w:w="140"/>
        <w:gridCol w:w="980"/>
        <w:gridCol w:w="75"/>
      </w:tblGrid>
      <w:tr>
        <w:trPr/>
        <w:tc>
          <w:tcPr>
            <w:tcW w:w="440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4400" w:type="dxa"/>
            <w:tcBorders/>
            <w:shd w:fill="CCEEFF" w:val="clear"/>
            <w:vAlign w:val="center"/>
          </w:tcPr>
          <w:p>
            <w:pPr>
              <w:pStyle w:val="TableContents"/>
              <w:spacing w:before="0" w:after="283"/>
              <w:jc w:val="both"/>
              <w:rPr/>
            </w:pPr>
            <w:r>
              <w:rPr/>
              <w:t>SEC registration fees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51,843.74</w:t>
            </w:r>
          </w:p>
        </w:tc>
        <w:tc>
          <w:tcPr>
            <w:tcW w:w="75" w:type="dxa"/>
            <w:tcBorders/>
            <w:shd w:fill="CCEEFF" w:val="clear"/>
            <w:vAlign w:val="center"/>
          </w:tcPr>
          <w:p>
            <w:pPr>
              <w:pStyle w:val="TableContents"/>
              <w:spacing w:before="0" w:after="283"/>
              <w:jc w:val="left"/>
              <w:rPr/>
            </w:pPr>
            <w:r>
              <w:rPr/>
              <w:t> </w:t>
            </w:r>
          </w:p>
        </w:tc>
      </w:tr>
      <w:tr>
        <w:trPr/>
        <w:tc>
          <w:tcPr>
            <w:tcW w:w="4400" w:type="dxa"/>
            <w:tcBorders/>
            <w:shd w:fill="FFFFFF" w:val="clear"/>
            <w:vAlign w:val="center"/>
          </w:tcPr>
          <w:p>
            <w:pPr>
              <w:pStyle w:val="TableContents"/>
              <w:spacing w:before="0" w:after="283"/>
              <w:jc w:val="both"/>
              <w:rPr/>
            </w:pPr>
            <w:r>
              <w:rPr/>
              <w:t>Accounting fees and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rPr>
                <w:sz w:val="4"/>
                <w:szCs w:val="4"/>
              </w:rPr>
            </w:pPr>
            <w:r>
              <w:rPr>
                <w:sz w:val="4"/>
                <w:szCs w:val="4"/>
              </w:rPr>
            </w:r>
          </w:p>
        </w:tc>
      </w:tr>
      <w:tr>
        <w:trPr/>
        <w:tc>
          <w:tcPr>
            <w:tcW w:w="4400" w:type="dxa"/>
            <w:tcBorders/>
            <w:shd w:fill="CCEEFF" w:val="clear"/>
            <w:vAlign w:val="center"/>
          </w:tcPr>
          <w:p>
            <w:pPr>
              <w:pStyle w:val="TableContents"/>
              <w:spacing w:before="0" w:after="283"/>
              <w:jc w:val="both"/>
              <w:rPr/>
            </w:pPr>
            <w:r>
              <w:rPr/>
              <w:t>Legal fees and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rPr>
                <w:sz w:val="4"/>
                <w:szCs w:val="4"/>
              </w:rPr>
            </w:pPr>
            <w:r>
              <w:rPr>
                <w:sz w:val="4"/>
                <w:szCs w:val="4"/>
              </w:rPr>
            </w:r>
          </w:p>
        </w:tc>
      </w:tr>
      <w:tr>
        <w:trPr/>
        <w:tc>
          <w:tcPr>
            <w:tcW w:w="4400" w:type="dxa"/>
            <w:tcBorders/>
            <w:shd w:fill="FFFFFF" w:val="clear"/>
            <w:vAlign w:val="center"/>
          </w:tcPr>
          <w:p>
            <w:pPr>
              <w:pStyle w:val="TableContents"/>
              <w:spacing w:before="0" w:after="283"/>
              <w:jc w:val="both"/>
              <w:rPr/>
            </w:pPr>
            <w:r>
              <w:rPr/>
              <w:t>Financial printing and miscellaneous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rPr>
                <w:sz w:val="4"/>
                <w:szCs w:val="4"/>
              </w:rPr>
            </w:pPr>
            <w:r>
              <w:rPr>
                <w:sz w:val="4"/>
                <w:szCs w:val="4"/>
              </w:rPr>
            </w:r>
          </w:p>
        </w:tc>
      </w:tr>
      <w:tr>
        <w:trPr/>
        <w:tc>
          <w:tcPr>
            <w:tcW w:w="4400" w:type="dxa"/>
            <w:tcBorders/>
            <w:shd w:fill="CCEEFF" w:val="clear"/>
            <w:vAlign w:val="center"/>
          </w:tcPr>
          <w:p>
            <w:pPr>
              <w:pStyle w:val="TableContents"/>
              <w:spacing w:before="0" w:after="283"/>
              <w:jc w:val="both"/>
              <w:rPr/>
            </w:pPr>
            <w:r>
              <w:rPr/>
              <w:t>Total</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fees are calculated based on the securities offered and the number of issuances and accordingly cannot be defined at this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Articles of Incorporation nor our Bylaws prevent us from indemnifying our officers, directors and agents to the extent permitted under the Nevada Revised Statutes, as amended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NRS Section 78.751 provides that a corporation shall indemnify any director, officer, employee or agent of a corporation against expenses, including attorneys’ fees, actually and reasonably incurred by him in connection with any the defense to the extent that a director, officer, employee or agent of a corporation has been successful on the merits or otherwise in defense of any action, suit or proceeding referred to Section 78.7502(1) or 78.7502(2), or in defense of any claim, issue or matter therein.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 is not liable pursuant to NRS Section 78.138; or (b) acted in good faith and in a manner which he reasonably believed to be in or not opposed to the best interests of the corporation, and, with respect to any criminal action or proceeding, had no reasonable cause to believe his conduct was unlawful.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78.7502(2)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is not liable pursuant to NRS Section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78.747 provides that except as otherwise provided by specific statute or agreement, no person other than a corporation is individually liable for a debt or liability of the corporation, unless the person acts as the alter ego of the corporation. The court as a matter of law must determine the question of whether the person acts as the alter ego of a corporation.</w:t>
      </w:r>
    </w:p>
    <w:p>
      <w:pPr>
        <w:pStyle w:val="TextBody"/>
        <w:spacing w:before="0" w:after="0"/>
        <w:ind w:left="0" w:right="0" w:hanging="0"/>
        <w:jc w:val="both"/>
        <w:rPr>
          <w:caps w:val="false"/>
          <w:smallCaps w:val="false"/>
        </w:rPr>
      </w:pPr>
      <w:r>
        <w:rPr>
          <w:caps w:val="false"/>
          <w:smallCaps w:val="false"/>
        </w:rPr>
        <w:t> </w:t>
      </w:r>
    </w:p>
    <w:tbl>
      <w:tblPr>
        <w:tblW w:w="395" w:type="dxa"/>
        <w:jc w:val="left"/>
        <w:tblInd w:w="0" w:type="dxa"/>
        <w:tblCellMar>
          <w:top w:w="0" w:type="dxa"/>
          <w:left w:w="0" w:type="dxa"/>
          <w:bottom w:w="0" w:type="dxa"/>
          <w:right w:w="0" w:type="dxa"/>
        </w:tblCellMar>
      </w:tblPr>
      <w:tblGrid>
        <w:gridCol w:w="395"/>
      </w:tblGrid>
      <w:tr>
        <w:trPr/>
        <w:tc>
          <w:tcPr>
            <w:tcW w:w="395" w:type="dxa"/>
            <w:tcBorders/>
            <w:shd w:fill="auto" w:val="clear"/>
            <w:vAlign w:val="center"/>
          </w:tcPr>
          <w:p>
            <w:pPr>
              <w:pStyle w:val="TableContents"/>
              <w:spacing w:before="0" w:after="283"/>
              <w:jc w:val="center"/>
              <w:rPr/>
            </w:pPr>
            <w:r>
              <w:rPr/>
              <w:t>II-1</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controlling persons of ours, pursuant to the foregoing provisions, or otherwise,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a director, officer or controlling person in connection with the securities being registered, we will, unless in the opinion of its counsel the matter has been settled by controlling precedent, submit to a court of appropriate jurisdiction the question whether such indemnification is against public policy as expressed hereby in the Securities Act and we will be governed by the final adjudication of such issue.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the undertakings set out in response to Item 17 of this Registration Statement.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Recent Sales of Unregistered Securities.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IPO and Business Combination Issuances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2021, simultaneously with the closing of the CNTQ IPO, CNTQ completed the private sale of an aggregate of 4,361,456 Private Warrants to Warrant Holdings at a purchase price of approximately $0.93 per Private Warrant, generating gross proceeds to CNTQ of $4,052,000. The Private Warrants are identical to the warrants sold in the IPO except that the Private Warrants, so long as they are held by the initial purchasers or their respective permitted transferees, (i) were not redeemable by CNTQ, (ii) could not, subject to certain limited exceptions, be transferred, assigned, or sold by the initial purchaser until 30 days after the completion of the Transactions, and (iii) may be exercised by the holders on a cashless basis. No underwriting discounts or commissions were paid with respect to such sale. The issuance of the Private Warrants was made pursuant to the exemption from registration contained in Section 4(a)(2) of the Securities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we issued an additional 15,000 shares to CCM pursuant to the terms of the Subscription Agreement. See “</w:t>
      </w:r>
      <w:r>
        <w:rPr>
          <w:rFonts w:ascii="Times New Roman;Times;Serif" w:hAnsi="Times New Roman;Times;Serif"/>
          <w:b w:val="false"/>
          <w:i/>
          <w:caps w:val="false"/>
          <w:smallCaps w:val="false"/>
          <w:sz w:val="20"/>
        </w:rPr>
        <w:t>Management’s Discussion and Analysis —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Business Combination — PIPE Investment</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in connection with the entry into the Term Loan Agreement, we entered into (i) the Penny Warrants and (ii) the $10 Warrants. See “</w:t>
      </w:r>
      <w:r>
        <w:rPr>
          <w:rFonts w:ascii="Times New Roman;Times;Serif" w:hAnsi="Times New Roman;Times;Serif"/>
          <w:b w:val="false"/>
          <w:i/>
          <w:caps w:val="false"/>
          <w:smallCaps w:val="false"/>
          <w:sz w:val="20"/>
        </w:rPr>
        <w:t>Certain Relationships and Related Person Transactions — Debt Financing — Warrant Agreements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registered transactions, we issued the securities in the foregoing transactions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our transfer agent). The parties also had adequate access, through business or other relationships, to information about us.</w:t>
      </w:r>
    </w:p>
    <w:p>
      <w:pPr>
        <w:pStyle w:val="TextBody"/>
        <w:spacing w:before="0" w:after="0"/>
        <w:ind w:left="0" w:right="0" w:hanging="0"/>
        <w:jc w:val="both"/>
        <w:rPr>
          <w:caps w:val="false"/>
          <w:smallCaps w:val="false"/>
        </w:rPr>
      </w:pPr>
      <w:r>
        <w:rPr>
          <w:caps w:val="false"/>
          <w:smallCaps w:val="false"/>
        </w:rPr>
        <w:t> </w:t>
      </w:r>
    </w:p>
    <w:tbl>
      <w:tblPr>
        <w:tblW w:w="395" w:type="dxa"/>
        <w:jc w:val="left"/>
        <w:tblInd w:w="0" w:type="dxa"/>
        <w:tblCellMar>
          <w:top w:w="0" w:type="dxa"/>
          <w:left w:w="0" w:type="dxa"/>
          <w:bottom w:w="0" w:type="dxa"/>
          <w:right w:w="0" w:type="dxa"/>
        </w:tblCellMar>
      </w:tblPr>
      <w:tblGrid>
        <w:gridCol w:w="395"/>
      </w:tblGrid>
      <w:tr>
        <w:trPr/>
        <w:tc>
          <w:tcPr>
            <w:tcW w:w="395" w:type="dxa"/>
            <w:tcBorders/>
            <w:shd w:fill="auto" w:val="clear"/>
            <w:vAlign w:val="center"/>
          </w:tcPr>
          <w:p>
            <w:pPr>
              <w:pStyle w:val="TableContents"/>
              <w:spacing w:before="0" w:after="283"/>
              <w:jc w:val="center"/>
              <w:rPr/>
            </w:pPr>
            <w:r>
              <w:rPr/>
              <w:t>II-2</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RSU Grants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we granted each of our non-employee directors (i.e. Jonathan Bellows, Perry Boyle, Karina Edmonds, Luisa Ingargiola, Brian Nelson, and Rick Parod) an award of 30,000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under the Dragonfly Energy Holdings Corp. 2022 Equity Incentive Plan. The RSUs are eligible to vest on the first anniversary of the grant date, subject to each director’s continued service on our board through the vesting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transactions did not involve any underwriters, underwriting discounts or commissions, or any public offering. We believe these transactions were exempt from registration under the Securities Act in reliance on Section 4(a)(2) of the Securities Act (and Regulation D promulgated thereunder) as transactions by an issuer not involving any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certificates or book entry statements representing the securities issued in the transactions described above included appropriate legends setting forth that the securities had not been offered or sold pursuant to a registration statement and describing the applicable restrictions on transfer of the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Note in the Principal Amount of $1.0 million to Brian Nelson, one of our directors, in a private placement in exchange for cash in an equal amount. The Note became due and payable in full on April 1, 2023. We were also obligated to pay the Loan Fee in the amount of $100,000 to Mr. Nelson on April 4, 2023. The Principal Amount of the Note was paid in full on April 1, 2023 and the Loan Fee was paid in full on April 4,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Exhibits.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65"/>
        <w:gridCol w:w="60"/>
        <w:gridCol w:w="7347"/>
        <w:gridCol w:w="60"/>
        <w:gridCol w:w="504"/>
        <w:gridCol w:w="60"/>
        <w:gridCol w:w="655"/>
        <w:gridCol w:w="60"/>
        <w:gridCol w:w="694"/>
      </w:tblGrid>
      <w:tr>
        <w:trPr/>
        <w:tc>
          <w:tcPr>
            <w:tcW w:w="76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73" w:type="dxa"/>
            <w:gridSpan w:val="5"/>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6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7347"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504"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5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94"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"https://www.sec.gov/Archives/edgar/data/1847986/000110465922081684/cntq-20210630xs4.htm" \l "AnnexA_168524"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Agreement and Plan of Merger, dated as of May 15, 2022, by and among Dragonfly Energy Holdings Corp. (f/k/a Chardan NexTech Acquisition 2 Corp.), Bronco Merger Sub, Inc. and Dragonfly Energy Corp. (included as Annex A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r:id="rId10">
              <w:r>
                <w:rPr>
                  <w:rStyle w:val="InternetLink"/>
                  <w:rFonts w:ascii="Times New Roman;Times;Serif" w:hAnsi="Times New Roman;Times;Serif"/>
                  <w:b w:val="false"/>
                  <w:i w:val="false"/>
                  <w:caps w:val="false"/>
                  <w:smallCaps w:val="false"/>
                  <w:sz w:val="20"/>
                </w:rPr>
                <w:t>Amendment to Agreement and Plan of Merger, dated as of July 12, 2022, by and among Dragonfly Energy Holdings Corp. (f/k/a Chardan NexTech Acquisition 2 Corp.), Bronco Merger Sub, Inc. and Dragonfly Energy Corp.</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r:id="rId11">
              <w:r>
                <w:rPr>
                  <w:rStyle w:val="InternetLink"/>
                  <w:rFonts w:ascii="Times New Roman;Times;Serif" w:hAnsi="Times New Roman;Times;Serif"/>
                  <w:b w:val="false"/>
                  <w:i w:val="false"/>
                  <w:caps w:val="false"/>
                  <w:smallCaps w:val="false"/>
                  <w:sz w:val="20"/>
                </w:rPr>
                <w:t>Plan of Conversion.</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r:id="rId12">
              <w:r>
                <w:rPr>
                  <w:rStyle w:val="InternetLink"/>
                  <w:rFonts w:ascii="Times New Roman;Times;Serif" w:hAnsi="Times New Roman;Times;Serif"/>
                  <w:b w:val="false"/>
                  <w:i w:val="false"/>
                  <w:caps w:val="false"/>
                  <w:smallCaps w:val="false"/>
                  <w:sz w:val="20"/>
                </w:rPr>
                <w:t xml:space="preserve">Articles of Incorporation of Dragonfly Energy Holdings Corp. </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r:id="rId13">
              <w:r>
                <w:rPr>
                  <w:rStyle w:val="InternetLink"/>
                  <w:rFonts w:ascii="Times New Roman;Times;Serif" w:hAnsi="Times New Roman;Times;Serif"/>
                  <w:b w:val="false"/>
                  <w:i w:val="false"/>
                  <w:caps w:val="false"/>
                  <w:smallCaps w:val="false"/>
                  <w:sz w:val="20"/>
                </w:rPr>
                <w:t xml:space="preserve">Bylaws of Dragonfly Energy Holdings Corp. </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r:id="rId14">
              <w:r>
                <w:rPr>
                  <w:rStyle w:val="InternetLink"/>
                  <w:rFonts w:ascii="Times New Roman;Times;Serif" w:hAnsi="Times New Roman;Times;Serif"/>
                  <w:b w:val="false"/>
                  <w:i w:val="false"/>
                  <w:caps w:val="false"/>
                  <w:smallCaps w:val="false"/>
                  <w:sz w:val="20"/>
                </w:rPr>
                <w:t>Specimen Common Stock Certificate of Dragonfly Energy Holdings Corp.</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r:id="rId15">
              <w:r>
                <w:rPr>
                  <w:rStyle w:val="InternetLink"/>
                  <w:rFonts w:ascii="Times New Roman;Times;Serif" w:hAnsi="Times New Roman;Times;Serif"/>
                  <w:b w:val="false"/>
                  <w:i w:val="false"/>
                  <w:caps w:val="false"/>
                  <w:smallCaps w:val="false"/>
                  <w:sz w:val="20"/>
                </w:rPr>
                <w:t>Form of $10 Warrant of Dragonfly Energy Holdings Corp.</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r:id="rId16">
              <w:r>
                <w:rPr>
                  <w:rStyle w:val="InternetLink"/>
                  <w:rFonts w:ascii="Times New Roman;Times;Serif" w:hAnsi="Times New Roman;Times;Serif"/>
                  <w:b w:val="false"/>
                  <w:i w:val="false"/>
                  <w:caps w:val="false"/>
                  <w:smallCaps w:val="false"/>
                  <w:sz w:val="20"/>
                </w:rPr>
                <w:t>Form of Penny Warrant of Dragonfly Energy Holdings Corp.</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r:id="rId17">
              <w:r>
                <w:rPr>
                  <w:rStyle w:val="InternetLink"/>
                  <w:rFonts w:ascii="Times New Roman;Times;Serif" w:hAnsi="Times New Roman;Times;Serif"/>
                  <w:b w:val="false"/>
                  <w:i w:val="false"/>
                  <w:caps w:val="false"/>
                  <w:smallCaps w:val="false"/>
                  <w:sz w:val="20"/>
                </w:rPr>
                <w:t>Warrant Agreement, dated as of October 19, 2022, between Dragonfly Energy Holdings Corp. and American Stock Transfer &amp; Trust Company,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10/21/2022</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r:id="rId18">
              <w:r>
                <w:rPr>
                  <w:rStyle w:val="InternetLink"/>
                  <w:rFonts w:ascii="Times New Roman;Times;Serif" w:hAnsi="Times New Roman;Times;Serif"/>
                  <w:b w:val="false"/>
                  <w:i w:val="false"/>
                  <w:caps w:val="false"/>
                  <w:smallCaps w:val="false"/>
                  <w:sz w:val="20"/>
                </w:rPr>
                <w:t>Specimen Warrant Certificate of Dragonfly Energy Holdings Corp.</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r:id="rId19">
              <w:r>
                <w:rPr>
                  <w:rStyle w:val="InternetLink"/>
                  <w:rFonts w:ascii="Times New Roman;Times;Serif" w:hAnsi="Times New Roman;Times;Serif"/>
                  <w:b w:val="false"/>
                  <w:i w:val="false"/>
                  <w:caps w:val="false"/>
                  <w:smallCaps w:val="false"/>
                  <w:sz w:val="20"/>
                </w:rPr>
                <w:t>Promissory Note of the Company, dated March 5, 2023.</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03/09/2023</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r:id="rId20">
              <w:r>
                <w:rPr>
                  <w:rStyle w:val="InternetLink"/>
                  <w:rFonts w:ascii="Times New Roman;Times;Serif" w:hAnsi="Times New Roman;Times;Serif"/>
                  <w:b w:val="false"/>
                  <w:i w:val="false"/>
                  <w:caps w:val="false"/>
                  <w:smallCaps w:val="false"/>
                  <w:sz w:val="20"/>
                </w:rPr>
                <w:t>Description of Securities.</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w:anchor="ex5-1.htm">
              <w:r>
                <w:rPr>
                  <w:rStyle w:val="InternetLink"/>
                  <w:rFonts w:ascii="Times New Roman;Times;Serif" w:hAnsi="Times New Roman;Times;Serif"/>
                  <w:b w:val="false"/>
                  <w:i w:val="false"/>
                  <w:caps w:val="false"/>
                  <w:smallCaps w:val="false"/>
                  <w:sz w:val="20"/>
                </w:rPr>
                <w:t>Opinion of Parsons Behle &amp; Latimer.</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hyperlink w:anchor="ex5-2.htm">
              <w:r>
                <w:rPr>
                  <w:rStyle w:val="InternetLink"/>
                  <w:rFonts w:ascii="Times New Roman;Times;Serif" w:hAnsi="Times New Roman;Times;Serif"/>
                  <w:b w:val="false"/>
                  <w:i w:val="false"/>
                  <w:caps w:val="false"/>
                  <w:smallCaps w:val="false"/>
                  <w:sz w:val="20"/>
                </w:rPr>
                <w:t>Opinion of Lowenstein Sandler LLP.</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47" w:type="dxa"/>
            <w:tcBorders/>
            <w:shd w:fill="auto" w:val="clear"/>
            <w:vAlign w:val="center"/>
          </w:tcPr>
          <w:p>
            <w:pPr>
              <w:pStyle w:val="TableContents"/>
              <w:spacing w:before="0" w:after="283"/>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"https://www.sec.gov/Archives/edgar/data/1847986/000110465922100022/tm2218377-26_s4a.htm" \l "tANNE"</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Sponsor Support Agreement, dated as of May 15, 2022, by and among Chardan NexTech Investments 2 LLC, Dragonfly Energy Corp. and Chardan NexTech Investments 2 LLC (included as Annex E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4"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bl>
    <w:p>
      <w:pPr>
        <w:pStyle w:val="TextBody"/>
        <w:spacing w:before="0" w:after="0"/>
        <w:ind w:left="0" w:right="0" w:hanging="0"/>
        <w:jc w:val="both"/>
        <w:rPr>
          <w:caps w:val="false"/>
          <w:smallCaps w:val="false"/>
        </w:rPr>
      </w:pPr>
      <w:r>
        <w:rPr>
          <w:caps w:val="false"/>
          <w:smallCaps w:val="false"/>
        </w:rPr>
        <w:t> </w:t>
      </w:r>
    </w:p>
    <w:tbl>
      <w:tblPr>
        <w:tblW w:w="395" w:type="dxa"/>
        <w:jc w:val="left"/>
        <w:tblInd w:w="0" w:type="dxa"/>
        <w:tblCellMar>
          <w:top w:w="0" w:type="dxa"/>
          <w:left w:w="0" w:type="dxa"/>
          <w:bottom w:w="0" w:type="dxa"/>
          <w:right w:w="0" w:type="dxa"/>
        </w:tblCellMar>
      </w:tblPr>
      <w:tblGrid>
        <w:gridCol w:w="395"/>
      </w:tblGrid>
      <w:tr>
        <w:trPr/>
        <w:tc>
          <w:tcPr>
            <w:tcW w:w="395" w:type="dxa"/>
            <w:tcBorders/>
            <w:shd w:fill="auto" w:val="clear"/>
            <w:vAlign w:val="center"/>
          </w:tcPr>
          <w:p>
            <w:pPr>
              <w:pStyle w:val="TableContents"/>
              <w:spacing w:before="0" w:after="283"/>
              <w:jc w:val="center"/>
              <w:rPr/>
            </w:pPr>
            <w:r>
              <w:rPr/>
              <w:t>II-3</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67"/>
        <w:gridCol w:w="60"/>
        <w:gridCol w:w="8002"/>
        <w:gridCol w:w="60"/>
        <w:gridCol w:w="281"/>
        <w:gridCol w:w="60"/>
        <w:gridCol w:w="485"/>
        <w:gridCol w:w="60"/>
        <w:gridCol w:w="630"/>
      </w:tblGrid>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"https://www.sec.gov/Archives/edgar/data/1847986/000110465922100022/tm2218377-26_s4a.htm" \l "tANNJ"</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Commitment Letter, dated as of May 15, 2022, by and among Dragonfly Energy Holdings Corp. (f/k/a Chardan NexTech Acquisition 2 Corp.), Dragonfly Energy Corp., CCM Investments 5 LLC and EICF Agent LLC (included as Annex J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"https://www.sec.gov/Archives/edgar/data/1847986/000110465922100022/tm2218377-26_s4a.htm" \l "tANNK"</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Equity Facility Letter Agreement, dated as of May 15, 2022, by and among Dragonfly Energy Corp., Dragonfly Energy Holdings Corp. (f/k/a Chardan NexTech Acquisition 2 Corp.) and CCM Investments 5 LLC (included as Annex K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"https://www.sec.gov/Archives/edgar/data/1847986/000110465922100022/tm2218377-26_s4a.htm" \l "tANNF"</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Subscription Agreement, dated as of May 15, 2022, between Dragonfly Energy Holdings Corp. (f/k/a Chardan NexTech Acquisition 2 Corp.) and Chardan NexTech Investments 2 LLC (included as Annex F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21">
              <w:r>
                <w:rPr>
                  <w:rStyle w:val="InternetLink"/>
                  <w:rFonts w:ascii="Times New Roman;Times;Serif" w:hAnsi="Times New Roman;Times;Serif"/>
                  <w:b w:val="false"/>
                  <w:i w:val="false"/>
                  <w:caps w:val="false"/>
                  <w:smallCaps w:val="false"/>
                  <w:sz w:val="20"/>
                </w:rPr>
                <w:t>Dragonfly Energy Holdings Corp. 2022 Equity Incentive Plan.</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22">
              <w:r>
                <w:rPr>
                  <w:rStyle w:val="InternetLink"/>
                  <w:rFonts w:ascii="Times New Roman;Times;Serif" w:hAnsi="Times New Roman;Times;Serif"/>
                  <w:b w:val="false"/>
                  <w:i w:val="false"/>
                  <w:caps w:val="false"/>
                  <w:smallCaps w:val="false"/>
                  <w:sz w:val="20"/>
                </w:rPr>
                <w:t>Dragonfly Energy Holdings Corp. Employee Stock Purchase Plan.</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23">
              <w:r>
                <w:rPr>
                  <w:rStyle w:val="InternetLink"/>
                  <w:rFonts w:ascii="Times New Roman;Times;Serif" w:hAnsi="Times New Roman;Times;Serif"/>
                  <w:b w:val="false"/>
                  <w:i w:val="false"/>
                  <w:caps w:val="false"/>
                  <w:smallCaps w:val="false"/>
                  <w:sz w:val="20"/>
                </w:rPr>
                <w:t>Form of Director Indemnification Agreement.</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S-4/A</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09/14/2022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24">
              <w:r>
                <w:rPr>
                  <w:rStyle w:val="InternetLink"/>
                  <w:rFonts w:ascii="Times New Roman;Times;Serif" w:hAnsi="Times New Roman;Times;Serif"/>
                  <w:b w:val="false"/>
                  <w:i w:val="false"/>
                  <w:caps w:val="false"/>
                  <w:smallCaps w:val="false"/>
                  <w:sz w:val="20"/>
                </w:rPr>
                <w:t>Multi-tenant Industrial Triple Net Lease, dated as of March 1, 2021, between Dragonfly Energy Corp. and Icon Reno Property Owner Pool 3 Nevada,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25">
              <w:r>
                <w:rPr>
                  <w:rStyle w:val="InternetLink"/>
                  <w:rFonts w:ascii="Times New Roman;Times;Serif" w:hAnsi="Times New Roman;Times;Serif"/>
                  <w:b w:val="false"/>
                  <w:i w:val="false"/>
                  <w:caps w:val="false"/>
                  <w:smallCaps w:val="false"/>
                  <w:sz w:val="20"/>
                </w:rPr>
                <w:t>Lease, dated as of February 8, 2022, between Dragonfly Energy Corp. and Prologis, L.P.</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07/22/2022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26">
              <w:r>
                <w:rPr>
                  <w:rStyle w:val="InternetLink"/>
                  <w:rFonts w:ascii="Times New Roman;Times;Serif" w:hAnsi="Times New Roman;Times;Serif"/>
                  <w:b w:val="false"/>
                  <w:i w:val="false"/>
                  <w:caps w:val="false"/>
                  <w:smallCaps w:val="false"/>
                  <w:sz w:val="20"/>
                </w:rPr>
                <w:t>Purchase Agreement, dated as of October 7, 2022, between Dragonfly Energy Holdings Corp. and Chardan Capital Markets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27">
              <w:r>
                <w:rPr>
                  <w:rStyle w:val="InternetLink"/>
                  <w:rFonts w:ascii="Times New Roman;Times;Serif" w:hAnsi="Times New Roman;Times;Serif"/>
                  <w:b w:val="false"/>
                  <w:i w:val="false"/>
                  <w:caps w:val="false"/>
                  <w:smallCaps w:val="false"/>
                  <w:sz w:val="20"/>
                </w:rPr>
                <w:t>Registration Rights Agreement, dated as of October 7, 2022, between Dragonfly Energy Holdings Corp. and Chardan Capital Markets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28">
              <w:r>
                <w:rPr>
                  <w:rStyle w:val="InternetLink"/>
                  <w:rFonts w:ascii="Times New Roman;Times;Serif" w:hAnsi="Times New Roman;Times;Serif"/>
                  <w:b w:val="false"/>
                  <w:i w:val="false"/>
                  <w:caps w:val="false"/>
                  <w:smallCaps w:val="false"/>
                  <w:sz w:val="20"/>
                </w:rPr>
                <w:t>Term Loan Agreement, dated as of October 7, 2022, by and among the Dragonfly Energy Holdings Corp., Dragonfly Energy Corp., the lenders from time to time party thereto and Alter Domus (US)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29">
              <w:r>
                <w:rPr>
                  <w:rStyle w:val="InternetLink"/>
                  <w:rFonts w:ascii="Times New Roman;Times;Serif" w:hAnsi="Times New Roman;Times;Serif"/>
                  <w:b w:val="false"/>
                  <w:i w:val="false"/>
                  <w:caps w:val="false"/>
                  <w:smallCaps w:val="false"/>
                  <w:sz w:val="20"/>
                </w:rPr>
                <w:t>Pledge Agreement, dated as of October 7, 2022, by and among Dragonfly Energy Holdings Corp. and Alter Domus (US)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30">
              <w:r>
                <w:rPr>
                  <w:rStyle w:val="InternetLink"/>
                  <w:rFonts w:ascii="Times New Roman;Times;Serif" w:hAnsi="Times New Roman;Times;Serif"/>
                  <w:b w:val="false"/>
                  <w:i w:val="false"/>
                  <w:caps w:val="false"/>
                  <w:smallCaps w:val="false"/>
                  <w:sz w:val="20"/>
                </w:rPr>
                <w:t>Employment Agreement, dated as of January 1, 2022, by and between Dragonfly Energy Corp. and Denis Phares.</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31">
              <w:r>
                <w:rPr>
                  <w:rStyle w:val="InternetLink"/>
                  <w:rFonts w:ascii="Times New Roman;Times;Serif" w:hAnsi="Times New Roman;Times;Serif"/>
                  <w:b w:val="false"/>
                  <w:i w:val="false"/>
                  <w:caps w:val="false"/>
                  <w:smallCaps w:val="false"/>
                  <w:sz w:val="20"/>
                </w:rPr>
                <w:t>Amendment to Employment Agreement, dated as of May 15, 2022, by and between Dragonfly Energy Corp. and Denis Phares.</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32">
              <w:r>
                <w:rPr>
                  <w:rStyle w:val="InternetLink"/>
                  <w:rFonts w:ascii="Times New Roman;Times;Serif" w:hAnsi="Times New Roman;Times;Serif"/>
                  <w:b w:val="false"/>
                  <w:i w:val="false"/>
                  <w:caps w:val="false"/>
                  <w:smallCaps w:val="false"/>
                  <w:sz w:val="20"/>
                </w:rPr>
                <w:t>Employment Agreement, dated as of January 1, 2022, by and between Dragonfly Energy Corp. and Sean Nichols.</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33">
              <w:r>
                <w:rPr>
                  <w:rStyle w:val="InternetLink"/>
                  <w:rFonts w:ascii="Times New Roman;Times;Serif" w:hAnsi="Times New Roman;Times;Serif"/>
                  <w:b w:val="false"/>
                  <w:i w:val="false"/>
                  <w:caps w:val="false"/>
                  <w:smallCaps w:val="false"/>
                  <w:sz w:val="20"/>
                </w:rPr>
                <w:t>Amendment to Employment Agreement, dated as of May 15, 2022, by and between Dragonfly Energy Corp. and Sean Nichols.</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34">
              <w:r>
                <w:rPr>
                  <w:rStyle w:val="InternetLink"/>
                  <w:rFonts w:ascii="Times New Roman;Times;Serif" w:hAnsi="Times New Roman;Times;Serif"/>
                  <w:b w:val="false"/>
                  <w:i w:val="false"/>
                  <w:caps w:val="false"/>
                  <w:smallCaps w:val="false"/>
                  <w:sz w:val="20"/>
                </w:rPr>
                <w:t>Employment Agreement, dated as of August 17, 2021, by and between Dragonfly Energy Corp. and John Marchetti.</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35">
              <w:r>
                <w:rPr>
                  <w:rStyle w:val="InternetLink"/>
                  <w:rFonts w:ascii="Times New Roman;Times;Serif" w:hAnsi="Times New Roman;Times;Serif"/>
                  <w:b w:val="false"/>
                  <w:i w:val="false"/>
                  <w:caps w:val="false"/>
                  <w:smallCaps w:val="false"/>
                  <w:sz w:val="20"/>
                </w:rPr>
                <w:t>Dragonfly Energy Corp. 2019 Stock Incentive Plan.</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36">
              <w:r>
                <w:rPr>
                  <w:rStyle w:val="InternetLink"/>
                  <w:rFonts w:ascii="Times New Roman;Times;Serif" w:hAnsi="Times New Roman;Times;Serif"/>
                  <w:b w:val="false"/>
                  <w:i w:val="false"/>
                  <w:caps w:val="false"/>
                  <w:smallCaps w:val="false"/>
                  <w:sz w:val="20"/>
                </w:rPr>
                <w:t>Dragonfly Energy Corp. 2021 Stock Incentive Plan.</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37">
              <w:r>
                <w:rPr>
                  <w:rStyle w:val="InternetLink"/>
                  <w:rFonts w:ascii="Times New Roman;Times;Serif" w:hAnsi="Times New Roman;Times;Serif"/>
                  <w:b w:val="false"/>
                  <w:i w:val="false"/>
                  <w:caps w:val="false"/>
                  <w:smallCaps w:val="false"/>
                  <w:sz w:val="20"/>
                </w:rPr>
                <w:t>Amended and Restated Registration Rights Agreement, dated as of October 7, 2022, by and among Dragonfly Energy Holdings Corp. and each of the stockholders thereto.</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38">
              <w:r>
                <w:rPr>
                  <w:rStyle w:val="InternetLink"/>
                  <w:rFonts w:ascii="Times New Roman;Times;Serif" w:hAnsi="Times New Roman;Times;Serif"/>
                  <w:b w:val="false"/>
                  <w:i w:val="false"/>
                  <w:caps w:val="false"/>
                  <w:smallCaps w:val="false"/>
                  <w:sz w:val="20"/>
                </w:rPr>
                <w:t>Director Compensation Policy.</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39">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Denis Phares.</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r>
        <w:trPr/>
        <w:tc>
          <w:tcPr>
            <w:tcW w:w="5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2" w:type="dxa"/>
            <w:tcBorders/>
            <w:shd w:fill="auto" w:val="clear"/>
            <w:vAlign w:val="center"/>
          </w:tcPr>
          <w:p>
            <w:pPr>
              <w:pStyle w:val="TableContents"/>
              <w:spacing w:before="0" w:after="283"/>
              <w:rPr/>
            </w:pPr>
            <w:hyperlink r:id="rId40">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John Marchetti.</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1"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3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bl>
    <w:p>
      <w:pPr>
        <w:pStyle w:val="TextBody"/>
        <w:spacing w:before="0" w:after="0"/>
        <w:ind w:left="0" w:right="0" w:hanging="0"/>
        <w:jc w:val="both"/>
        <w:rPr>
          <w:caps w:val="false"/>
          <w:smallCaps w:val="false"/>
        </w:rPr>
      </w:pPr>
      <w:r>
        <w:rPr>
          <w:caps w:val="false"/>
          <w:smallCaps w:val="false"/>
        </w:rPr>
        <w:t> </w:t>
      </w:r>
    </w:p>
    <w:tbl>
      <w:tblPr>
        <w:tblW w:w="395" w:type="dxa"/>
        <w:jc w:val="left"/>
        <w:tblInd w:w="0" w:type="dxa"/>
        <w:tblCellMar>
          <w:top w:w="0" w:type="dxa"/>
          <w:left w:w="0" w:type="dxa"/>
          <w:bottom w:w="0" w:type="dxa"/>
          <w:right w:w="0" w:type="dxa"/>
        </w:tblCellMar>
      </w:tblPr>
      <w:tblGrid>
        <w:gridCol w:w="395"/>
      </w:tblGrid>
      <w:tr>
        <w:trPr/>
        <w:tc>
          <w:tcPr>
            <w:tcW w:w="395" w:type="dxa"/>
            <w:tcBorders/>
            <w:shd w:fill="auto" w:val="clear"/>
            <w:vAlign w:val="center"/>
          </w:tcPr>
          <w:p>
            <w:pPr>
              <w:pStyle w:val="TableContents"/>
              <w:spacing w:before="0" w:after="283"/>
              <w:jc w:val="center"/>
              <w:rPr/>
            </w:pPr>
            <w:r>
              <w:rPr/>
              <w:t>II-4</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22"/>
        <w:gridCol w:w="60"/>
        <w:gridCol w:w="7838"/>
        <w:gridCol w:w="60"/>
        <w:gridCol w:w="393"/>
        <w:gridCol w:w="60"/>
        <w:gridCol w:w="485"/>
        <w:gridCol w:w="60"/>
        <w:gridCol w:w="627"/>
      </w:tblGrid>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41">
              <w:r>
                <w:rPr>
                  <w:rStyle w:val="InternetLink"/>
                  <w:rFonts w:ascii="Times New Roman;Times;Serif" w:hAnsi="Times New Roman;Times;Serif"/>
                  <w:b w:val="false"/>
                  <w:i w:val="false"/>
                  <w:caps w:val="false"/>
                  <w:smallCaps w:val="false"/>
                  <w:sz w:val="20"/>
                </w:rPr>
                <w:t>First Amended and Restated Employment Agreement, dated February 24, 2023, by and between Dragonfly Energy Holdings Corp. and John Marchetti.</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03/02/2023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42">
              <w:r>
                <w:rPr>
                  <w:rStyle w:val="InternetLink"/>
                  <w:rFonts w:ascii="Times New Roman;Times;Serif" w:hAnsi="Times New Roman;Times;Serif"/>
                  <w:b w:val="false"/>
                  <w:i w:val="false"/>
                  <w:caps w:val="false"/>
                  <w:smallCaps w:val="false"/>
                  <w:sz w:val="20"/>
                </w:rPr>
                <w:t>Separation Agreement by and between Dragonfly Energy Holdings Corp. and Sean Nichols, dated October 25, 2022.</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43">
              <w:r>
                <w:rPr>
                  <w:rStyle w:val="InternetLink"/>
                  <w:rFonts w:ascii="Times New Roman;Times;Serif" w:hAnsi="Times New Roman;Times;Serif"/>
                  <w:b w:val="false"/>
                  <w:i w:val="false"/>
                  <w:caps w:val="false"/>
                  <w:smallCaps w:val="false"/>
                  <w:sz w:val="20"/>
                </w:rPr>
                <w:t>First Amendment to Separation Agreement by and between Dragonfly Energy Holdings Corp. and Sean Nichols, dated November 14, 2022.</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44">
              <w:r>
                <w:rPr>
                  <w:rStyle w:val="InternetLink"/>
                  <w:rFonts w:ascii="Times New Roman;Times;Serif" w:hAnsi="Times New Roman;Times;Serif"/>
                  <w:b w:val="false"/>
                  <w:i w:val="false"/>
                  <w:caps w:val="false"/>
                  <w:smallCaps w:val="false"/>
                  <w:sz w:val="20"/>
                </w:rPr>
                <w:t>Asset Purchase Agreement, dated April 22, 2022, by and among Dragonfly Energy Corp., Thomason Jones Company, LLC, William Thomason and Richard Jones.</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45">
              <w:r>
                <w:rPr>
                  <w:rStyle w:val="InternetLink"/>
                  <w:rFonts w:ascii="Times New Roman;Times;Serif" w:hAnsi="Times New Roman;Times;Serif"/>
                  <w:b w:val="false"/>
                  <w:i w:val="false"/>
                  <w:caps w:val="false"/>
                  <w:smallCaps w:val="false"/>
                  <w:sz w:val="20"/>
                </w:rPr>
                <w:t>Manufacturing Supply Agreement, dated November 19, 2021, by and between Dragonfly Energy Holdings Corp. and Keystone RV Company.</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46">
              <w:r>
                <w:rPr>
                  <w:rStyle w:val="InternetLink"/>
                  <w:rFonts w:ascii="Times New Roman;Times;Serif" w:hAnsi="Times New Roman;Times;Serif"/>
                  <w:b w:val="false"/>
                  <w:i w:val="false"/>
                  <w:caps w:val="false"/>
                  <w:smallCaps w:val="false"/>
                  <w:sz w:val="20"/>
                </w:rPr>
                <w:t>Asset Purchase Agreement, dated January 1, 2022, by and between Dragonfly Energy Holdings Corp. and Bourns Productions, Inc.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47">
              <w:r>
                <w:rPr>
                  <w:rStyle w:val="InternetLink"/>
                  <w:rFonts w:ascii="Times New Roman;Times;Serif" w:hAnsi="Times New Roman;Times;Serif"/>
                  <w:b w:val="false"/>
                  <w:i w:val="false"/>
                  <w:caps w:val="false"/>
                  <w:smallCaps w:val="false"/>
                  <w:sz w:val="20"/>
                </w:rPr>
                <w:t>Assignment and Assumption Agreement, dated January 1, 2022, by and between Dragonfly Energy Corp. and Bourns Productions, Inc.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48">
              <w:r>
                <w:rPr>
                  <w:rStyle w:val="InternetLink"/>
                  <w:rFonts w:ascii="Times New Roman;Times;Serif" w:hAnsi="Times New Roman;Times;Serif"/>
                  <w:b w:val="false"/>
                  <w:i w:val="false"/>
                  <w:caps w:val="false"/>
                  <w:smallCaps w:val="false"/>
                  <w:sz w:val="20"/>
                </w:rPr>
                <w:t>Assignment and Assumption of Lease Agreement, dated January 1, 2022, by and among Dragonfly Energy Corp., Bourns Productions, Inc. and Los Angeles &amp; Steel Co.</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49">
              <w:r>
                <w:rPr>
                  <w:rStyle w:val="InternetLink"/>
                  <w:rFonts w:ascii="Times New Roman;Times;Serif" w:hAnsi="Times New Roman;Times;Serif"/>
                  <w:b w:val="false"/>
                  <w:i w:val="false"/>
                  <w:caps w:val="false"/>
                  <w:smallCaps w:val="false"/>
                  <w:sz w:val="20"/>
                </w:rPr>
                <w:t>Research and Development Lab Lease, dated April 25, 2019, by and between Dragonfly Energy Corp. and BRE RS Greg Park Owner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50">
              <w:r>
                <w:rPr>
                  <w:rStyle w:val="InternetLink"/>
                  <w:rFonts w:ascii="Times New Roman;Times;Serif" w:hAnsi="Times New Roman;Times;Serif"/>
                  <w:b w:val="false"/>
                  <w:i w:val="false"/>
                  <w:caps w:val="false"/>
                  <w:smallCaps w:val="false"/>
                  <w:sz w:val="20"/>
                </w:rPr>
                <w:t>Amendment No. 1 to Research and Lab Lease, dated March 12, 2020, by and between Dragonfly Energy Corp. and DRE RS Greg Park Owner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51">
              <w:r>
                <w:rPr>
                  <w:rStyle w:val="InternetLink"/>
                  <w:rFonts w:ascii="Times New Roman;Times;Serif" w:hAnsi="Times New Roman;Times;Serif"/>
                  <w:b w:val="false"/>
                  <w:i w:val="false"/>
                  <w:caps w:val="false"/>
                  <w:smallCaps w:val="false"/>
                  <w:sz w:val="20"/>
                </w:rPr>
                <w:t>Amendment No. 2 to Research and Lab Lease, dated July 27, 2020, by and between Dragonfly Energy Corp. and DRE RS Greg Park Owner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52">
              <w:r>
                <w:rPr>
                  <w:rStyle w:val="InternetLink"/>
                  <w:rFonts w:ascii="Times New Roman;Times;Serif" w:hAnsi="Times New Roman;Times;Serif"/>
                  <w:b w:val="false"/>
                  <w:i w:val="false"/>
                  <w:caps w:val="false"/>
                  <w:smallCaps w:val="false"/>
                  <w:sz w:val="20"/>
                </w:rPr>
                <w:t>Amendment No. 3 to Research and Lab Lease, dated August 26, 2020, by and between Dragonfly Energy Corp. and DRE RS Greg Park Owner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53">
              <w:r>
                <w:rPr>
                  <w:rStyle w:val="InternetLink"/>
                  <w:rFonts w:ascii="Times New Roman;Times;Serif" w:hAnsi="Times New Roman;Times;Serif"/>
                  <w:b w:val="false"/>
                  <w:i w:val="false"/>
                  <w:caps w:val="false"/>
                  <w:smallCaps w:val="false"/>
                  <w:sz w:val="20"/>
                </w:rPr>
                <w:t>Amendment No. 4 to Research and Lab Lease, dated December 16, 2020, by and between Dragonfly Energy Corp. and BRS RS Greg Park Owner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54">
              <w:r>
                <w:rPr>
                  <w:rStyle w:val="InternetLink"/>
                  <w:rFonts w:ascii="Times New Roman;Times;Serif" w:hAnsi="Times New Roman;Times;Serif"/>
                  <w:b w:val="false"/>
                  <w:i w:val="false"/>
                  <w:caps w:val="false"/>
                  <w:smallCaps w:val="false"/>
                  <w:sz w:val="20"/>
                </w:rPr>
                <w:t>Amendment No. 5 to Research and Lab Lease, dated January 28, 2022, by and between Dragonfly Energy Corp. and BRS RS Greg Park Owner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04/17/2023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55">
              <w:r>
                <w:rPr>
                  <w:rStyle w:val="InternetLink"/>
                  <w:rFonts w:ascii="Times New Roman;Times;Serif" w:hAnsi="Times New Roman;Times;Serif"/>
                  <w:b w:val="false"/>
                  <w:i w:val="false"/>
                  <w:caps w:val="false"/>
                  <w:smallCaps w:val="false"/>
                  <w:sz w:val="20"/>
                </w:rPr>
                <w:t>Limited Waiver, dated as of March 29, 2023, to the Term Loan, Guarantee and Security Agreement, dated as of October 7, 2022, by and among Dragonfly Energy Holdings Corp., Dragonfly Energy Corp., the lenders from time to time party thereto and Alter Domus (US) LLC.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03/29/2023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56">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Nicole Harvey.</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05/01/2023</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57">
              <w:r>
                <w:rPr>
                  <w:rStyle w:val="InternetLink"/>
                  <w:rFonts w:ascii="Times New Roman;Times;Serif" w:hAnsi="Times New Roman;Times;Serif"/>
                  <w:b w:val="false"/>
                  <w:i w:val="false"/>
                  <w:caps w:val="false"/>
                  <w:smallCaps w:val="false"/>
                  <w:sz w:val="20"/>
                </w:rPr>
                <w:t>Dragonfly Energy Holdings Corp. Code of Conduct.</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58">
              <w:r>
                <w:rPr>
                  <w:rStyle w:val="InternetLink"/>
                  <w:rFonts w:ascii="Times New Roman;Times;Serif" w:hAnsi="Times New Roman;Times;Serif"/>
                  <w:b w:val="false"/>
                  <w:i w:val="false"/>
                  <w:caps w:val="false"/>
                  <w:smallCaps w:val="false"/>
                  <w:sz w:val="20"/>
                </w:rPr>
                <w:t>Dragonfly Energy Holdings Corp. Code of Ethics.</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59">
              <w:r>
                <w:rPr>
                  <w:rStyle w:val="InternetLink"/>
                  <w:rFonts w:ascii="Times New Roman;Times;Serif" w:hAnsi="Times New Roman;Times;Serif"/>
                  <w:b w:val="false"/>
                  <w:i w:val="false"/>
                  <w:caps w:val="false"/>
                  <w:smallCaps w:val="false"/>
                  <w:sz w:val="20"/>
                </w:rPr>
                <w:t>Letter from WithumSmith+Brown, PC to the SEC.</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60">
              <w:r>
                <w:rPr>
                  <w:rStyle w:val="InternetLink"/>
                  <w:rFonts w:ascii="Times New Roman;Times;Serif" w:hAnsi="Times New Roman;Times;Serif"/>
                  <w:b w:val="false"/>
                  <w:i w:val="false"/>
                  <w:caps w:val="false"/>
                  <w:smallCaps w:val="false"/>
                  <w:sz w:val="20"/>
                </w:rPr>
                <w:t>List of Subsidiaries.</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w:anchor="ex23-1.htm">
              <w:r>
                <w:rPr>
                  <w:rStyle w:val="InternetLink"/>
                  <w:rFonts w:ascii="Times New Roman;Times;Serif" w:hAnsi="Times New Roman;Times;Serif"/>
                  <w:b w:val="false"/>
                  <w:i w:val="false"/>
                  <w:caps w:val="false"/>
                  <w:smallCaps w:val="false"/>
                  <w:sz w:val="20"/>
                </w:rPr>
                <w:t>Consent of BDO USA, LLP.</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w:anchor="ex5-1.htm">
              <w:r>
                <w:rPr>
                  <w:rStyle w:val="InternetLink"/>
                  <w:rFonts w:ascii="Times New Roman;Times;Serif" w:hAnsi="Times New Roman;Times;Serif"/>
                  <w:b w:val="false"/>
                  <w:i w:val="false"/>
                  <w:caps w:val="false"/>
                  <w:smallCaps w:val="false"/>
                  <w:sz w:val="20"/>
                </w:rPr>
                <w:t>Consent of Parsons Behle &amp; Latimer (included in Exhibit 5.1 hereto).</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w:anchor="ex5-2.htm">
              <w:r>
                <w:rPr>
                  <w:rStyle w:val="InternetLink"/>
                  <w:rFonts w:ascii="Times New Roman;Times;Serif" w:hAnsi="Times New Roman;Times;Serif"/>
                  <w:b w:val="false"/>
                  <w:i w:val="false"/>
                  <w:caps w:val="false"/>
                  <w:smallCaps w:val="false"/>
                  <w:sz w:val="20"/>
                </w:rPr>
                <w:t>Consent of Lowenstein Sandler LLP (included in Exhibit 5.2 hereto).</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"https://www.sec.gov/Archives/edgar/data/1847986/000110465922125957/dfli-20220930xs1a.htm" \l "POWEROFATTORNEY_227775"</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on the signature page to the prospectus which forms part of this registration statement).</w:t>
            </w:r>
            <w:r>
              <w:rPr>
                <w:rStyle w:val="InternetLink"/>
                <w:smallCaps w:val="false"/>
                <w:caps w:val="false"/>
                <w:sz w:val="20"/>
                <w:i w:val="false"/>
                <w:b w:val="false"/>
                <w:rFonts w:ascii="Times New Roman;Times;Serif" w:hAnsi="Times New Roman;Times;Serif"/>
              </w:rPr>
              <w:fldChar w:fldCharType="end"/>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6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38" w:type="dxa"/>
            <w:tcBorders/>
            <w:shd w:fill="auto" w:val="clear"/>
            <w:vAlign w:val="center"/>
          </w:tcPr>
          <w:p>
            <w:pPr>
              <w:pStyle w:val="TableContents"/>
              <w:spacing w:before="0" w:after="283"/>
              <w:rPr/>
            </w:pPr>
            <w:hyperlink r:id="rId61">
              <w:r>
                <w:rPr>
                  <w:rStyle w:val="InternetLink"/>
                  <w:rFonts w:ascii="Times New Roman;Times;Serif" w:hAnsi="Times New Roman;Times;Serif"/>
                  <w:b w:val="false"/>
                  <w:i w:val="false"/>
                  <w:caps w:val="false"/>
                  <w:smallCaps w:val="false"/>
                  <w:sz w:val="20"/>
                </w:rPr>
                <w:t>Filing Fee Exhibit</w:t>
              </w:r>
            </w:hyperlink>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3"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7" w:type="dxa"/>
            <w:tcBorders/>
            <w:shd w:fill="auto" w:val="clear"/>
            <w:vAlign w:val="center"/>
          </w:tcPr>
          <w:p>
            <w:pPr>
              <w:pStyle w:val="TableContents"/>
              <w:spacing w:before="0" w:after="283"/>
              <w:jc w:val="center"/>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filed.</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schedules and exhibits to the agreement have been omitted pursuant to Item 601(b)(2) of Regulation S-K. A copy of any omitted schedule and/or exhibit will be furnished to the Securities and Exchange Commission upon request.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No financial statement schedules are provided because the information called for is not required or is shown either in the financial statements or the notes thereto.</w:t>
      </w:r>
    </w:p>
    <w:p>
      <w:pPr>
        <w:pStyle w:val="TextBody"/>
        <w:spacing w:before="0" w:after="0"/>
        <w:ind w:left="0" w:right="0" w:hanging="0"/>
        <w:jc w:val="both"/>
        <w:rPr>
          <w:caps w:val="false"/>
          <w:smallCaps w:val="false"/>
        </w:rPr>
      </w:pPr>
      <w:r>
        <w:rPr>
          <w:caps w:val="false"/>
          <w:smallCaps w:val="false"/>
        </w:rPr>
        <w:t> </w:t>
      </w:r>
    </w:p>
    <w:tbl>
      <w:tblPr>
        <w:tblW w:w="395" w:type="dxa"/>
        <w:jc w:val="left"/>
        <w:tblInd w:w="0" w:type="dxa"/>
        <w:tblCellMar>
          <w:top w:w="0" w:type="dxa"/>
          <w:left w:w="0" w:type="dxa"/>
          <w:bottom w:w="0" w:type="dxa"/>
          <w:right w:w="0" w:type="dxa"/>
        </w:tblCellMar>
      </w:tblPr>
      <w:tblGrid>
        <w:gridCol w:w="395"/>
      </w:tblGrid>
      <w:tr>
        <w:trPr/>
        <w:tc>
          <w:tcPr>
            <w:tcW w:w="395" w:type="dxa"/>
            <w:tcBorders/>
            <w:shd w:fill="auto" w:val="clear"/>
            <w:vAlign w:val="center"/>
          </w:tcPr>
          <w:p>
            <w:pPr>
              <w:pStyle w:val="TableContents"/>
              <w:spacing w:before="0" w:after="283"/>
              <w:jc w:val="center"/>
              <w:rPr/>
            </w:pPr>
            <w:r>
              <w:rPr/>
              <w:t>II-5</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67"/>
        <w:gridCol w:w="9900"/>
      </w:tblGrid>
      <w:tr>
        <w:trPr/>
        <w:tc>
          <w:tcPr>
            <w:tcW w:w="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tc>
      </w:tr>
      <w:tr>
        <w:trPr/>
        <w:tc>
          <w:tcPr>
            <w:tcW w:w="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tc>
      </w:tr>
      <w:tr>
        <w:trPr/>
        <w:tc>
          <w:tcPr>
            <w:tcW w:w="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92"/>
        <w:gridCol w:w="9875"/>
      </w:tblGrid>
      <w:tr>
        <w:trPr/>
        <w:tc>
          <w:tcPr>
            <w:tcW w:w="3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r>
        <w:trPr/>
        <w:tc>
          <w:tcPr>
            <w:tcW w:w="3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r>
        <w:trPr/>
        <w:tc>
          <w:tcPr>
            <w:tcW w:w="3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r>
        <w:trPr/>
        <w:tc>
          <w:tcPr>
            <w:tcW w:w="3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spacing w:before="0" w:after="0"/>
        <w:ind w:left="0" w:right="0" w:hanging="0"/>
        <w:jc w:val="center"/>
        <w:rPr>
          <w:caps w:val="false"/>
          <w:smallCaps w:val="false"/>
        </w:rPr>
      </w:pPr>
      <w:r>
        <w:rPr>
          <w:caps w:val="false"/>
          <w:smallCaps w:val="false"/>
        </w:rPr>
        <w:t> </w:t>
      </w:r>
    </w:p>
    <w:tbl>
      <w:tblPr>
        <w:tblW w:w="395" w:type="dxa"/>
        <w:jc w:val="left"/>
        <w:tblInd w:w="0" w:type="dxa"/>
        <w:tblCellMar>
          <w:top w:w="0" w:type="dxa"/>
          <w:left w:w="0" w:type="dxa"/>
          <w:bottom w:w="0" w:type="dxa"/>
          <w:right w:w="0" w:type="dxa"/>
        </w:tblCellMar>
      </w:tblPr>
      <w:tblGrid>
        <w:gridCol w:w="395"/>
      </w:tblGrid>
      <w:tr>
        <w:trPr/>
        <w:tc>
          <w:tcPr>
            <w:tcW w:w="395" w:type="dxa"/>
            <w:tcBorders/>
            <w:shd w:fill="auto" w:val="clear"/>
            <w:vAlign w:val="center"/>
          </w:tcPr>
          <w:p>
            <w:pPr>
              <w:pStyle w:val="TableContents"/>
              <w:spacing w:before="0" w:after="283"/>
              <w:jc w:val="center"/>
              <w:rPr/>
            </w:pPr>
            <w:r>
              <w:rPr/>
              <w:t>II-6</w:t>
            </w:r>
          </w:p>
        </w:tc>
      </w:tr>
    </w:tbl>
    <w:p>
      <w:pPr>
        <w:pStyle w:val="TextBody"/>
        <w:spacing w:before="120" w:after="283"/>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Reno, State of Nevada, as of May 2, 2023.</w:t>
      </w:r>
    </w:p>
    <w:p>
      <w:pPr>
        <w:pStyle w:val="TextBody"/>
        <w:spacing w:before="0" w:after="0"/>
        <w:ind w:left="0" w:right="0" w:hanging="0"/>
        <w:rPr>
          <w:caps w:val="false"/>
          <w:smallCaps w:val="false"/>
        </w:rPr>
      </w:pPr>
      <w:r>
        <w:rPr>
          <w:caps w:val="false"/>
          <w:smallCaps w:val="false"/>
        </w:rPr>
        <w:t> </w:t>
      </w:r>
    </w:p>
    <w:tbl>
      <w:tblPr>
        <w:tblW w:w="4600" w:type="dxa"/>
        <w:jc w:val="left"/>
        <w:tblInd w:w="0" w:type="dxa"/>
        <w:tblCellMar>
          <w:top w:w="0" w:type="dxa"/>
          <w:left w:w="0" w:type="dxa"/>
          <w:bottom w:w="0" w:type="dxa"/>
          <w:right w:w="0" w:type="dxa"/>
        </w:tblCellMar>
      </w:tblPr>
      <w:tblGrid>
        <w:gridCol w:w="75"/>
        <w:gridCol w:w="545"/>
        <w:gridCol w:w="398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525"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caps w:val="false"/>
                <w:smallCaps w:val="false"/>
              </w:rPr>
            </w:pPr>
            <w:r>
              <w:rPr>
                <w:caps w:val="false"/>
                <w:smallCaps w:val="false"/>
              </w:rPr>
              <w:t> </w:t>
            </w:r>
          </w:p>
        </w:tc>
        <w:tc>
          <w:tcPr>
            <w:tcW w:w="398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firstLine="720"/>
        <w:rPr>
          <w:caps w:val="false"/>
          <w:smallCaps w:val="false"/>
        </w:rPr>
      </w:pPr>
      <w:r>
        <w:rPr>
          <w:caps w:val="false"/>
          <w:smallCaps w:val="false"/>
        </w:rPr>
        <w:t> </w:t>
      </w:r>
    </w:p>
    <w:tbl>
      <w:tblPr>
        <w:tblW w:w="6735" w:type="dxa"/>
        <w:jc w:val="left"/>
        <w:tblInd w:w="0" w:type="dxa"/>
        <w:tblCellMar>
          <w:top w:w="0" w:type="dxa"/>
          <w:left w:w="0" w:type="dxa"/>
          <w:bottom w:w="28" w:type="dxa"/>
          <w:right w:w="0" w:type="dxa"/>
        </w:tblCellMar>
      </w:tblPr>
      <w:tblGrid>
        <w:gridCol w:w="1535"/>
        <w:gridCol w:w="60"/>
        <w:gridCol w:w="4010"/>
        <w:gridCol w:w="60"/>
        <w:gridCol w:w="1070"/>
      </w:tblGrid>
      <w:tr>
        <w:trPr/>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Chairman, President and Chief Executive Officer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2023</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Marchetti</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2023</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2023</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2023</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2023</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2023</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2023</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2023</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Edmonds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tbl>
      <w:tblPr>
        <w:tblW w:w="1975" w:type="dxa"/>
        <w:jc w:val="left"/>
        <w:tblInd w:w="0" w:type="dxa"/>
        <w:tblCellMar>
          <w:top w:w="0" w:type="dxa"/>
          <w:left w:w="0" w:type="dxa"/>
          <w:bottom w:w="0" w:type="dxa"/>
          <w:right w:w="0" w:type="dxa"/>
        </w:tblCellMar>
      </w:tblPr>
      <w:tblGrid>
        <w:gridCol w:w="560"/>
        <w:gridCol w:w="1340"/>
        <w:gridCol w:w="75"/>
      </w:tblGrid>
      <w:tr>
        <w:trPr/>
        <w:tc>
          <w:tcPr>
            <w:tcW w:w="5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tbl>
      <w:tblPr>
        <w:tblW w:w="395" w:type="dxa"/>
        <w:jc w:val="left"/>
        <w:tblInd w:w="0" w:type="dxa"/>
        <w:tblCellMar>
          <w:top w:w="0" w:type="dxa"/>
          <w:left w:w="0" w:type="dxa"/>
          <w:bottom w:w="0" w:type="dxa"/>
          <w:right w:w="0" w:type="dxa"/>
        </w:tblCellMar>
      </w:tblPr>
      <w:tblGrid>
        <w:gridCol w:w="395"/>
      </w:tblGrid>
      <w:tr>
        <w:trPr/>
        <w:tc>
          <w:tcPr>
            <w:tcW w:w="395" w:type="dxa"/>
            <w:tcBorders/>
            <w:shd w:fill="auto" w:val="clear"/>
            <w:vAlign w:val="center"/>
          </w:tcPr>
          <w:p>
            <w:pPr>
              <w:pStyle w:val="TableContents"/>
              <w:spacing w:before="0" w:after="283"/>
              <w:jc w:val="center"/>
              <w:rPr/>
            </w:pPr>
            <w:r>
              <w:rPr/>
              <w:t>II-7</w:t>
            </w:r>
          </w:p>
        </w:tc>
      </w:tr>
    </w:tbl>
    <w:p>
      <w:pPr>
        <w:pStyle w:val="TextBody"/>
        <w:spacing w:before="0" w:after="0"/>
        <w:ind w:left="0" w:right="0" w:hanging="0"/>
        <w:rPr>
          <w:caps w:val="false"/>
          <w:smallCaps w:val="false"/>
        </w:rPr>
      </w:pPr>
      <w:r>
        <w:br w:type="page"/>
      </w:r>
      <w:bookmarkStart w:id="960" w:name="ex5-1.htm"/>
      <w:bookmarkStart w:id="961" w:name="ksex51"/>
      <w:bookmarkEnd w:id="960"/>
      <w:bookmarkEnd w:id="961"/>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 Trademark Drive #108</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 89521</w:t>
      </w:r>
    </w:p>
    <w:p>
      <w:pPr>
        <w:pStyle w:val="TextBody"/>
        <w:spacing w:before="0" w:after="0"/>
        <w:ind w:left="0" w:right="0" w:hanging="0"/>
        <w:rPr>
          <w:caps w:val="false"/>
          <w:smallCaps w:val="false"/>
        </w:rPr>
      </w:pPr>
      <w:r>
        <w:rPr>
          <w:caps w:val="false"/>
          <w:smallCaps w:val="false"/>
        </w:rPr>
        <w:t> </w:t>
      </w:r>
    </w:p>
    <w:tbl>
      <w:tblPr>
        <w:tblW w:w="5770" w:type="dxa"/>
        <w:jc w:val="left"/>
        <w:tblInd w:w="0" w:type="dxa"/>
        <w:tblCellMar>
          <w:top w:w="0" w:type="dxa"/>
          <w:left w:w="0" w:type="dxa"/>
          <w:bottom w:w="0" w:type="dxa"/>
          <w:right w:w="0" w:type="dxa"/>
        </w:tblCellMar>
      </w:tblPr>
      <w:tblGrid>
        <w:gridCol w:w="75"/>
        <w:gridCol w:w="305"/>
        <w:gridCol w:w="539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5" w:type="dxa"/>
            <w:tcBorders/>
            <w:shd w:fill="auto" w:val="clear"/>
            <w:vAlign w:val="center"/>
          </w:tcPr>
          <w:p>
            <w:pPr>
              <w:pStyle w:val="TableContents"/>
              <w:spacing w:before="0" w:after="283"/>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w:t>
            </w:r>
          </w:p>
        </w:tc>
        <w:tc>
          <w:tcPr>
            <w:tcW w:w="539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Dragonfly Energy Holdings Corp.—Post-effective Amendment to</w:t>
            </w:r>
          </w:p>
          <w:p>
            <w:pPr>
              <w:pStyle w:val="TableContents"/>
              <w:spacing w:before="0" w:after="0"/>
              <w:ind w:left="0" w:right="0" w:hanging="0"/>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Registration Statement on Form S-1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in connection with that certain Post-Effective Amendment No. 1, relating to the reincorporation by conversion (the “</w:t>
      </w:r>
      <w:r>
        <w:rPr>
          <w:rFonts w:ascii="Times New Roman;Times;Serif" w:hAnsi="Times New Roman;Times;Serif"/>
          <w:b/>
          <w:i/>
          <w:caps w:val="false"/>
          <w:smallCaps w:val="false"/>
          <w:sz w:val="20"/>
        </w:rPr>
        <w:t>Reincorporation</w:t>
      </w:r>
      <w:r>
        <w:rPr>
          <w:rFonts w:ascii="Times New Roman;Times;Serif" w:hAnsi="Times New Roman;Times;Serif"/>
          <w:b w:val="false"/>
          <w:i w:val="false"/>
          <w:caps w:val="false"/>
          <w:smallCaps w:val="false"/>
          <w:sz w:val="20"/>
        </w:rPr>
        <w:t>”) on March 31, 2023 of, and to the issuance by Dragonfly Energy Holdings Corp., a Nevada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of up to 47,428,544 shares of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that were originally registered by the Company pursuant to a Registration Statement on Form S-1, File No. 333-268185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initially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November 4, 2022 as amended by Amendment No. 1 on December 9, 2022, which was subsequently declared effective by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December 22, 2022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47,428,544 shares of Common Stock included in the Registration Statement relate to the following: (i) 35,161,573 shares of its Common Stock, par value $0.0001 per share, which consists of 34,925,156 shares of Common Stock (the “</w:t>
      </w:r>
      <w:r>
        <w:rPr>
          <w:rFonts w:ascii="Times New Roman;Times;Serif" w:hAnsi="Times New Roman;Times;Serif"/>
          <w:b/>
          <w:i/>
          <w:caps w:val="false"/>
          <w:smallCaps w:val="false"/>
          <w:sz w:val="20"/>
        </w:rPr>
        <w:t>Outstanding Common Shares</w:t>
      </w:r>
      <w:r>
        <w:rPr>
          <w:rFonts w:ascii="Times New Roman;Times;Serif" w:hAnsi="Times New Roman;Times;Serif"/>
          <w:b w:val="false"/>
          <w:i w:val="false"/>
          <w:caps w:val="false"/>
          <w:smallCaps w:val="false"/>
          <w:sz w:val="20"/>
        </w:rPr>
        <w:t>” and 236,417 shares of Common Stock subject to exercise of options that were issued under the Dragonfly Energy Corp. 2021 Stock Incentive Plan (the “</w:t>
      </w:r>
      <w:r>
        <w:rPr>
          <w:rFonts w:ascii="Times New Roman;Times;Serif" w:hAnsi="Times New Roman;Times;Serif"/>
          <w:b/>
          <w:i/>
          <w:caps w:val="false"/>
          <w:smallCaps w:val="false"/>
          <w:sz w:val="20"/>
        </w:rPr>
        <w:t>2021 Plan</w:t>
      </w:r>
      <w:r>
        <w:rPr>
          <w:rFonts w:ascii="Times New Roman;Times;Serif" w:hAnsi="Times New Roman;Times;Serif"/>
          <w:b w:val="false"/>
          <w:i w:val="false"/>
          <w:caps w:val="false"/>
          <w:smallCaps w:val="false"/>
          <w:sz w:val="20"/>
        </w:rPr>
        <w:t>”) and assumed in connection with the Business Combination (as defined in the Prospectus) (the “</w:t>
      </w:r>
      <w:r>
        <w:rPr>
          <w:rFonts w:ascii="Times New Roman;Times;Serif" w:hAnsi="Times New Roman;Times;Serif"/>
          <w:b/>
          <w:i/>
          <w:caps w:val="false"/>
          <w:smallCaps w:val="false"/>
          <w:sz w:val="20"/>
        </w:rPr>
        <w:t>Option Shares</w:t>
      </w:r>
      <w:r>
        <w:rPr>
          <w:rFonts w:ascii="Times New Roman;Times;Serif" w:hAnsi="Times New Roman;Times;Serif"/>
          <w:b w:val="false"/>
          <w:i w:val="false"/>
          <w:caps w:val="false"/>
          <w:smallCaps w:val="false"/>
          <w:sz w:val="20"/>
        </w:rPr>
        <w:t>” and, together with the Outstanding Common Shares, the “</w:t>
      </w:r>
      <w:r>
        <w:rPr>
          <w:rFonts w:ascii="Times New Roman;Times;Serif" w:hAnsi="Times New Roman;Times;Serif"/>
          <w:b/>
          <w:i/>
          <w:caps w:val="false"/>
          <w:smallCaps w:val="false"/>
          <w:sz w:val="20"/>
        </w:rPr>
        <w:t>Common Shares</w:t>
      </w:r>
      <w:r>
        <w:rPr>
          <w:rFonts w:ascii="Times New Roman;Times;Serif" w:hAnsi="Times New Roman;Times;Serif"/>
          <w:b w:val="false"/>
          <w:i w:val="false"/>
          <w:caps w:val="false"/>
          <w:smallCaps w:val="false"/>
          <w:sz w:val="20"/>
        </w:rPr>
        <w:t>”), (ii) 12,266,971 shares of Common Stock issuable upon the exercise of certain warrants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and (iii) 12,266,971 warrants to purchase such Common Stock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The Common Shares and the Warrant Shares are referred to in this opinion as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Capitalized terms not defined in this letter have the meanings ascribed thereto in the Registration Statement. We have assumed that the Shares were, and will be, offered and sold in the manner described in the Registration Statement and the related prospectus included therein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are limited to the matters stated herein and no opinion is implied or may be inferred beyond the matters expressly stated. As to certain factual matters, we have relied upon a certificate of an officer of the Company, and we have not sought to independently verify such matters.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(i) the Registration Statement; (ii) the Prospectus; (iv) the Warrants; (v) the Articles of Conversion; (vi) the Plan of Conversion; (vii) the Current Report on Form 8-K filed with the SEC of the approval of the Reincorporation by a majority of the outstanding shares of Common Stock; (viii) the Company’s Articles of Incorporation; (ix) the Company’s Bylaws, as currently in effect; (x) the 2021 Plan; (xi) certain resolutions of the Board of Directors of the Company relating to the issuance, sale and registration of the Shares and the Reincorporation; and (xii) the originals or copies certified to our satisfaction of such other documents, records, certificates, memoranda and other instruments as in our judgment are necessary or appropriate to enable us to render the opinion expressed below.</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Nevada Revised Statutes and the reported judicial decisions interpreting such law, as currently in effect. We express no opinion with respect to the applicability thereto, or the effect thereon, of the laws of any other jurisdiction or, in the case of Nevada, any other laws, or as to any matters of municipal law or the laws of any local agencies within any state.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the representations and warranties as to factual matters contained in and made pursuant to the Registration Statement, and upon such other documents as in our judgment are necessary or appropriate to enable us to render the opinions expressed 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of the foregoing, we have assumed, without independent investigation or verification: (i) the genuineness of all signatures on all agreements, instruments and other documents submitted to us; (ii) the legal capacity and authority of all persons or entities executing all agreements, instruments and other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authentic originals thereof, and that such originals are authentic and complete; (v) the due authorization, execution and delivery of all instruments, agreements, and other documents by the parties thereto; (vi) that the statements contained in the certificates and comparable documents of public officials, officers and representatives of the Company and other persons on which we have relied for the purposes of this letter are true and correct; and (vii) that the officers and directors of the Company have properly exercised their fiduciary duties. We have assumed that the issuance and sale of the Shares by the Company will not, in each case, violate or constitute a default or breach under (A) any agreement or instrument to which the Company is subject, (B) any law, rule or regulation to which the Company is subject, (C) any judicial or regulatory order or decree of any governmental authority, or (D) any consent, approval, license, authorization or validation of, or filing, recording or registration with any governmental authority.</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further assumed that: (i) the Registration Statement and any amendments thereto will have become effective under the Securities Act and comply with all applicable laws at the time the Shares are offered or issued as contemplated by the Registration Statement; (ii) all Shares will be issued and sold in compliance with the applicable provisions of the Securities Act and the securities or Blue Sky Laws of various states and in the manner stated in the Registration Statement and any applicable prospectus supplement; (iii) any purchase, underwriting, warrant, deposit, unit or similar agreement relating to the Shares being offered will be duly authorized, executed and delivered by the Company and other parties thereto; and (iv) the number of shares of Common Stock offered pursuant to the Registration Statement does not exceed, at the time of issuance, the authorized but unissued shares of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foregoing and the other matters set forth herein, as of the date hereof, we are of the opinion that: the Outstanding Common Shares have been duly authorized and issued by the Company and are fully paid and non-assessable, the Warrant Shares have been duly authorized for issuance by the Company and when issued and sold and delivered by the Company upon valid exercise of the Warrants and against receipt of the exercise price therefor, in accordance with the terms of the Warrants, the Warrant Shares, will be validly issued, fully paid and non-assessable, and the Option Shares have been duly authorized for issuance by the Company and when issued by the Company against payment therefor in accordance with the terms of the 2021 Plan and in an amount not less than the par value thereof, the Option Shares will be validly issued, fully paid and non-assessable.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Securities Act. We consent to your filing this opinion as an exhibit to the Registration Statement and to the reference to our firm contained in each of the Prospectus under the heading “Legal Matters.” In giving such consent, we do not thereby admit that we are in the category of persons whose consent is required under Section 7 of the Securities Act or the rules and regulations of the Commission thereunder.</w:t>
      </w:r>
    </w:p>
    <w:p>
      <w:pPr>
        <w:pStyle w:val="TextBody"/>
        <w:spacing w:before="0" w:after="0"/>
        <w:ind w:left="0" w:right="0" w:hanging="0"/>
        <w:jc w:val="both"/>
        <w:rPr>
          <w:caps w:val="false"/>
          <w:smallCaps w:val="false"/>
        </w:rPr>
      </w:pPr>
      <w:r>
        <w:rPr>
          <w:caps w:val="false"/>
          <w:smallCaps w:val="false"/>
        </w:rPr>
        <w:t> </w:t>
      </w:r>
    </w:p>
    <w:tbl>
      <w:tblPr>
        <w:tblW w:w="2990" w:type="dxa"/>
        <w:jc w:val="left"/>
        <w:tblInd w:w="0" w:type="dxa"/>
        <w:tblCellMar>
          <w:top w:w="0" w:type="dxa"/>
          <w:left w:w="0" w:type="dxa"/>
          <w:bottom w:w="0" w:type="dxa"/>
          <w:right w:w="0" w:type="dxa"/>
        </w:tblCellMar>
      </w:tblPr>
      <w:tblGrid>
        <w:gridCol w:w="75"/>
        <w:gridCol w:w="2915"/>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9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915"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PARSONS BEHLE &amp; LATIMER</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rPr>
          <w:caps w:val="false"/>
          <w:smallCaps w:val="false"/>
        </w:rPr>
      </w:pPr>
      <w:bookmarkStart w:id="962" w:name="ex5-2.htm"/>
      <w:bookmarkStart w:id="963" w:name="ksex52"/>
      <w:bookmarkEnd w:id="962"/>
      <w:bookmarkEnd w:id="963"/>
      <w:r>
        <w:rPr>
          <w:caps w:val="false"/>
          <w:smallCaps w:val="false"/>
        </w:rPr>
        <w:t> </w:t>
      </w:r>
    </w:p>
    <w:tbl>
      <w:tblPr>
        <w:tblW w:w="4220" w:type="dxa"/>
        <w:jc w:val="left"/>
        <w:tblInd w:w="0" w:type="dxa"/>
        <w:tblCellMar>
          <w:top w:w="0" w:type="dxa"/>
          <w:left w:w="0" w:type="dxa"/>
          <w:bottom w:w="0" w:type="dxa"/>
          <w:right w:w="0" w:type="dxa"/>
        </w:tblCellMar>
      </w:tblPr>
      <w:tblGrid>
        <w:gridCol w:w="3255"/>
        <w:gridCol w:w="965"/>
      </w:tblGrid>
      <w:tr>
        <w:trPr/>
        <w:tc>
          <w:tcPr>
            <w:tcW w:w="3255" w:type="dxa"/>
            <w:tcBorders/>
            <w:shd w:fill="auto" w:val="clear"/>
            <w:vAlign w:val="center"/>
          </w:tcPr>
          <w:p>
            <w:pPr>
              <w:pStyle w:val="TableContents"/>
              <w:spacing w:before="0" w:after="283"/>
              <w:rPr>
                <w:caps w:val="false"/>
                <w:smallCaps w:val="false"/>
              </w:rPr>
            </w:pPr>
            <w:r>
              <w:rPr>
                <w:caps w:val="false"/>
                <w:smallCaps w:val="false"/>
              </w:rPr>
              <w:drawing>
                <wp:inline distT="0" distB="0" distL="0" distR="0">
                  <wp:extent cx="2057400" cy="628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62"/>
                          <a:stretch>
                            <a:fillRect/>
                          </a:stretch>
                        </pic:blipFill>
                        <pic:spPr bwMode="auto">
                          <a:xfrm>
                            <a:off x="0" y="0"/>
                            <a:ext cx="2057400" cy="628650"/>
                          </a:xfrm>
                          <a:prstGeom prst="rect">
                            <a:avLst/>
                          </a:prstGeom>
                        </pic:spPr>
                      </pic:pic>
                    </a:graphicData>
                  </a:graphic>
                </wp:inline>
              </w:drawing>
            </w:r>
          </w:p>
        </w:tc>
        <w:tc>
          <w:tcPr>
            <w:tcW w:w="96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5.2</w:t>
            </w:r>
          </w:p>
        </w:tc>
      </w:tr>
    </w:tbl>
    <w:p>
      <w:pPr>
        <w:pStyle w:val="TextBody"/>
        <w:spacing w:before="0" w:after="0"/>
        <w:ind w:left="360" w:right="0" w:hanging="360"/>
        <w:jc w:val="center"/>
        <w:rPr>
          <w:caps w:val="false"/>
          <w:smallCaps w:val="false"/>
        </w:rPr>
      </w:pPr>
      <w:r>
        <w:rPr>
          <w:caps w:val="false"/>
          <w:smallCaps w:val="false"/>
        </w:rPr>
        <w:t> </w:t>
      </w:r>
    </w:p>
    <w:p>
      <w:pPr>
        <w:pStyle w:val="TextBody"/>
        <w:spacing w:before="0" w:after="0"/>
        <w:ind w:left="360" w:right="0" w:hanging="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 2023</w:t>
      </w:r>
    </w:p>
    <w:p>
      <w:pPr>
        <w:pStyle w:val="TextBody"/>
        <w:spacing w:before="0" w:after="0"/>
        <w:ind w:left="360" w:right="0" w:hanging="360"/>
        <w:rPr>
          <w:caps w:val="false"/>
          <w:smallCaps w:val="false"/>
        </w:rPr>
      </w:pPr>
      <w:r>
        <w:rPr>
          <w:caps w:val="false"/>
          <w:smallCaps w:val="false"/>
        </w:rPr>
        <w:t> </w:t>
      </w:r>
    </w:p>
    <w:p>
      <w:pPr>
        <w:pStyle w:val="TextBody"/>
        <w:spacing w:before="0" w:after="0"/>
        <w:ind w:left="360" w:right="0" w:hanging="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spacing w:before="0" w:after="0"/>
        <w:ind w:left="360" w:right="0" w:hanging="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 Trademark Drive</w:t>
      </w:r>
    </w:p>
    <w:p>
      <w:pPr>
        <w:pStyle w:val="TextBody"/>
        <w:spacing w:before="0" w:after="0"/>
        <w:ind w:left="360" w:right="0" w:hanging="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108</w:t>
      </w:r>
    </w:p>
    <w:p>
      <w:pPr>
        <w:pStyle w:val="TextBody"/>
        <w:spacing w:before="0" w:after="0"/>
        <w:ind w:left="360" w:right="0" w:hanging="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 89521</w:t>
      </w:r>
    </w:p>
    <w:p>
      <w:pPr>
        <w:pStyle w:val="TextBody"/>
        <w:spacing w:before="0" w:after="0"/>
        <w:ind w:left="360" w:right="0" w:hanging="360"/>
        <w:rPr>
          <w:caps w:val="false"/>
          <w:smallCaps w:val="false"/>
        </w:rPr>
      </w:pPr>
      <w:r>
        <w:rPr>
          <w:caps w:val="false"/>
          <w:smallCaps w:val="false"/>
        </w:rPr>
        <w:t> </w:t>
      </w:r>
    </w:p>
    <w:p>
      <w:pPr>
        <w:pStyle w:val="TextBody"/>
        <w:spacing w:before="0" w:after="0"/>
        <w:ind w:left="360" w:right="0" w:hanging="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360" w:right="0" w:hanging="36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Dragonfly Energy Holdings Corp.,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that certain Post-Effective Amendment No. 1, relating to the reincorporation by conversion on March 31, 2023 of the Company, and to the issuance by the Company of up to 47,428,544 shares of common stock, par value $0.0001 per share of the Company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that were originally registered by the Company pursuant to a registration under a Registration Statement on Form S-1, File No 333-268185 as amended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initially filed with the Securities and Exchange Commission on November 4, 2022 as amended by Amendment No. 1 on December 9, 2022, which was subsequently declared effective by the U.S. Securities and Exchange Commission on December 22, 2022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 connection with the offering. The 47,428,544 shares of Common Stock included in the Registration Statement relate to the following: (i) 35,161,573 shares of its Common Stock, (ii) 12,266,971 shares of Common Stock issuable upon the exercise of certain warrants, and (iii) 12,266,971 warrants to purchase such Common Stock. The warrants referred to in (ii) and (iii) above are collectively referred to in this opinion as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Capitalized terms not defined in this letter have the meanings ascribed thereto in the Registration Statement. We have assumed that the Shares were, and will be, offered and sold in the manner described in the Registration Statement and the related prospectus included therein.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in connection with the proposed potential issuance and sale of the above-referenced securities, we have reviewed the Registration Statement and the respective exhibits thereto. We have also reviewed such corporate documents and records of the Company, such certificates of public officials and officers of the Company and such other matters as we have deemed necessary or appropriate for purposes of this opinion. 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as set forth in a separate opinion delivered to the Company on the date hereof by Parsons Behle &amp; Latimer, P.C., Nevada counsel to the Company, the Warrants have been duly authorized; and (v)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any facts material to the opinions expressed herein that were not independently established or verified, we have relied upon oral or written statements and representations of officers and other representatives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assumptions, limitations and qualifications set forth herein, we are of the opinion that when the Warrants are duly executed and delivered by the Company and paid for by the purchasers thereof in accordance with the Registration Statement, such Warrants will constitute the legal, valid and binding obligation of the Company, enforceable against the Company in accordance with their terms, subject to bankruptcy, insolvency or other similar laws affecting creditors’ rights and to general equitable principles.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above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including without limitation, concepts of materiality, reasonableness, good faith and fair dealing and the possible unavailability of specific performance or injunctive relief, regardless of whether enforcement is considered in a proceeding in equity or at law, and the discretion of the court before which any proceeding therefor may be brought; and (iii) the unenforceability under certain circumstances under law or court decisions of provisions providing for the indemnification of, or contribution to, a party with respect to liability where such indemnification or contribution is contrary to public policy. We express no opinion concerning the enforceability of any waiver of rights or defenses with respect to stay, extension or usury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laws of New York. We express no opinion as to the effect of the law of any other jurisdiction. Our opinion is rendered as of the date hereof, and we assume no obligation to advise you of changes in law or fact (or the effect thereof on the opinions expressed herein) that hereafter may come to our attention. We advise you that matters of Nevada law are covered in the opinion of Parsons Behle &amp; Latimer, P.C., Nevada counsel for the Company, in Exhibit 5.1 to the Registration Statement.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5.2 to the Registration Statement and to the references to our firm therein and in the prospectus forming a part thereof under the caption “Legal Matters.” In giving our consent, we do not admit that we are in the category of persons whose consent is required under Section 7 of the Securities Act or the rules and regulations thereunder.</w:t>
      </w:r>
    </w:p>
    <w:p>
      <w:pPr>
        <w:pStyle w:val="TextBody"/>
        <w:spacing w:before="0" w:after="0"/>
        <w:ind w:left="0" w:right="0" w:firstLine="720"/>
        <w:jc w:val="both"/>
        <w:rPr>
          <w:caps w:val="false"/>
          <w:smallCaps w:val="false"/>
        </w:rPr>
      </w:pPr>
      <w:r>
        <w:rPr>
          <w:caps w:val="false"/>
          <w:smallCaps w:val="false"/>
        </w:rPr>
        <w:t> </w:t>
      </w:r>
    </w:p>
    <w:tbl>
      <w:tblPr>
        <w:tblW w:w="2345" w:type="dxa"/>
        <w:jc w:val="left"/>
        <w:tblInd w:w="0" w:type="dxa"/>
        <w:tblCellMar>
          <w:top w:w="0" w:type="dxa"/>
          <w:left w:w="0" w:type="dxa"/>
          <w:bottom w:w="0" w:type="dxa"/>
          <w:right w:w="0" w:type="dxa"/>
        </w:tblCellMar>
      </w:tblPr>
      <w:tblGrid>
        <w:gridCol w:w="2270"/>
        <w:gridCol w:w="75"/>
      </w:tblGrid>
      <w:tr>
        <w:trPr/>
        <w:tc>
          <w:tcPr>
            <w:tcW w:w="22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27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27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Lowenstein Sandler LLP</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2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Lowenstein Sandler LLP</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6400800" cy="9829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63"/>
                    <a:stretch>
                      <a:fillRect/>
                    </a:stretch>
                  </pic:blipFill>
                  <pic:spPr bwMode="auto">
                    <a:xfrm>
                      <a:off x="0" y="0"/>
                      <a:ext cx="6400800" cy="98298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r>
        <w:br w:type="page"/>
      </w:r>
    </w:p>
    <w:p>
      <w:pPr>
        <w:pStyle w:val="TextBody"/>
        <w:spacing w:before="0" w:after="0"/>
        <w:jc w:val="center"/>
        <w:rPr>
          <w:caps w:val="false"/>
          <w:smallCaps w:val="false"/>
        </w:rPr>
      </w:pPr>
      <w:bookmarkStart w:id="964" w:name="ex23-1.htm"/>
      <w:bookmarkStart w:id="965" w:name="ksex231"/>
      <w:bookmarkEnd w:id="964"/>
      <w:bookmarkEnd w:id="965"/>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the Prospectus constituting a part of this Registration Statement of our report dated April 17, 2023, relating to the consolidated financial statements of Dragonfly Energy Holdings Corp., which is contained in that Prospectus. Our report contains an explanatory paragraph regarding the Company’s ability to continue as a going concern.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LLP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Spokane, Washington</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 2023</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both"/>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847986/000110465922081684/cntq-20210630xex2d1a.htm" TargetMode="External"/><Relationship Id="rId11" Type="http://schemas.openxmlformats.org/officeDocument/2006/relationships/hyperlink" Target="https://www.sec.gov/Archives/edgar/data/1847986/000149315223010262/ex2-1.htm" TargetMode="External"/><Relationship Id="rId12" Type="http://schemas.openxmlformats.org/officeDocument/2006/relationships/hyperlink" Target="https://www.sec.gov/Archives/edgar/data/1847986/000149315223010262/ex3-1.htm" TargetMode="External"/><Relationship Id="rId13" Type="http://schemas.openxmlformats.org/officeDocument/2006/relationships/hyperlink" Target="https://www.sec.gov/Archives/edgar/data/1847986/000149315223010262/ex3-2.htm" TargetMode="External"/><Relationship Id="rId14" Type="http://schemas.openxmlformats.org/officeDocument/2006/relationships/hyperlink" Target="https://www.sec.gov/Archives/edgar/data/1847986/000110465922107212/tm2222125d3_ex4-1.htm" TargetMode="External"/><Relationship Id="rId15" Type="http://schemas.openxmlformats.org/officeDocument/2006/relationships/hyperlink" Target="https://www.sec.gov/Archives/edgar/data/1847986/000110465922107212/tm2222125d3_ex4-2.htm" TargetMode="External"/><Relationship Id="rId16" Type="http://schemas.openxmlformats.org/officeDocument/2006/relationships/hyperlink" Target="https://www.sec.gov/Archives/edgar/data/1847986/000110465922107212/tm2222125d3_ex4-3.htm" TargetMode="External"/><Relationship Id="rId17" Type="http://schemas.openxmlformats.org/officeDocument/2006/relationships/hyperlink" Target="https://www.sec.gov/Archives/edgar/data/1847986/000110465922110688/dfli-20220630xex4d4.htm" TargetMode="External"/><Relationship Id="rId18" Type="http://schemas.openxmlformats.org/officeDocument/2006/relationships/hyperlink" Target="https://www.sec.gov/Archives/edgar/data/1847986/000149315223012533/ex4-5.htm" TargetMode="External"/><Relationship Id="rId19" Type="http://schemas.openxmlformats.org/officeDocument/2006/relationships/hyperlink" Target="https://www.sec.gov/Archives/edgar/data/1847986/000149315223007147/ex4-1.htm" TargetMode="External"/><Relationship Id="rId20" Type="http://schemas.openxmlformats.org/officeDocument/2006/relationships/hyperlink" Target="https://www.sec.gov/Archives/edgar/data/1847986/000149315223012533/ex4-7.htm" TargetMode="External"/><Relationship Id="rId21" Type="http://schemas.openxmlformats.org/officeDocument/2006/relationships/hyperlink" Target="https://www.sec.gov/Archives/edgar/data/1847986/000110465922107212/tm2222125d3_ex10-5.htm" TargetMode="External"/><Relationship Id="rId22" Type="http://schemas.openxmlformats.org/officeDocument/2006/relationships/hyperlink" Target="https://www.sec.gov/Archives/edgar/data/1847986/000110465922107212/tm2222125d3_ex10-6.htm" TargetMode="External"/><Relationship Id="rId23" Type="http://schemas.openxmlformats.org/officeDocument/2006/relationships/hyperlink" Target="https://www.sec.gov/Archives/edgar/data/1847986/000110465922099731/tm2218377d21_ex10-10.htm" TargetMode="External"/><Relationship Id="rId24" Type="http://schemas.openxmlformats.org/officeDocument/2006/relationships/hyperlink" Target="https://www.sec.gov/Archives/edgar/data/1847986/000110465922081684/cntq-20210630xex10d11.htm" TargetMode="External"/><Relationship Id="rId25" Type="http://schemas.openxmlformats.org/officeDocument/2006/relationships/hyperlink" Target="https://www.sec.gov/Archives/edgar/data/1847986/000110465922081684/cntq-20210630xex10d12.htm" TargetMode="External"/><Relationship Id="rId26" Type="http://schemas.openxmlformats.org/officeDocument/2006/relationships/hyperlink" Target="https://www.sec.gov/Archives/edgar/data/1847986/000110465922107212/tm2222125d3_ex10-10.htm" TargetMode="External"/><Relationship Id="rId27" Type="http://schemas.openxmlformats.org/officeDocument/2006/relationships/hyperlink" Target="https://www.sec.gov/Archives/edgar/data/1847986/000110465922107212/tm2222125d3_ex10-11.htm" TargetMode="External"/><Relationship Id="rId28" Type="http://schemas.openxmlformats.org/officeDocument/2006/relationships/hyperlink" Target="https://www.sec.gov/Archives/edgar/data/1847986/000110465922107212/tm2222125d3_ex10-12.htm" TargetMode="External"/><Relationship Id="rId29" Type="http://schemas.openxmlformats.org/officeDocument/2006/relationships/hyperlink" Target="https://www.sec.gov/Archives/edgar/data/1847986/000110465922107212/tm2222125d3_ex10-13.htm" TargetMode="External"/><Relationship Id="rId30" Type="http://schemas.openxmlformats.org/officeDocument/2006/relationships/hyperlink" Target="https://www.sec.gov/Archives/edgar/data/1847986/000110465922107212/tm2222125d3_ex10-14.htm" TargetMode="External"/><Relationship Id="rId31" Type="http://schemas.openxmlformats.org/officeDocument/2006/relationships/hyperlink" Target="https://www.sec.gov/Archives/edgar/data/1847986/000110465922107212/tm2222125d3_ex10-15.htm" TargetMode="External"/><Relationship Id="rId32" Type="http://schemas.openxmlformats.org/officeDocument/2006/relationships/hyperlink" Target="https://www.sec.gov/Archives/edgar/data/1847986/000110465922107212/tm2222125d3_ex10-16.htm" TargetMode="External"/><Relationship Id="rId33" Type="http://schemas.openxmlformats.org/officeDocument/2006/relationships/hyperlink" Target="https://www.sec.gov/Archives/edgar/data/1847986/000110465922107212/tm2222125d3_ex10-17.htm" TargetMode="External"/><Relationship Id="rId34" Type="http://schemas.openxmlformats.org/officeDocument/2006/relationships/hyperlink" Target="https://www.sec.gov/Archives/edgar/data/1847986/000110465922107212/tm2222125d3_ex10-18.htm" TargetMode="External"/><Relationship Id="rId35" Type="http://schemas.openxmlformats.org/officeDocument/2006/relationships/hyperlink" Target="https://www.sec.gov/Archives/edgar/data/1847986/000110465922107212/tm2222125d3_ex10-19.htm" TargetMode="External"/><Relationship Id="rId36" Type="http://schemas.openxmlformats.org/officeDocument/2006/relationships/hyperlink" Target="https://www.sec.gov/Archives/edgar/data/1847986/000110465922107212/tm2222125d3_ex10-20.htm" TargetMode="External"/><Relationship Id="rId37" Type="http://schemas.openxmlformats.org/officeDocument/2006/relationships/hyperlink" Target="https://www.sec.gov/Archives/edgar/data/1847986/000110465922107212/tm2222125d3_ex10-21.htm" TargetMode="External"/><Relationship Id="rId38" Type="http://schemas.openxmlformats.org/officeDocument/2006/relationships/hyperlink" Target="https://www.sec.gov/Archives/edgar/data/1847986/000110465922114961/dfli-20220630xex10d22.htm" TargetMode="External"/><Relationship Id="rId39" Type="http://schemas.openxmlformats.org/officeDocument/2006/relationships/hyperlink" Target="https://www.sec.gov/Archives/edgar/data/1847986/000110465922114961/dfli-20220630xex10d23.htm" TargetMode="External"/><Relationship Id="rId40" Type="http://schemas.openxmlformats.org/officeDocument/2006/relationships/hyperlink" Target="https://www.sec.gov/Archives/edgar/data/1847986/000110465922114961/dfli-20220630xex10d24.htm" TargetMode="External"/><Relationship Id="rId41" Type="http://schemas.openxmlformats.org/officeDocument/2006/relationships/hyperlink" Target="https://www.sec.gov/Archives/edgar/data/1847986/000149315223006564/ex10-1.htm" TargetMode="External"/><Relationship Id="rId42" Type="http://schemas.openxmlformats.org/officeDocument/2006/relationships/hyperlink" Target="https://www.sec.gov/Archives/edgar/data/1847986/000149315223012533/ex10-26.htm" TargetMode="External"/><Relationship Id="rId43" Type="http://schemas.openxmlformats.org/officeDocument/2006/relationships/hyperlink" Target="https://www.sec.gov/Archives/edgar/data/1847986/000149315223012533/ex10-27.htm" TargetMode="External"/><Relationship Id="rId44" Type="http://schemas.openxmlformats.org/officeDocument/2006/relationships/hyperlink" Target="https://www.sec.gov/Archives/edgar/data/1847986/000149315223012533/ex10-28.htm" TargetMode="External"/><Relationship Id="rId45" Type="http://schemas.openxmlformats.org/officeDocument/2006/relationships/hyperlink" Target="https://www.sec.gov/Archives/edgar/data/1847986/000149315223012533/ex10-29.htm" TargetMode="External"/><Relationship Id="rId46" Type="http://schemas.openxmlformats.org/officeDocument/2006/relationships/hyperlink" Target="https://www.sec.gov/Archives/edgar/data/1847986/000149315223012533/ex10-30.htm" TargetMode="External"/><Relationship Id="rId47" Type="http://schemas.openxmlformats.org/officeDocument/2006/relationships/hyperlink" Target="https://www.sec.gov/Archives/edgar/data/1847986/000149315223012533/ex10-31.htm" TargetMode="External"/><Relationship Id="rId48" Type="http://schemas.openxmlformats.org/officeDocument/2006/relationships/hyperlink" Target="https://www.sec.gov/Archives/edgar/data/1847986/000149315223012533/ex10-32.htm" TargetMode="External"/><Relationship Id="rId49" Type="http://schemas.openxmlformats.org/officeDocument/2006/relationships/hyperlink" Target="https://www.sec.gov/Archives/edgar/data/1847986/000149315223012533/ex10-33.htm" TargetMode="External"/><Relationship Id="rId50" Type="http://schemas.openxmlformats.org/officeDocument/2006/relationships/hyperlink" Target="https://www.sec.gov/Archives/edgar/data/1847986/000149315223012533/ex10-34.htm" TargetMode="External"/><Relationship Id="rId51" Type="http://schemas.openxmlformats.org/officeDocument/2006/relationships/hyperlink" Target="https://www.sec.gov/Archives/edgar/data/1847986/000149315223012533/ex10-35.htm" TargetMode="External"/><Relationship Id="rId52" Type="http://schemas.openxmlformats.org/officeDocument/2006/relationships/hyperlink" Target="https://www.sec.gov/Archives/edgar/data/1847986/000149315223012533/ex10-36.htm" TargetMode="External"/><Relationship Id="rId53" Type="http://schemas.openxmlformats.org/officeDocument/2006/relationships/hyperlink" Target="https://www.sec.gov/Archives/edgar/data/1847986/000149315223012533/ex10-37.htm" TargetMode="External"/><Relationship Id="rId54" Type="http://schemas.openxmlformats.org/officeDocument/2006/relationships/hyperlink" Target="https://www.sec.gov/Archives/edgar/data/1847986/000149315223012533/ex10-38.htm" TargetMode="External"/><Relationship Id="rId55" Type="http://schemas.openxmlformats.org/officeDocument/2006/relationships/hyperlink" Target="https://www.sec.gov/Archives/edgar/data/1847986/000149315223009479/ex10-1.htm" TargetMode="External"/><Relationship Id="rId56" Type="http://schemas.openxmlformats.org/officeDocument/2006/relationships/hyperlink" Target="https://www.sec.gov/Archives/edgar/data/1847986/000149315223014966/ex10-1.htm" TargetMode="External"/><Relationship Id="rId57" Type="http://schemas.openxmlformats.org/officeDocument/2006/relationships/hyperlink" Target="https://www.sec.gov/Archives/edgar/data/1847986/000110465922107212/tm2222125d3_ex14-1.htm" TargetMode="External"/><Relationship Id="rId58" Type="http://schemas.openxmlformats.org/officeDocument/2006/relationships/hyperlink" Target="https://www.sec.gov/Archives/edgar/data/1847986/000110465922107212/tm2222125d3_ex14-2.htm" TargetMode="External"/><Relationship Id="rId59" Type="http://schemas.openxmlformats.org/officeDocument/2006/relationships/hyperlink" Target="https://www.sec.gov/Archives/edgar/data/1847986/000110465922107212/tm2222125d3_ex16-1.htm" TargetMode="External"/><Relationship Id="rId60" Type="http://schemas.openxmlformats.org/officeDocument/2006/relationships/hyperlink" Target="https://www.sec.gov/Archives/edgar/data/1847986/000110465922107212/tm2222125d3_ex21-1.htm" TargetMode="External"/><Relationship Id="rId61" Type="http://schemas.openxmlformats.org/officeDocument/2006/relationships/hyperlink" Target="http://www.sec.gov/Archives/edgar/data/1847986/000110465922114961/dfli-20220630xexfilingfees.htm" TargetMode="External"/><Relationship Id="rId62" Type="http://schemas.openxmlformats.org/officeDocument/2006/relationships/image" Target="media/image9.jpeg"/><Relationship Id="rId63" Type="http://schemas.openxmlformats.org/officeDocument/2006/relationships/image" Target="media/image10.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95862</Words>
  <CharactersWithSpaces>616423</CharactersWithSpaces>
  <Paragraphs>11371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