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26145B 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1190 Trademark Dr. #108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(775) 622-3448</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16,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5"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ind w:left="720" w:hanging="406"/>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5631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31815"/>
                    </a:xfrm>
                    <a:prstGeom prst="rect">
                      <a:avLst/>
                    </a:prstGeom>
                    <a:noFill/>
                  </pic:spPr>
                </pic:pic>
              </a:graphicData>
            </a:graphic>
          </wp:anchor>
        </w:drawing>
        <w:t>NAME OF REPORTING PERSONS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Denis Phares</w:t>
      </w:r>
    </w:p>
    <w:p>
      <w:pPr>
        <w:spacing w:after="0" w:line="36" w:lineRule="exact"/>
        <w:rPr>
          <w:sz w:val="20"/>
          <w:szCs w:val="20"/>
          <w:color w:val="auto"/>
        </w:rPr>
      </w:pPr>
    </w:p>
    <w:p>
      <w:pPr>
        <w:ind w:left="720" w:hanging="406"/>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7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37" w:lineRule="exact"/>
        <w:rPr>
          <w:sz w:val="20"/>
          <w:szCs w:val="20"/>
          <w:color w:val="auto"/>
        </w:rPr>
      </w:pPr>
    </w:p>
    <w:p>
      <w:pPr>
        <w:ind w:left="720" w:hanging="406"/>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3" w:lineRule="exact"/>
        <w:rPr>
          <w:sz w:val="20"/>
          <w:szCs w:val="20"/>
          <w:color w:val="auto"/>
        </w:rPr>
      </w:pPr>
    </w:p>
    <w:p>
      <w:pPr>
        <w:ind w:left="720" w:hanging="406"/>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PF</w:t>
      </w:r>
    </w:p>
    <w:p>
      <w:pPr>
        <w:spacing w:after="0" w:line="36" w:lineRule="exact"/>
        <w:rPr>
          <w:sz w:val="20"/>
          <w:szCs w:val="20"/>
          <w:color w:val="auto"/>
        </w:rPr>
      </w:pPr>
    </w:p>
    <w:p>
      <w:pPr>
        <w:ind w:left="720" w:right="2140" w:hanging="406"/>
        <w:spacing w:after="0" w:line="239" w:lineRule="exact"/>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 2(d) or 2(e)   </w:t>
      </w:r>
      <w:r>
        <w:rPr>
          <w:rFonts w:ascii="MS PGothic" w:cs="MS PGothic" w:eastAsia="MS PGothic" w:hAnsi="MS PGothic"/>
          <w:sz w:val="18"/>
          <w:szCs w:val="18"/>
          <w:color w:val="auto"/>
        </w:rPr>
        <w:t>☐</w:t>
      </w:r>
    </w:p>
    <w:p>
      <w:pPr>
        <w:spacing w:after="0" w:line="1" w:lineRule="exact"/>
        <w:rPr>
          <w:sz w:val="20"/>
          <w:szCs w:val="20"/>
          <w:color w:val="auto"/>
        </w:rPr>
      </w:pPr>
    </w:p>
    <w:p>
      <w:pPr>
        <w:ind w:left="720" w:hanging="40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5"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16,280,689*</w:t>
            </w:r>
          </w:p>
        </w:tc>
        <w:tc>
          <w:tcPr>
            <w:tcW w:w="0" w:type="dxa"/>
            <w:vAlign w:val="bottom"/>
          </w:tcPr>
          <w:p>
            <w:pPr>
              <w:spacing w:after="0"/>
              <w:rPr>
                <w:sz w:val="1"/>
                <w:szCs w:val="1"/>
                <w:color w:val="auto"/>
              </w:rPr>
            </w:pPr>
          </w:p>
        </w:tc>
      </w:tr>
      <w:tr>
        <w:trPr>
          <w:trHeight w:val="211"/>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9"/>
                <w:szCs w:val="19"/>
                <w:color w:val="auto"/>
              </w:rPr>
            </w:pPr>
          </w:p>
        </w:tc>
        <w:tc>
          <w:tcPr>
            <w:tcW w:w="9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Pr>
          <w:p>
            <w:pPr>
              <w:jc w:val="center"/>
              <w:ind w:left="50"/>
              <w:spacing w:after="0" w:line="184" w:lineRule="exact"/>
              <w:rPr>
                <w:sz w:val="20"/>
                <w:szCs w:val="20"/>
                <w:color w:val="auto"/>
              </w:rPr>
            </w:pPr>
            <w:r>
              <w:rPr>
                <w:rFonts w:ascii="Times New Roman" w:cs="Times New Roman" w:eastAsia="Times New Roman" w:hAnsi="Times New Roman"/>
                <w:sz w:val="18"/>
                <w:szCs w:val="18"/>
                <w:color w:val="auto"/>
              </w:rPr>
              <w:t>9</w:t>
            </w:r>
          </w:p>
        </w:tc>
        <w:tc>
          <w:tcPr>
            <w:tcW w:w="90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16,280,689*</w:t>
            </w:r>
          </w:p>
        </w:tc>
        <w:tc>
          <w:tcPr>
            <w:tcW w:w="0" w:type="dxa"/>
            <w:vAlign w:val="bottom"/>
          </w:tcPr>
          <w:p>
            <w:pPr>
              <w:spacing w:after="0"/>
              <w:rPr>
                <w:sz w:val="1"/>
                <w:szCs w:val="1"/>
                <w:color w:val="auto"/>
              </w:rPr>
            </w:pPr>
          </w:p>
        </w:tc>
      </w:tr>
      <w:tr>
        <w:trPr>
          <w:trHeight w:val="39"/>
        </w:trPr>
        <w:tc>
          <w:tcPr>
            <w:tcW w:w="14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720" w:right="3980" w:hanging="448"/>
        <w:spacing w:after="0" w:line="32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16,280,689</w:t>
      </w:r>
      <w:r>
        <w:rPr>
          <w:rFonts w:ascii="Times New Roman" w:cs="Times New Roman" w:eastAsia="Times New Roman" w:hAnsi="Times New Roman"/>
          <w:sz w:val="29"/>
          <w:szCs w:val="29"/>
          <w:color w:val="auto"/>
          <w:vertAlign w:val="superscript"/>
        </w:rPr>
        <w:t>*</w:t>
      </w:r>
    </w:p>
    <w:p>
      <w:pPr>
        <w:spacing w:after="0" w:line="1" w:lineRule="exact"/>
        <w:rPr>
          <w:rFonts w:ascii="Times New Roman" w:cs="Times New Roman" w:eastAsia="Times New Roman" w:hAnsi="Times New Roman"/>
          <w:sz w:val="18"/>
          <w:szCs w:val="18"/>
          <w:color w:val="auto"/>
        </w:rPr>
      </w:pPr>
    </w:p>
    <w:p>
      <w:pPr>
        <w:ind w:left="720" w:hanging="451"/>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64" w:lineRule="exact"/>
        <w:rPr>
          <w:rFonts w:ascii="Times New Roman" w:cs="Times New Roman" w:eastAsia="Times New Roman" w:hAnsi="Times New Roman"/>
          <w:sz w:val="18"/>
          <w:szCs w:val="18"/>
          <w:color w:val="auto"/>
        </w:rPr>
      </w:pPr>
    </w:p>
    <w:p>
      <w:pPr>
        <w:ind w:left="7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20" w:right="5380" w:hanging="451"/>
        <w:spacing w:after="0" w:line="38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27.6%*</w:t>
      </w:r>
    </w:p>
    <w:p>
      <w:pPr>
        <w:ind w:left="720" w:right="8020" w:hanging="451"/>
        <w:spacing w:after="0" w:line="51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13D filed by the Reporting Person with the Securities and Exchange Commission on October 12, 2022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specifically provided herein, this Amendment does not modify or amend any of the information previously reported on the Schedule 13D. Capitalized terms used and not otherwise defined herein shall have the meanings ascribed to such terms in the Schedule 13D. Information given in response to each item shall be deemed incorporated by reference in all other items,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is hereby supplemented as follows:</w:t>
      </w:r>
    </w:p>
    <w:p>
      <w:pPr>
        <w:spacing w:after="0" w:line="225" w:lineRule="exact"/>
        <w:rPr>
          <w:sz w:val="20"/>
          <w:szCs w:val="20"/>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present principal occupation is President, Chief Executive Officer and interim Chief Financial Officer of the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Amounts of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is hereby supplemented as follows: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Reporting Person acquired 204,266 shares of Common Stock through restricted stock options that were issued by the Issuer on February 10, 2023, in connection with the Reporting Person’s services performed as Chief Executive Officer of the Issuer for no additional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is hereby supplemented as follows:</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appointed the Reporting Person as its interim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amended and restated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rows 7, 8, 9, 10, 11 and 13 of the cover page of this Amendment and the information set forth in or incorporated by reference in Item 2, Item 3 and Item 6 of this Amendment and the Schedule 13D, as applicable, is hereby incorporated by reference in its entirety into this Item 5.</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directly owns 15,062,786 shares of Common Stock, and indirectly owns 1,217,906 shares of Common Stock through the Phares 2021 GRAT dated July 9, 2021, of which the Reporting Person is a trustee. The Reporting Person has also been granted 177,313 options that have fully vested as of August 12, 2023. The Reporting Person’s holdings represent an aggregate of approximately 27.6% of the Issuer’s issued and outstanding shares of Common Stock (based on 59,550,812 shares of Common Stock outstanding as of November 10, 2023, as reported in the Issuer’s Quarterly Report on Form 10-Q filed with the SEC on November 14, 2023).</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9, 2022 the Reporting Person beneficially owns 16,232,165 shares of Common Stock. The Reporting Person’s holdings represent an aggregate of approximately 37.4% of the Issuer’s issued and outstanding shares of Common Stock (based on 43,272,728 shares of Common Stock outstanding as of November 9, 2022, as reported in the Issuer’s Quarterly Report on Form 10-Q filed with the SEC on November 14, 2022).</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21, 2023, the Reporting Person beneficially owns 16,447,215 shares of Common Stock. The Reporting Person’s holdings represent an aggregate of approximately 35.8% of the Issuer’s issued and outstanding shares of Common Stock (based on 45,794,923 shares of Common Stock outstanding as of March 21, 2023, as reported in the Issuer’s Annual Report on Form 10-K filed with the SEC on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As of May 24, 2023, the Reporting Person beneficially owns 16,440,025 shares of Common Stock. The Reporting Person’s holdings represent an aggregate of approximately 29.4% of the Issuer’s issued and outstanding shares of Common Stock (based on 55,885,513 shares of Common Stock outstanding as of May 24, 2023, as reported in the Issuer’s Registration Statement on Form S-1 filed with the SEC on June 22, 2023).</w:t>
      </w:r>
    </w:p>
    <w:p>
      <w:pPr>
        <w:spacing w:after="0" w:line="176"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As of August 16, 2023, the Reporting Person beneficially owns 16,458,002 shares of Common Stock. The Reporting Person’s holdings represent an aggregate of approximately 28.0% of the Issuer’s issued and outstanding shares of Common Stock (based on 58,780,316 shares of Common Stock outstanding as of August 16, 2023, as reported in Issuer’s Quarterly Report on Form 10-Q filed with the SEC on August 21, 2023).</w:t>
      </w:r>
    </w:p>
    <w:p>
      <w:pPr>
        <w:spacing w:after="0" w:line="176"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3 of this Schedule 13D regarding certain contingent rights to receive additional Common Stock is hereby incorporated by reference into this Item 5(a).</w:t>
      </w:r>
    </w:p>
    <w:p>
      <w:pPr>
        <w:spacing w:after="0" w:line="162" w:lineRule="exact"/>
        <w:rPr>
          <w:sz w:val="20"/>
          <w:szCs w:val="20"/>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to vote and dispose of 16,280,689 shares of Common Stock. The Reporting Person has the shared power to vote or dispose of zero (0) shares of Common Stock.</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effected no transactions during the sixty (60) days prior to November 9, 2022. This Amendment No. 1 is being filed to disclose the following transaction, as required under applicable rules, which transaction was earlier publicly disclosed on a Form 3 filing made with the SEC under Section 16 of the Securities Exchange Act of 1934 (as well as earlier reports filed by the issuer on Form 10-Q, Form 10-K, and a proxy statement): On October 7, 2022, the Issuer provided the Reporting Person with a non-qualified ten-year stock option for the purchase of up to 177,313 shares of Common Stock, at a per-share price of $0.32. The option vested as to 25% of on August 12, 2020 and continued to vest as to 75% of the option in thirty-seven (37) monthly installments from August 12, 2020 through August 12, 2023. In addition, the Issuer provided the Reporting Person with grant of 15,899,110 shares of Common Stock. The option and the Common Stock were issued as stock-based compensation to the Reporting Person.</w:t>
      </w:r>
    </w:p>
    <w:p>
      <w:pPr>
        <w:spacing w:after="0" w:line="191"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effected no transactions during the sixty (60) days prior to March 21, 2023. This Amendment No. 1 is being filed to disclose the following transaction, as required under applicable rules, which transaction was earlier publicly disclosed on a Form 4 filing made with the SEC under Section 16 of the Securities Exchange Act of 1934 (as well as earlier reports filed by the issuer on Form 10-Q, Form 10-K, and a proxy statement): On February 10, 2023, the Issuer provided the Reporting Person with restrict stock units (“RSUs”) in the amount of 204,266 shares of Common Stock, at a per-share price of $0. The RSUs were issued as stock-based compensation to the Reporting Person.</w:t>
      </w:r>
    </w:p>
    <w:p>
      <w:pPr>
        <w:spacing w:after="0" w:line="183"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by the Reporting Person in shares of Common Stock during the period commencing sixty (60) days prior to June 22, 2023.</w:t>
      </w:r>
    </w:p>
    <w:p>
      <w:pPr>
        <w:spacing w:after="0" w:line="161"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by the Reporting Person in shares of Common Stock during the period commencing sixty (60) days prior August 16, 2023.</w:t>
      </w:r>
    </w:p>
    <w:p>
      <w:pPr>
        <w:spacing w:after="0" w:line="161"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by the Reporting Person in shares of Common Stock during the period commencing sixty (60) days prior the filing of this Amendment.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291465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65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2024-02-06T16:38:29Z</dcterms:created>
  <dcterms:modified xsi:type="dcterms:W3CDTF">2024-02-06T16:38:29Z</dcterms:modified>
</cp:coreProperties>
</file>