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A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UNDER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C_edei--DocumentPeriodEndDate_c202"/>
      <w:bookmarkEnd w:id="4"/>
      <w:r>
        <w:rPr>
          <w:rFonts w:ascii="Times New Roman;Times;Serif" w:hAnsi="Times New Roman;Times;Serif"/>
          <w:b/>
          <w:i w:val="false"/>
          <w:caps w:val="false"/>
          <w:smallCaps w:val="false"/>
          <w:sz w:val="20"/>
        </w:rPr>
        <w:t xml:space="preserve">March 31, </w:t>
      </w:r>
      <w:bookmarkStart w:id="5" w:name="xdx_90F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xdx_908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_________________ to 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5_edei--EntityFileNumber_c20260101"/>
      <w:bookmarkEnd w:id="7"/>
      <w:r>
        <w:rPr>
          <w:rFonts w:ascii="Times New Roman;Times;Serif" w:hAnsi="Times New Roman;Times;Serif"/>
          <w:b/>
          <w:i w:val="false"/>
          <w:caps w:val="false"/>
          <w:smallCaps w:val="false"/>
          <w:sz w:val="20"/>
          <w:u w:val="single"/>
        </w:rPr>
        <w:t>001-40730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C_edei--EntityRegistrantName_c2026"/>
      <w:bookmarkEnd w:id="8"/>
      <w:r>
        <w:rPr>
          <w:rFonts w:ascii="Times New Roman;Times;Serif" w:hAnsi="Times New Roman;Times;Serif"/>
          <w:b/>
          <w:i w:val="false"/>
          <w:caps w:val="false"/>
          <w:smallCaps w:val="false"/>
          <w:sz w:val="36"/>
        </w:rPr>
        <w:t>DRAGONFLY ENERGY HOLDINGS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IncorporationStateCo"/>
            <w:bookmarkEnd w:id="9"/>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7_edei--EntityTaxIdentificationNum"/>
            <w:bookmarkEnd w:id="10"/>
            <w:r>
              <w:rPr>
                <w:rFonts w:ascii="Times New Roman;Times;Serif" w:hAnsi="Times New Roman;Times;Serif"/>
                <w:b/>
                <w:i w:val="false"/>
                <w:caps w:val="false"/>
                <w:smallCaps w:val="false"/>
                <w:sz w:val="20"/>
              </w:rPr>
              <w:t>85-1873463</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0_edei--EntityAddressAddressLine1_"/>
            <w:bookmarkEnd w:id="11"/>
            <w:r>
              <w:rPr>
                <w:rFonts w:ascii="Times New Roman;Times;Serif" w:hAnsi="Times New Roman;Times;Serif"/>
                <w:b/>
                <w:i w:val="false"/>
                <w:caps w:val="false"/>
                <w:smallCaps w:val="false"/>
                <w:sz w:val="20"/>
              </w:rPr>
              <w:t>12915 Old Virginia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A_edei--EntityAddressCityOrTown_c2"/>
            <w:bookmarkEnd w:id="12"/>
            <w:r>
              <w:rPr>
                <w:rFonts w:ascii="Times New Roman;Times;Serif" w:hAnsi="Times New Roman;Times;Serif"/>
                <w:b/>
                <w:i w:val="false"/>
                <w:caps w:val="false"/>
                <w:smallCaps w:val="false"/>
                <w:sz w:val="20"/>
              </w:rPr>
              <w:t xml:space="preserve">Reno, </w:t>
            </w:r>
            <w:bookmarkStart w:id="13" w:name="xdx_905_edei--EntityAddressStateOrProvin"/>
            <w:bookmarkEnd w:id="13"/>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2_edei--EntityAddressPostalZipCode"/>
            <w:bookmarkEnd w:id="14"/>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5" w:name="xdx_90B_edei--CityAreaCode_c20260101__20"/>
      <w:bookmarkEnd w:id="15"/>
      <w:r>
        <w:rPr>
          <w:rFonts w:ascii="Times New Roman;Times;Serif" w:hAnsi="Times New Roman;Times;Serif"/>
          <w:b/>
          <w:i w:val="false"/>
          <w:caps w:val="false"/>
          <w:smallCaps w:val="false"/>
          <w:sz w:val="20"/>
          <w:u w:val="single"/>
        </w:rPr>
        <w:t xml:space="preserve">(775) </w:t>
      </w:r>
      <w:bookmarkStart w:id="16" w:name="xdx_906_edei--LocalPhoneNumber_c20260101"/>
      <w:bookmarkEnd w:id="16"/>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50" w:type="dxa"/>
        <w:jc w:val="left"/>
        <w:tblInd w:w="0" w:type="dxa"/>
        <w:tblLayout w:type="fixed"/>
        <w:tblCellMar>
          <w:top w:w="0" w:type="dxa"/>
          <w:left w:w="0" w:type="dxa"/>
          <w:bottom w:w="28" w:type="dxa"/>
          <w:right w:w="0" w:type="dxa"/>
        </w:tblCellMar>
      </w:tblPr>
      <w:tblGrid>
        <w:gridCol w:w="4310"/>
        <w:gridCol w:w="60"/>
        <w:gridCol w:w="1610"/>
        <w:gridCol w:w="60"/>
        <w:gridCol w:w="3710"/>
      </w:tblGrid>
      <w:tr>
        <w:trPr/>
        <w:tc>
          <w:tcPr>
            <w:tcW w:w="4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3_edei--Security12bTitle_c20260101"/>
            <w:bookmarkEnd w:id="17"/>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5_edei--TradingSymbol_c20260101__2"/>
            <w:bookmarkEnd w:id="18"/>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9" w:name="xdx_90A_edei--SecurityExchangeName_c2026"/>
            <w:bookmarkEnd w:id="19"/>
            <w:r>
              <w:rPr>
                <w:rFonts w:ascii="Times New Roman;Times;Serif" w:hAnsi="Times New Roman;Times;Serif"/>
                <w:b w:val="false"/>
                <w:i w:val="false"/>
                <w:caps w:val="false"/>
                <w:smallCaps w:val="false"/>
                <w:sz w:val="20"/>
              </w:rPr>
              <w:t>Nasdaq Capital Market</w:t>
            </w:r>
          </w:p>
        </w:tc>
      </w:tr>
      <w:tr>
        <w:trPr/>
        <w:tc>
          <w:tcPr>
            <w:tcW w:w="4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12bTitle_c20260101"/>
            <w:bookmarkEnd w:id="20"/>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TradingSymbol_c20260101__2"/>
            <w:bookmarkEnd w:id="21"/>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2" w:name="xdx_902_edei--SecurityExchangeName_c2026"/>
            <w:bookmarkEnd w:id="22"/>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9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w:t>
      </w:r>
      <w:bookmarkStart w:id="24" w:name="xdx_90B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5" w:name="xdx_903_edei--EntityFilerCategory_c20260"/>
            <w:bookmarkEnd w:id="25"/>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6" w:name="xdx_902_edei--EntitySmallBusiness_c20260"/>
            <w:bookmarkEnd w:id="26"/>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both"/>
              <w:rPr>
                <w:caps w:val="false"/>
                <w:smallCaps w:val="false"/>
              </w:rPr>
            </w:pPr>
            <w:r>
              <w:rPr>
                <w:caps w:val="false"/>
                <w:smallCaps w:val="false"/>
              </w:rPr>
              <w:t> </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7_edei--EntityEmergingGrowthCompan"/>
            <w:bookmarkEnd w:id="27"/>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4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9" w:name="xdx_90B_edei--EntityShellCompany_dbF_c20"/>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12, 2026, there were </w:t>
      </w:r>
      <w:bookmarkStart w:id="30" w:name="xdx_90C_edei--EntityCommonStockSharesOut"/>
      <w:bookmarkEnd w:id="30"/>
      <w:r>
        <w:rPr>
          <w:rFonts w:ascii="Times New Roman;Times;Serif" w:hAnsi="Times New Roman;Times;Serif"/>
          <w:b w:val="false"/>
          <w:i w:val="false"/>
          <w:caps w:val="false"/>
          <w:smallCaps w:val="false"/>
          <w:sz w:val="20"/>
        </w:rPr>
        <w:t>12,815,340 shares of the registrant’s common stock, par value $</w:t>
      </w:r>
      <w:bookmarkStart w:id="31" w:name="xdx_909_edei--EntityListingParValuePerSh"/>
      <w:bookmarkEnd w:id="31"/>
      <w:r>
        <w:rPr>
          <w:rFonts w:ascii="Times New Roman;Times;Serif" w:hAnsi="Times New Roman;Times;Serif"/>
          <w:b w:val="false"/>
          <w:i w:val="false"/>
          <w:caps w:val="false"/>
          <w:smallCaps w:val="false"/>
          <w:sz w:val="20"/>
        </w:rPr>
        <w:t>0.0001 per share,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
        <w:gridCol w:w="8733"/>
        <w:gridCol w:w="60"/>
        <w:gridCol w:w="737"/>
      </w:tblGrid>
      <w:tr>
        <w:trPr/>
        <w:tc>
          <w:tcPr>
            <w:tcW w:w="675" w:type="dxa"/>
            <w:tcBorders/>
            <w:vAlign w:val="center"/>
          </w:tcPr>
          <w:p>
            <w:pPr>
              <w:pStyle w:val="TableContents"/>
              <w:bidi w:val="0"/>
              <w:spacing w:before="0" w:after="283"/>
              <w:jc w:val="both"/>
              <w:rPr>
                <w:caps w:val="false"/>
                <w:smallCaps w:val="false"/>
              </w:rPr>
            </w:pPr>
            <w:r>
              <w:rPr>
                <w:caps w:val="false"/>
                <w:smallCaps w:val="false"/>
              </w:rPr>
              <w:t> </w:t>
            </w:r>
          </w:p>
        </w:tc>
        <w:tc>
          <w:tcPr>
            <w:tcW w:w="873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3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No.</w:t>
            </w:r>
          </w:p>
        </w:tc>
      </w:tr>
      <w:tr>
        <w:trPr/>
        <w:tc>
          <w:tcPr>
            <w:tcW w:w="9408" w:type="dxa"/>
            <w:gridSpan w:val="2"/>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 I. FINANCIAL INFORMATION</w:t>
            </w:r>
          </w:p>
        </w:tc>
        <w:tc>
          <w:tcPr>
            <w:tcW w:w="6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7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(Unaudited)</w:t>
            </w:r>
          </w:p>
        </w:tc>
        <w:tc>
          <w:tcPr>
            <w:tcW w:w="6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6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733"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Condensed Consolidated Balance Sheets as of March 31, 2026 and December 31, 2025</w:t>
              </w:r>
            </w:hyperlink>
          </w:p>
        </w:tc>
        <w:tc>
          <w:tcPr>
            <w:tcW w:w="6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733" w:type="dxa"/>
            <w:tcBorders/>
            <w:shd w:fill="FFFF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w:t>
              </w:r>
            </w:hyperlink>
          </w:p>
        </w:tc>
        <w:tc>
          <w:tcPr>
            <w:tcW w:w="6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733" w:type="dxa"/>
            <w:tcBorders/>
            <w:shd w:fill="CCEE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Condensed Consolidated Statements of Stockholders’ Equity (Deficit) for the three months ended March 31, 2026 and 2025</w:t>
              </w:r>
            </w:hyperlink>
          </w:p>
        </w:tc>
        <w:tc>
          <w:tcPr>
            <w:tcW w:w="6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733" w:type="dxa"/>
            <w:tcBorders/>
            <w:shd w:fill="FFFF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w:t>
              </w:r>
            </w:hyperlink>
          </w:p>
        </w:tc>
        <w:tc>
          <w:tcPr>
            <w:tcW w:w="6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733" w:type="dxa"/>
            <w:tcBorders/>
            <w:shd w:fill="CCEE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733" w:type="dxa"/>
            <w:tcBorders/>
            <w:shd w:fill="FFFF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733" w:type="dxa"/>
            <w:tcBorders/>
            <w:shd w:fill="CCEEFF" w:val="clear"/>
            <w:vAlign w:val="center"/>
          </w:tcPr>
          <w:p>
            <w:pPr>
              <w:pStyle w:val="TableContents"/>
              <w:bidi w:val="0"/>
              <w:spacing w:before="0" w:after="283"/>
              <w:jc w:val="left"/>
              <w:rPr/>
            </w:pPr>
            <w:hyperlink w:anchor="sa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733" w:type="dxa"/>
            <w:tcBorders/>
            <w:shd w:fill="FFFFFF" w:val="clear"/>
            <w:vAlign w:val="center"/>
          </w:tcPr>
          <w:p>
            <w:pPr>
              <w:pStyle w:val="TableContents"/>
              <w:bidi w:val="0"/>
              <w:spacing w:before="0" w:after="283"/>
              <w:jc w:val="left"/>
              <w:rPr/>
            </w:pPr>
            <w:hyperlink w:anchor="sa_003">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408" w:type="dxa"/>
            <w:gridSpan w:val="2"/>
            <w:tcBorders/>
            <w:shd w:fill="CCEEFF" w:val="clear"/>
            <w:vAlign w:val="center"/>
          </w:tcPr>
          <w:p>
            <w:pPr>
              <w:pStyle w:val="TableContents"/>
              <w:bidi w:val="0"/>
              <w:spacing w:before="0" w:after="283"/>
              <w:jc w:val="both"/>
              <w:rPr/>
            </w:pPr>
            <w:hyperlink w:anchor="sa_004">
              <w:r>
                <w:rPr>
                  <w:rStyle w:val="InternetLink"/>
                  <w:rFonts w:ascii="Times New Roman;Times;Serif" w:hAnsi="Times New Roman;Times;Serif"/>
                  <w:b/>
                  <w:i w:val="false"/>
                  <w:caps w:val="false"/>
                  <w:smallCaps w:val="false"/>
                  <w:sz w:val="20"/>
                </w:rPr>
                <w:t>PART II. OTHER INFORMATION</w:t>
              </w:r>
            </w:hyperlink>
          </w:p>
        </w:tc>
        <w:tc>
          <w:tcPr>
            <w:tcW w:w="6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733" w:type="dxa"/>
            <w:tcBorders/>
            <w:shd w:fill="FFFFFF" w:val="clear"/>
            <w:vAlign w:val="center"/>
          </w:tcPr>
          <w:p>
            <w:pPr>
              <w:pStyle w:val="TableContents"/>
              <w:bidi w:val="0"/>
              <w:spacing w:before="0" w:after="283"/>
              <w:jc w:val="left"/>
              <w:rPr/>
            </w:pPr>
            <w:hyperlink w:anchor="sa_005">
              <w:r>
                <w:rPr>
                  <w:rStyle w:val="InternetLink"/>
                  <w:rFonts w:ascii="Times New Roman;Times;Serif" w:hAnsi="Times New Roman;Times;Serif"/>
                  <w:b w:val="false"/>
                  <w:i w:val="false"/>
                  <w:caps w:val="false"/>
                  <w:smallCaps w:val="false"/>
                  <w:sz w:val="20"/>
                </w:rPr>
                <w:t>Legal Proceedings</w:t>
              </w:r>
            </w:hyperlink>
          </w:p>
        </w:tc>
        <w:tc>
          <w:tcPr>
            <w:tcW w:w="6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733" w:type="dxa"/>
            <w:tcBorders/>
            <w:shd w:fill="CCEEFF" w:val="clear"/>
            <w:vAlign w:val="center"/>
          </w:tcPr>
          <w:p>
            <w:pPr>
              <w:pStyle w:val="TableContents"/>
              <w:bidi w:val="0"/>
              <w:spacing w:before="0" w:after="283"/>
              <w:jc w:val="left"/>
              <w:rPr/>
            </w:pPr>
            <w:hyperlink w:anchor="sa_006">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733" w:type="dxa"/>
            <w:tcBorders/>
            <w:shd w:fill="FFFFFF" w:val="clear"/>
            <w:vAlign w:val="center"/>
          </w:tcPr>
          <w:p>
            <w:pPr>
              <w:pStyle w:val="TableContents"/>
              <w:bidi w:val="0"/>
              <w:spacing w:before="0" w:after="283"/>
              <w:jc w:val="left"/>
              <w:rPr/>
            </w:pPr>
            <w:hyperlink w:anchor="sa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733" w:type="dxa"/>
            <w:tcBorders/>
            <w:shd w:fill="CCEEFF" w:val="clear"/>
            <w:vAlign w:val="center"/>
          </w:tcPr>
          <w:p>
            <w:pPr>
              <w:pStyle w:val="TableContents"/>
              <w:bidi w:val="0"/>
              <w:spacing w:before="0" w:after="283"/>
              <w:jc w:val="left"/>
              <w:rPr/>
            </w:pPr>
            <w:hyperlink w:anchor="sa_008">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733" w:type="dxa"/>
            <w:tcBorders/>
            <w:shd w:fill="FFFFFF" w:val="clear"/>
            <w:vAlign w:val="center"/>
          </w:tcPr>
          <w:p>
            <w:pPr>
              <w:pStyle w:val="TableContents"/>
              <w:bidi w:val="0"/>
              <w:spacing w:before="0" w:after="283"/>
              <w:jc w:val="left"/>
              <w:rPr/>
            </w:pPr>
            <w:hyperlink w:anchor="sa_009">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733" w:type="dxa"/>
            <w:tcBorders/>
            <w:shd w:fill="CCEEFF" w:val="clear"/>
            <w:vAlign w:val="center"/>
          </w:tcPr>
          <w:p>
            <w:pPr>
              <w:pStyle w:val="TableContents"/>
              <w:bidi w:val="0"/>
              <w:spacing w:before="0" w:after="283"/>
              <w:jc w:val="left"/>
              <w:rPr/>
            </w:pPr>
            <w:hyperlink w:anchor="sa_010">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733" w:type="dxa"/>
            <w:tcBorders/>
            <w:shd w:fill="FFFFFF" w:val="clear"/>
            <w:vAlign w:val="center"/>
          </w:tcPr>
          <w:p>
            <w:pPr>
              <w:pStyle w:val="TableContents"/>
              <w:bidi w:val="0"/>
              <w:spacing w:before="0" w:after="283"/>
              <w:jc w:val="left"/>
              <w:rPr/>
            </w:pPr>
            <w:hyperlink w:anchor="sa_011">
              <w:r>
                <w:rPr>
                  <w:rStyle w:val="InternetLink"/>
                  <w:rFonts w:ascii="Times New Roman;Times;Serif" w:hAnsi="Times New Roman;Times;Serif"/>
                  <w:b w:val="false"/>
                  <w:i w:val="false"/>
                  <w:caps w:val="false"/>
                  <w:smallCaps w:val="false"/>
                  <w:sz w:val="20"/>
                </w:rPr>
                <w:t>Exhibits</w:t>
              </w:r>
            </w:hyperlink>
          </w:p>
        </w:tc>
        <w:tc>
          <w:tcPr>
            <w:tcW w:w="6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408" w:type="dxa"/>
            <w:gridSpan w:val="2"/>
            <w:tcBorders/>
            <w:shd w:fill="CCEEFF" w:val="clear"/>
            <w:vAlign w:val="center"/>
          </w:tcPr>
          <w:p>
            <w:pPr>
              <w:pStyle w:val="TableContents"/>
              <w:bidi w:val="0"/>
              <w:spacing w:before="0" w:after="283"/>
              <w:jc w:val="both"/>
              <w:rPr/>
            </w:pPr>
            <w:hyperlink w:anchor="sa_012">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32" w:name="sh_001"/>
      <w:bookmarkEnd w:id="32"/>
      <w:r>
        <w:rPr>
          <w:rFonts w:ascii="Times New Roman;Times;Serif" w:hAnsi="Times New Roman;Times;Serif"/>
          <w:b/>
          <w:i w:val="false"/>
          <w:caps/>
          <w:sz w:val="20"/>
        </w:rPr>
        <w:t>Unaudited Condensed Consolidated Balance Sheets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3" w:name="xdx_301_111_pn3n3_zv2M29xk4PGh"/>
      <w:bookmarkStart w:id="34" w:name="xdx_301_111_pn3n3_zv2M29xk4PGh"/>
      <w:bookmarkEnd w:id="34"/>
    </w:p>
    <w:tbl>
      <w:tblPr>
        <w:tblW w:w="10205" w:type="dxa"/>
        <w:jc w:val="left"/>
        <w:tblInd w:w="0" w:type="dxa"/>
        <w:tblLayout w:type="fixed"/>
        <w:tblCellMar>
          <w:top w:w="0" w:type="dxa"/>
          <w:left w:w="0" w:type="dxa"/>
          <w:bottom w:w="0" w:type="dxa"/>
          <w:right w:w="0" w:type="dxa"/>
        </w:tblCellMar>
      </w:tblPr>
      <w:tblGrid>
        <w:gridCol w:w="7331"/>
        <w:gridCol w:w="60"/>
        <w:gridCol w:w="166"/>
        <w:gridCol w:w="1041"/>
        <w:gridCol w:w="95"/>
        <w:gridCol w:w="60"/>
        <w:gridCol w:w="184"/>
        <w:gridCol w:w="1156"/>
        <w:gridCol w:w="112"/>
      </w:tblGrid>
      <w:tr>
        <w:trPr/>
        <w:tc>
          <w:tcPr>
            <w:tcW w:w="7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F_20260331_zzL22CkZI3g1"/>
            <w:bookmarkEnd w:id="35"/>
          </w:p>
        </w:tc>
        <w:tc>
          <w:tcPr>
            <w:tcW w:w="1207" w:type="dxa"/>
            <w:gridSpan w:val="2"/>
            <w:tcBorders>
              <w:bottom w:val="single" w:sz="8" w:space="0" w:color="000000"/>
            </w:tcBorders>
            <w:tcMar>
              <w:bottom w:w="28" w:type="dxa"/>
            </w:tcMar>
            <w:vAlign w:val="center"/>
          </w:tcPr>
          <w:p>
            <w:pPr>
              <w:pStyle w:val="TableContents"/>
              <w:bidi w:val="0"/>
              <w:spacing w:before="0" w:after="283"/>
              <w:jc w:val="center"/>
              <w:rPr/>
            </w:pPr>
            <w:r>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F_20251231_zZKgY9LxoOig"/>
            <w:bookmarkEnd w:id="36"/>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112" w:type="dxa"/>
            <w:tcBorders/>
            <w:vAlign w:val="center"/>
          </w:tcPr>
          <w:p>
            <w:pPr>
              <w:pStyle w:val="TableContents"/>
              <w:bidi w:val="0"/>
              <w:spacing w:before="0" w:after="283"/>
              <w:jc w:val="left"/>
              <w:rPr/>
            </w:pPr>
            <w:r>
              <w:rPr/>
              <w:t> </w:t>
            </w:r>
          </w:p>
        </w:tc>
      </w:tr>
      <w:tr>
        <w:trPr/>
        <w:tc>
          <w:tcPr>
            <w:tcW w:w="7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7"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37" w:name="xdx_404_eus-gaap--AssetsCurrentAbstract_"/>
            <w:bookmarkEnd w:id="37"/>
          </w:p>
        </w:tc>
      </w:tr>
      <w:tr>
        <w:trPr/>
        <w:tc>
          <w:tcPr>
            <w:tcW w:w="7331"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8" w:name="xdx_40A_eus-gaap--CashAndCashEquivalents"/>
            <w:bookmarkEnd w:id="38"/>
          </w:p>
        </w:tc>
      </w:tr>
      <w:tr>
        <w:trPr/>
        <w:tc>
          <w:tcPr>
            <w:tcW w:w="7331"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041" w:type="dxa"/>
            <w:tcBorders/>
            <w:shd w:fill="FFFFFF" w:val="clear"/>
            <w:vAlign w:val="center"/>
          </w:tcPr>
          <w:p>
            <w:pPr>
              <w:pStyle w:val="TableContents"/>
              <w:bidi w:val="0"/>
              <w:spacing w:before="0" w:after="283"/>
              <w:jc w:val="right"/>
              <w:rPr/>
            </w:pPr>
            <w:r>
              <w:rPr/>
              <w:t>8,637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156" w:type="dxa"/>
            <w:tcBorders/>
            <w:shd w:fill="FFFFFF" w:val="clear"/>
            <w:vAlign w:val="center"/>
          </w:tcPr>
          <w:p>
            <w:pPr>
              <w:pStyle w:val="TableContents"/>
              <w:bidi w:val="0"/>
              <w:spacing w:before="0" w:after="283"/>
              <w:jc w:val="right"/>
              <w:rPr/>
            </w:pPr>
            <w:r>
              <w:rPr/>
              <w:t>18,270</w:t>
            </w:r>
          </w:p>
        </w:tc>
        <w:tc>
          <w:tcPr>
            <w:tcW w:w="112" w:type="dxa"/>
            <w:tcBorders/>
            <w:shd w:fill="FFFFFF" w:val="clear"/>
            <w:vAlign w:val="center"/>
          </w:tcPr>
          <w:p>
            <w:pPr>
              <w:pStyle w:val="TableContents"/>
              <w:bidi w:val="0"/>
              <w:spacing w:before="0" w:after="283"/>
              <w:jc w:val="left"/>
              <w:rPr/>
            </w:pPr>
            <w:r>
              <w:rPr/>
              <w:t> </w:t>
            </w:r>
            <w:bookmarkStart w:id="39" w:name="xdx_40F_eus-gaap--AccountsReceivableNetC"/>
            <w:bookmarkEnd w:id="39"/>
          </w:p>
        </w:tc>
      </w:tr>
      <w:tr>
        <w:trPr/>
        <w:tc>
          <w:tcPr>
            <w:tcW w:w="7331"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2,979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4,215</w:t>
            </w:r>
          </w:p>
        </w:tc>
        <w:tc>
          <w:tcPr>
            <w:tcW w:w="112" w:type="dxa"/>
            <w:tcBorders/>
            <w:shd w:fill="CCEEFF" w:val="clear"/>
            <w:vAlign w:val="center"/>
          </w:tcPr>
          <w:p>
            <w:pPr>
              <w:pStyle w:val="TableContents"/>
              <w:bidi w:val="0"/>
              <w:spacing w:before="0" w:after="283"/>
              <w:jc w:val="left"/>
              <w:rPr/>
            </w:pPr>
            <w:r>
              <w:rPr/>
              <w:t> </w:t>
            </w:r>
            <w:bookmarkStart w:id="40" w:name="xdx_400_eus-gaap--InventoryNet_i01I_maCz"/>
            <w:bookmarkEnd w:id="40"/>
          </w:p>
        </w:tc>
      </w:tr>
      <w:tr>
        <w:trPr/>
        <w:tc>
          <w:tcPr>
            <w:tcW w:w="7331"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24,299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24,234</w:t>
            </w:r>
          </w:p>
        </w:tc>
        <w:tc>
          <w:tcPr>
            <w:tcW w:w="112" w:type="dxa"/>
            <w:tcBorders/>
            <w:shd w:fill="FFFFFF" w:val="clear"/>
            <w:vAlign w:val="center"/>
          </w:tcPr>
          <w:p>
            <w:pPr>
              <w:pStyle w:val="TableContents"/>
              <w:bidi w:val="0"/>
              <w:spacing w:before="0" w:after="283"/>
              <w:jc w:val="left"/>
              <w:rPr/>
            </w:pPr>
            <w:r>
              <w:rPr/>
              <w:t> </w:t>
            </w:r>
            <w:bookmarkStart w:id="41" w:name="xdx_404_ecustom--PrepaidExpenseOtherThan"/>
            <w:bookmarkEnd w:id="41"/>
          </w:p>
        </w:tc>
      </w:tr>
      <w:tr>
        <w:trPr/>
        <w:tc>
          <w:tcPr>
            <w:tcW w:w="7331"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1,115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1,088</w:t>
            </w:r>
          </w:p>
        </w:tc>
        <w:tc>
          <w:tcPr>
            <w:tcW w:w="112" w:type="dxa"/>
            <w:tcBorders/>
            <w:shd w:fill="CCEEFF" w:val="clear"/>
            <w:vAlign w:val="center"/>
          </w:tcPr>
          <w:p>
            <w:pPr>
              <w:pStyle w:val="TableContents"/>
              <w:bidi w:val="0"/>
              <w:spacing w:before="0" w:after="283"/>
              <w:jc w:val="left"/>
              <w:rPr/>
            </w:pPr>
            <w:r>
              <w:rPr/>
              <w:t> </w:t>
            </w:r>
            <w:bookmarkStart w:id="42" w:name="xdx_401_eus-gaap--Supplies_i01I_maCzfoC_"/>
            <w:bookmarkEnd w:id="42"/>
          </w:p>
        </w:tc>
      </w:tr>
      <w:tr>
        <w:trPr/>
        <w:tc>
          <w:tcPr>
            <w:tcW w:w="7331"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937</w:t>
            </w:r>
          </w:p>
        </w:tc>
        <w:tc>
          <w:tcPr>
            <w:tcW w:w="112" w:type="dxa"/>
            <w:tcBorders/>
            <w:shd w:fill="FFFFFF" w:val="clear"/>
            <w:vAlign w:val="center"/>
          </w:tcPr>
          <w:p>
            <w:pPr>
              <w:pStyle w:val="TableContents"/>
              <w:bidi w:val="0"/>
              <w:spacing w:before="0" w:after="283"/>
              <w:jc w:val="left"/>
              <w:rPr/>
            </w:pPr>
            <w:r>
              <w:rPr/>
              <w:t> </w:t>
            </w:r>
            <w:bookmarkStart w:id="43" w:name="xdx_400_eus-gaap--PrepaidTaxes_i01I_maCz"/>
            <w:bookmarkEnd w:id="43"/>
          </w:p>
        </w:tc>
      </w:tr>
      <w:tr>
        <w:trPr/>
        <w:tc>
          <w:tcPr>
            <w:tcW w:w="7331"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353</w:t>
            </w:r>
          </w:p>
        </w:tc>
        <w:tc>
          <w:tcPr>
            <w:tcW w:w="112" w:type="dxa"/>
            <w:tcBorders/>
            <w:shd w:fill="CCEEFF" w:val="clear"/>
            <w:vAlign w:val="center"/>
          </w:tcPr>
          <w:p>
            <w:pPr>
              <w:pStyle w:val="TableContents"/>
              <w:bidi w:val="0"/>
              <w:spacing w:before="0" w:after="283"/>
              <w:jc w:val="left"/>
              <w:rPr/>
            </w:pPr>
            <w:r>
              <w:rPr/>
              <w:t> </w:t>
            </w:r>
            <w:bookmarkStart w:id="44" w:name="xdx_407_eus-gaap--OtherAssetsCurrent_i01"/>
            <w:bookmarkEnd w:id="44"/>
          </w:p>
        </w:tc>
      </w:tr>
      <w:tr>
        <w:trPr/>
        <w:tc>
          <w:tcPr>
            <w:tcW w:w="7331"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1,758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1,083</w:t>
            </w:r>
          </w:p>
        </w:tc>
        <w:tc>
          <w:tcPr>
            <w:tcW w:w="112" w:type="dxa"/>
            <w:tcBorders/>
            <w:shd w:fill="FFFFFF" w:val="clear"/>
            <w:vAlign w:val="center"/>
          </w:tcPr>
          <w:p>
            <w:pPr>
              <w:pStyle w:val="TableContents"/>
              <w:bidi w:val="0"/>
              <w:spacing w:before="0" w:after="283"/>
              <w:jc w:val="left"/>
              <w:rPr/>
            </w:pPr>
            <w:r>
              <w:rPr/>
              <w:t> </w:t>
            </w:r>
            <w:bookmarkStart w:id="45" w:name="xdx_40D_eus-gaap--AssetsCurrent_i01TI_mt"/>
            <w:bookmarkEnd w:id="45"/>
          </w:p>
        </w:tc>
      </w:tr>
      <w:tr>
        <w:trPr/>
        <w:tc>
          <w:tcPr>
            <w:tcW w:w="733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pPr>
            <w:r>
              <w:rPr/>
              <w:t>39,958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50,180</w:t>
            </w:r>
          </w:p>
        </w:tc>
        <w:tc>
          <w:tcPr>
            <w:tcW w:w="112" w:type="dxa"/>
            <w:tcBorders/>
            <w:shd w:fill="CCEEFF" w:val="clear"/>
            <w:vAlign w:val="center"/>
          </w:tcPr>
          <w:p>
            <w:pPr>
              <w:pStyle w:val="TableContents"/>
              <w:bidi w:val="0"/>
              <w:spacing w:before="0" w:after="283"/>
              <w:jc w:val="left"/>
              <w:rPr/>
            </w:pPr>
            <w:r>
              <w:rPr/>
              <w:t> </w:t>
            </w:r>
            <w:bookmarkStart w:id="46" w:name="xdx_404_eus-gaap--PropertyPlantAndEquipm"/>
            <w:bookmarkEnd w:id="46"/>
          </w:p>
        </w:tc>
      </w:tr>
      <w:tr>
        <w:trPr/>
        <w:tc>
          <w:tcPr>
            <w:tcW w:w="7331"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7" w:name="xdx_403_eus-gaap--MachineryAndEquipmentG"/>
            <w:bookmarkEnd w:id="47"/>
          </w:p>
        </w:tc>
      </w:tr>
      <w:tr>
        <w:trPr/>
        <w:tc>
          <w:tcPr>
            <w:tcW w:w="7331"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18,183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17,794</w:t>
            </w:r>
          </w:p>
        </w:tc>
        <w:tc>
          <w:tcPr>
            <w:tcW w:w="112" w:type="dxa"/>
            <w:tcBorders/>
            <w:shd w:fill="CCEEFF" w:val="clear"/>
            <w:vAlign w:val="center"/>
          </w:tcPr>
          <w:p>
            <w:pPr>
              <w:pStyle w:val="TableContents"/>
              <w:bidi w:val="0"/>
              <w:spacing w:before="0" w:after="283"/>
              <w:jc w:val="left"/>
              <w:rPr/>
            </w:pPr>
            <w:r>
              <w:rPr/>
              <w:t> </w:t>
            </w:r>
            <w:bookmarkStart w:id="48" w:name="xdx_400_eus-gaap--FurnitureAndFixturesGr"/>
            <w:bookmarkEnd w:id="48"/>
          </w:p>
        </w:tc>
      </w:tr>
      <w:tr>
        <w:trPr/>
        <w:tc>
          <w:tcPr>
            <w:tcW w:w="7331" w:type="dxa"/>
            <w:tcBorders/>
            <w:shd w:fill="FFFFFF" w:val="clear"/>
            <w:vAlign w:val="center"/>
          </w:tcPr>
          <w:p>
            <w:pPr>
              <w:pStyle w:val="TableContents"/>
              <w:bidi w:val="0"/>
              <w:spacing w:before="0" w:after="283"/>
              <w:jc w:val="left"/>
              <w:rPr/>
            </w:pPr>
            <w:r>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432</w:t>
            </w:r>
          </w:p>
        </w:tc>
        <w:tc>
          <w:tcPr>
            <w:tcW w:w="112" w:type="dxa"/>
            <w:tcBorders/>
            <w:shd w:fill="FFFFFF" w:val="clear"/>
            <w:vAlign w:val="center"/>
          </w:tcPr>
          <w:p>
            <w:pPr>
              <w:pStyle w:val="TableContents"/>
              <w:bidi w:val="0"/>
              <w:spacing w:before="0" w:after="283"/>
              <w:jc w:val="left"/>
              <w:rPr/>
            </w:pPr>
            <w:r>
              <w:rPr/>
              <w:t> </w:t>
            </w:r>
            <w:bookmarkStart w:id="49" w:name="xdx_40A_eus-gaap--LeaseholdImprovementsG"/>
            <w:bookmarkEnd w:id="49"/>
          </w:p>
        </w:tc>
      </w:tr>
      <w:tr>
        <w:trPr/>
        <w:tc>
          <w:tcPr>
            <w:tcW w:w="7331"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7,634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7,563</w:t>
            </w:r>
          </w:p>
        </w:tc>
        <w:tc>
          <w:tcPr>
            <w:tcW w:w="112" w:type="dxa"/>
            <w:tcBorders/>
            <w:shd w:fill="CCEEFF" w:val="clear"/>
            <w:vAlign w:val="center"/>
          </w:tcPr>
          <w:p>
            <w:pPr>
              <w:pStyle w:val="TableContents"/>
              <w:bidi w:val="0"/>
              <w:spacing w:before="0" w:after="283"/>
              <w:jc w:val="left"/>
              <w:rPr/>
            </w:pPr>
            <w:r>
              <w:rPr/>
              <w:t> </w:t>
            </w:r>
            <w:bookmarkStart w:id="50" w:name="xdx_408_ecustom--VehicleGross_i01I_maCzh"/>
            <w:bookmarkEnd w:id="50"/>
          </w:p>
        </w:tc>
      </w:tr>
      <w:tr>
        <w:trPr/>
        <w:tc>
          <w:tcPr>
            <w:tcW w:w="7331" w:type="dxa"/>
            <w:tcBorders/>
            <w:shd w:fill="FFFFFF" w:val="clear"/>
            <w:vAlign w:val="center"/>
          </w:tcPr>
          <w:p>
            <w:pPr>
              <w:pStyle w:val="TableContents"/>
              <w:bidi w:val="0"/>
              <w:spacing w:before="0" w:after="283"/>
              <w:jc w:val="left"/>
              <w:rPr/>
            </w:pPr>
            <w:r>
              <w:rPr/>
              <w:t>Vehicle</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33</w:t>
            </w:r>
          </w:p>
        </w:tc>
        <w:tc>
          <w:tcPr>
            <w:tcW w:w="112" w:type="dxa"/>
            <w:tcBorders/>
            <w:shd w:fill="FFFFFF" w:val="clear"/>
            <w:vAlign w:val="center"/>
          </w:tcPr>
          <w:p>
            <w:pPr>
              <w:pStyle w:val="TableContents"/>
              <w:bidi w:val="0"/>
              <w:spacing w:before="0" w:after="283"/>
              <w:jc w:val="left"/>
              <w:rPr/>
            </w:pPr>
            <w:r>
              <w:rPr/>
              <w:t> </w:t>
            </w:r>
            <w:bookmarkStart w:id="51" w:name="xdx_40C_eus-gaap--PropertyPlantAndEquipm"/>
            <w:bookmarkEnd w:id="51"/>
          </w:p>
        </w:tc>
      </w:tr>
      <w:tr>
        <w:trPr/>
        <w:tc>
          <w:tcPr>
            <w:tcW w:w="7331"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26,282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25,822</w:t>
            </w:r>
          </w:p>
        </w:tc>
        <w:tc>
          <w:tcPr>
            <w:tcW w:w="112" w:type="dxa"/>
            <w:tcBorders/>
            <w:shd w:fill="CCEEFF" w:val="clear"/>
            <w:vAlign w:val="center"/>
          </w:tcPr>
          <w:p>
            <w:pPr>
              <w:pStyle w:val="TableContents"/>
              <w:bidi w:val="0"/>
              <w:spacing w:before="0" w:after="283"/>
              <w:jc w:val="left"/>
              <w:rPr/>
            </w:pPr>
            <w:r>
              <w:rPr/>
              <w:t> </w:t>
            </w:r>
            <w:bookmarkStart w:id="52" w:name="xdx_405_eus-gaap--AccumulatedDepreciatio"/>
            <w:bookmarkEnd w:id="52"/>
          </w:p>
        </w:tc>
      </w:tr>
      <w:tr>
        <w:trPr/>
        <w:tc>
          <w:tcPr>
            <w:tcW w:w="7331"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(5,875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(5,081</w:t>
            </w:r>
          </w:p>
        </w:tc>
        <w:tc>
          <w:tcPr>
            <w:tcW w:w="112" w:type="dxa"/>
            <w:tcBorders/>
            <w:shd w:fill="FFFFFF" w:val="clear"/>
            <w:vAlign w:val="center"/>
          </w:tcPr>
          <w:p>
            <w:pPr>
              <w:pStyle w:val="TableContents"/>
              <w:bidi w:val="0"/>
              <w:spacing w:before="0" w:after="283"/>
              <w:jc w:val="left"/>
              <w:rPr/>
            </w:pPr>
            <w:r>
              <w:rPr/>
              <w:t>)</w:t>
            </w:r>
            <w:bookmarkStart w:id="53" w:name="xdx_400_eus-gaap--PropertyPlantAndEquipm"/>
            <w:bookmarkEnd w:id="53"/>
          </w:p>
        </w:tc>
      </w:tr>
      <w:tr>
        <w:trPr/>
        <w:tc>
          <w:tcPr>
            <w:tcW w:w="733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20,407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20,741</w:t>
            </w:r>
          </w:p>
        </w:tc>
        <w:tc>
          <w:tcPr>
            <w:tcW w:w="112" w:type="dxa"/>
            <w:tcBorders/>
            <w:shd w:fill="CCEEFF" w:val="clear"/>
            <w:vAlign w:val="center"/>
          </w:tcPr>
          <w:p>
            <w:pPr>
              <w:pStyle w:val="TableContents"/>
              <w:bidi w:val="0"/>
              <w:spacing w:before="0" w:after="283"/>
              <w:jc w:val="left"/>
              <w:rPr/>
            </w:pPr>
            <w:r>
              <w:rPr/>
              <w:t> </w:t>
            </w:r>
            <w:bookmarkStart w:id="54" w:name="xdx_40C_eus-gaap--OperatingLeaseRightOfU"/>
            <w:bookmarkEnd w:id="54"/>
          </w:p>
        </w:tc>
      </w:tr>
      <w:tr>
        <w:trPr/>
        <w:tc>
          <w:tcPr>
            <w:tcW w:w="7331" w:type="dxa"/>
            <w:tcBorders/>
            <w:shd w:fill="FFFFFF" w:val="clear"/>
            <w:vAlign w:val="center"/>
          </w:tcPr>
          <w:p>
            <w:pPr>
              <w:pStyle w:val="TableContents"/>
              <w:bidi w:val="0"/>
              <w:spacing w:before="0" w:after="283"/>
              <w:jc w:val="left"/>
              <w:rPr/>
            </w:pPr>
            <w:r>
              <w:rPr/>
              <w:t>Operating lease right of use asset, net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14,951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15,240</w:t>
            </w:r>
          </w:p>
        </w:tc>
        <w:tc>
          <w:tcPr>
            <w:tcW w:w="112" w:type="dxa"/>
            <w:tcBorders/>
            <w:shd w:fill="FFFFFF" w:val="clear"/>
            <w:vAlign w:val="center"/>
          </w:tcPr>
          <w:p>
            <w:pPr>
              <w:pStyle w:val="TableContents"/>
              <w:bidi w:val="0"/>
              <w:spacing w:before="0" w:after="283"/>
              <w:jc w:val="left"/>
              <w:rPr/>
            </w:pPr>
            <w:r>
              <w:rPr/>
              <w:t> </w:t>
            </w:r>
            <w:bookmarkStart w:id="55" w:name="xdx_40D_eus-gaap--OtherAssetsNoncurrent_"/>
            <w:bookmarkEnd w:id="55"/>
          </w:p>
        </w:tc>
      </w:tr>
      <w:tr>
        <w:trPr/>
        <w:tc>
          <w:tcPr>
            <w:tcW w:w="7331"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pPr>
            <w:r>
              <w:rPr/>
              <w:t>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388</w:t>
            </w:r>
          </w:p>
        </w:tc>
        <w:tc>
          <w:tcPr>
            <w:tcW w:w="112" w:type="dxa"/>
            <w:tcBorders/>
            <w:shd w:fill="CCEEFF" w:val="clear"/>
            <w:vAlign w:val="center"/>
          </w:tcPr>
          <w:p>
            <w:pPr>
              <w:pStyle w:val="TableContents"/>
              <w:bidi w:val="0"/>
              <w:spacing w:before="0" w:after="283"/>
              <w:jc w:val="left"/>
              <w:rPr/>
            </w:pPr>
            <w:r>
              <w:rPr/>
              <w:t> </w:t>
            </w:r>
            <w:bookmarkStart w:id="56" w:name="xdx_40E_eus-gaap--Assets_iTI_mtCzY6r_zdR"/>
            <w:bookmarkEnd w:id="56"/>
          </w:p>
        </w:tc>
      </w:tr>
      <w:tr>
        <w:trPr/>
        <w:tc>
          <w:tcPr>
            <w:tcW w:w="7331"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pPr>
            <w:r>
              <w:rPr/>
              <w:t>75,695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86,549</w:t>
            </w:r>
          </w:p>
        </w:tc>
        <w:tc>
          <w:tcPr>
            <w:tcW w:w="112" w:type="dxa"/>
            <w:tcBorders/>
            <w:shd w:fill="FFFFFF" w:val="clear"/>
            <w:vAlign w:val="center"/>
          </w:tcPr>
          <w:p>
            <w:pPr>
              <w:pStyle w:val="TableContents"/>
              <w:bidi w:val="0"/>
              <w:spacing w:before="0" w:after="283"/>
              <w:jc w:val="left"/>
              <w:rPr/>
            </w:pPr>
            <w:r>
              <w:rPr/>
              <w:t> </w:t>
            </w:r>
            <w:bookmarkStart w:id="57" w:name="xdx_40A_eus-gaap--LiabilitiesCurrentAbst"/>
            <w:bookmarkEnd w:id="57"/>
          </w:p>
        </w:tc>
      </w:tr>
      <w:tr>
        <w:trPr/>
        <w:tc>
          <w:tcPr>
            <w:tcW w:w="7331"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8" w:name="xdx_40E_eus-gaap--AccountsPayableCurrent"/>
            <w:bookmarkEnd w:id="58"/>
          </w:p>
        </w:tc>
      </w:tr>
      <w:tr>
        <w:trPr/>
        <w:tc>
          <w:tcPr>
            <w:tcW w:w="733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1041" w:type="dxa"/>
            <w:tcBorders/>
            <w:shd w:fill="FFFFFF" w:val="clear"/>
            <w:vAlign w:val="center"/>
          </w:tcPr>
          <w:p>
            <w:pPr>
              <w:pStyle w:val="TableContents"/>
              <w:bidi w:val="0"/>
              <w:spacing w:before="0" w:after="283"/>
              <w:jc w:val="right"/>
              <w:rPr/>
            </w:pPr>
            <w:r>
              <w:rPr/>
              <w:t>9,139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156" w:type="dxa"/>
            <w:tcBorders/>
            <w:shd w:fill="FFFFFF" w:val="clear"/>
            <w:vAlign w:val="center"/>
          </w:tcPr>
          <w:p>
            <w:pPr>
              <w:pStyle w:val="TableContents"/>
              <w:bidi w:val="0"/>
              <w:spacing w:before="0" w:after="283"/>
              <w:jc w:val="right"/>
              <w:rPr/>
            </w:pPr>
            <w:r>
              <w:rPr/>
              <w:t>10,322</w:t>
            </w:r>
          </w:p>
        </w:tc>
        <w:tc>
          <w:tcPr>
            <w:tcW w:w="112" w:type="dxa"/>
            <w:tcBorders/>
            <w:shd w:fill="FFFFFF" w:val="clear"/>
            <w:vAlign w:val="center"/>
          </w:tcPr>
          <w:p>
            <w:pPr>
              <w:pStyle w:val="TableContents"/>
              <w:bidi w:val="0"/>
              <w:spacing w:before="0" w:after="283"/>
              <w:jc w:val="left"/>
              <w:rPr/>
            </w:pPr>
            <w:r>
              <w:rPr/>
              <w:t> </w:t>
            </w:r>
            <w:bookmarkStart w:id="59" w:name="xdx_40F_eus-gaap--EmployeeRelatedLiabili"/>
            <w:bookmarkEnd w:id="59"/>
          </w:p>
        </w:tc>
      </w:tr>
      <w:tr>
        <w:trPr/>
        <w:tc>
          <w:tcPr>
            <w:tcW w:w="7331"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2,518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4,053</w:t>
            </w:r>
          </w:p>
        </w:tc>
        <w:tc>
          <w:tcPr>
            <w:tcW w:w="112" w:type="dxa"/>
            <w:tcBorders/>
            <w:shd w:fill="CCEEFF" w:val="clear"/>
            <w:vAlign w:val="center"/>
          </w:tcPr>
          <w:p>
            <w:pPr>
              <w:pStyle w:val="TableContents"/>
              <w:bidi w:val="0"/>
              <w:spacing w:before="0" w:after="283"/>
              <w:jc w:val="left"/>
              <w:rPr/>
            </w:pPr>
            <w:r>
              <w:rPr/>
              <w:t> </w:t>
            </w:r>
            <w:bookmarkStart w:id="60" w:name="xdx_406_eus-gaap--OtherAccruedLiabilitie"/>
            <w:bookmarkEnd w:id="60"/>
          </w:p>
        </w:tc>
      </w:tr>
      <w:tr>
        <w:trPr/>
        <w:tc>
          <w:tcPr>
            <w:tcW w:w="7331"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943</w:t>
            </w:r>
          </w:p>
        </w:tc>
        <w:tc>
          <w:tcPr>
            <w:tcW w:w="112" w:type="dxa"/>
            <w:tcBorders/>
            <w:shd w:fill="FFFFFF" w:val="clear"/>
            <w:vAlign w:val="center"/>
          </w:tcPr>
          <w:p>
            <w:pPr>
              <w:pStyle w:val="TableContents"/>
              <w:bidi w:val="0"/>
              <w:spacing w:before="0" w:after="283"/>
              <w:jc w:val="left"/>
              <w:rPr/>
            </w:pPr>
            <w:r>
              <w:rPr/>
              <w:t> </w:t>
            </w:r>
            <w:bookmarkStart w:id="61" w:name="xdx_40E_eus-gaap--ContractWithCustomerLi"/>
            <w:bookmarkEnd w:id="61"/>
          </w:p>
        </w:tc>
      </w:tr>
      <w:tr>
        <w:trPr/>
        <w:tc>
          <w:tcPr>
            <w:tcW w:w="7331"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121</w:t>
            </w:r>
          </w:p>
        </w:tc>
        <w:tc>
          <w:tcPr>
            <w:tcW w:w="112" w:type="dxa"/>
            <w:tcBorders/>
            <w:shd w:fill="CCEEFF" w:val="clear"/>
            <w:vAlign w:val="center"/>
          </w:tcPr>
          <w:p>
            <w:pPr>
              <w:pStyle w:val="TableContents"/>
              <w:bidi w:val="0"/>
              <w:spacing w:before="0" w:after="283"/>
              <w:jc w:val="left"/>
              <w:rPr/>
            </w:pPr>
            <w:r>
              <w:rPr/>
              <w:t> </w:t>
            </w:r>
            <w:bookmarkStart w:id="62" w:name="xdx_407_eus-gaap--DeferredIncomeCurrent_"/>
            <w:bookmarkEnd w:id="62"/>
          </w:p>
        </w:tc>
      </w:tr>
      <w:tr>
        <w:trPr/>
        <w:tc>
          <w:tcPr>
            <w:tcW w:w="7331" w:type="dxa"/>
            <w:tcBorders/>
            <w:shd w:fill="FFFFFF" w:val="clear"/>
            <w:vAlign w:val="center"/>
          </w:tcPr>
          <w:p>
            <w:pPr>
              <w:pStyle w:val="TableContents"/>
              <w:bidi w:val="0"/>
              <w:spacing w:before="0" w:after="283"/>
              <w:jc w:val="left"/>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1,000</w:t>
            </w:r>
          </w:p>
        </w:tc>
        <w:tc>
          <w:tcPr>
            <w:tcW w:w="112" w:type="dxa"/>
            <w:tcBorders/>
            <w:shd w:fill="FFFFFF" w:val="clear"/>
            <w:vAlign w:val="center"/>
          </w:tcPr>
          <w:p>
            <w:pPr>
              <w:pStyle w:val="TableContents"/>
              <w:bidi w:val="0"/>
              <w:spacing w:before="0" w:after="283"/>
              <w:jc w:val="left"/>
              <w:rPr/>
            </w:pPr>
            <w:r>
              <w:rPr/>
              <w:t> </w:t>
            </w:r>
            <w:bookmarkStart w:id="63" w:name="xdx_402_eus-gaap--DividendsPayableCurren"/>
            <w:bookmarkEnd w:id="63"/>
          </w:p>
        </w:tc>
      </w:tr>
      <w:tr>
        <w:trPr/>
        <w:tc>
          <w:tcPr>
            <w:tcW w:w="7331" w:type="dxa"/>
            <w:tcBorders/>
            <w:shd w:fill="CCEEFF" w:val="clear"/>
            <w:vAlign w:val="center"/>
          </w:tcPr>
          <w:p>
            <w:pPr>
              <w:pStyle w:val="TableContents"/>
              <w:bidi w:val="0"/>
              <w:spacing w:before="0" w:after="283"/>
              <w:jc w:val="left"/>
              <w:rPr/>
            </w:pPr>
            <w:r>
              <w:rPr/>
              <w:t>Dividends Payable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317</w:t>
            </w:r>
          </w:p>
        </w:tc>
        <w:tc>
          <w:tcPr>
            <w:tcW w:w="112" w:type="dxa"/>
            <w:tcBorders/>
            <w:shd w:fill="CCEEFF" w:val="clear"/>
            <w:vAlign w:val="center"/>
          </w:tcPr>
          <w:p>
            <w:pPr>
              <w:pStyle w:val="TableContents"/>
              <w:bidi w:val="0"/>
              <w:spacing w:before="0" w:after="283"/>
              <w:jc w:val="left"/>
              <w:rPr/>
            </w:pPr>
            <w:r>
              <w:rPr/>
              <w:t> </w:t>
            </w:r>
            <w:bookmarkStart w:id="64" w:name="xdx_40C_eus-gaap--NotesPayableCurrent_i0"/>
            <w:bookmarkEnd w:id="64"/>
          </w:p>
        </w:tc>
      </w:tr>
      <w:tr>
        <w:trPr/>
        <w:tc>
          <w:tcPr>
            <w:tcW w:w="7331" w:type="dxa"/>
            <w:tcBorders/>
            <w:shd w:fill="FFFFFF" w:val="clear"/>
            <w:vAlign w:val="center"/>
          </w:tcPr>
          <w:p>
            <w:pPr>
              <w:pStyle w:val="TableContents"/>
              <w:bidi w:val="0"/>
              <w:spacing w:before="0" w:after="283"/>
              <w:jc w:val="left"/>
              <w:rPr/>
            </w:pPr>
            <w:r>
              <w:rPr/>
              <w:t>Notes payable,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466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433</w:t>
            </w:r>
          </w:p>
        </w:tc>
        <w:tc>
          <w:tcPr>
            <w:tcW w:w="112" w:type="dxa"/>
            <w:tcBorders/>
            <w:shd w:fill="FFFFFF" w:val="clear"/>
            <w:vAlign w:val="center"/>
          </w:tcPr>
          <w:p>
            <w:pPr>
              <w:pStyle w:val="TableContents"/>
              <w:bidi w:val="0"/>
              <w:spacing w:before="0" w:after="283"/>
              <w:jc w:val="left"/>
              <w:rPr/>
            </w:pPr>
            <w:r>
              <w:rPr/>
              <w:t> </w:t>
            </w:r>
            <w:bookmarkStart w:id="65" w:name="xdx_409_eus-gaap--OperatingLeaseLiabilit"/>
            <w:bookmarkEnd w:id="65"/>
          </w:p>
        </w:tc>
      </w:tr>
      <w:tr>
        <w:trPr/>
        <w:tc>
          <w:tcPr>
            <w:tcW w:w="7331" w:type="dxa"/>
            <w:tcBorders/>
            <w:shd w:fill="CCEEFF" w:val="clear"/>
            <w:vAlign w:val="center"/>
          </w:tcPr>
          <w:p>
            <w:pPr>
              <w:pStyle w:val="TableContents"/>
              <w:bidi w:val="0"/>
              <w:spacing w:before="0" w:after="283"/>
              <w:jc w:val="left"/>
              <w:rPr/>
            </w:pPr>
            <w:r>
              <w:rPr/>
              <w:t>Operating lease liability, current portion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2,447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2,533</w:t>
            </w:r>
          </w:p>
        </w:tc>
        <w:tc>
          <w:tcPr>
            <w:tcW w:w="112" w:type="dxa"/>
            <w:tcBorders/>
            <w:shd w:fill="CCEEFF" w:val="clear"/>
            <w:vAlign w:val="center"/>
          </w:tcPr>
          <w:p>
            <w:pPr>
              <w:pStyle w:val="TableContents"/>
              <w:bidi w:val="0"/>
              <w:spacing w:before="0" w:after="283"/>
              <w:jc w:val="left"/>
              <w:rPr/>
            </w:pPr>
            <w:r>
              <w:rPr/>
              <w:t> </w:t>
            </w:r>
            <w:bookmarkStart w:id="66" w:name="xdx_407_eus-gaap--FinanceLeaseLiabilityC"/>
            <w:bookmarkEnd w:id="66"/>
          </w:p>
        </w:tc>
      </w:tr>
      <w:tr>
        <w:trPr/>
        <w:tc>
          <w:tcPr>
            <w:tcW w:w="7331" w:type="dxa"/>
            <w:tcBorders/>
            <w:shd w:fill="FFFFFF" w:val="clear"/>
            <w:vAlign w:val="center"/>
          </w:tcPr>
          <w:p>
            <w:pPr>
              <w:pStyle w:val="TableContents"/>
              <w:bidi w:val="0"/>
              <w:spacing w:before="0" w:after="283"/>
              <w:jc w:val="left"/>
              <w:rPr/>
            </w:pPr>
            <w:r>
              <w:rPr/>
              <w:t>Financing lease liability, current portion</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35</w:t>
            </w:r>
          </w:p>
        </w:tc>
        <w:tc>
          <w:tcPr>
            <w:tcW w:w="112" w:type="dxa"/>
            <w:tcBorders/>
            <w:shd w:fill="FFFFFF" w:val="clear"/>
            <w:vAlign w:val="center"/>
          </w:tcPr>
          <w:p>
            <w:pPr>
              <w:pStyle w:val="TableContents"/>
              <w:bidi w:val="0"/>
              <w:spacing w:before="0" w:after="283"/>
              <w:jc w:val="left"/>
              <w:rPr/>
            </w:pPr>
            <w:r>
              <w:rPr/>
              <w:t> </w:t>
            </w:r>
            <w:bookmarkStart w:id="67" w:name="xdx_406_eus-gaap--LiabilitiesCurrent_i01"/>
            <w:bookmarkEnd w:id="67"/>
          </w:p>
        </w:tc>
      </w:tr>
      <w:tr>
        <w:trPr/>
        <w:tc>
          <w:tcPr>
            <w:tcW w:w="733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pPr>
            <w:r>
              <w:rPr/>
              <w:t>16,559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19,757</w:t>
            </w:r>
          </w:p>
        </w:tc>
        <w:tc>
          <w:tcPr>
            <w:tcW w:w="112" w:type="dxa"/>
            <w:tcBorders/>
            <w:shd w:fill="CCEEFF" w:val="clear"/>
            <w:vAlign w:val="center"/>
          </w:tcPr>
          <w:p>
            <w:pPr>
              <w:pStyle w:val="TableContents"/>
              <w:bidi w:val="0"/>
              <w:spacing w:before="0" w:after="283"/>
              <w:jc w:val="left"/>
              <w:rPr/>
            </w:pPr>
            <w:r>
              <w:rPr/>
              <w:t> </w:t>
            </w:r>
            <w:bookmarkStart w:id="68" w:name="xdx_404_eus-gaap--LiabilitiesNoncurrentA"/>
            <w:bookmarkEnd w:id="68"/>
          </w:p>
        </w:tc>
      </w:tr>
      <w:tr>
        <w:trPr/>
        <w:tc>
          <w:tcPr>
            <w:tcW w:w="7331"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9" w:name="xdx_401_eus-gaap--DeferredRevenueNoncurr"/>
            <w:bookmarkEnd w:id="69"/>
          </w:p>
        </w:tc>
      </w:tr>
      <w:tr>
        <w:trPr/>
        <w:tc>
          <w:tcPr>
            <w:tcW w:w="7331"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2,333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2,583</w:t>
            </w:r>
          </w:p>
        </w:tc>
        <w:tc>
          <w:tcPr>
            <w:tcW w:w="112" w:type="dxa"/>
            <w:tcBorders/>
            <w:shd w:fill="CCEEFF" w:val="clear"/>
            <w:vAlign w:val="center"/>
          </w:tcPr>
          <w:p>
            <w:pPr>
              <w:pStyle w:val="TableContents"/>
              <w:bidi w:val="0"/>
              <w:spacing w:before="0" w:after="283"/>
              <w:jc w:val="left"/>
              <w:rPr/>
            </w:pPr>
            <w:r>
              <w:rPr/>
              <w:t> </w:t>
            </w:r>
            <w:bookmarkStart w:id="70" w:name="xdx_40A_eus-gaap--DerivativeLiabilitiesN"/>
            <w:bookmarkEnd w:id="70"/>
          </w:p>
        </w:tc>
      </w:tr>
      <w:tr>
        <w:trPr/>
        <w:tc>
          <w:tcPr>
            <w:tcW w:w="7331"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713</w:t>
            </w:r>
          </w:p>
        </w:tc>
        <w:tc>
          <w:tcPr>
            <w:tcW w:w="112" w:type="dxa"/>
            <w:tcBorders/>
            <w:shd w:fill="FFFFFF" w:val="clear"/>
            <w:vAlign w:val="center"/>
          </w:tcPr>
          <w:p>
            <w:pPr>
              <w:pStyle w:val="TableContents"/>
              <w:bidi w:val="0"/>
              <w:spacing w:before="0" w:after="283"/>
              <w:jc w:val="left"/>
              <w:rPr/>
            </w:pPr>
            <w:r>
              <w:rPr/>
              <w:t> </w:t>
            </w:r>
            <w:bookmarkStart w:id="71" w:name="xdx_40E_eus-gaap--LongTermNotesPayable_i"/>
            <w:bookmarkEnd w:id="71"/>
          </w:p>
        </w:tc>
      </w:tr>
      <w:tr>
        <w:trPr/>
        <w:tc>
          <w:tcPr>
            <w:tcW w:w="7331" w:type="dxa"/>
            <w:tcBorders/>
            <w:shd w:fill="CCEEFF" w:val="clear"/>
            <w:vAlign w:val="center"/>
          </w:tcPr>
          <w:p>
            <w:pPr>
              <w:pStyle w:val="TableContents"/>
              <w:bidi w:val="0"/>
              <w:spacing w:before="0" w:after="283"/>
              <w:jc w:val="left"/>
              <w:rPr/>
            </w:pPr>
            <w:r>
              <w:rPr/>
              <w:t>Notes payable, non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9,859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9,212</w:t>
            </w:r>
          </w:p>
        </w:tc>
        <w:tc>
          <w:tcPr>
            <w:tcW w:w="112" w:type="dxa"/>
            <w:tcBorders/>
            <w:shd w:fill="CCEEFF" w:val="clear"/>
            <w:vAlign w:val="center"/>
          </w:tcPr>
          <w:p>
            <w:pPr>
              <w:pStyle w:val="TableContents"/>
              <w:bidi w:val="0"/>
              <w:spacing w:before="0" w:after="283"/>
              <w:jc w:val="left"/>
              <w:rPr/>
            </w:pPr>
            <w:r>
              <w:rPr/>
              <w:t> </w:t>
            </w:r>
            <w:bookmarkStart w:id="72" w:name="xdx_402_eus-gaap--OperatingLeaseLiabilit"/>
            <w:bookmarkEnd w:id="72"/>
          </w:p>
        </w:tc>
      </w:tr>
      <w:tr>
        <w:trPr/>
        <w:tc>
          <w:tcPr>
            <w:tcW w:w="7331" w:type="dxa"/>
            <w:tcBorders/>
            <w:shd w:fill="FFFFFF" w:val="clear"/>
            <w:vAlign w:val="center"/>
          </w:tcPr>
          <w:p>
            <w:pPr>
              <w:pStyle w:val="TableContents"/>
              <w:bidi w:val="0"/>
              <w:spacing w:before="0" w:after="283"/>
              <w:jc w:val="left"/>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19,955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20,470</w:t>
            </w:r>
          </w:p>
        </w:tc>
        <w:tc>
          <w:tcPr>
            <w:tcW w:w="112" w:type="dxa"/>
            <w:tcBorders/>
            <w:shd w:fill="FFFFFF" w:val="clear"/>
            <w:vAlign w:val="center"/>
          </w:tcPr>
          <w:p>
            <w:pPr>
              <w:pStyle w:val="TableContents"/>
              <w:bidi w:val="0"/>
              <w:spacing w:before="0" w:after="283"/>
              <w:jc w:val="left"/>
              <w:rPr/>
            </w:pPr>
            <w:r>
              <w:rPr/>
              <w:t> </w:t>
            </w:r>
            <w:bookmarkStart w:id="73" w:name="xdx_407_eus-gaap--FinanceLeaseLiabilityN"/>
            <w:bookmarkEnd w:id="73"/>
          </w:p>
        </w:tc>
      </w:tr>
      <w:tr>
        <w:trPr/>
        <w:tc>
          <w:tcPr>
            <w:tcW w:w="7331" w:type="dxa"/>
            <w:tcBorders/>
            <w:shd w:fill="CCEEFF" w:val="clear"/>
            <w:vAlign w:val="center"/>
          </w:tcPr>
          <w:p>
            <w:pPr>
              <w:pStyle w:val="TableContents"/>
              <w:bidi w:val="0"/>
              <w:spacing w:before="0" w:after="283"/>
              <w:jc w:val="left"/>
              <w:rPr/>
            </w:pPr>
            <w:r>
              <w:rPr/>
              <w:t>Financing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28</w:t>
            </w:r>
          </w:p>
        </w:tc>
        <w:tc>
          <w:tcPr>
            <w:tcW w:w="112" w:type="dxa"/>
            <w:tcBorders/>
            <w:shd w:fill="CCEEFF" w:val="clear"/>
            <w:vAlign w:val="center"/>
          </w:tcPr>
          <w:p>
            <w:pPr>
              <w:pStyle w:val="TableContents"/>
              <w:bidi w:val="0"/>
              <w:spacing w:before="0" w:after="283"/>
              <w:jc w:val="left"/>
              <w:rPr/>
            </w:pPr>
            <w:r>
              <w:rPr/>
              <w:t> </w:t>
            </w:r>
            <w:bookmarkStart w:id="74" w:name="xdx_40C_eus-gaap--LiabilitiesNoncurrent_"/>
            <w:bookmarkEnd w:id="74"/>
          </w:p>
        </w:tc>
      </w:tr>
      <w:tr>
        <w:trPr/>
        <w:tc>
          <w:tcPr>
            <w:tcW w:w="7331"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32,377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33,006</w:t>
            </w:r>
          </w:p>
        </w:tc>
        <w:tc>
          <w:tcPr>
            <w:tcW w:w="112" w:type="dxa"/>
            <w:tcBorders/>
            <w:shd w:fill="FFFFFF" w:val="clear"/>
            <w:vAlign w:val="center"/>
          </w:tcPr>
          <w:p>
            <w:pPr>
              <w:pStyle w:val="TableContents"/>
              <w:bidi w:val="0"/>
              <w:spacing w:before="0" w:after="283"/>
              <w:jc w:val="left"/>
              <w:rPr/>
            </w:pPr>
            <w:r>
              <w:rPr/>
              <w:t> </w:t>
            </w:r>
            <w:bookmarkStart w:id="75" w:name="xdx_40C_eus-gaap--Liabilities_i01TI_mtLz"/>
            <w:bookmarkEnd w:id="75"/>
          </w:p>
        </w:tc>
      </w:tr>
      <w:tr>
        <w:trPr/>
        <w:tc>
          <w:tcPr>
            <w:tcW w:w="7331"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pPr>
            <w:r>
              <w:rPr/>
              <w:t>48,936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52,763</w:t>
            </w:r>
          </w:p>
        </w:tc>
        <w:tc>
          <w:tcPr>
            <w:tcW w:w="112" w:type="dxa"/>
            <w:tcBorders/>
            <w:shd w:fill="CCEEFF" w:val="clear"/>
            <w:vAlign w:val="center"/>
          </w:tcPr>
          <w:p>
            <w:pPr>
              <w:pStyle w:val="TableContents"/>
              <w:bidi w:val="0"/>
              <w:spacing w:before="0" w:after="283"/>
              <w:jc w:val="left"/>
              <w:rPr/>
            </w:pPr>
            <w:r>
              <w:rPr/>
              <w:t> </w:t>
            </w:r>
            <w:bookmarkStart w:id="76" w:name="xdx_40A_eus-gaap--CommitmentsAndContinge"/>
            <w:bookmarkEnd w:id="76"/>
          </w:p>
        </w:tc>
      </w:tr>
      <w:tr>
        <w:trPr/>
        <w:tc>
          <w:tcPr>
            <w:tcW w:w="7331" w:type="dxa"/>
            <w:tcBorders/>
            <w:shd w:fill="FFFFFF" w:val="clear"/>
            <w:vAlign w:val="center"/>
          </w:tcPr>
          <w:p>
            <w:pPr>
              <w:pStyle w:val="TableContents"/>
              <w:bidi w:val="0"/>
              <w:spacing w:before="0" w:after="283"/>
              <w:jc w:val="left"/>
              <w:rPr>
                <w:b/>
              </w:rPr>
            </w:pPr>
            <w:r>
              <w:rPr>
                <w:b/>
              </w:rPr>
              <w:t>Commitments and Contingencies (See Note 5)</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77" w:name="xdx_404_eus-gaap--TemporaryEquityAbstrac"/>
            <w:bookmarkEnd w:id="77"/>
          </w:p>
        </w:tc>
      </w:tr>
      <w:tr>
        <w:trPr/>
        <w:tc>
          <w:tcPr>
            <w:tcW w:w="7331" w:type="dxa"/>
            <w:tcBorders/>
            <w:shd w:fill="CCEEFF" w:val="clear"/>
            <w:vAlign w:val="center"/>
          </w:tcPr>
          <w:p>
            <w:pPr>
              <w:pStyle w:val="TableContents"/>
              <w:bidi w:val="0"/>
              <w:spacing w:before="0" w:after="283"/>
              <w:jc w:val="left"/>
              <w:rPr>
                <w:b/>
              </w:rPr>
            </w:pPr>
            <w:r>
              <w:rPr>
                <w:b/>
              </w:rPr>
              <w:t>Redeemable Preferred Stock</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8" w:name="xdx_400_eus-gaap--TemporaryEquityCarryin"/>
            <w:bookmarkEnd w:id="78"/>
          </w:p>
        </w:tc>
      </w:tr>
      <w:tr>
        <w:trPr/>
        <w:tc>
          <w:tcPr>
            <w:tcW w:w="7331" w:type="dxa"/>
            <w:tcBorders/>
            <w:shd w:fill="FFFFFF" w:val="clear"/>
            <w:vAlign w:val="center"/>
          </w:tcPr>
          <w:p>
            <w:pPr>
              <w:pStyle w:val="TableContents"/>
              <w:bidi w:val="0"/>
              <w:spacing w:before="0" w:after="283"/>
              <w:jc w:val="left"/>
              <w:rPr/>
            </w:pPr>
            <w:r>
              <w:rPr/>
              <w:t xml:space="preserve">Preferred stock-Series A, </w:t>
            </w:r>
            <w:bookmarkStart w:id="79" w:name="xdx_904_eus-gaap--TemporaryEquitySharesA"/>
            <w:bookmarkStart w:id="80" w:name="xdx_90F_eus-gaap--TemporaryEquitySharesA"/>
            <w:bookmarkEnd w:id="79"/>
            <w:bookmarkEnd w:id="80"/>
            <w:r>
              <w:rPr/>
              <w:t>5,000 shares at $</w:t>
            </w:r>
            <w:bookmarkStart w:id="81" w:name="xdx_90B_eus-gaap--TemporaryEquityParOrSt"/>
            <w:bookmarkStart w:id="82" w:name="xdx_90D_eus-gaap--TemporaryEquityParOrSt"/>
            <w:bookmarkEnd w:id="81"/>
            <w:bookmarkEnd w:id="82"/>
            <w:r>
              <w:rPr/>
              <w:t xml:space="preserve">0.0001 par value, authorized, </w:t>
            </w:r>
            <w:bookmarkStart w:id="83" w:name="xdx_903_eus-gaap--TemporaryEquitySharesO"/>
            <w:bookmarkStart w:id="84" w:name="xdx_900_eus-gaap--TemporaryEquitySharesI"/>
            <w:bookmarkStart w:id="85" w:name="xdx_905_eus-gaap--TemporaryEquitySharesO"/>
            <w:bookmarkStart w:id="86" w:name="xdx_90F_eus-gaap--TemporaryEquitySharesI"/>
            <w:bookmarkEnd w:id="83"/>
            <w:bookmarkEnd w:id="84"/>
            <w:bookmarkEnd w:id="85"/>
            <w:bookmarkEnd w:id="86"/>
            <w:r>
              <w:rPr/>
              <w:t>no shares issued and outstanding as of March 31,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87" w:name="xdx_407_eus-gaap--TemporaryEquityCarryin"/>
            <w:bookmarkEnd w:id="87"/>
          </w:p>
        </w:tc>
      </w:tr>
      <w:tr>
        <w:trPr/>
        <w:tc>
          <w:tcPr>
            <w:tcW w:w="7331" w:type="dxa"/>
            <w:tcBorders/>
            <w:shd w:fill="CCEEFF" w:val="clear"/>
            <w:vAlign w:val="center"/>
          </w:tcPr>
          <w:p>
            <w:pPr>
              <w:pStyle w:val="TableContents"/>
              <w:bidi w:val="0"/>
              <w:spacing w:before="0" w:after="283"/>
              <w:jc w:val="left"/>
              <w:rPr/>
            </w:pPr>
            <w:r>
              <w:rPr/>
              <w:t xml:space="preserve">Preferred stock-Series B, </w:t>
            </w:r>
            <w:bookmarkStart w:id="88" w:name="xdx_900_eus-gaap--TemporaryEquitySharesA"/>
            <w:bookmarkStart w:id="89" w:name="xdx_90A_eus-gaap--TemporaryEquitySharesA"/>
            <w:bookmarkEnd w:id="88"/>
            <w:bookmarkEnd w:id="89"/>
            <w:r>
              <w:rPr/>
              <w:t>25,000 shares at $</w:t>
            </w:r>
            <w:bookmarkStart w:id="90" w:name="xdx_90F_eus-gaap--TemporaryEquityParOrSt"/>
            <w:bookmarkStart w:id="91" w:name="xdx_907_eus-gaap--TemporaryEquityParOrSt"/>
            <w:bookmarkEnd w:id="90"/>
            <w:bookmarkEnd w:id="91"/>
            <w:r>
              <w:rPr/>
              <w:t xml:space="preserve">0.0001 par value, authorized, </w:t>
            </w:r>
            <w:bookmarkStart w:id="92" w:name="xdx_904_eus-gaap--TemporaryEquitySharesO"/>
            <w:bookmarkStart w:id="93" w:name="xdx_90B_eus-gaap--TemporaryEquitySharesI"/>
            <w:bookmarkEnd w:id="92"/>
            <w:bookmarkEnd w:id="93"/>
            <w:r>
              <w:rPr/>
              <w:t xml:space="preserve">25,000 and </w:t>
            </w:r>
            <w:bookmarkStart w:id="94" w:name="xdx_90D_eus-gaap--TemporaryEquitySharesO"/>
            <w:bookmarkStart w:id="95" w:name="xdx_909_eus-gaap--TemporaryEquitySharesI"/>
            <w:bookmarkEnd w:id="94"/>
            <w:bookmarkEnd w:id="95"/>
            <w:r>
              <w:rPr/>
              <w:t>25,000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22,849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22,256</w:t>
            </w:r>
          </w:p>
        </w:tc>
        <w:tc>
          <w:tcPr>
            <w:tcW w:w="112" w:type="dxa"/>
            <w:tcBorders/>
            <w:shd w:fill="CCEEFF" w:val="clear"/>
            <w:vAlign w:val="center"/>
          </w:tcPr>
          <w:p>
            <w:pPr>
              <w:pStyle w:val="TableContents"/>
              <w:bidi w:val="0"/>
              <w:spacing w:before="0" w:after="283"/>
              <w:jc w:val="left"/>
              <w:rPr/>
            </w:pPr>
            <w:r>
              <w:rPr/>
              <w:t> </w:t>
            </w:r>
            <w:bookmarkStart w:id="96" w:name="xdx_405_eus-gaap--TemporaryEquityCarryin"/>
            <w:bookmarkEnd w:id="96"/>
          </w:p>
        </w:tc>
      </w:tr>
      <w:tr>
        <w:trPr/>
        <w:tc>
          <w:tcPr>
            <w:tcW w:w="7331" w:type="dxa"/>
            <w:tcBorders/>
            <w:shd w:fill="CCEEFF" w:val="clear"/>
            <w:vAlign w:val="center"/>
          </w:tcPr>
          <w:p>
            <w:pPr>
              <w:pStyle w:val="TableContents"/>
              <w:bidi w:val="0"/>
              <w:spacing w:before="0" w:after="283"/>
              <w:jc w:val="left"/>
              <w:rPr/>
            </w:pPr>
            <w:r>
              <w:rPr/>
              <w:t>Redeemable Preferred Stock</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22,849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22,256</w:t>
            </w:r>
          </w:p>
        </w:tc>
        <w:tc>
          <w:tcPr>
            <w:tcW w:w="112" w:type="dxa"/>
            <w:tcBorders/>
            <w:shd w:fill="CCEEFF" w:val="clear"/>
            <w:vAlign w:val="center"/>
          </w:tcPr>
          <w:p>
            <w:pPr>
              <w:pStyle w:val="TableContents"/>
              <w:bidi w:val="0"/>
              <w:spacing w:before="0" w:after="283"/>
              <w:jc w:val="left"/>
              <w:rPr/>
            </w:pPr>
            <w:r>
              <w:rPr/>
              <w:t> </w:t>
            </w:r>
            <w:bookmarkStart w:id="97" w:name="xdx_40F_eus-gaap--StockholdersEquityAbst"/>
            <w:bookmarkEnd w:id="97"/>
          </w:p>
        </w:tc>
      </w:tr>
      <w:tr>
        <w:trPr/>
        <w:tc>
          <w:tcPr>
            <w:tcW w:w="7331"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8" w:name="xdx_40B_eus-gaap--PreferredStockValue_i0"/>
            <w:bookmarkEnd w:id="98"/>
          </w:p>
        </w:tc>
      </w:tr>
      <w:tr>
        <w:trPr/>
        <w:tc>
          <w:tcPr>
            <w:tcW w:w="7331" w:type="dxa"/>
            <w:tcBorders/>
            <w:shd w:fill="CCEEFF" w:val="clear"/>
            <w:vAlign w:val="center"/>
          </w:tcPr>
          <w:p>
            <w:pPr>
              <w:pStyle w:val="TableContents"/>
              <w:bidi w:val="0"/>
              <w:spacing w:before="0" w:after="283"/>
              <w:jc w:val="left"/>
              <w:rPr/>
            </w:pPr>
            <w:r>
              <w:rPr/>
              <w:t xml:space="preserve">Preferred stock, </w:t>
            </w:r>
            <w:bookmarkStart w:id="99" w:name="xdx_90D_eus-gaap--PreferredStockSharesAu"/>
            <w:bookmarkStart w:id="100" w:name="xdx_903_eus-gaap--PreferredStockSharesAu"/>
            <w:bookmarkEnd w:id="99"/>
            <w:bookmarkEnd w:id="100"/>
            <w:r>
              <w:rPr/>
              <w:t>4,995,000 shares at $</w:t>
            </w:r>
            <w:bookmarkStart w:id="101" w:name="xdx_902_eus-gaap--PreferredStockParOrSta"/>
            <w:bookmarkStart w:id="102" w:name="xdx_907_eus-gaap--PreferredStockParOrSta"/>
            <w:bookmarkEnd w:id="101"/>
            <w:bookmarkEnd w:id="102"/>
            <w:r>
              <w:rPr/>
              <w:t xml:space="preserve">0.0001 par value, authorized, </w:t>
            </w:r>
            <w:bookmarkStart w:id="103" w:name="xdx_90C_eus-gaap--PreferredStockSharesOu"/>
            <w:bookmarkStart w:id="104" w:name="xdx_903_eus-gaap--PreferredStockSharesIs"/>
            <w:bookmarkStart w:id="105" w:name="xdx_908_eus-gaap--PreferredStockSharesOu"/>
            <w:bookmarkStart w:id="106" w:name="xdx_904_eus-gaap--PreferredStockSharesIs"/>
            <w:bookmarkEnd w:id="103"/>
            <w:bookmarkEnd w:id="104"/>
            <w:bookmarkEnd w:id="105"/>
            <w:bookmarkEnd w:id="106"/>
            <w:r>
              <w:rPr/>
              <w:t>no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07" w:name="xdx_40D_eus-gaap--CommonStockValue_i01I_"/>
            <w:bookmarkEnd w:id="107"/>
          </w:p>
        </w:tc>
      </w:tr>
      <w:tr>
        <w:trPr/>
        <w:tc>
          <w:tcPr>
            <w:tcW w:w="7331" w:type="dxa"/>
            <w:tcBorders/>
            <w:shd w:fill="FFFFFF" w:val="clear"/>
            <w:vAlign w:val="center"/>
          </w:tcPr>
          <w:p>
            <w:pPr>
              <w:pStyle w:val="TableContents"/>
              <w:bidi w:val="0"/>
              <w:spacing w:before="0" w:after="283"/>
              <w:jc w:val="left"/>
              <w:rPr/>
            </w:pPr>
            <w:r>
              <w:rPr/>
              <w:t xml:space="preserve">Common stock, </w:t>
            </w:r>
            <w:bookmarkStart w:id="108" w:name="xdx_900_eus-gaap--CommonStockSharesAutho"/>
            <w:bookmarkStart w:id="109" w:name="xdx_906_eus-gaap--CommonStockSharesAutho"/>
            <w:bookmarkEnd w:id="108"/>
            <w:bookmarkEnd w:id="109"/>
            <w:r>
              <w:rPr/>
              <w:t>400,000,000 shares at $</w:t>
            </w:r>
            <w:bookmarkStart w:id="110" w:name="xdx_907_eus-gaap--CommonStockParOrStated"/>
            <w:bookmarkStart w:id="111" w:name="xdx_90F_eus-gaap--CommonStockParOrStated"/>
            <w:bookmarkEnd w:id="110"/>
            <w:bookmarkEnd w:id="111"/>
            <w:r>
              <w:rPr/>
              <w:t xml:space="preserve">0.0001 par value, authorized, </w:t>
            </w:r>
            <w:bookmarkStart w:id="112" w:name="xdx_905_eus-gaap--CommonStockSharesOutst"/>
            <w:bookmarkStart w:id="113" w:name="xdx_907_eus-gaap--CommonStockSharesIssue"/>
            <w:bookmarkEnd w:id="112"/>
            <w:bookmarkEnd w:id="113"/>
            <w:r>
              <w:rPr/>
              <w:t xml:space="preserve">12,148,783 and </w:t>
            </w:r>
            <w:bookmarkStart w:id="114" w:name="xdx_906_eus-gaap--CommonStockSharesOutst"/>
            <w:bookmarkStart w:id="115" w:name="xdx_901_eus-gaap--CommonStockSharesIssue"/>
            <w:bookmarkEnd w:id="114"/>
            <w:bookmarkEnd w:id="115"/>
            <w:r>
              <w:rPr/>
              <w:t>12,078,713 shares issued and outstanding as of March 31,</w:t>
              <w:br/>
              <w:t>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w:t>
            </w:r>
          </w:p>
        </w:tc>
        <w:tc>
          <w:tcPr>
            <w:tcW w:w="112" w:type="dxa"/>
            <w:tcBorders/>
            <w:shd w:fill="FFFFFF" w:val="clear"/>
            <w:vAlign w:val="center"/>
          </w:tcPr>
          <w:p>
            <w:pPr>
              <w:pStyle w:val="TableContents"/>
              <w:bidi w:val="0"/>
              <w:spacing w:before="0" w:after="283"/>
              <w:jc w:val="left"/>
              <w:rPr/>
            </w:pPr>
            <w:r>
              <w:rPr/>
              <w:t> </w:t>
            </w:r>
            <w:bookmarkStart w:id="116" w:name="xdx_40C_eus-gaap--AdditionalPaidInCapita"/>
            <w:bookmarkEnd w:id="116"/>
          </w:p>
        </w:tc>
      </w:tr>
      <w:tr>
        <w:trPr/>
        <w:tc>
          <w:tcPr>
            <w:tcW w:w="7331"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162,627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163,622</w:t>
            </w:r>
          </w:p>
        </w:tc>
        <w:tc>
          <w:tcPr>
            <w:tcW w:w="112" w:type="dxa"/>
            <w:tcBorders/>
            <w:shd w:fill="CCEEFF" w:val="clear"/>
            <w:vAlign w:val="center"/>
          </w:tcPr>
          <w:p>
            <w:pPr>
              <w:pStyle w:val="TableContents"/>
              <w:bidi w:val="0"/>
              <w:spacing w:before="0" w:after="283"/>
              <w:jc w:val="left"/>
              <w:rPr/>
            </w:pPr>
            <w:r>
              <w:rPr/>
              <w:t> </w:t>
            </w:r>
            <w:bookmarkStart w:id="117" w:name="xdx_406_eus-gaap--RetainedEarningsAccumu"/>
            <w:bookmarkEnd w:id="117"/>
          </w:p>
        </w:tc>
      </w:tr>
      <w:tr>
        <w:trPr/>
        <w:tc>
          <w:tcPr>
            <w:tcW w:w="7331"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pPr>
            <w:r>
              <w:rPr/>
              <w:t>(158,718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(152,093</w:t>
            </w:r>
          </w:p>
        </w:tc>
        <w:tc>
          <w:tcPr>
            <w:tcW w:w="112" w:type="dxa"/>
            <w:tcBorders/>
            <w:shd w:fill="FFFFFF" w:val="clear"/>
            <w:vAlign w:val="center"/>
          </w:tcPr>
          <w:p>
            <w:pPr>
              <w:pStyle w:val="TableContents"/>
              <w:bidi w:val="0"/>
              <w:spacing w:before="0" w:after="283"/>
              <w:jc w:val="left"/>
              <w:rPr/>
            </w:pPr>
            <w:r>
              <w:rPr/>
              <w:t>)</w:t>
            </w:r>
            <w:bookmarkStart w:id="118" w:name="xdx_40C_eus-gaap--StockholdersEquity_i01"/>
            <w:bookmarkEnd w:id="118"/>
          </w:p>
        </w:tc>
      </w:tr>
      <w:tr>
        <w:trPr/>
        <w:tc>
          <w:tcPr>
            <w:tcW w:w="7331"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pPr>
            <w:r>
              <w:rPr/>
              <w:t>3,910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11,530</w:t>
            </w:r>
          </w:p>
        </w:tc>
        <w:tc>
          <w:tcPr>
            <w:tcW w:w="112" w:type="dxa"/>
            <w:tcBorders/>
            <w:shd w:fill="CCEEFF" w:val="clear"/>
            <w:vAlign w:val="center"/>
          </w:tcPr>
          <w:p>
            <w:pPr>
              <w:pStyle w:val="TableContents"/>
              <w:bidi w:val="0"/>
              <w:spacing w:before="0" w:after="283"/>
              <w:jc w:val="left"/>
              <w:rPr/>
            </w:pPr>
            <w:r>
              <w:rPr/>
              <w:t> </w:t>
            </w:r>
            <w:bookmarkStart w:id="119" w:name="xdx_404_eus-gaap--LiabilitiesAndStockhol"/>
            <w:bookmarkEnd w:id="119"/>
          </w:p>
        </w:tc>
      </w:tr>
      <w:tr>
        <w:trPr/>
        <w:tc>
          <w:tcPr>
            <w:tcW w:w="7331"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pPr>
            <w:r>
              <w:rPr/>
              <w:t>75,695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86,549</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120" w:name="sh_002"/>
      <w:bookmarkEnd w:id="120"/>
      <w:r>
        <w:rPr>
          <w:rFonts w:ascii="Times New Roman;Times;Serif" w:hAnsi="Times New Roman;Times;Serif"/>
          <w:b/>
          <w:i w:val="false"/>
          <w:caps/>
          <w:sz w:val="20"/>
        </w:rPr>
        <w:t>Unaudited Condensed Consolidated Statements of Operations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Three Months Ended March 31, 2026 and 2025</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1" w:name="xdx_30C_113_pn3n3_zQ7wZqZCBRpe"/>
      <w:bookmarkStart w:id="122" w:name="xdx_30C_113_pn3n3_zQ7wZqZCBRpe"/>
      <w:bookmarkEnd w:id="122"/>
    </w:p>
    <w:tbl>
      <w:tblPr>
        <w:tblW w:w="7857" w:type="dxa"/>
        <w:jc w:val="left"/>
        <w:tblInd w:w="0" w:type="dxa"/>
        <w:tblLayout w:type="fixed"/>
        <w:tblCellMar>
          <w:top w:w="0" w:type="dxa"/>
          <w:left w:w="0" w:type="dxa"/>
          <w:bottom w:w="0" w:type="dxa"/>
          <w:right w:w="0" w:type="dxa"/>
        </w:tblCellMar>
      </w:tblPr>
      <w:tblGrid>
        <w:gridCol w:w="4475"/>
        <w:gridCol w:w="60"/>
        <w:gridCol w:w="198"/>
        <w:gridCol w:w="1507"/>
        <w:gridCol w:w="126"/>
        <w:gridCol w:w="95"/>
        <w:gridCol w:w="198"/>
        <w:gridCol w:w="1103"/>
        <w:gridCol w:w="95"/>
      </w:tblGrid>
      <w:tr>
        <w:trPr/>
        <w:tc>
          <w:tcPr>
            <w:tcW w:w="44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23" w:name="xdx_49B_20260101__20260331_zwjzWtowws87"/>
            <w:bookmarkEnd w:id="123"/>
          </w:p>
        </w:tc>
        <w:tc>
          <w:tcPr>
            <w:tcW w:w="17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26" w:type="dxa"/>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bookmarkStart w:id="124" w:name="xdx_494_20250101__20250331_ziBVh4CjTJU2"/>
            <w:bookmarkEnd w:id="124"/>
          </w:p>
        </w:tc>
        <w:tc>
          <w:tcPr>
            <w:tcW w:w="13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27"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26" w:type="dxa"/>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13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301"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25" w:name="xdx_40F_eus-gaap--RevenueFromContractWit"/>
            <w:bookmarkEnd w:id="125"/>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9,704</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6" w:name="xdx_409_eus-gaap--CostOfGoodsAndServices"/>
            <w:bookmarkEnd w:id="126"/>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7,994</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7" w:name="xdx_40A_eus-gaap--GrossProfit_iT_mtCzcNX"/>
            <w:bookmarkEnd w:id="127"/>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28" w:name="xdx_408_eus-gaap--OperatingExpensesAbstr"/>
            <w:bookmarkEnd w:id="128"/>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29" w:name="xdx_402_eus-gaap--ResearchAndDevelopment"/>
            <w:bookmarkEnd w:id="129"/>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0" w:name="xdx_40F_eus-gaap--GeneralAndAdministrati"/>
            <w:bookmarkEnd w:id="130"/>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4,482</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1" w:name="xdx_402_eus-gaap--SellingAndMarketingExp"/>
            <w:bookmarkEnd w:id="131"/>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2" w:name="xdx_407_eus-gaap--OperatingExpenses_i01T"/>
            <w:bookmarkEnd w:id="132"/>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7,437</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3" w:name="xdx_40C_eus-gaap--OperatingIncomeLoss_iT"/>
            <w:bookmarkEnd w:id="133"/>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(5,727</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4" w:name="xdx_402_eus-gaap--NonoperatingIncomeExpe"/>
            <w:bookmarkEnd w:id="134"/>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5" w:name="xdx_40A_eus-gaap--InterestExpenseNonoper"/>
            <w:bookmarkEnd w:id="135"/>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6" w:name="xdx_40F_eus-gaap--OtherNonoperatingIncom"/>
            <w:bookmarkEnd w:id="136"/>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7" w:name="xdx_405_eus-gaap--FairValueAdjustmentOfW"/>
            <w:bookmarkEnd w:id="137"/>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8" w:name="xdx_401_eus-gaap--NonoperatingIncomeExpe"/>
            <w:bookmarkEnd w:id="138"/>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9" w:name="xdx_401_eus-gaap--IncomeLossFromContinui"/>
            <w:bookmarkEnd w:id="139"/>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(6,625</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0" w:name="xdx_408_eus-gaap--IncomeTaxExpenseBenefi"/>
            <w:bookmarkEnd w:id="140"/>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1" w:name="xdx_40E_eus-gaap--NetIncomeLoss_iT_mtCzM"/>
            <w:bookmarkEnd w:id="141"/>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(6,625</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42" w:name="xdx_40E_eus-gaap--PreferredStockDividend"/>
            <w:bookmarkEnd w:id="142"/>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3" w:name="xdx_406_eus-gaap--NetIncomeLossAvailable"/>
            <w:bookmarkEnd w:id="143"/>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Share- Basic &amp;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44" w:name="xdx_90B_eus-gaap--EarningsPerShareDilute"/>
            <w:bookmarkStart w:id="145" w:name="xdx_903_eus-gaap--EarningsPerShareBasic_"/>
            <w:bookmarkEnd w:id="144"/>
            <w:bookmarkEnd w:id="145"/>
            <w:r>
              <w:rPr>
                <w:rFonts w:ascii="Times New Roman;Times;Serif" w:hAnsi="Times New Roman;Times;Serif"/>
                <w:b w:val="false"/>
                <w:i w:val="false"/>
                <w:caps w:val="false"/>
                <w:smallCaps w:val="false"/>
                <w:sz w:val="20"/>
              </w:rPr>
              <w:t>(0.64</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46" w:name="xdx_90A_eus-gaap--EarningsPerShareDilute"/>
            <w:bookmarkStart w:id="147" w:name="xdx_905_eus-gaap--EarningsPerShareBasic_"/>
            <w:bookmarkEnd w:id="146"/>
            <w:bookmarkEnd w:id="147"/>
            <w:r>
              <w:rPr>
                <w:rFonts w:ascii="Times New Roman;Times;Serif" w:hAnsi="Times New Roman;Times;Serif"/>
                <w:b w:val="false"/>
                <w:i w:val="false"/>
                <w:caps w:val="false"/>
                <w:smallCaps w:val="false"/>
                <w:sz w:val="20"/>
              </w:rPr>
              <w:t>(9.28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 Basic &amp;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48" w:name="xdx_90D_eus-gaap--WeightedAverageNumberO"/>
            <w:bookmarkStart w:id="149" w:name="xdx_907_eus-gaap--WeightedAverageNumberO"/>
            <w:bookmarkEnd w:id="148"/>
            <w:bookmarkEnd w:id="149"/>
            <w:r>
              <w:rPr>
                <w:rFonts w:ascii="Times New Roman;Times;Serif" w:hAnsi="Times New Roman;Times;Serif"/>
                <w:b w:val="false"/>
                <w:i w:val="false"/>
                <w:caps w:val="false"/>
                <w:smallCaps w:val="false"/>
                <w:sz w:val="20"/>
              </w:rPr>
              <w:t>12,083,461</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0" w:name="xdx_900_eus-gaap--WeightedAverageNumberO"/>
            <w:bookmarkStart w:id="151" w:name="xdx_90F_eus-gaap--WeightedAverageNumberO"/>
            <w:bookmarkEnd w:id="150"/>
            <w:bookmarkEnd w:id="151"/>
            <w:r>
              <w:rPr>
                <w:rFonts w:ascii="Times New Roman;Times;Serif" w:hAnsi="Times New Roman;Times;Serif"/>
                <w:b w:val="false"/>
                <w:i w:val="false"/>
                <w:caps w:val="false"/>
                <w:smallCaps w:val="false"/>
                <w:sz w:val="20"/>
              </w:rPr>
              <w:t>732,762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152" w:name="sh_003"/>
      <w:bookmarkEnd w:id="152"/>
      <w:r>
        <w:rPr>
          <w:rFonts w:ascii="Times New Roman;Times;Serif" w:hAnsi="Times New Roman;Times;Serif"/>
          <w:b/>
          <w:i w:val="false"/>
          <w:caps/>
          <w:sz w:val="20"/>
        </w:rPr>
        <w:t>Unaudited Condensed Consolidated Statements of Shareholders’ Equity (Deficit)</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Three Months Ended March 31, 2026 and 2025</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spacing w:before="0" w:after="0"/>
        <w:ind w:left="0" w:right="0" w:hanging="0"/>
        <w:jc w:val="center"/>
        <w:rPr>
          <w:caps/>
        </w:rPr>
      </w:pPr>
      <w:r>
        <w:rPr>
          <w:caps/>
        </w:rPr>
        <w:t> </w:t>
      </w:r>
    </w:p>
    <w:p>
      <w:pPr>
        <w:pStyle w:val="Normal"/>
        <w:bidi w:val="0"/>
        <w:spacing w:before="0" w:after="0"/>
        <w:jc w:val="left"/>
        <w:rPr>
          <w:sz w:val="4"/>
          <w:szCs w:val="4"/>
        </w:rPr>
      </w:pPr>
      <w:r>
        <w:rPr>
          <w:sz w:val="4"/>
          <w:szCs w:val="4"/>
        </w:rPr>
      </w:r>
      <w:bookmarkStart w:id="153" w:name="xdx_300_114_pn3n3_zz80ZJo8Hmk6"/>
      <w:bookmarkStart w:id="154" w:name="xdx_300_114_pn3n3_zz80ZJo8Hmk6"/>
      <w:bookmarkEnd w:id="154"/>
    </w:p>
    <w:tbl>
      <w:tblPr>
        <w:tblW w:w="10205" w:type="dxa"/>
        <w:jc w:val="left"/>
        <w:tblInd w:w="0" w:type="dxa"/>
        <w:tblLayout w:type="fixed"/>
        <w:tblCellMar>
          <w:top w:w="0" w:type="dxa"/>
          <w:left w:w="0" w:type="dxa"/>
          <w:bottom w:w="0" w:type="dxa"/>
          <w:right w:w="0" w:type="dxa"/>
        </w:tblCellMar>
      </w:tblPr>
      <w:tblGrid>
        <w:gridCol w:w="4245"/>
        <w:gridCol w:w="60"/>
        <w:gridCol w:w="85"/>
        <w:gridCol w:w="415"/>
        <w:gridCol w:w="80"/>
        <w:gridCol w:w="60"/>
        <w:gridCol w:w="74"/>
        <w:gridCol w:w="531"/>
        <w:gridCol w:w="80"/>
        <w:gridCol w:w="60"/>
        <w:gridCol w:w="60"/>
        <w:gridCol w:w="830"/>
        <w:gridCol w:w="60"/>
        <w:gridCol w:w="60"/>
        <w:gridCol w:w="302"/>
        <w:gridCol w:w="303"/>
        <w:gridCol w:w="60"/>
        <w:gridCol w:w="60"/>
        <w:gridCol w:w="118"/>
        <w:gridCol w:w="652"/>
        <w:gridCol w:w="80"/>
        <w:gridCol w:w="60"/>
        <w:gridCol w:w="134"/>
        <w:gridCol w:w="816"/>
        <w:gridCol w:w="80"/>
        <w:gridCol w:w="60"/>
        <w:gridCol w:w="110"/>
        <w:gridCol w:w="575"/>
        <w:gridCol w:w="95"/>
      </w:tblGrid>
      <w:tr>
        <w:trPr/>
        <w:tc>
          <w:tcPr>
            <w:tcW w:w="4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55" w:name="xdx_4BA_us-gaap--StatementEquityComponen"/>
            <w:bookmarkEnd w:id="155"/>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56" w:name="xdx_4B7_us-gaap--StatementEquityComponen"/>
            <w:bookmarkEnd w:id="156"/>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57" w:name="xdx_4BF_us-gaap--StatementEquityComponen"/>
            <w:bookmarkEnd w:id="157"/>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58" w:name="xdx_4BE_us-gaap--StatementEquityComponen"/>
            <w:bookmarkEnd w:id="158"/>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59" w:name="xdx_4B4_zI2Omou5ebKl"/>
            <w:bookmarkEnd w:id="159"/>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Series A </w:t>
              <w:br/>
              <w:t>Redeemable</w:t>
              <w:br/>
              <w:t>Preferred 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Additional</w:t>
              <w:br/>
              <w:t>Paid-In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60" w:name="xdx_43C_c20260101__20260331_eus-gaap--St"/>
            <w:bookmarkEnd w:id="160"/>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1" w:name="xdx_980_eus-gaap--SharesOutstanding_iS_p"/>
            <w:bookmarkEnd w:id="161"/>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2" w:name="xdx_98E_eus-gaap--SharesOutstanding_iS_p"/>
            <w:bookmarkEnd w:id="162"/>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12,078,713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163,622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(152,093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3" w:name="xdx_400_eus-gaap--NetIncomeLoss_pn3n3_zy"/>
            <w:bookmarkEnd w:id="163"/>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64" w:name="xdx_407_ecustom--StockIssuedDuringPeriod"/>
            <w:bookmarkEnd w:id="164"/>
          </w:p>
        </w:tc>
      </w:tr>
      <w:tr>
        <w:trPr/>
        <w:tc>
          <w:tcPr>
            <w:tcW w:w="4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Cashless exercise of liability classified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5" w:name="xdx_986_ecustom--StockIssuedDuringPeriod"/>
            <w:bookmarkEnd w:id="165"/>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69,985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6" w:name="xdx_402_ecustom--StockIssuedDuringPeriod"/>
            <w:bookmarkEnd w:id="166"/>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Shares issued for vested restricted stock units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7" w:name="xdx_982_ecustom--StockIssuedDuringPeriod"/>
            <w:bookmarkEnd w:id="167"/>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8" w:name="xdx_407_ecustom--AdjustmentsToAdditional"/>
            <w:bookmarkEnd w:id="168"/>
          </w:p>
        </w:tc>
      </w:tr>
      <w:tr>
        <w:trPr/>
        <w:tc>
          <w:tcPr>
            <w:tcW w:w="4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Dividends Preferred Series B - Paid-in-kind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69" w:name="xdx_406_eus-gaap--AdjustmentsToAdditiona"/>
            <w:bookmarkEnd w:id="169"/>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Dividends Preferred Series 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70" w:name="xdx_409_ecustom--AdjustmentsToAdditional"/>
            <w:bookmarkEnd w:id="170"/>
          </w:p>
        </w:tc>
      </w:tr>
      <w:tr>
        <w:trPr/>
        <w:tc>
          <w:tcPr>
            <w:tcW w:w="4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Accretion of discount on Series B Preferred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71" w:name="xdx_40C_eus-gaap--AdjustmentsToAdditiona"/>
            <w:bookmarkEnd w:id="171"/>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2" w:name="xdx_437_c20260101__20260331_eus-gaap--St"/>
            <w:bookmarkEnd w:id="172"/>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73" w:name="xdx_98D_eus-gaap--SharesOutstanding_iE_p"/>
            <w:bookmarkEnd w:id="173"/>
          </w:p>
        </w:tc>
        <w:tc>
          <w:tcPr>
            <w:tcW w:w="4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74" w:name="xdx_989_eus-gaap--SharesOutstanding_iE_p"/>
            <w:bookmarkEnd w:id="174"/>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12,148,783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3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162,627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(158,718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5" w:name="xdx_438_c20250101__20250331_eus-gaap--St"/>
            <w:bookmarkEnd w:id="175"/>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6" w:name="xdx_986_eus-gaap--SharesOutstanding_iS_p"/>
            <w:bookmarkEnd w:id="176"/>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7" w:name="xdx_981_eus-gaap--SharesOutstanding_iS_p"/>
            <w:bookmarkEnd w:id="177"/>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723,265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(82,154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78" w:name="xdx_430_c20250101__20250331_eus-gaap--St"/>
            <w:bookmarkEnd w:id="178"/>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9" w:name="xdx_987_eus-gaap--SharesOutstanding_iS_p"/>
            <w:bookmarkEnd w:id="179"/>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0" w:name="xdx_987_eus-gaap--SharesOutstanding_iS_p"/>
            <w:bookmarkEnd w:id="180"/>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723,265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(82,154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4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1" w:name="xdx_400_eus-gaap--NetIncomeLoss_pn3n3_zn"/>
            <w:bookmarkEnd w:id="181"/>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82" w:name="xdx_409_eus-gaap--StockIssuedDuringPerio"/>
            <w:bookmarkEnd w:id="182"/>
          </w:p>
        </w:tc>
      </w:tr>
      <w:tr>
        <w:trPr/>
        <w:tc>
          <w:tcPr>
            <w:tcW w:w="4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stock issued in public offering (ATM), net of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3" w:name="xdx_98C_eus-gaap--StockIssuedDuringPerio"/>
            <w:bookmarkEnd w:id="183"/>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4" w:name="xdx_407_eus-gaap--StockIssuedDuringPerio"/>
            <w:bookmarkEnd w:id="184"/>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Redeemable preferred stock issued,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5" w:name="xdx_98B_eus-gaap--StockIssuedDuringPerio"/>
            <w:bookmarkEnd w:id="185"/>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6" w:name="xdx_402_ecustom--StockIssuedDuringPeriod"/>
            <w:bookmarkEnd w:id="186"/>
          </w:p>
        </w:tc>
      </w:tr>
      <w:tr>
        <w:trPr/>
        <w:tc>
          <w:tcPr>
            <w:tcW w:w="4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Shares issued for vested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7" w:name="xdx_98A_ecustom--StockIssuedDuringPeriod"/>
            <w:bookmarkEnd w:id="187"/>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8" w:name="xdx_408_eus-gaap--StockIssuedDuringPerio"/>
            <w:bookmarkEnd w:id="188"/>
          </w:p>
        </w:tc>
      </w:tr>
      <w:tr>
        <w:trPr/>
        <w:tc>
          <w:tcPr>
            <w:tcW w:w="4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preferred stock 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9" w:name="xdx_989_eus-gaap--StockIssuedDuringPerio"/>
            <w:bookmarkEnd w:id="189"/>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0" w:name="xdx_980_eus-gaap--StockIssuedDuringPerio"/>
            <w:bookmarkEnd w:id="190"/>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31,189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1" w:name="xdx_40C_eus-gaap--AdjustmentsToAdditiona"/>
            <w:bookmarkEnd w:id="191"/>
          </w:p>
        </w:tc>
      </w:tr>
      <w:tr>
        <w:trPr/>
        <w:tc>
          <w:tcPr>
            <w:tcW w:w="4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2" w:name="xdx_43F_c20250101__20250331_eus-gaap--St"/>
            <w:bookmarkEnd w:id="192"/>
          </w:p>
        </w:tc>
      </w:tr>
      <w:tr>
        <w:trPr/>
        <w:tc>
          <w:tcPr>
            <w:tcW w:w="4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93" w:name="xdx_98D_eus-gaap--SharesOutstanding_iE_p"/>
            <w:bookmarkEnd w:id="193"/>
          </w:p>
        </w:tc>
        <w:tc>
          <w:tcPr>
            <w:tcW w:w="4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94" w:name="xdx_98A_eus-gaap--SharesOutstanding_iE_p"/>
            <w:bookmarkEnd w:id="194"/>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758,965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(88,951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(15,645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95" w:name="xdx_43F_c20250101__20250331_eus-gaap--St"/>
            <w:bookmarkEnd w:id="195"/>
          </w:p>
        </w:tc>
      </w:tr>
      <w:tr>
        <w:trPr/>
        <w:tc>
          <w:tcPr>
            <w:tcW w:w="4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96" w:name="xdx_986_eus-gaap--SharesOutstanding_iE_p"/>
            <w:bookmarkEnd w:id="196"/>
          </w:p>
        </w:tc>
        <w:tc>
          <w:tcPr>
            <w:tcW w:w="4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97" w:name="xdx_98D_eus-gaap--SharesOutstanding_iE_p"/>
            <w:bookmarkEnd w:id="197"/>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758,965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3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73,306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(88,951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(15,645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bookmarkStart w:id="198" w:name="sh_004"/>
      <w:bookmarkEnd w:id="198"/>
      <w:r>
        <w:rPr>
          <w:rFonts w:ascii="Times New Roman;Times;Serif" w:hAnsi="Times New Roman;Times;Serif"/>
          <w:b/>
          <w:i w:val="false"/>
          <w:caps/>
          <w:sz w:val="20"/>
        </w:rPr>
        <w:t>Unaudited Condensed Consolidated Statements of Cash Flows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Three Months Ended March 31, 2026 and 2025</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ind w:left="0" w:right="0" w:hanging="0"/>
        <w:jc w:val="center"/>
        <w:rPr>
          <w:caps/>
        </w:rPr>
      </w:pPr>
      <w:r>
        <w:rPr>
          <w:caps/>
        </w:rPr>
        <w:t> </w:t>
      </w:r>
    </w:p>
    <w:p>
      <w:pPr>
        <w:pStyle w:val="Normal"/>
        <w:bidi w:val="0"/>
        <w:spacing w:before="0" w:after="0"/>
        <w:jc w:val="left"/>
        <w:rPr>
          <w:sz w:val="4"/>
          <w:szCs w:val="4"/>
        </w:rPr>
      </w:pPr>
      <w:r>
        <w:rPr>
          <w:sz w:val="4"/>
          <w:szCs w:val="4"/>
        </w:rPr>
      </w:r>
      <w:bookmarkStart w:id="199" w:name="xdx_303_112_pn3n3_z1WnZALudSG4"/>
      <w:bookmarkStart w:id="200" w:name="xdx_303_112_pn3n3_z1WnZALudSG4"/>
      <w:bookmarkEnd w:id="200"/>
    </w:p>
    <w:tbl>
      <w:tblPr>
        <w:tblW w:w="5510" w:type="dxa"/>
        <w:jc w:val="left"/>
        <w:tblInd w:w="0" w:type="dxa"/>
        <w:tblLayout w:type="fixed"/>
        <w:tblCellMar>
          <w:top w:w="0" w:type="dxa"/>
          <w:left w:w="0" w:type="dxa"/>
          <w:bottom w:w="0" w:type="dxa"/>
          <w:right w:w="0" w:type="dxa"/>
        </w:tblCellMar>
      </w:tblPr>
      <w:tblGrid>
        <w:gridCol w:w="3875"/>
        <w:gridCol w:w="60"/>
        <w:gridCol w:w="125"/>
        <w:gridCol w:w="545"/>
        <w:gridCol w:w="80"/>
        <w:gridCol w:w="60"/>
        <w:gridCol w:w="125"/>
        <w:gridCol w:w="545"/>
        <w:gridCol w:w="95"/>
      </w:tblGrid>
      <w:tr>
        <w:trPr/>
        <w:tc>
          <w:tcPr>
            <w:tcW w:w="38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01" w:name="xdx_49A_20260101__20260331_zcq98yc2szSg"/>
            <w:bookmarkEnd w:id="201"/>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02" w:name="xdx_490_20250101__20250331_zp8WocQXznN3"/>
            <w:bookmarkEnd w:id="202"/>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203" w:name="xdx_400_eus-gaap--NetCashProvidedByUsedI"/>
            <w:bookmarkEnd w:id="203"/>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4" w:name="xdx_406_eus-gaap--NetIncomeLoss_i01_maCz"/>
            <w:bookmarkEnd w:id="204"/>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5" w:name="xdx_40B_eus-gaap--AdjustmentsToReconcile"/>
            <w:bookmarkEnd w:id="205"/>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6" w:name="xdx_404_eus-gaap--ShareBasedCompensation"/>
            <w:bookmarkEnd w:id="206"/>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7" w:name="xdx_40E_eus-gaap--AmortizationOfDebtDisc"/>
            <w:bookmarkEnd w:id="207"/>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debt discount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8" w:name="xdx_401_eus-gaap--FairValueAdjustmentOfW"/>
            <w:bookmarkEnd w:id="208"/>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9" w:name="xdx_404_eus-gaap--PaidInKindInterest_i02"/>
            <w:bookmarkEnd w:id="209"/>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 expense (paid-in kind)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0" w:name="xdx_401_eus-gaap--ProvisionForDoubtfulAc"/>
            <w:bookmarkEnd w:id="210"/>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1" w:name="xdx_40B_eus-gaap--DepreciationDepletionA"/>
            <w:bookmarkEnd w:id="211"/>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2" w:name="xdx_405_eus-gaap--OperatingLeaseRightOfU"/>
            <w:bookmarkEnd w:id="212"/>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right of use of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3" w:name="xdx_40A_eus-gaap--IncreaseDecreaseInOper"/>
            <w:bookmarkEnd w:id="213"/>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Assets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4" w:name="xdx_40E_eus-gaap--IncreaseDecreaseInAcco"/>
            <w:bookmarkEnd w:id="214"/>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5" w:name="xdx_40F_eus-gaap--IncreaseDecreaseInInve"/>
            <w:bookmarkEnd w:id="215"/>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6" w:name="xdx_40D_eus-gaap--IncreaseDecreaseInPrep"/>
            <w:bookmarkEnd w:id="216"/>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7" w:name="xdx_409_ecustom--IncreaseDecreaseInPrepa"/>
            <w:bookmarkEnd w:id="217"/>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18" w:name="xdx_40B_ecustom--IncreaseDecreaseInPrepa"/>
            <w:bookmarkEnd w:id="218"/>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9" w:name="xdx_40B_eus-gaap--IncreaseDecreaseInOthe"/>
            <w:bookmarkEnd w:id="219"/>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0" w:name="xdx_405_eus-gaap--IncreaseDecreaseInOthe"/>
            <w:bookmarkEnd w:id="220"/>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1" w:name="xdx_40C_eus-gaap--IncreaseDecreaseInAcco"/>
            <w:bookmarkEnd w:id="221"/>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2" w:name="xdx_40C_eus-gaap--IncreaseDecreaseInOper"/>
            <w:bookmarkEnd w:id="222"/>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3" w:name="xdx_407_ecustom--IncreaseDecreaseInAccru"/>
            <w:bookmarkEnd w:id="223"/>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tariffs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4" w:name="xdx_40E_eus-gaap--IncreaseDecreaseInDefe"/>
            <w:bookmarkEnd w:id="224"/>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5" w:name="xdx_406_eus-gaap--IncreaseDecreaseInAccr"/>
            <w:bookmarkEnd w:id="225"/>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6" w:name="xdx_40F_eus-gaap--IncreaseDecreaseInCont"/>
            <w:bookmarkEnd w:id="226"/>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7" w:name="xdx_40A_eus-gaap--AdjustmentsToReconcile"/>
            <w:bookmarkEnd w:id="227"/>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8" w:name="xdx_400_eus-gaap--NetCashProvidedByUsedI"/>
            <w:bookmarkEnd w:id="228"/>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9" w:name="xdx_40B_eus-gaap--NetCashProvidedByUsedI"/>
            <w:bookmarkEnd w:id="229"/>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0" w:name="xdx_404_eus-gaap--PaymentsToAcquirePrope"/>
            <w:bookmarkEnd w:id="230"/>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1" w:name="xdx_402_eus-gaap--NetCashProvidedByUsedI"/>
            <w:bookmarkEnd w:id="231"/>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 (continued)</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Three Months Ended March 31, 2026 and 2025</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jc w:val="center"/>
        <w:rPr>
          <w:caps/>
        </w:rPr>
      </w:pPr>
      <w:r>
        <w:rPr>
          <w:caps/>
        </w:rPr>
        <w:t> </w:t>
      </w:r>
    </w:p>
    <w:tbl>
      <w:tblPr>
        <w:tblW w:w="6560" w:type="dxa"/>
        <w:jc w:val="left"/>
        <w:tblInd w:w="0" w:type="dxa"/>
        <w:tblLayout w:type="fixed"/>
        <w:tblCellMar>
          <w:top w:w="0" w:type="dxa"/>
          <w:left w:w="0" w:type="dxa"/>
          <w:bottom w:w="0" w:type="dxa"/>
          <w:right w:w="0" w:type="dxa"/>
        </w:tblCellMar>
      </w:tblPr>
      <w:tblGrid>
        <w:gridCol w:w="4880"/>
        <w:gridCol w:w="60"/>
        <w:gridCol w:w="125"/>
        <w:gridCol w:w="590"/>
        <w:gridCol w:w="80"/>
        <w:gridCol w:w="60"/>
        <w:gridCol w:w="125"/>
        <w:gridCol w:w="545"/>
        <w:gridCol w:w="95"/>
      </w:tblGrid>
      <w:tr>
        <w:trPr/>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from previous page)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232" w:name="xdx_405_eus-gaap--NetCashProvidedByUsedI"/>
            <w:bookmarkEnd w:id="232"/>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 w:name="xdx_404_ecustom--ProceedsFromIssuanceIni"/>
            <w:bookmarkEnd w:id="233"/>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public offering (ATM),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4" w:name="xdx_408_eus-gaap--RepaymentsOfNotesPayab"/>
            <w:bookmarkEnd w:id="234"/>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note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5" w:name="xdx_405_eus-gaap--ProceedsFromIssuanceOf"/>
            <w:bookmarkEnd w:id="235"/>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preferred stock offering, net of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6" w:name="xdx_409_eus-gaap--FinanceLeasePrincipalP"/>
            <w:bookmarkEnd w:id="236"/>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payments on finance leases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7" w:name="xdx_40A_eus-gaap--PaymentsOfOrdinaryDivi"/>
            <w:bookmarkEnd w:id="237"/>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8" w:name="xdx_40C_eus-gaap--NetCashProvidedByUsedI"/>
            <w:bookmarkEnd w:id="238"/>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9" w:name="xdx_405_eus-gaap--CashCashEquivalentsRes"/>
            <w:bookmarkEnd w:id="239"/>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40" w:name="xdx_401_eus-gaap--CashCashEquivalentsRes"/>
            <w:bookmarkEnd w:id="240"/>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Cash and cash equivalents -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1" w:name="xdx_406_eus-gaap--CashCashEquivalentsRes"/>
            <w:bookmarkEnd w:id="241"/>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Cash and cash equivalents -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2" w:name="xdx_40D_eus-gaap--SupplementalCashFlowIn"/>
            <w:bookmarkEnd w:id="242"/>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Disclosures of Cash Flow Information: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3" w:name="xdx_40C_eus-gaap--IncomeTaxesPaidNet_i01"/>
            <w:bookmarkEnd w:id="243"/>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4" w:name="xdx_402_eus-gaap--InterestPaidNet_i01_z4"/>
            <w:bookmarkEnd w:id="244"/>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5" w:name="xdx_406_eus-gaap--CashFlowNoncashInvesti"/>
            <w:bookmarkEnd w:id="245"/>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Non-Cash Investing and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6" w:name="xdx_404_eus-gaap--CapitalExpendituresInc"/>
            <w:bookmarkEnd w:id="246"/>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property and equipment, not yet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7" w:name="xdx_40A_ecustom--RecognitionOfWarrantLia"/>
            <w:bookmarkEnd w:id="247"/>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warrant liability - Investor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8" w:name="xdx_404_ecustom--ConversionOfPreferredSt"/>
            <w:bookmarkEnd w:id="248"/>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preferred stock 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 w:name="xdx_408_ecustom--AccruedDividends_i01_zW"/>
            <w:bookmarkEnd w:id="249"/>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0" w:name="xdx_40D_eus-gaap--DividendsPaidinkind_i0"/>
            <w:bookmarkEnd w:id="250"/>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in kind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1" w:name="xdx_401_ecustom--AccretionOfPreferredSto"/>
            <w:bookmarkEnd w:id="251"/>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preferred stock discount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bookmarkStart w:id="252" w:name="sh_005"/>
      <w:bookmarkEnd w:id="252"/>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253" w:name="xdx_801_eus-gaap--NatureOfOperations_z0w"/>
      <w:bookmarkEnd w:id="253"/>
      <w:r>
        <w:rPr>
          <w:rFonts w:ascii="Times New Roman;Times;Serif" w:hAnsi="Times New Roman;Times;Serif"/>
          <w:b/>
          <w:i w:val="false"/>
          <w:caps/>
          <w:sz w:val="20"/>
        </w:rPr>
        <w:t xml:space="preserve">Note 1 - </w:t>
      </w:r>
      <w:bookmarkStart w:id="254" w:name="xdx_821_z7suSuKBxfd6"/>
      <w:bookmarkEnd w:id="254"/>
      <w:r>
        <w:rPr>
          <w:rFonts w:ascii="Times New Roman;Times;Serif" w:hAnsi="Times New Roman;Times;Serif"/>
          <w:b/>
          <w:i w:val="false"/>
          <w:caps/>
          <w:sz w:val="20"/>
        </w:rPr>
        <w:t>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2025, the Company’s Board of Directors approved a </w:t>
      </w:r>
      <w:bookmarkStart w:id="255" w:name="xdx_90B_eus-gaap--StockholdersEquityReve"/>
      <w:bookmarkEnd w:id="255"/>
      <w:r>
        <w:rPr>
          <w:rFonts w:ascii="Times New Roman;Times;Serif" w:hAnsi="Times New Roman;Times;Serif"/>
          <w:b w:val="false"/>
          <w:i w:val="false"/>
          <w:caps w:val="false"/>
          <w:smallCaps w:val="false"/>
          <w:sz w:val="20"/>
        </w:rPr>
        <w:t>1-for-10 reverse stock split of the Company’s common stock, par value $</w:t>
      </w:r>
      <w:bookmarkStart w:id="256" w:name="xdx_908_eus-gaap--CommonStockParOrStated"/>
      <w:bookmarkEnd w:id="256"/>
      <w:r>
        <w:rPr>
          <w:rFonts w:ascii="Times New Roman;Times;Serif" w:hAnsi="Times New Roman;Times;Serif"/>
          <w:b w:val="false"/>
          <w:i w:val="false"/>
          <w:caps w:val="false"/>
          <w:smallCaps w:val="false"/>
          <w:sz w:val="20"/>
        </w:rPr>
        <w:t>0.0001 per share and a corresponding proportional reduction in the number of common stock shares issued and outstanding. The reverse stock split was effected upon market open on December 18, 2025, and shares of Common Stock began trading on a split-adjusted basis as of market open on December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of Common Stock, stock option awards and per share amounts contained in the Consolidated Financial Statements and Notes have been retroactively adjusted to reflect the </w:t>
      </w:r>
      <w:bookmarkStart w:id="257" w:name="xdx_90A_eus-gaap--StockholdersEquityReve"/>
      <w:bookmarkEnd w:id="257"/>
      <w:r>
        <w:rPr>
          <w:rFonts w:ascii="Times New Roman;Times;Serif" w:hAnsi="Times New Roman;Times;Serif"/>
          <w:b w:val="false"/>
          <w:i w:val="false"/>
          <w:caps w:val="false"/>
          <w:smallCaps w:val="false"/>
          <w:sz w:val="20"/>
        </w:rPr>
        <w:t>1-for-10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258" w:name="xdx_80A_eus-gaap--SignificantAccountingP"/>
      <w:bookmarkEnd w:id="258"/>
      <w:r>
        <w:rPr>
          <w:rFonts w:ascii="Times New Roman;Times;Serif" w:hAnsi="Times New Roman;Times;Serif"/>
          <w:b/>
          <w:i w:val="false"/>
          <w:caps/>
          <w:sz w:val="20"/>
        </w:rPr>
        <w:t xml:space="preserve">Note 2 – </w:t>
      </w:r>
      <w:bookmarkStart w:id="259" w:name="xdx_82F_zChvOuJPeIwg"/>
      <w:bookmarkEnd w:id="259"/>
      <w:r>
        <w:rPr>
          <w:rFonts w:ascii="Times New Roman;Times;Serif" w:hAnsi="Times New Roman;Times;Serif"/>
          <w:b/>
          <w:i w:val="false"/>
          <w:caps/>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60" w:name="xdx_846_eus-gaap--BasisOfAccountingPolic"/>
      <w:bookmarkEnd w:id="260"/>
      <w:r>
        <w:rPr>
          <w:rFonts w:ascii="Times New Roman;Times;Serif" w:hAnsi="Times New Roman;Times;Serif"/>
          <w:b w:val="false"/>
          <w:i/>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consolidated financial statements should be read along with the Annual Report on Form 10-K filed with the SEC on March 30, 2026 of the Company for the annual period ended December 31, 2025. The consolidated balance sheet as of December 31, 2025 was derived from the audited consolidated financial statements as of and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61" w:name="xdx_844_eus-gaap--ConsolidationPolicyTex"/>
      <w:bookmarkEnd w:id="261"/>
      <w:r>
        <w:rPr>
          <w:rFonts w:ascii="Times New Roman;Times;Serif" w:hAnsi="Times New Roman;Times;Serif"/>
          <w:b w:val="false"/>
          <w:i/>
          <w:caps w:val="false"/>
          <w:smallCaps w:val="false"/>
          <w:sz w:val="20"/>
          <w:u w:val="single"/>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accounting principles generally accepted in the United States of America (“U.S. GAAP”) and present the consolidated financial statements of the Company and its wholly owned subsidiaries. All significant intercompany transactions and balances are eliminated in consolidation.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62" w:name="xdx_845_ecustom--GoingConcernPolicyTextB"/>
      <w:bookmarkEnd w:id="262"/>
      <w:r>
        <w:rPr>
          <w:rFonts w:ascii="Times New Roman;Times;Serif" w:hAnsi="Times New Roman;Times;Serif"/>
          <w:b w:val="false"/>
          <w:i/>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incurred losses from operations and had negative cash flow from operations. As of March 31, 2026, the Company had $</w:t>
      </w:r>
      <w:bookmarkStart w:id="263" w:name="xdx_90A_eus-gaap--CashAndCashEquivalents"/>
      <w:bookmarkEnd w:id="263"/>
      <w:r>
        <w:rPr>
          <w:rFonts w:ascii="Times New Roman;Times;Serif" w:hAnsi="Times New Roman;Times;Serif"/>
          <w:b w:val="false"/>
          <w:i w:val="false"/>
          <w:caps w:val="false"/>
          <w:smallCaps w:val="false"/>
          <w:sz w:val="20"/>
        </w:rPr>
        <w:t>8,637 in cash and cash equivalents and a working capital of $</w:t>
      </w:r>
      <w:bookmarkStart w:id="264" w:name="xdx_901_ecustom--WorkingCapital_pn3n3_c2"/>
      <w:bookmarkEnd w:id="264"/>
      <w:r>
        <w:rPr>
          <w:rFonts w:ascii="Times New Roman;Times;Serif" w:hAnsi="Times New Roman;Times;Serif"/>
          <w:b w:val="false"/>
          <w:i w:val="false"/>
          <w:caps w:val="false"/>
          <w:smallCaps w:val="false"/>
          <w:sz w:val="20"/>
        </w:rPr>
        <w:t>23,399.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completed several capital raising and debt restructuring transactions, resulting in aggregate net cash proceeds of approximately $</w:t>
      </w:r>
      <w:bookmarkStart w:id="265" w:name="xdx_902_eus-gaap--ProceedsFromContribute"/>
      <w:bookmarkEnd w:id="265"/>
      <w:r>
        <w:rPr>
          <w:rFonts w:ascii="Times New Roman;Times;Serif" w:hAnsi="Times New Roman;Times;Serif"/>
          <w:b w:val="false"/>
          <w:i w:val="false"/>
          <w:caps w:val="false"/>
          <w:smallCaps w:val="false"/>
          <w:sz w:val="20"/>
        </w:rPr>
        <w:t>90,930 and modifications to its term loan that extended the maturity to October 2027, deferred principal and interest payments, reduced outstanding principal (including partial cancellation and conversion of principal into preferred stock), and established minimum liquidity covenants. On January 30, 2026, the Company also entered into an at-the-market equity offering program under which it may, at its discretion and subject to market conditions, issue and sell up to $</w:t>
      </w:r>
      <w:bookmarkStart w:id="266" w:name="xdx_907_eus-gaap--StockIssuedDuringPerio"/>
      <w:bookmarkEnd w:id="266"/>
      <w:r>
        <w:rPr>
          <w:rFonts w:ascii="Times New Roman;Times;Serif" w:hAnsi="Times New Roman;Times;Serif"/>
          <w:b w:val="false"/>
          <w:i w:val="false"/>
          <w:caps w:val="false"/>
          <w:smallCaps w:val="false"/>
          <w:sz w:val="20"/>
        </w:rPr>
        <w:t>50 million of its common stock from time to time. Refer to Annual Report on Form 10-K for the period ended December 31, 2025 for additional information regarding these equity offerings and term loan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the conditions and events described above in relation to the Company’s obligations coming due within one year after the date these condensed consolidated financial statements are issued. Based on this evaluation, the capital raise and debt restructuring activities completed in 2025 and early 2026, including access to the at-the-market equity offering program, and the Company’s ability to maintain covenant compliance with a monthly liquidity minimum of $</w:t>
      </w:r>
      <w:bookmarkStart w:id="267" w:name="xdx_908_eus-gaap--Cash_iI_pn3n3_c2025123"/>
      <w:bookmarkEnd w:id="267"/>
      <w:r>
        <w:rPr>
          <w:rFonts w:ascii="Times New Roman;Times;Serif" w:hAnsi="Times New Roman;Times;Serif"/>
          <w:b w:val="false"/>
          <w:i w:val="false"/>
          <w:caps w:val="false"/>
          <w:smallCaps w:val="false"/>
          <w:sz w:val="20"/>
        </w:rPr>
        <w:t>5,000, management has concluded that although substantial doubt was initially raised, its plans have alleviated substantial doubt about the Company’s ability to continue as a going concern within one year after the date these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68" w:name="xdx_849_eus-gaap--InventoryPolicyTextBlo"/>
      <w:bookmarkEnd w:id="268"/>
      <w:r>
        <w:rPr>
          <w:rFonts w:ascii="Times New Roman;Times;Serif" w:hAnsi="Times New Roman;Times;Serif"/>
          <w:b w:val="false"/>
          <w:i/>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Inventories </w:t>
      </w:r>
      <w:r>
        <w:rPr>
          <w:rFonts w:ascii="Times New Roman;Times;Serif" w:hAnsi="Times New Roman;Times;Serif"/>
          <w:b/>
          <w:i w:val="false"/>
          <w:caps w:val="false"/>
          <w:smallCaps w:val="false"/>
          <w:sz w:val="20"/>
        </w:rPr>
        <w:t>(Note 4),</w:t>
      </w:r>
      <w:r>
        <w:rPr>
          <w:rFonts w:ascii="Times New Roman;Times;Serif" w:hAnsi="Times New Roman;Times;Serif"/>
          <w:b w:val="false"/>
          <w:i w:val="false"/>
          <w:caps w:val="false"/>
          <w:smallCaps w:val="false"/>
          <w:sz w:val="20"/>
        </w:rPr>
        <w:t xml:space="preserve">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 The Company had a reserve of $</w:t>
      </w:r>
      <w:bookmarkStart w:id="269" w:name="xdx_90E_eus-gaap--InventoryValuationRese"/>
      <w:bookmarkEnd w:id="269"/>
      <w:r>
        <w:rPr>
          <w:rFonts w:ascii="Times New Roman;Times;Serif" w:hAnsi="Times New Roman;Times;Serif"/>
          <w:b w:val="false"/>
          <w:i w:val="false"/>
          <w:caps w:val="false"/>
          <w:smallCaps w:val="false"/>
          <w:sz w:val="20"/>
        </w:rPr>
        <w:t>560 and $</w:t>
      </w:r>
      <w:bookmarkStart w:id="270" w:name="xdx_902_eus-gaap--InventoryValuationRese"/>
      <w:bookmarkEnd w:id="270"/>
      <w:r>
        <w:rPr>
          <w:rFonts w:ascii="Times New Roman;Times;Serif" w:hAnsi="Times New Roman;Times;Serif"/>
          <w:b w:val="false"/>
          <w:i w:val="false"/>
          <w:caps w:val="false"/>
          <w:smallCaps w:val="false"/>
          <w:sz w:val="20"/>
        </w:rPr>
        <w:t>300 as of March 31,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1" w:name="xdx_848_eus-gaap--UseOfEstimates_zEMXMmg"/>
      <w:bookmarkEnd w:id="271"/>
      <w:r>
        <w:rPr>
          <w:rFonts w:ascii="Times New Roman;Times;Serif" w:hAnsi="Times New Roman;Times;Serif"/>
          <w:b w:val="false"/>
          <w:i/>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going concern, right of use asset, warrant liability, equity based compensation, income taxes, leases, right-of-use asset impairment, and license arrangement.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72" w:name="xdx_848_eus-gaap--RevenueFromContractWit"/>
      <w:bookmarkEnd w:id="272"/>
      <w:r>
        <w:rPr>
          <w:rFonts w:ascii="Times New Roman;Times;Serif" w:hAnsi="Times New Roman;Times;Serif"/>
          <w:b w:val="false"/>
          <w:i/>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right-to-access license agreements upon the transfer of control to the customer. Upfront fees are deferred and recognized over the estimated period of benefit. Royalties are recognized as revenue when the customer’s underlying sales occur. The transaction price and timing of revenue recognition are adjusted as necessary to reflect changes in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OEMs are typically due within </w:t>
      </w:r>
      <w:bookmarkStart w:id="273" w:name="xdx_90F_ecustom--PaymentTermForDistribut"/>
      <w:bookmarkEnd w:id="273"/>
      <w:r>
        <w:rPr>
          <w:rFonts w:ascii="Times New Roman;Times;Serif" w:hAnsi="Times New Roman;Times;Serif"/>
          <w:b w:val="false"/>
          <w:i w:val="false"/>
          <w:caps w:val="false"/>
          <w:smallCaps w:val="false"/>
          <w:sz w:val="20"/>
        </w:rPr>
        <w:t>30-</w:t>
      </w:r>
      <w:bookmarkStart w:id="274" w:name="xdx_90A_ecustom--PaymentTermForDistribut"/>
      <w:bookmarkEnd w:id="274"/>
      <w:r>
        <w:rPr>
          <w:rFonts w:ascii="Times New Roman;Times;Serif" w:hAnsi="Times New Roman;Times;Serif"/>
          <w:b w:val="false"/>
          <w:i w:val="false"/>
          <w:caps w:val="false"/>
          <w:smallCaps w:val="false"/>
          <w:sz w:val="20"/>
        </w:rPr>
        <w:t>90 days after shipment. In such instances, the Company records a customer deposit liability. The Company recognizes these contract liabilities as sales after the revenue criteria are met. As of March 31, 2026 and December 31, 2025, the contract liability related to the Company’s customer deposits were approximately $</w:t>
      </w:r>
      <w:bookmarkStart w:id="275" w:name="xdx_901_eus-gaap--ContractWithCustomerLi"/>
      <w:bookmarkEnd w:id="275"/>
      <w:r>
        <w:rPr>
          <w:rFonts w:ascii="Times New Roman;Times;Serif" w:hAnsi="Times New Roman;Times;Serif"/>
          <w:b w:val="false"/>
          <w:i w:val="false"/>
          <w:caps w:val="false"/>
          <w:smallCaps w:val="false"/>
          <w:sz w:val="20"/>
        </w:rPr>
        <w:t>118 and $</w:t>
      </w:r>
      <w:bookmarkStart w:id="276" w:name="xdx_902_eus-gaap--ContractWithCustomerLi"/>
      <w:bookmarkEnd w:id="276"/>
      <w:r>
        <w:rPr>
          <w:rFonts w:ascii="Times New Roman;Times;Serif" w:hAnsi="Times New Roman;Times;Serif"/>
          <w:b w:val="false"/>
          <w:i w:val="false"/>
          <w:caps w:val="false"/>
          <w:smallCaps w:val="false"/>
          <w:sz w:val="20"/>
        </w:rPr>
        <w:t>121, respectively.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277" w:name="xdx_90A_eus-gaap--ContractWithCustomerLi"/>
      <w:bookmarkEnd w:id="277"/>
      <w:r>
        <w:rPr>
          <w:rFonts w:ascii="Times New Roman;Times;Serif" w:hAnsi="Times New Roman;Times;Serif"/>
          <w:b w:val="false"/>
          <w:i w:val="false"/>
          <w:caps w:val="false"/>
          <w:smallCaps w:val="false"/>
          <w:sz w:val="20"/>
        </w:rPr>
        <w:t>121 of the contract liability as of December 31, 2025 during the three months ended March 31, 2026. During the three months ended March 31, 2025, the Company recognized $</w:t>
      </w:r>
      <w:bookmarkStart w:id="278" w:name="xdx_900_eus-gaap--ContractWithCustomerLi"/>
      <w:bookmarkEnd w:id="278"/>
      <w:r>
        <w:rPr>
          <w:rFonts w:ascii="Times New Roman;Times;Serif" w:hAnsi="Times New Roman;Times;Serif"/>
          <w:b w:val="false"/>
          <w:i w:val="false"/>
          <w:caps w:val="false"/>
          <w:smallCaps w:val="false"/>
          <w:sz w:val="20"/>
        </w:rPr>
        <w:t>306 of the contract liability that was recorded as a January 1, 2025 beginning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The $</w:t>
      </w:r>
      <w:bookmarkStart w:id="279" w:name="xdx_905_ecustom--LicensingFee_pn3n3_c202"/>
      <w:bookmarkEnd w:id="279"/>
      <w:r>
        <w:rPr>
          <w:rFonts w:ascii="Times New Roman;Times;Serif" w:hAnsi="Times New Roman;Times;Serif"/>
          <w:b w:val="false"/>
          <w:i w:val="false"/>
          <w:caps w:val="false"/>
          <w:smallCaps w:val="false"/>
          <w:sz w:val="20"/>
        </w:rPr>
        <w:t xml:space="preserve">5,000 initial licensing fee is being recognized as revenue on a straight-line basis over </w:t>
      </w:r>
      <w:bookmarkStart w:id="280" w:name="xdx_906_eus-gaap--FiniteLivedIntangibleA"/>
      <w:bookmarkEnd w:id="280"/>
      <w:r>
        <w:rPr>
          <w:rFonts w:ascii="Times New Roman;Times;Serif" w:hAnsi="Times New Roman;Times;Serif"/>
          <w:b w:val="false"/>
          <w:i w:val="false"/>
          <w:caps w:val="false"/>
          <w:smallCaps w:val="false"/>
          <w:sz w:val="20"/>
        </w:rPr>
        <w:t>five years. The Company has recorded $</w:t>
      </w:r>
      <w:bookmarkStart w:id="281" w:name="xdx_90A_eus-gaap--RevenueFromContractWit"/>
      <w:bookmarkEnd w:id="281"/>
      <w:r>
        <w:rPr>
          <w:rFonts w:ascii="Times New Roman;Times;Serif" w:hAnsi="Times New Roman;Times;Serif"/>
          <w:b w:val="false"/>
          <w:i w:val="false"/>
          <w:caps w:val="false"/>
          <w:smallCaps w:val="false"/>
          <w:sz w:val="20"/>
        </w:rPr>
        <w:t>250 in revenue related to the license agreement during the three months ended March 31, 2026. As of March 31, 2026 and December 31, 2025, the contract liability related to the Company’s deferred revenue was approximately $</w:t>
      </w:r>
      <w:bookmarkStart w:id="282" w:name="xdx_907_eus-gaap--DeferredRevenue_iI_pn3"/>
      <w:bookmarkEnd w:id="282"/>
      <w:r>
        <w:rPr>
          <w:rFonts w:ascii="Times New Roman;Times;Serif" w:hAnsi="Times New Roman;Times;Serif"/>
          <w:b w:val="false"/>
          <w:i w:val="false"/>
          <w:caps w:val="false"/>
          <w:smallCaps w:val="false"/>
          <w:sz w:val="20"/>
        </w:rPr>
        <w:t>3,333 and $</w:t>
      </w:r>
      <w:bookmarkStart w:id="283" w:name="xdx_90E_eus-gaap--DeferredRevenue_iI_pn3"/>
      <w:bookmarkEnd w:id="283"/>
      <w:r>
        <w:rPr>
          <w:rFonts w:ascii="Times New Roman;Times;Serif" w:hAnsi="Times New Roman;Times;Serif"/>
          <w:b w:val="false"/>
          <w:i w:val="false"/>
          <w:caps w:val="false"/>
          <w:smallCaps w:val="false"/>
          <w:sz w:val="20"/>
        </w:rPr>
        <w:t>3,583,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84" w:name="xdx_84F_ecustom--DisaggregationOfRevenue"/>
      <w:bookmarkEnd w:id="284"/>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5" w:name="xdx_890_eus-gaap--DisaggregationOfRevenu"/>
      <w:bookmarkEnd w:id="285"/>
      <w:r>
        <w:rPr>
          <w:rFonts w:ascii="Times New Roman;Times;Serif" w:hAnsi="Times New Roman;Times;Serif"/>
          <w:b w:val="false"/>
          <w:i w:val="false"/>
          <w:caps w:val="false"/>
          <w:smallCaps w:val="false"/>
          <w:sz w:val="20"/>
        </w:rPr>
        <w:t>The following table present our disaggregated revenues by distribution channel:</w:t>
      </w:r>
    </w:p>
    <w:p>
      <w:pPr>
        <w:pStyle w:val="TextBody"/>
        <w:bidi w:val="0"/>
        <w:spacing w:before="0" w:after="0"/>
        <w:ind w:left="0" w:right="0" w:hanging="0"/>
        <w:jc w:val="both"/>
        <w:rPr>
          <w:caps w:val="false"/>
          <w:smallCaps w:val="false"/>
        </w:rPr>
      </w:pPr>
      <w:r>
        <w:rPr>
          <w:caps w:val="false"/>
          <w:smallCaps w:val="false"/>
        </w:rPr>
        <w:t> </w:t>
      </w:r>
      <w:bookmarkStart w:id="286" w:name="xdx_8B6_zwSNewdIOLQ4"/>
      <w:bookmarkEnd w:id="286"/>
      <w:r>
        <w:rPr>
          <w:rFonts w:ascii="Times New Roman;Times;Serif" w:hAnsi="Times New Roman;Times;Serif"/>
          <w:b w:val="false"/>
          <w:i w:val="false"/>
          <w:caps w:val="false"/>
          <w:smallCaps w:val="false"/>
          <w:sz w:val="20"/>
        </w:rPr>
        <w:t>SCHEDULE OF DISAGGREGATED REVENUES BY DISTRIBUTION CHANNEL</w:t>
      </w:r>
    </w:p>
    <w:tbl>
      <w:tblPr>
        <w:tblW w:w="6023" w:type="dxa"/>
        <w:jc w:val="left"/>
        <w:tblInd w:w="0" w:type="dxa"/>
        <w:tblLayout w:type="fixed"/>
        <w:tblCellMar>
          <w:top w:w="0" w:type="dxa"/>
          <w:left w:w="0" w:type="dxa"/>
          <w:bottom w:w="28" w:type="dxa"/>
          <w:right w:w="0" w:type="dxa"/>
        </w:tblCellMar>
      </w:tblPr>
      <w:tblGrid>
        <w:gridCol w:w="2675"/>
        <w:gridCol w:w="60"/>
        <w:gridCol w:w="278"/>
        <w:gridCol w:w="1079"/>
        <w:gridCol w:w="133"/>
        <w:gridCol w:w="133"/>
        <w:gridCol w:w="278"/>
        <w:gridCol w:w="1312"/>
        <w:gridCol w:w="75"/>
      </w:tblGrid>
      <w:tr>
        <w:trPr/>
        <w:tc>
          <w:tcPr>
            <w:tcW w:w="26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87" w:name="xdx_49E_20260101__20260331_zChDHygsHDM"/>
            <w:bookmarkEnd w:id="287"/>
          </w:p>
        </w:tc>
        <w:tc>
          <w:tcPr>
            <w:tcW w:w="135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88" w:name="xdx_494_20250101__20250331_zUzrpkgTqs4j"/>
            <w:bookmarkEnd w:id="288"/>
          </w:p>
        </w:tc>
        <w:tc>
          <w:tcPr>
            <w:tcW w:w="15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13"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89" w:name="xdx_400_eus-gaap--RevenueFromContractWit"/>
            <w:bookmarkEnd w:id="289"/>
          </w:p>
        </w:tc>
      </w:tr>
      <w:tr>
        <w:trPr/>
        <w:tc>
          <w:tcPr>
            <w:tcW w:w="26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to customer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3,702</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290" w:name="xdx_40C_eus-gaap--RevenueFromContractWit"/>
            <w:bookmarkEnd w:id="290"/>
          </w:p>
        </w:tc>
      </w:tr>
      <w:tr>
        <w:trPr/>
        <w:tc>
          <w:tcPr>
            <w:tcW w:w="26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equipment manufacture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5,752</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291" w:name="xdx_406_eus-gaap--RevenueFromContractWit"/>
            <w:bookmarkEnd w:id="291"/>
          </w:p>
        </w:tc>
      </w:tr>
      <w:tr>
        <w:trPr/>
        <w:tc>
          <w:tcPr>
            <w:tcW w:w="26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 revenue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292" w:name="xdx_402_eus-gaap--RevenueFromContractWit"/>
            <w:bookmarkEnd w:id="292"/>
          </w:p>
        </w:tc>
      </w:tr>
      <w:tr>
        <w:trPr/>
        <w:tc>
          <w:tcPr>
            <w:tcW w:w="26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9,704</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293" w:name="xdx_8A2_zJhqO0r4q2F6"/>
      <w:bookmarkEnd w:id="29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294" w:name="xdx_846_eus-gaap--StandardProductWarrant"/>
      <w:bookmarkEnd w:id="294"/>
      <w:r>
        <w:rPr>
          <w:rFonts w:ascii="Times New Roman;Times;Serif" w:hAnsi="Times New Roman;Times;Serif"/>
          <w:b w:val="false"/>
          <w:i/>
          <w:caps w:val="false"/>
          <w:smallCaps w:val="false"/>
          <w:sz w:val="20"/>
          <w:u w:val="single"/>
        </w:rPr>
        <w:t>Product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295" w:name="xdx_906_ecustom--ProductWarrantyTermProv"/>
      <w:bookmarkEnd w:id="295"/>
      <w:r>
        <w:rPr>
          <w:rFonts w:ascii="Times New Roman;Times;Serif" w:hAnsi="Times New Roman;Times;Serif"/>
          <w:b w:val="false"/>
          <w:i w:val="false"/>
          <w:caps w:val="false"/>
          <w:smallCaps w:val="false"/>
          <w:sz w:val="20"/>
        </w:rPr>
        <w:t xml:space="preserve">5 to </w:t>
      </w:r>
      <w:bookmarkStart w:id="296" w:name="xdx_90E_ecustom--ProductWarrantyTermProv"/>
      <w:bookmarkEnd w:id="296"/>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our warranty liability include the number of units sold, historical and anticipated rates of warranty claims, and cost per claim. The Company periodically assesses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at March 31, 2026 and December 31, 2025 to be $</w:t>
      </w:r>
      <w:bookmarkStart w:id="297" w:name="xdx_901_eus-gaap--ProductWarrantyAccrual"/>
      <w:bookmarkEnd w:id="297"/>
      <w:r>
        <w:rPr>
          <w:rFonts w:ascii="Times New Roman;Times;Serif" w:hAnsi="Times New Roman;Times;Serif"/>
          <w:b w:val="false"/>
          <w:i w:val="false"/>
          <w:caps w:val="false"/>
          <w:smallCaps w:val="false"/>
          <w:sz w:val="20"/>
        </w:rPr>
        <w:t>861 and $</w:t>
      </w:r>
      <w:bookmarkStart w:id="298" w:name="xdx_900_eus-gaap--ProductWarrantyAccrual"/>
      <w:bookmarkEnd w:id="298"/>
      <w:r>
        <w:rPr>
          <w:rFonts w:ascii="Times New Roman;Times;Serif" w:hAnsi="Times New Roman;Times;Serif"/>
          <w:b w:val="false"/>
          <w:i w:val="false"/>
          <w:caps w:val="false"/>
          <w:smallCaps w:val="false"/>
          <w:sz w:val="20"/>
        </w:rPr>
        <w:t>867, respectively. The Company incurred warranty expense of $</w:t>
      </w:r>
      <w:bookmarkStart w:id="299" w:name="xdx_909_eus-gaap--ProductWarrantyAccrual"/>
      <w:bookmarkEnd w:id="299"/>
      <w:r>
        <w:rPr>
          <w:rFonts w:ascii="Times New Roman;Times;Serif" w:hAnsi="Times New Roman;Times;Serif"/>
          <w:b w:val="false"/>
          <w:i w:val="false"/>
          <w:caps w:val="false"/>
          <w:smallCaps w:val="false"/>
          <w:sz w:val="20"/>
        </w:rPr>
        <w:t>98 and $</w:t>
      </w:r>
      <w:bookmarkStart w:id="300" w:name="xdx_90E_eus-gaap--ProductWarrantyAccrual"/>
      <w:bookmarkEnd w:id="300"/>
      <w:r>
        <w:rPr>
          <w:rFonts w:ascii="Times New Roman;Times;Serif" w:hAnsi="Times New Roman;Times;Serif"/>
          <w:b w:val="false"/>
          <w:i w:val="false"/>
          <w:caps w:val="false"/>
          <w:smallCaps w:val="false"/>
          <w:sz w:val="20"/>
        </w:rPr>
        <w:t>123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1" w:name="xdx_897_eus-gaap--ScheduleOfProductWarra"/>
      <w:bookmarkEnd w:id="301"/>
      <w:r>
        <w:rPr>
          <w:rFonts w:ascii="Times New Roman;Times;Serif" w:hAnsi="Times New Roman;Times;Serif"/>
          <w:b w:val="false"/>
          <w:i w:val="false"/>
          <w:caps w:val="false"/>
          <w:smallCaps w:val="false"/>
          <w:sz w:val="20"/>
        </w:rPr>
        <w:t>The following table reflects the activity in the Company’s warranty obligation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302" w:name="xdx_8B0_zExpfXsXjMBk"/>
      <w:bookmarkEnd w:id="302"/>
      <w:r>
        <w:rPr>
          <w:rFonts w:ascii="Times New Roman;Times;Serif" w:hAnsi="Times New Roman;Times;Serif"/>
          <w:b w:val="false"/>
          <w:i w:val="false"/>
          <w:caps w:val="false"/>
          <w:smallCaps w:val="false"/>
          <w:sz w:val="20"/>
        </w:rPr>
        <w:t>SCHEDULE OF WARRANTY OBLIGATION</w:t>
      </w:r>
    </w:p>
    <w:tbl>
      <w:tblPr>
        <w:tblW w:w="4019" w:type="dxa"/>
        <w:jc w:val="left"/>
        <w:tblInd w:w="0" w:type="dxa"/>
        <w:tblLayout w:type="fixed"/>
        <w:tblCellMar>
          <w:top w:w="0" w:type="dxa"/>
          <w:left w:w="0" w:type="dxa"/>
          <w:bottom w:w="0" w:type="dxa"/>
          <w:right w:w="0" w:type="dxa"/>
        </w:tblCellMar>
      </w:tblPr>
      <w:tblGrid>
        <w:gridCol w:w="2555"/>
        <w:gridCol w:w="60"/>
        <w:gridCol w:w="314"/>
        <w:gridCol w:w="995"/>
        <w:gridCol w:w="95"/>
      </w:tblGrid>
      <w:tr>
        <w:trPr/>
        <w:tc>
          <w:tcPr>
            <w:tcW w:w="25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03" w:name="xdx_492_20260101__20260331_zsOLMSopzRR"/>
            <w:bookmarkEnd w:id="303"/>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304" w:name="xdx_400_eus-gaap--ProductWarrantyAccrual"/>
            <w:bookmarkEnd w:id="304"/>
          </w:p>
        </w:tc>
      </w:tr>
      <w:tr>
        <w:trPr/>
        <w:tc>
          <w:tcPr>
            <w:tcW w:w="25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warranty obligation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05" w:name="xdx_403_eus-gaap--ProductWarrantyAccrual"/>
            <w:bookmarkEnd w:id="305"/>
          </w:p>
        </w:tc>
      </w:tr>
      <w:tr>
        <w:trPr/>
        <w:tc>
          <w:tcPr>
            <w:tcW w:w="25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of warranty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06" w:name="xdx_40D_eus-gaap--ProductWarrantyAccrual"/>
            <w:bookmarkEnd w:id="306"/>
          </w:p>
        </w:tc>
      </w:tr>
      <w:tr>
        <w:trPr/>
        <w:tc>
          <w:tcPr>
            <w:tcW w:w="25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warranty claims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07" w:name="xdx_406_eus-gaap--ProductWarrantyAccrual"/>
            <w:bookmarkEnd w:id="307"/>
          </w:p>
        </w:tc>
      </w:tr>
      <w:tr>
        <w:trPr/>
        <w:tc>
          <w:tcPr>
            <w:tcW w:w="25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Ending warranty obligation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308" w:name="xdx_8A9_znRXAKp3DOZh"/>
      <w:bookmarkEnd w:id="30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09" w:name="xdx_84C_eus-gaap--ConcentrationRiskCredi"/>
      <w:bookmarkEnd w:id="309"/>
      <w:r>
        <w:rPr>
          <w:rFonts w:ascii="Times New Roman;Times;Serif" w:hAnsi="Times New Roman;Times;Serif"/>
          <w:b w:val="false"/>
          <w:i/>
          <w:caps w:val="false"/>
          <w:smallCaps w:val="false"/>
          <w:sz w:val="20"/>
          <w:u w:val="single"/>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receivables from Customer A, Customer B, and Customer C comprised approximately </w:t>
      </w:r>
      <w:bookmarkStart w:id="310" w:name="xdx_900_eus-gaap--ConcentrationRiskPerce"/>
      <w:bookmarkEnd w:id="310"/>
      <w:r>
        <w:rPr>
          <w:rFonts w:ascii="Times New Roman;Times;Serif" w:hAnsi="Times New Roman;Times;Serif"/>
          <w:b w:val="false"/>
          <w:i w:val="false"/>
          <w:caps w:val="false"/>
          <w:smallCaps w:val="false"/>
          <w:sz w:val="20"/>
        </w:rPr>
        <w:t xml:space="preserve">12%, </w:t>
      </w:r>
      <w:bookmarkStart w:id="311" w:name="xdx_906_eus-gaap--ConcentrationRiskPerce"/>
      <w:bookmarkEnd w:id="311"/>
      <w:r>
        <w:rPr>
          <w:rFonts w:ascii="Times New Roman;Times;Serif" w:hAnsi="Times New Roman;Times;Serif"/>
          <w:b w:val="false"/>
          <w:i w:val="false"/>
          <w:caps w:val="false"/>
          <w:smallCaps w:val="false"/>
          <w:sz w:val="20"/>
        </w:rPr>
        <w:t xml:space="preserve">10%, and </w:t>
      </w:r>
      <w:bookmarkStart w:id="312" w:name="xdx_90C_eus-gaap--ConcentrationRiskPerce"/>
      <w:bookmarkEnd w:id="312"/>
      <w:r>
        <w:rPr>
          <w:rFonts w:ascii="Times New Roman;Times;Serif" w:hAnsi="Times New Roman;Times;Serif"/>
          <w:b w:val="false"/>
          <w:i w:val="false"/>
          <w:caps w:val="false"/>
          <w:smallCaps w:val="false"/>
          <w:sz w:val="20"/>
        </w:rPr>
        <w:t xml:space="preserve">10%, respectively, of accounts receivable. As of December 31, 2025, receivables from Customer D comprised approximately </w:t>
      </w:r>
      <w:bookmarkStart w:id="313" w:name="xdx_904_eus-gaap--ConcentrationRiskPerce"/>
      <w:bookmarkEnd w:id="313"/>
      <w:r>
        <w:rPr>
          <w:rFonts w:ascii="Times New Roman;Times;Serif" w:hAnsi="Times New Roman;Times;Serif"/>
          <w:b w:val="false"/>
          <w:i w:val="false"/>
          <w:caps w:val="false"/>
          <w:smallCaps w:val="false"/>
          <w:sz w:val="20"/>
        </w:rPr>
        <w:t>31% of accounts receivable. There are no other significant accounts receivable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from Customer D comprised approximately </w:t>
      </w:r>
      <w:bookmarkStart w:id="314" w:name="xdx_902_eus-gaap--ConcentrationRiskPerce"/>
      <w:bookmarkEnd w:id="314"/>
      <w:r>
        <w:rPr>
          <w:rFonts w:ascii="Times New Roman;Times;Serif" w:hAnsi="Times New Roman;Times;Serif"/>
          <w:b w:val="false"/>
          <w:i w:val="false"/>
          <w:caps w:val="false"/>
          <w:smallCaps w:val="false"/>
          <w:sz w:val="20"/>
        </w:rPr>
        <w:t xml:space="preserve">14% of the Company’s total revenue for the three months ended March 31, 2026. Sales from Customer D comprised approximately </w:t>
      </w:r>
      <w:bookmarkStart w:id="315" w:name="xdx_90B_eus-gaap--ConcentrationRiskPerce"/>
      <w:bookmarkEnd w:id="315"/>
      <w:r>
        <w:rPr>
          <w:rFonts w:ascii="Times New Roman;Times;Serif" w:hAnsi="Times New Roman;Times;Serif"/>
          <w:b w:val="false"/>
          <w:i w:val="false"/>
          <w:caps w:val="false"/>
          <w:smallCaps w:val="false"/>
          <w:sz w:val="20"/>
        </w:rPr>
        <w:t>18% of the Company’s total revenue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payables to Vendor A and Vendor B comprised approximately </w:t>
      </w:r>
      <w:bookmarkStart w:id="316" w:name="xdx_907_eus-gaap--ConcentrationRiskPerce"/>
      <w:bookmarkEnd w:id="316"/>
      <w:r>
        <w:rPr>
          <w:rFonts w:ascii="Times New Roman;Times;Serif" w:hAnsi="Times New Roman;Times;Serif"/>
          <w:b w:val="false"/>
          <w:i w:val="false"/>
          <w:caps w:val="false"/>
          <w:smallCaps w:val="false"/>
          <w:sz w:val="20"/>
        </w:rPr>
        <w:t xml:space="preserve">43% and </w:t>
      </w:r>
      <w:bookmarkStart w:id="317" w:name="xdx_90F_eus-gaap--ConcentrationRiskPerce"/>
      <w:bookmarkEnd w:id="317"/>
      <w:r>
        <w:rPr>
          <w:rFonts w:ascii="Times New Roman;Times;Serif" w:hAnsi="Times New Roman;Times;Serif"/>
          <w:b w:val="false"/>
          <w:i w:val="false"/>
          <w:caps w:val="false"/>
          <w:smallCaps w:val="false"/>
          <w:sz w:val="20"/>
        </w:rPr>
        <w:t xml:space="preserve">10%, respectively, of accounts payables. As of December 31, 2025, payables to Vendor A, Vendor C, and Vendor D comprised approximately </w:t>
      </w:r>
      <w:bookmarkStart w:id="318" w:name="xdx_907_eus-gaap--ConcentrationRiskPerce"/>
      <w:bookmarkEnd w:id="318"/>
      <w:r>
        <w:rPr>
          <w:rFonts w:ascii="Times New Roman;Times;Serif" w:hAnsi="Times New Roman;Times;Serif"/>
          <w:b w:val="false"/>
          <w:i w:val="false"/>
          <w:caps w:val="false"/>
          <w:smallCaps w:val="false"/>
          <w:sz w:val="20"/>
        </w:rPr>
        <w:t xml:space="preserve">36%, </w:t>
      </w:r>
      <w:bookmarkStart w:id="319" w:name="xdx_90A_eus-gaap--ConcentrationRiskPerce"/>
      <w:bookmarkEnd w:id="319"/>
      <w:r>
        <w:rPr>
          <w:rFonts w:ascii="Times New Roman;Times;Serif" w:hAnsi="Times New Roman;Times;Serif"/>
          <w:b w:val="false"/>
          <w:i w:val="false"/>
          <w:caps w:val="false"/>
          <w:smallCaps w:val="false"/>
          <w:sz w:val="20"/>
        </w:rPr>
        <w:t xml:space="preserve">16%, and </w:t>
      </w:r>
      <w:bookmarkStart w:id="320" w:name="xdx_90E_eus-gaap--ConcentrationRiskPerce"/>
      <w:bookmarkEnd w:id="320"/>
      <w:r>
        <w:rPr>
          <w:rFonts w:ascii="Times New Roman;Times;Serif" w:hAnsi="Times New Roman;Times;Serif"/>
          <w:b w:val="false"/>
          <w:i w:val="false"/>
          <w:caps w:val="false"/>
          <w:smallCaps w:val="false"/>
          <w:sz w:val="20"/>
        </w:rPr>
        <w:t>12%, respectively, of accounts payables.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March 31, 2026, Vendor A and Vendor E accounted for approximately </w:t>
      </w:r>
      <w:bookmarkStart w:id="321" w:name="xdx_901_eus-gaap--ConcentrationRiskPerce"/>
      <w:bookmarkEnd w:id="321"/>
      <w:r>
        <w:rPr>
          <w:rFonts w:ascii="Times New Roman;Times;Serif" w:hAnsi="Times New Roman;Times;Serif"/>
          <w:b w:val="false"/>
          <w:i w:val="false"/>
          <w:caps w:val="false"/>
          <w:smallCaps w:val="false"/>
          <w:sz w:val="20"/>
        </w:rPr>
        <w:t xml:space="preserve">13% and </w:t>
      </w:r>
      <w:bookmarkStart w:id="322" w:name="xdx_90D_eus-gaap--ConcentrationRiskPerce"/>
      <w:bookmarkEnd w:id="322"/>
      <w:r>
        <w:rPr>
          <w:rFonts w:ascii="Times New Roman;Times;Serif" w:hAnsi="Times New Roman;Times;Serif"/>
          <w:b w:val="false"/>
          <w:i w:val="false"/>
          <w:caps w:val="false"/>
          <w:smallCaps w:val="false"/>
          <w:sz w:val="20"/>
        </w:rPr>
        <w:t xml:space="preserve">10%, respectively, of the Company’s total purchases. For the three months ended March 31, 2025, Vendor A accounted for approximately </w:t>
      </w:r>
      <w:bookmarkStart w:id="323" w:name="xdx_903_eus-gaap--ConcentrationRiskPerce"/>
      <w:bookmarkEnd w:id="323"/>
      <w:r>
        <w:rPr>
          <w:rFonts w:ascii="Times New Roman;Times;Serif" w:hAnsi="Times New Roman;Times;Serif"/>
          <w:b w:val="false"/>
          <w:i w:val="false"/>
          <w:caps w:val="false"/>
          <w:smallCaps w:val="false"/>
          <w:sz w:val="20"/>
        </w:rPr>
        <w:t>21%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4" w:name="xdx_84B_eus-gaap--ShareBasedCompensation"/>
      <w:bookmarkEnd w:id="324"/>
      <w:r>
        <w:rPr>
          <w:rFonts w:ascii="Times New Roman;Times;Serif" w:hAnsi="Times New Roman;Times;Serif"/>
          <w:b w:val="false"/>
          <w:i/>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based compensation arrangements with employees and non-employee consultants using a fair value method which requires the recognition of compensation expense for costs related to all stock based payments, including stock options (</w:t>
      </w:r>
      <w:r>
        <w:rPr>
          <w:rFonts w:ascii="Times New Roman;Times;Serif" w:hAnsi="Times New Roman;Times;Serif"/>
          <w:b/>
          <w:i w:val="false"/>
          <w:caps w:val="false"/>
          <w:smallCaps w:val="false"/>
          <w:sz w:val="20"/>
        </w:rPr>
        <w:t>Note 11</w:t>
      </w:r>
      <w:r>
        <w:rPr>
          <w:rFonts w:ascii="Times New Roman;Times;Serif" w:hAnsi="Times New Roman;Times;Serif"/>
          <w:b w:val="false"/>
          <w:i w:val="false"/>
          <w:caps w:val="false"/>
          <w:smallCaps w:val="false"/>
          <w:sz w:val="20"/>
        </w:rPr>
        <w:t>). The fair value method requires the Company to estimate the fair value of stock 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5" w:name="xdx_844_eus-gaap--IncomeTaxPolicyTextBlo"/>
      <w:bookmarkEnd w:id="325"/>
      <w:r>
        <w:rPr>
          <w:rFonts w:ascii="Times New Roman;Times;Serif" w:hAnsi="Times New Roman;Times;Serif"/>
          <w:b w:val="false"/>
          <w:i/>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(the “OBBB”) Act was signed into law in the United States. The OBBB Act includes significant provisions, such as the permanent extension and modification of certain provisions of the U.S. Tax Cuts and Jobs Act of 2017, modifications to the international tax framework and the restoration of favorable tax treatment for certain business provisions. The legislation has multiple effective dates, with certain provisions beginning in 2025 and others beginning at various dates through 2027. The Company does not expect the OBBB Act to materially impact the Company’s income tax position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26" w:name="xdx_848_eus-gaap--EarningsPerSharePolicy"/>
      <w:bookmarkEnd w:id="326"/>
      <w:r>
        <w:rPr>
          <w:rFonts w:ascii="Times New Roman;Times;Serif" w:hAnsi="Times New Roman;Times;Serif"/>
          <w:b w:val="false"/>
          <w:i/>
          <w:caps w:val="false"/>
          <w:smallCaps w:val="false"/>
          <w:sz w:val="20"/>
          <w:u w:val="single"/>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gives effect to all potentially dilutive common equivalent shares, including outstanding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7" w:name="xdx_89A_eus-gaap--ScheduleOfAntidilutive"/>
      <w:bookmarkEnd w:id="327"/>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loss per share because their effect was anti-dilutive:</w:t>
      </w:r>
    </w:p>
    <w:p>
      <w:pPr>
        <w:pStyle w:val="TextBody"/>
        <w:bidi w:val="0"/>
        <w:spacing w:before="0" w:after="0"/>
        <w:ind w:left="0" w:right="0" w:hanging="0"/>
        <w:jc w:val="both"/>
        <w:rPr>
          <w:caps w:val="false"/>
          <w:smallCaps w:val="false"/>
        </w:rPr>
      </w:pPr>
      <w:r>
        <w:rPr>
          <w:caps w:val="false"/>
          <w:smallCaps w:val="false"/>
        </w:rPr>
        <w:t> </w:t>
      </w:r>
      <w:bookmarkStart w:id="328" w:name="xdx_8BB_zv547pr5xWYf"/>
      <w:bookmarkEnd w:id="328"/>
      <w:r>
        <w:rPr>
          <w:rFonts w:ascii="Times New Roman;Times;Serif" w:hAnsi="Times New Roman;Times;Serif"/>
          <w:b w:val="false"/>
          <w:i w:val="false"/>
          <w:caps w:val="false"/>
          <w:smallCaps w:val="false"/>
          <w:sz w:val="20"/>
        </w:rPr>
        <w:t>SCHEDULE OF POTENTIAL SHARES OF COMMON STOCK EXCLUDED FROM DILUTED NET LOSS PER SHARE</w:t>
      </w:r>
    </w:p>
    <w:tbl>
      <w:tblPr>
        <w:tblW w:w="7200" w:type="dxa"/>
        <w:jc w:val="left"/>
        <w:tblInd w:w="0" w:type="dxa"/>
        <w:tblLayout w:type="fixed"/>
        <w:tblCellMar>
          <w:top w:w="0" w:type="dxa"/>
          <w:left w:w="0" w:type="dxa"/>
          <w:bottom w:w="0" w:type="dxa"/>
          <w:right w:w="0" w:type="dxa"/>
        </w:tblCellMar>
      </w:tblPr>
      <w:tblGrid>
        <w:gridCol w:w="4865"/>
        <w:gridCol w:w="60"/>
        <w:gridCol w:w="60"/>
        <w:gridCol w:w="980"/>
        <w:gridCol w:w="60"/>
        <w:gridCol w:w="60"/>
        <w:gridCol w:w="60"/>
        <w:gridCol w:w="980"/>
        <w:gridCol w:w="75"/>
      </w:tblGrid>
      <w:tr>
        <w:trPr/>
        <w:tc>
          <w:tcPr>
            <w:tcW w:w="48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29" w:name="xdx_49E_20260101__20260331_z6OPMHscBgv1"/>
            <w:bookmarkEnd w:id="329"/>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30" w:name="xdx_499_20250101__20250331_zjZckkQcnzS3"/>
            <w:bookmarkEnd w:id="330"/>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8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bookmarkStart w:id="331" w:name="xdx_401_eus-gaap--AntidilutiveSecurities"/>
            <w:bookmarkEnd w:id="331"/>
          </w:p>
        </w:tc>
      </w:tr>
      <w:tr>
        <w:trPr/>
        <w:tc>
          <w:tcPr>
            <w:tcW w:w="4865" w:type="dxa"/>
            <w:tcBorders/>
            <w:shd w:fill="CCEEFF" w:val="clear"/>
            <w:vAlign w:val="center"/>
          </w:tcPr>
          <w:p>
            <w:pPr>
              <w:pStyle w:val="TableContents"/>
              <w:bidi w:val="0"/>
              <w:spacing w:before="0" w:after="283"/>
              <w:jc w:val="both"/>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855,349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5,225,616</w:t>
            </w:r>
          </w:p>
        </w:tc>
        <w:tc>
          <w:tcPr>
            <w:tcW w:w="75" w:type="dxa"/>
            <w:tcBorders/>
            <w:shd w:fill="CCEEFF" w:val="clear"/>
            <w:vAlign w:val="center"/>
          </w:tcPr>
          <w:p>
            <w:pPr>
              <w:pStyle w:val="TableContents"/>
              <w:bidi w:val="0"/>
              <w:spacing w:before="0" w:after="283"/>
              <w:jc w:val="left"/>
              <w:rPr/>
            </w:pPr>
            <w:r>
              <w:rPr/>
              <w:t> </w:t>
            </w:r>
            <w:bookmarkStart w:id="332" w:name="xdx_407_eus-gaap--AntidilutiveSecurities"/>
            <w:bookmarkEnd w:id="332"/>
          </w:p>
        </w:tc>
      </w:tr>
      <w:tr>
        <w:trPr/>
        <w:tc>
          <w:tcPr>
            <w:tcW w:w="4865"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32,359</w:t>
            </w:r>
          </w:p>
        </w:tc>
        <w:tc>
          <w:tcPr>
            <w:tcW w:w="75" w:type="dxa"/>
            <w:tcBorders/>
            <w:shd w:fill="FFFFFF" w:val="clear"/>
            <w:vAlign w:val="center"/>
          </w:tcPr>
          <w:p>
            <w:pPr>
              <w:pStyle w:val="TableContents"/>
              <w:bidi w:val="0"/>
              <w:spacing w:before="0" w:after="283"/>
              <w:jc w:val="left"/>
              <w:rPr/>
            </w:pPr>
            <w:r>
              <w:rPr/>
              <w:t> </w:t>
            </w:r>
            <w:bookmarkStart w:id="333" w:name="xdx_401_eus-gaap--AntidilutiveSecurities"/>
            <w:bookmarkEnd w:id="333"/>
          </w:p>
        </w:tc>
      </w:tr>
      <w:tr>
        <w:trPr/>
        <w:tc>
          <w:tcPr>
            <w:tcW w:w="4865" w:type="dxa"/>
            <w:tcBorders/>
            <w:shd w:fill="CCEEFF" w:val="clear"/>
            <w:vAlign w:val="center"/>
          </w:tcPr>
          <w:p>
            <w:pPr>
              <w:pStyle w:val="TableContents"/>
              <w:bidi w:val="0"/>
              <w:spacing w:before="0" w:after="283"/>
              <w:jc w:val="both"/>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384,000</w:t>
            </w:r>
          </w:p>
        </w:tc>
        <w:tc>
          <w:tcPr>
            <w:tcW w:w="75" w:type="dxa"/>
            <w:tcBorders/>
            <w:shd w:fill="CCEEFF" w:val="clear"/>
            <w:vAlign w:val="center"/>
          </w:tcPr>
          <w:p>
            <w:pPr>
              <w:pStyle w:val="TableContents"/>
              <w:bidi w:val="0"/>
              <w:spacing w:before="0" w:after="283"/>
              <w:jc w:val="left"/>
              <w:rPr/>
            </w:pPr>
            <w:r>
              <w:rPr/>
              <w:t> </w:t>
            </w:r>
            <w:bookmarkStart w:id="334" w:name="xdx_407_eus-gaap--AntidilutiveSecurities"/>
            <w:bookmarkEnd w:id="334"/>
          </w:p>
        </w:tc>
      </w:tr>
      <w:tr>
        <w:trPr/>
        <w:tc>
          <w:tcPr>
            <w:tcW w:w="4865" w:type="dxa"/>
            <w:tcBorders/>
            <w:shd w:fill="FFFFFF" w:val="clear"/>
            <w:vAlign w:val="center"/>
          </w:tcPr>
          <w:p>
            <w:pPr>
              <w:pStyle w:val="TableContents"/>
              <w:bidi w:val="0"/>
              <w:spacing w:before="0" w:after="283"/>
              <w:jc w:val="both"/>
              <w:rPr/>
            </w:pPr>
            <w:r>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130,084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16,194</w:t>
            </w:r>
          </w:p>
        </w:tc>
        <w:tc>
          <w:tcPr>
            <w:tcW w:w="75" w:type="dxa"/>
            <w:tcBorders/>
            <w:shd w:fill="FFFFFF" w:val="clear"/>
            <w:vAlign w:val="center"/>
          </w:tcPr>
          <w:p>
            <w:pPr>
              <w:pStyle w:val="TableContents"/>
              <w:bidi w:val="0"/>
              <w:spacing w:before="0" w:after="283"/>
              <w:jc w:val="left"/>
              <w:rPr/>
            </w:pPr>
            <w:r>
              <w:rPr/>
              <w:t> </w:t>
            </w:r>
            <w:bookmarkStart w:id="335" w:name="xdx_40D_eus-gaap--AntidilutiveSecurities"/>
            <w:bookmarkEnd w:id="335"/>
          </w:p>
        </w:tc>
      </w:tr>
      <w:tr>
        <w:trPr/>
        <w:tc>
          <w:tcPr>
            <w:tcW w:w="4865" w:type="dxa"/>
            <w:tcBorders/>
            <w:shd w:fill="CCEEFF" w:val="clear"/>
            <w:vAlign w:val="center"/>
          </w:tcPr>
          <w:p>
            <w:pPr>
              <w:pStyle w:val="TableContents"/>
              <w:bidi w:val="0"/>
              <w:spacing w:before="0" w:after="283"/>
              <w:jc w:val="both"/>
              <w:rPr/>
            </w:pPr>
            <w:r>
              <w:rPr/>
              <w:t>Weighted average number of common shares-basic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1,014,956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5,658,169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6" w:name="xdx_8A0_zZybmHcqoldi"/>
      <w:bookmarkEnd w:id="33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7" w:name="xdx_84C_eus-gaap--PriorPeriodReclassific"/>
      <w:bookmarkEnd w:id="337"/>
      <w:r>
        <w:rPr>
          <w:rFonts w:ascii="Times New Roman;Times;Serif" w:hAnsi="Times New Roman;Times;Serif"/>
          <w:b w:val="false"/>
          <w:i/>
          <w:caps w:val="false"/>
          <w:smallCaps w:val="false"/>
          <w:sz w:val="20"/>
          <w:u w:val="single"/>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prior year’s consolidated financial statements have been reclassified to conform to the current year’s presentation. These reclassifications had no impact on previously reported net loss, total assets, total liabilities, stockholders’ equity, or the previously reported net decrease in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bookmarkStart w:id="338" w:name="xdx_845_eus-gaap--SegmentReportingPolicy"/>
      <w:bookmarkEnd w:id="338"/>
      <w:r>
        <w:rPr>
          <w:rFonts w:ascii="Times New Roman;Times;Serif" w:hAnsi="Times New Roman;Times;Serif"/>
          <w:b w:val="false"/>
          <w:i/>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w:t>
      </w:r>
      <w:r>
        <w:rPr>
          <w:rFonts w:ascii="Times New Roman;Times;Serif" w:hAnsi="Times New Roman;Times;Serif"/>
          <w:b/>
          <w:i w:val="false"/>
          <w:caps w:val="false"/>
          <w:smallCaps w:val="false"/>
          <w:sz w:val="20"/>
        </w:rPr>
        <w:t>Note 12</w:t>
      </w:r>
      <w:r>
        <w:rPr>
          <w:rFonts w:ascii="Times New Roman;Times;Serif" w:hAnsi="Times New Roman;Times;Serif"/>
          <w:b w:val="false"/>
          <w:i w:val="false"/>
          <w:caps w:val="false"/>
          <w:smallCaps w:val="false"/>
          <w:sz w:val="20"/>
        </w:rPr>
        <w:t xml:space="preserve">) as components of the Company for which separate discrete financial information is available and that are regularly reviewed by the Company’s Chief Executive Officer, the chief operating decision maker, to make decisions about resource allocation and assess performance. The Company currently manages its business through </w:t>
      </w:r>
      <w:bookmarkStart w:id="339" w:name="xdx_90A_eus-gaap--NumberOfOperatingSegme"/>
      <w:bookmarkStart w:id="340" w:name="xdx_909_eus-gaap--NumberOfReportableSegm"/>
      <w:bookmarkEnd w:id="339"/>
      <w:bookmarkEnd w:id="340"/>
      <w:r>
        <w:rPr>
          <w:rFonts w:ascii="Times New Roman;Times;Serif" w:hAnsi="Times New Roman;Times;Serif"/>
          <w:b w:val="false"/>
          <w:i w:val="false"/>
          <w:caps w:val="false"/>
          <w:smallCaps w:val="false"/>
          <w:sz w:val="20"/>
        </w:rPr>
        <w:t>two operating and reportable segments.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41" w:name="xdx_84C_eus-gaap--NewAccountingPronounce"/>
      <w:bookmarkEnd w:id="341"/>
      <w:r>
        <w:rPr>
          <w:rFonts w:ascii="Times New Roman;Times;Serif" w:hAnsi="Times New Roman;Times;Serif"/>
          <w:b w:val="false"/>
          <w:i/>
          <w:caps w:val="false"/>
          <w:smallCaps w:val="false"/>
          <w:sz w:val="20"/>
          <w:u w:val="single"/>
        </w:rPr>
        <w:t>Recently issued accounting pronouncements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which requires a public entity to disclose additional information about specific expense categories in the notes to the financial statements on an annual and interim basis. It is effective for fiscal years beginning after December 15, 2026, and interim periods within fiscal years beginning after December 15, 2027. In January 2025, the FASB issued ASU 2025-01 to clarify that all public entities, including non-calendar year-end entities, should adopt the disclosure requirements of ASU 2024-03. The Company is currently evaluating the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Measurement of Credit Losses for Accounts Receivable and Contract Assets, which provides a practical expedient related to the estimation of expected credit losses for certain financial assets measured on an amortized cost basis, including current accounts receivable and current contract assets under FASB Accounting Standards Codification 606 - Revenues from Contracts with Customers. Under the practical expedient, a public entity may assume that current conditions as of the balance sheet date remain unchanged over the remaining life of the financial asset when developing reasonable and supportable forecasts used to estimate expected credit losses. This ASU is effective for the Company on January 1, 2026, with early adoption permitted. The adoption of this new standard did not have a material impact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which clarifies interim disclosure requirements and the applicability of Topic 270. This ASU is effective for the Company on January 1, 2028, with early adoption permitted. The Company does not expect the adoption of this ASU to have a material impact on its consolidated financial statements.</w:t>
      </w:r>
    </w:p>
    <w:p>
      <w:pPr>
        <w:pStyle w:val="TextBody"/>
        <w:bidi w:val="0"/>
        <w:spacing w:before="0" w:after="0"/>
        <w:ind w:left="0" w:right="0" w:hanging="0"/>
        <w:jc w:val="both"/>
        <w:rPr>
          <w:caps w:val="false"/>
          <w:smallCaps w:val="false"/>
        </w:rPr>
      </w:pPr>
      <w:bookmarkStart w:id="342" w:name="xdx_857_zNh8dSzpU2ud"/>
      <w:bookmarkEnd w:id="342"/>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43" w:name="xdx_809_eus-gaap--FairValueMeasurementIn"/>
      <w:bookmarkEnd w:id="343"/>
      <w:r>
        <w:rPr>
          <w:rFonts w:ascii="Times New Roman;Times;Serif" w:hAnsi="Times New Roman;Times;Serif"/>
          <w:b/>
          <w:i w:val="false"/>
          <w:caps/>
          <w:sz w:val="20"/>
        </w:rPr>
        <w:t xml:space="preserve">Note 3 - </w:t>
      </w:r>
      <w:bookmarkStart w:id="344" w:name="xdx_82C_zuadKdJv9FNe"/>
      <w:bookmarkEnd w:id="344"/>
      <w:r>
        <w:rPr>
          <w:rFonts w:ascii="Times New Roman;Times;Serif" w:hAnsi="Times New Roman;Times;Serif"/>
          <w:b/>
          <w:i w:val="false"/>
          <w:caps/>
          <w:sz w:val="20"/>
        </w:rPr>
        <w:t>FAIR VALUE MEASUREMENTS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are quoted prices (unadjusted) in active markets for identical assets or liabilities.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are inputs other than quoted prices included within Level 1 that are observable for a similar asset or liability, either directly or indirectly.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inputs that reflect the Company’s own assumptions about the inputs that market participants would use in pricing the asset or liability.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5" w:name="xdx_893_eus-gaap--ScheduleOfFairValueAss"/>
      <w:bookmarkEnd w:id="345"/>
      <w:r>
        <w:rPr>
          <w:rFonts w:ascii="Times New Roman;Times;Serif" w:hAnsi="Times New Roman;Times;Serif"/>
          <w:b w:val="false"/>
          <w:i w:val="false"/>
          <w:caps w:val="false"/>
          <w:smallCaps w:val="false"/>
          <w:sz w:val="20"/>
        </w:rPr>
        <w:t>The following table presents assets and liabilities that were measured at fair value in the Unaudited Condensed Consolidated Balance Sheets on a recurring basis as of March 31, 2026.</w:t>
      </w:r>
    </w:p>
    <w:p>
      <w:pPr>
        <w:pStyle w:val="TextBody"/>
        <w:bidi w:val="0"/>
        <w:spacing w:before="0" w:after="0"/>
        <w:ind w:left="0" w:right="0" w:hanging="0"/>
        <w:jc w:val="both"/>
        <w:rPr>
          <w:caps w:val="false"/>
          <w:smallCaps w:val="false"/>
        </w:rPr>
      </w:pPr>
      <w:r>
        <w:rPr>
          <w:caps w:val="false"/>
          <w:smallCaps w:val="false"/>
        </w:rPr>
        <w:t> </w:t>
      </w:r>
      <w:bookmarkStart w:id="346" w:name="xdx_8BE_zmmD7caw4n11"/>
      <w:bookmarkEnd w:id="346"/>
      <w:r>
        <w:rPr>
          <w:rFonts w:ascii="Times New Roman;Times;Serif" w:hAnsi="Times New Roman;Times;Serif"/>
          <w:b w:val="false"/>
          <w:i w:val="false"/>
          <w:caps w:val="false"/>
          <w:smallCaps w:val="false"/>
          <w:sz w:val="20"/>
        </w:rPr>
        <w:t>SCHEDULE OF FAIR VALUE OF ASSETS AND LIABILITIES</w:t>
      </w:r>
    </w:p>
    <w:tbl>
      <w:tblPr>
        <w:tblW w:w="8335" w:type="dxa"/>
        <w:jc w:val="left"/>
        <w:tblInd w:w="0" w:type="dxa"/>
        <w:tblLayout w:type="fixed"/>
        <w:tblCellMar>
          <w:top w:w="0" w:type="dxa"/>
          <w:left w:w="0" w:type="dxa"/>
          <w:bottom w:w="0" w:type="dxa"/>
          <w:right w:w="0" w:type="dxa"/>
        </w:tblCellMar>
      </w:tblPr>
      <w:tblGrid>
        <w:gridCol w:w="3155"/>
        <w:gridCol w:w="60"/>
        <w:gridCol w:w="392"/>
        <w:gridCol w:w="1052"/>
        <w:gridCol w:w="60"/>
        <w:gridCol w:w="60"/>
        <w:gridCol w:w="232"/>
        <w:gridCol w:w="627"/>
        <w:gridCol w:w="60"/>
        <w:gridCol w:w="60"/>
        <w:gridCol w:w="459"/>
        <w:gridCol w:w="295"/>
        <w:gridCol w:w="60"/>
        <w:gridCol w:w="60"/>
        <w:gridCol w:w="205"/>
        <w:gridCol w:w="549"/>
        <w:gridCol w:w="60"/>
        <w:gridCol w:w="60"/>
        <w:gridCol w:w="459"/>
        <w:gridCol w:w="295"/>
        <w:gridCol w:w="75"/>
      </w:tblGrid>
      <w:tr>
        <w:trPr/>
        <w:tc>
          <w:tcPr>
            <w:tcW w:w="3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Term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47" w:name="xdx_98D_eus-gaap--DerivativeLiabilitiesN"/>
            <w:bookmarkEnd w:id="347"/>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48" w:name="xdx_980_eus-gaap--LiabilitiesFairValueDi"/>
            <w:bookmarkEnd w:id="348"/>
          </w:p>
        </w:tc>
        <w:tc>
          <w:tcPr>
            <w:tcW w:w="6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49" w:name="xdx_982_eus-gaap--LiabilitiesFairValueDi"/>
            <w:bookmarkEnd w:id="349"/>
          </w:p>
        </w:tc>
        <w:tc>
          <w:tcPr>
            <w:tcW w:w="2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50" w:name="xdx_98D_eus-gaap--LiabilitiesFairValueDi"/>
            <w:bookmarkEnd w:id="350"/>
          </w:p>
        </w:tc>
        <w:tc>
          <w:tcPr>
            <w:tcW w:w="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51" w:name="xdx_984_eus-gaap--LiabilitiesFairValueDi"/>
            <w:bookmarkEnd w:id="351"/>
          </w:p>
        </w:tc>
        <w:tc>
          <w:tcPr>
            <w:tcW w:w="2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June Public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52" w:name="xdx_98D_eus-gaap--DerivativeLiabilitiesN"/>
            <w:bookmarkEnd w:id="352"/>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53" w:name="xdx_985_eus-gaap--LiabilitiesFairValueDi"/>
            <w:bookmarkEnd w:id="353"/>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54" w:name="xdx_988_eus-gaap--LiabilitiesFairValueDi"/>
            <w:bookmarkEnd w:id="354"/>
          </w:p>
        </w:tc>
        <w:tc>
          <w:tcPr>
            <w:tcW w:w="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55" w:name="xdx_98C_eus-gaap--LiabilitiesFairValueDi"/>
            <w:bookmarkEnd w:id="355"/>
          </w:p>
        </w:tc>
        <w:tc>
          <w:tcPr>
            <w:tcW w:w="5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56" w:name="xdx_988_eus-gaap--LiabilitiesFairValueDi"/>
            <w:bookmarkEnd w:id="356"/>
          </w:p>
        </w:tc>
        <w:tc>
          <w:tcPr>
            <w:tcW w:w="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57" w:name="xdx_98E_eus-gaap--DerivativeLiabilitiesN"/>
            <w:bookmarkEnd w:id="357"/>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58" w:name="xdx_984_eus-gaap--LiabilitiesFairValueDi"/>
            <w:bookmarkEnd w:id="358"/>
          </w:p>
        </w:tc>
        <w:tc>
          <w:tcPr>
            <w:tcW w:w="6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59" w:name="xdx_984_eus-gaap--LiabilitiesFairValueDi"/>
            <w:bookmarkEnd w:id="359"/>
          </w:p>
        </w:tc>
        <w:tc>
          <w:tcPr>
            <w:tcW w:w="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0" w:name="xdx_984_eus-gaap--LiabilitiesFairValueDi"/>
            <w:bookmarkEnd w:id="360"/>
          </w:p>
        </w:tc>
        <w:tc>
          <w:tcPr>
            <w:tcW w:w="5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1" w:name="xdx_98F_eus-gaap--LiabilitiesFairValueDi"/>
            <w:bookmarkEnd w:id="361"/>
          </w:p>
        </w:tc>
        <w:tc>
          <w:tcPr>
            <w:tcW w:w="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2025:</w:t>
      </w:r>
    </w:p>
    <w:p>
      <w:pPr>
        <w:pStyle w:val="TextBody"/>
        <w:bidi w:val="0"/>
        <w:spacing w:before="0" w:after="0"/>
        <w:ind w:left="0" w:right="0" w:hanging="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3155"/>
        <w:gridCol w:w="60"/>
        <w:gridCol w:w="213"/>
        <w:gridCol w:w="571"/>
        <w:gridCol w:w="60"/>
        <w:gridCol w:w="60"/>
        <w:gridCol w:w="232"/>
        <w:gridCol w:w="627"/>
        <w:gridCol w:w="60"/>
        <w:gridCol w:w="60"/>
        <w:gridCol w:w="459"/>
        <w:gridCol w:w="295"/>
        <w:gridCol w:w="60"/>
        <w:gridCol w:w="60"/>
        <w:gridCol w:w="205"/>
        <w:gridCol w:w="549"/>
        <w:gridCol w:w="60"/>
        <w:gridCol w:w="60"/>
        <w:gridCol w:w="459"/>
        <w:gridCol w:w="295"/>
        <w:gridCol w:w="75"/>
      </w:tblGrid>
      <w:tr>
        <w:trPr/>
        <w:tc>
          <w:tcPr>
            <w:tcW w:w="31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Carrying </w:t>
              <w:b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8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Term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2" w:name="xdx_98B_eus-gaap--DerivativeLiabilitiesN"/>
            <w:bookmarkEnd w:id="362"/>
          </w:p>
        </w:tc>
        <w:tc>
          <w:tcPr>
            <w:tcW w:w="5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3" w:name="xdx_98E_eus-gaap--LiabilitiesFairValueDi"/>
            <w:bookmarkEnd w:id="363"/>
          </w:p>
        </w:tc>
        <w:tc>
          <w:tcPr>
            <w:tcW w:w="6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4" w:name="xdx_989_eus-gaap--LiabilitiesFairValueDi"/>
            <w:bookmarkEnd w:id="364"/>
          </w:p>
        </w:tc>
        <w:tc>
          <w:tcPr>
            <w:tcW w:w="2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5" w:name="xdx_98D_eus-gaap--LiabilitiesFairValueDi"/>
            <w:bookmarkEnd w:id="365"/>
          </w:p>
        </w:tc>
        <w:tc>
          <w:tcPr>
            <w:tcW w:w="5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66" w:name="xdx_98F_eus-gaap--LiabilitiesFairValueDi"/>
            <w:bookmarkEnd w:id="366"/>
          </w:p>
        </w:tc>
        <w:tc>
          <w:tcPr>
            <w:tcW w:w="2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June Public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67" w:name="xdx_984_eus-gaap--DerivativeLiabilitiesN"/>
            <w:bookmarkEnd w:id="367"/>
          </w:p>
        </w:tc>
        <w:tc>
          <w:tcPr>
            <w:tcW w:w="5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68" w:name="xdx_98D_eus-gaap--LiabilitiesFairValueDi"/>
            <w:bookmarkEnd w:id="368"/>
          </w:p>
        </w:tc>
        <w:tc>
          <w:tcPr>
            <w:tcW w:w="6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69" w:name="xdx_980_eus-gaap--LiabilitiesFairValueDi"/>
            <w:bookmarkEnd w:id="369"/>
          </w:p>
        </w:tc>
        <w:tc>
          <w:tcPr>
            <w:tcW w:w="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70" w:name="xdx_98F_eus-gaap--LiabilitiesFairValueDi"/>
            <w:bookmarkEnd w:id="370"/>
          </w:p>
        </w:tc>
        <w:tc>
          <w:tcPr>
            <w:tcW w:w="54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371" w:name="xdx_98A_eus-gaap--LiabilitiesFairValueDi"/>
            <w:bookmarkEnd w:id="371"/>
          </w:p>
        </w:tc>
        <w:tc>
          <w:tcPr>
            <w:tcW w:w="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2" w:name="xdx_98B_eus-gaap--DerivativeLiabilitiesN"/>
            <w:bookmarkEnd w:id="372"/>
          </w:p>
        </w:tc>
        <w:tc>
          <w:tcPr>
            <w:tcW w:w="5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3" w:name="xdx_98A_eus-gaap--LiabilitiesFairValueDi"/>
            <w:bookmarkEnd w:id="373"/>
          </w:p>
        </w:tc>
        <w:tc>
          <w:tcPr>
            <w:tcW w:w="6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4" w:name="xdx_98D_eus-gaap--LiabilitiesFairValueDi"/>
            <w:bookmarkEnd w:id="374"/>
          </w:p>
        </w:tc>
        <w:tc>
          <w:tcPr>
            <w:tcW w:w="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5" w:name="xdx_988_eus-gaap--LiabilitiesFairValueDi"/>
            <w:bookmarkEnd w:id="375"/>
          </w:p>
        </w:tc>
        <w:tc>
          <w:tcPr>
            <w:tcW w:w="54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76" w:name="xdx_98E_eus-gaap--LiabilitiesFairValueDi"/>
            <w:bookmarkEnd w:id="376"/>
          </w:p>
        </w:tc>
        <w:tc>
          <w:tcPr>
            <w:tcW w:w="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377" w:name="xdx_8A9_ztw3xGOEH7u7"/>
      <w:bookmarkEnd w:id="3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March 31, 2026 and December 31, 2025 because of the relatively short maturity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March 31, 2026 and December 31, 2025 approximates fair value as the interest rate does not differ significantly from the current market rates available to the Company for similar debt and is considered Level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Level 3 activity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378" w:name="xdx_809_eus-gaap--InventoryDisclosureTex"/>
      <w:bookmarkEnd w:id="378"/>
      <w:r>
        <w:rPr>
          <w:rFonts w:ascii="Times New Roman;Times;Serif" w:hAnsi="Times New Roman;Times;Serif"/>
          <w:b/>
          <w:i w:val="false"/>
          <w:caps/>
          <w:sz w:val="20"/>
        </w:rPr>
        <w:t xml:space="preserve">Note 4 - </w:t>
      </w:r>
      <w:bookmarkStart w:id="379" w:name="xdx_828_zDukLr982tif"/>
      <w:bookmarkEnd w:id="379"/>
      <w:r>
        <w:rPr>
          <w:rFonts w:ascii="Times New Roman;Times;Serif" w:hAnsi="Times New Roman;Times;Serif"/>
          <w:b/>
          <w:i w:val="false"/>
          <w:caps/>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0" w:name="xdx_892_eus-gaap--ScheduleOfInventoryCur"/>
      <w:bookmarkEnd w:id="380"/>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both"/>
        <w:rPr>
          <w:caps w:val="false"/>
          <w:smallCaps w:val="false"/>
        </w:rPr>
      </w:pPr>
      <w:r>
        <w:rPr>
          <w:caps w:val="false"/>
          <w:smallCaps w:val="false"/>
        </w:rPr>
        <w:t> </w:t>
      </w:r>
      <w:bookmarkStart w:id="381" w:name="xdx_8B4_zvzBXDc0A8hj"/>
      <w:bookmarkEnd w:id="381"/>
      <w:r>
        <w:rPr>
          <w:rFonts w:ascii="Times New Roman;Times;Serif" w:hAnsi="Times New Roman;Times;Serif"/>
          <w:b w:val="false"/>
          <w:i w:val="false"/>
          <w:caps w:val="false"/>
          <w:smallCaps w:val="false"/>
          <w:sz w:val="20"/>
        </w:rPr>
        <w:t>SCHEDULE OF INVENTORY</w:t>
      </w:r>
    </w:p>
    <w:tbl>
      <w:tblPr>
        <w:tblW w:w="4468" w:type="dxa"/>
        <w:jc w:val="left"/>
        <w:tblInd w:w="0" w:type="dxa"/>
        <w:tblLayout w:type="fixed"/>
        <w:tblCellMar>
          <w:top w:w="0" w:type="dxa"/>
          <w:left w:w="0" w:type="dxa"/>
          <w:bottom w:w="0" w:type="dxa"/>
          <w:right w:w="0" w:type="dxa"/>
        </w:tblCellMar>
      </w:tblPr>
      <w:tblGrid>
        <w:gridCol w:w="1310"/>
        <w:gridCol w:w="60"/>
        <w:gridCol w:w="229"/>
        <w:gridCol w:w="1080"/>
        <w:gridCol w:w="60"/>
        <w:gridCol w:w="60"/>
        <w:gridCol w:w="278"/>
        <w:gridCol w:w="1316"/>
        <w:gridCol w:w="75"/>
      </w:tblGrid>
      <w:tr>
        <w:trPr/>
        <w:tc>
          <w:tcPr>
            <w:tcW w:w="13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82" w:name="xdx_495_20260331_zfbQb1jxZyO1"/>
            <w:bookmarkEnd w:id="382"/>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83" w:name="xdx_49B_20251231_zMMQjAqqyzXa"/>
            <w:bookmarkEnd w:id="383"/>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384" w:name="xdx_404_eus-gaap--InventoryRawMaterials_"/>
            <w:bookmarkEnd w:id="384"/>
          </w:p>
        </w:tc>
      </w:tr>
      <w:tr>
        <w:trPr/>
        <w:tc>
          <w:tcPr>
            <w:tcW w:w="13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85" w:name="xdx_401_eus-gaap--InventoryFinishedGoods"/>
            <w:bookmarkEnd w:id="385"/>
          </w:p>
        </w:tc>
      </w:tr>
      <w:tr>
        <w:trPr/>
        <w:tc>
          <w:tcPr>
            <w:tcW w:w="13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86" w:name="xdx_40B_eus-gaap--InventoryNet_iTI_pn3n3"/>
            <w:bookmarkEnd w:id="386"/>
          </w:p>
        </w:tc>
      </w:tr>
      <w:tr>
        <w:trPr/>
        <w:tc>
          <w:tcPr>
            <w:tcW w:w="13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24,234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387" w:name="xdx_8A7_zvzYMAluPjJk"/>
      <w:bookmarkEnd w:id="387"/>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88" w:name="xdx_806_eus-gaap--CommitmentsAndContinge"/>
      <w:bookmarkEnd w:id="388"/>
      <w:r>
        <w:rPr>
          <w:rFonts w:ascii="Times New Roman;Times;Serif" w:hAnsi="Times New Roman;Times;Serif"/>
          <w:b/>
          <w:i w:val="false"/>
          <w:caps/>
          <w:sz w:val="20"/>
        </w:rPr>
        <w:t xml:space="preserve">Note 5 - </w:t>
      </w:r>
      <w:bookmarkStart w:id="389" w:name="xdx_825_z7FQtjWAHSb8"/>
      <w:bookmarkEnd w:id="389"/>
      <w:r>
        <w:rPr>
          <w:rFonts w:ascii="Times New Roman;Times;Serif" w:hAnsi="Times New Roman;Times;Serif"/>
          <w:b/>
          <w:i w:val="false"/>
          <w:caps/>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engineering office, and sales office, all located in Reno, Nevada. The leases require annual escalating monthly payments ranging from $</w:t>
      </w:r>
      <w:bookmarkStart w:id="390" w:name="xdx_901_eus-gaap--OperatingLeasePayments"/>
      <w:bookmarkEnd w:id="390"/>
      <w:r>
        <w:rPr>
          <w:rFonts w:ascii="Times New Roman;Times;Serif" w:hAnsi="Times New Roman;Times;Serif"/>
          <w:b w:val="false"/>
          <w:i w:val="false"/>
          <w:caps w:val="false"/>
          <w:smallCaps w:val="false"/>
          <w:sz w:val="20"/>
        </w:rPr>
        <w:t>111 to $</w:t>
      </w:r>
      <w:bookmarkStart w:id="391" w:name="xdx_907_eus-gaap--OperatingLeasePayments"/>
      <w:bookmarkEnd w:id="391"/>
      <w:r>
        <w:rPr>
          <w:rFonts w:ascii="Times New Roman;Times;Serif" w:hAnsi="Times New Roman;Times;Serif"/>
          <w:b w:val="false"/>
          <w:i w:val="false"/>
          <w:caps w:val="false"/>
          <w:smallCaps w:val="false"/>
          <w:sz w:val="20"/>
        </w:rPr>
        <w:t>309.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2025, </w:t>
      </w:r>
      <w:bookmarkStart w:id="392" w:name="xdx_90B_eus-gaap--LesseeOperatingLeaseOp"/>
      <w:bookmarkEnd w:id="392"/>
      <w:r>
        <w:rPr>
          <w:rFonts w:ascii="Times New Roman;Times;Serif" w:hAnsi="Times New Roman;Times;Serif"/>
          <w:b w:val="false"/>
          <w:i w:val="false"/>
          <w:caps w:val="false"/>
          <w:smallCaps w:val="false"/>
          <w:sz w:val="20"/>
        </w:rPr>
        <w:t xml:space="preserve">the Company entered into a sixth lease amendment with its landlord to extend the lease term for an additional sixty-four (64) month period for the research and development lab and engineering office in Reno, Nevada. Under the terms of the amended lease, the base rent due shall be fully abated for the four (4) month period commencing on August 1, 2025, and ending on November 30, 2025. The lease is set to expire on </w:t>
      </w:r>
      <w:bookmarkStart w:id="393" w:name="xdx_903_eus-gaap--LeaseExpirationDate1_c"/>
      <w:bookmarkEnd w:id="393"/>
      <w:r>
        <w:rPr>
          <w:rFonts w:ascii="Times New Roman;Times;Serif" w:hAnsi="Times New Roman;Times;Serif"/>
          <w:b w:val="false"/>
          <w:i w:val="false"/>
          <w:caps w:val="false"/>
          <w:smallCaps w:val="false"/>
          <w:sz w:val="20"/>
        </w:rPr>
        <w:t>November 30,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4" w:name="xdx_890_ecustom--ScheduleOfBreakoutOfOpe"/>
      <w:bookmarkEnd w:id="394"/>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ind w:left="0" w:right="0" w:hanging="0"/>
        <w:jc w:val="both"/>
        <w:rPr>
          <w:caps w:val="false"/>
          <w:smallCaps w:val="false"/>
        </w:rPr>
      </w:pPr>
      <w:r>
        <w:rPr>
          <w:caps w:val="false"/>
          <w:smallCaps w:val="false"/>
        </w:rPr>
        <w:t> </w:t>
      </w:r>
      <w:bookmarkStart w:id="395" w:name="xdx_8BD_zzYsSphpTVX9"/>
      <w:bookmarkEnd w:id="395"/>
      <w:r>
        <w:rPr>
          <w:rFonts w:ascii="Times New Roman;Times;Serif" w:hAnsi="Times New Roman;Times;Serif"/>
          <w:b w:val="false"/>
          <w:i w:val="false"/>
          <w:caps w:val="false"/>
          <w:smallCaps w:val="false"/>
          <w:sz w:val="20"/>
        </w:rPr>
        <w:t>SCHEDULE OF BREAKOUT OF OPERATING LEASES</w:t>
      </w:r>
    </w:p>
    <w:tbl>
      <w:tblPr>
        <w:tblW w:w="6638" w:type="dxa"/>
        <w:jc w:val="left"/>
        <w:tblInd w:w="0" w:type="dxa"/>
        <w:tblLayout w:type="fixed"/>
        <w:tblCellMar>
          <w:top w:w="0" w:type="dxa"/>
          <w:left w:w="0" w:type="dxa"/>
          <w:bottom w:w="0" w:type="dxa"/>
          <w:right w:w="0" w:type="dxa"/>
        </w:tblCellMar>
      </w:tblPr>
      <w:tblGrid>
        <w:gridCol w:w="3230"/>
        <w:gridCol w:w="60"/>
        <w:gridCol w:w="168"/>
        <w:gridCol w:w="1141"/>
        <w:gridCol w:w="185"/>
        <w:gridCol w:w="60"/>
        <w:gridCol w:w="205"/>
        <w:gridCol w:w="1389"/>
        <w:gridCol w:w="200"/>
      </w:tblGrid>
      <w:tr>
        <w:trPr/>
        <w:tc>
          <w:tcPr>
            <w:tcW w:w="32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96" w:name="xdx_497_20260331_zoeIpsTbHKs8"/>
            <w:bookmarkEnd w:id="396"/>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397" w:name="xdx_49F_20251231_z9CLfeJBC8j2"/>
            <w:bookmarkEnd w:id="397"/>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bookmarkStart w:id="398" w:name="xdx_40E_eus-gaap--OperatingLeaseRightOfU"/>
            <w:bookmarkEnd w:id="398"/>
          </w:p>
        </w:tc>
      </w:tr>
      <w:tr>
        <w:trPr/>
        <w:tc>
          <w:tcPr>
            <w:tcW w:w="32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99" w:name="xdx_402_eus-gaap--OperatingLeaseLiabilit"/>
            <w:bookmarkEnd w:id="399"/>
          </w:p>
        </w:tc>
      </w:tr>
      <w:tr>
        <w:trPr/>
        <w:tc>
          <w:tcPr>
            <w:tcW w:w="32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00" w:name="xdx_401_eus-gaap--OperatingLeaseLiabilit"/>
            <w:bookmarkEnd w:id="400"/>
          </w:p>
        </w:tc>
      </w:tr>
      <w:tr>
        <w:trPr/>
        <w:tc>
          <w:tcPr>
            <w:tcW w:w="32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01" w:name="xdx_409_eus-gaap--OperatingLeaseLiabilit"/>
            <w:bookmarkEnd w:id="401"/>
          </w:p>
        </w:tc>
      </w:tr>
      <w:tr>
        <w:trPr/>
        <w:tc>
          <w:tcPr>
            <w:tcW w:w="32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lease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02" w:name="xdx_909_eus-gaap--OperatingLeaseWeighted"/>
            <w:bookmarkEnd w:id="402"/>
            <w:r>
              <w:rPr>
                <w:rFonts w:ascii="Times New Roman;Times;Serif" w:hAnsi="Times New Roman;Times;Serif"/>
                <w:b w:val="false"/>
                <w:i w:val="false"/>
                <w:caps w:val="false"/>
                <w:smallCaps w:val="false"/>
                <w:sz w:val="20"/>
              </w:rPr>
              <w:t>7.69 years</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03" w:name="xdx_902_eus-gaap--OperatingLeaseWeighted"/>
            <w:bookmarkEnd w:id="403"/>
            <w:r>
              <w:rPr>
                <w:rFonts w:ascii="Times New Roman;Times;Serif" w:hAnsi="Times New Roman;Times;Serif"/>
                <w:b w:val="false"/>
                <w:i w:val="false"/>
                <w:caps w:val="false"/>
                <w:smallCaps w:val="false"/>
                <w:sz w:val="20"/>
              </w:rPr>
              <w:t>7.88 years</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04" w:name="xdx_900_eus-gaap--OperatingLeaseWeighted"/>
            <w:bookmarkEnd w:id="404"/>
            <w:r>
              <w:rPr>
                <w:rFonts w:ascii="Times New Roman;Times;Serif" w:hAnsi="Times New Roman;Times;Serif"/>
                <w:b w:val="false"/>
                <w:i w:val="false"/>
                <w:caps w:val="false"/>
                <w:smallCaps w:val="false"/>
                <w:sz w:val="20"/>
              </w:rPr>
              <w:t>8.00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05" w:name="xdx_90E_eus-gaap--OperatingLeaseWeighted"/>
            <w:bookmarkEnd w:id="405"/>
            <w:r>
              <w:rPr>
                <w:rFonts w:ascii="Times New Roman;Times;Serif" w:hAnsi="Times New Roman;Times;Serif"/>
                <w:b w:val="false"/>
                <w:i w:val="false"/>
                <w:caps w:val="false"/>
                <w:smallCaps w:val="false"/>
                <w:sz w:val="20"/>
              </w:rPr>
              <w:t>7.99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bookmarkStart w:id="406" w:name="xdx_8A1_ziEAuAt0b60d"/>
      <w:bookmarkEnd w:id="40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7" w:name="xdx_89A_eus-gaap--LesseeOperatingLeaseLi"/>
      <w:bookmarkEnd w:id="407"/>
      <w:r>
        <w:rPr>
          <w:rFonts w:ascii="Times New Roman;Times;Serif" w:hAnsi="Times New Roman;Times;Serif"/>
          <w:b w:val="false"/>
          <w:i w:val="false"/>
          <w:caps w:val="false"/>
          <w:smallCaps w:val="false"/>
          <w:sz w:val="20"/>
        </w:rPr>
        <w:t>At March 31, 2026, the future minimum lease payments under these operating leases are as follows:</w:t>
      </w:r>
    </w:p>
    <w:p>
      <w:pPr>
        <w:pStyle w:val="TextBody"/>
        <w:bidi w:val="0"/>
        <w:spacing w:before="0" w:after="0"/>
        <w:ind w:left="0" w:right="0" w:hanging="0"/>
        <w:jc w:val="both"/>
        <w:rPr>
          <w:caps w:val="false"/>
          <w:smallCaps w:val="false"/>
        </w:rPr>
      </w:pPr>
      <w:r>
        <w:rPr>
          <w:caps w:val="false"/>
          <w:smallCaps w:val="false"/>
        </w:rPr>
        <w:t> </w:t>
      </w:r>
      <w:bookmarkStart w:id="408" w:name="xdx_8BB_z2udqRBeXHob"/>
      <w:bookmarkEnd w:id="408"/>
      <w:r>
        <w:rPr>
          <w:rFonts w:ascii="Times New Roman;Times;Serif" w:hAnsi="Times New Roman;Times;Serif"/>
          <w:b w:val="false"/>
          <w:i w:val="false"/>
          <w:caps w:val="false"/>
          <w:smallCaps w:val="false"/>
          <w:sz w:val="20"/>
        </w:rPr>
        <w:t>SCHEDULE OF FUTURE MINIMUM LEASE PAYMENTS UNDER OPERATING LEASES</w:t>
      </w:r>
    </w:p>
    <w:tbl>
      <w:tblPr>
        <w:tblW w:w="3420" w:type="dxa"/>
        <w:jc w:val="left"/>
        <w:tblInd w:w="0" w:type="dxa"/>
        <w:tblLayout w:type="fixed"/>
        <w:tblCellMar>
          <w:top w:w="0" w:type="dxa"/>
          <w:left w:w="0" w:type="dxa"/>
          <w:bottom w:w="28" w:type="dxa"/>
          <w:right w:w="0" w:type="dxa"/>
        </w:tblCellMar>
      </w:tblPr>
      <w:tblGrid>
        <w:gridCol w:w="2570"/>
        <w:gridCol w:w="60"/>
        <w:gridCol w:w="125"/>
        <w:gridCol w:w="590"/>
        <w:gridCol w:w="75"/>
      </w:tblGrid>
      <w:tr>
        <w:trPr/>
        <w:tc>
          <w:tcPr>
            <w:tcW w:w="257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Years Ending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409" w:name="xdx_491_20260331_zXB99lk1Y6g2"/>
            <w:bookmarkEnd w:id="409"/>
          </w:p>
        </w:tc>
        <w:tc>
          <w:tcPr>
            <w:tcW w:w="71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410" w:name="xdx_404_eus-gaap--LesseeOperatingLeaseLi"/>
            <w:bookmarkEnd w:id="410"/>
          </w:p>
        </w:tc>
      </w:tr>
      <w:tr>
        <w:trPr/>
        <w:tc>
          <w:tcPr>
            <w:tcW w:w="25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2026</w:t>
            </w:r>
            <w:bookmarkStart w:id="411" w:name="xdx_F4D_zBZ7MrX7XvSb"/>
            <w:bookmarkEnd w:id="411"/>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12" w:name="xdx_40F_eus-gaap--LesseeOperatingLeaseLi"/>
            <w:bookmarkEnd w:id="412"/>
          </w:p>
        </w:tc>
      </w:tr>
      <w:tr>
        <w:trPr/>
        <w:tc>
          <w:tcPr>
            <w:tcW w:w="25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13" w:name="xdx_401_eus-gaap--LesseeOperatingLeaseLi"/>
            <w:bookmarkEnd w:id="413"/>
          </w:p>
        </w:tc>
      </w:tr>
      <w:tr>
        <w:trPr/>
        <w:tc>
          <w:tcPr>
            <w:tcW w:w="25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14" w:name="xdx_408_eus-gaap--LesseeOperatingLeaseLi"/>
            <w:bookmarkEnd w:id="414"/>
          </w:p>
        </w:tc>
      </w:tr>
      <w:tr>
        <w:trPr/>
        <w:tc>
          <w:tcPr>
            <w:tcW w:w="25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15" w:name="xdx_40A_eus-gaap--LesseeOperatingLeaseLi"/>
            <w:bookmarkEnd w:id="415"/>
          </w:p>
        </w:tc>
      </w:tr>
      <w:tr>
        <w:trPr/>
        <w:tc>
          <w:tcPr>
            <w:tcW w:w="25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16" w:name="xdx_405_ecustom--LesseeOperatingLeaseLia"/>
            <w:bookmarkEnd w:id="416"/>
          </w:p>
        </w:tc>
      </w:tr>
      <w:tr>
        <w:trPr/>
        <w:tc>
          <w:tcPr>
            <w:tcW w:w="25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17" w:name="xdx_40F_eus-gaap--LesseeOperatingLeaseLi"/>
            <w:bookmarkEnd w:id="417"/>
          </w:p>
        </w:tc>
      </w:tr>
      <w:tr>
        <w:trPr/>
        <w:tc>
          <w:tcPr>
            <w:tcW w:w="25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30,487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18" w:name="xdx_40E_eus-gaap--LesseeOperatingLeaseLi"/>
            <w:bookmarkEnd w:id="418"/>
          </w:p>
        </w:tc>
      </w:tr>
      <w:tr>
        <w:trPr/>
        <w:tc>
          <w:tcPr>
            <w:tcW w:w="25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19" w:name="xdx_40A_eus-gaap--OperatingLeaseLiabilit"/>
            <w:bookmarkEnd w:id="419"/>
          </w:p>
        </w:tc>
      </w:tr>
      <w:tr>
        <w:trPr/>
        <w:tc>
          <w:tcPr>
            <w:tcW w:w="25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245"/>
        <w:gridCol w:w="7880"/>
      </w:tblGrid>
      <w:tr>
        <w:trPr/>
        <w:tc>
          <w:tcPr>
            <w:tcW w:w="245" w:type="dxa"/>
            <w:tcBorders/>
            <w:vAlign w:val="center"/>
          </w:tcPr>
          <w:p>
            <w:pPr>
              <w:pStyle w:val="TableContents"/>
              <w:bidi w:val="0"/>
              <w:spacing w:before="0" w:after="283"/>
              <w:jc w:val="both"/>
              <w:rPr>
                <w:rFonts w:ascii="Times New Roman;Times;Serif" w:hAnsi="Times New Roman;Times;Serif"/>
                <w:sz w:val="20"/>
              </w:rPr>
            </w:pPr>
            <w:bookmarkStart w:id="420" w:name="xdx_F0F_zX538OT1Wrk2"/>
            <w:bookmarkEnd w:id="420"/>
            <w:r>
              <w:rPr>
                <w:rFonts w:ascii="Times New Roman;Times;Serif" w:hAnsi="Times New Roman;Times;Serif"/>
                <w:sz w:val="20"/>
              </w:rPr>
              <w:t>(1)</w:t>
            </w:r>
          </w:p>
        </w:tc>
        <w:tc>
          <w:tcPr>
            <w:tcW w:w="7880" w:type="dxa"/>
            <w:tcBorders/>
            <w:vAlign w:val="center"/>
          </w:tcPr>
          <w:p>
            <w:pPr>
              <w:pStyle w:val="TableContents"/>
              <w:bidi w:val="0"/>
              <w:spacing w:before="0" w:after="283"/>
              <w:jc w:val="both"/>
              <w:rPr>
                <w:rFonts w:ascii="Times New Roman;Times;Serif" w:hAnsi="Times New Roman;Times;Serif"/>
                <w:sz w:val="20"/>
              </w:rPr>
            </w:pPr>
            <w:bookmarkStart w:id="421" w:name="xdx_F19_zmFj1wR6V3ng"/>
            <w:bookmarkEnd w:id="421"/>
            <w:r>
              <w:rPr>
                <w:rFonts w:ascii="Times New Roman;Times;Serif" w:hAnsi="Times New Roman;Times;Serif"/>
                <w:sz w:val="20"/>
              </w:rPr>
              <w:t>Represents scheduled payments for the remaining nine-month period ending December 31, 2026.</w:t>
            </w:r>
          </w:p>
        </w:tc>
      </w:tr>
    </w:tbl>
    <w:p>
      <w:pPr>
        <w:pStyle w:val="TextBody"/>
        <w:bidi w:val="0"/>
        <w:spacing w:before="0" w:after="0"/>
        <w:ind w:left="0" w:right="0" w:hanging="0"/>
        <w:jc w:val="both"/>
        <w:rPr>
          <w:caps w:val="false"/>
          <w:smallCaps w:val="false"/>
        </w:rPr>
      </w:pPr>
      <w:bookmarkStart w:id="422" w:name="xdx_8A0_zUL6c84hpzGc"/>
      <w:bookmarkEnd w:id="422"/>
      <w:r>
        <w:rPr>
          <w:caps w:val="false"/>
          <w:smallCaps w:val="false"/>
        </w:rPr>
        <w:t> </w:t>
      </w:r>
    </w:p>
    <w:p>
      <w:pPr>
        <w:pStyle w:val="TextBody"/>
        <w:bidi w:val="0"/>
        <w:spacing w:before="0" w:after="0"/>
        <w:ind w:left="0" w:right="0" w:hanging="0"/>
        <w:jc w:val="both"/>
        <w:rPr>
          <w:caps w:val="false"/>
          <w:smallCaps w:val="false"/>
        </w:rPr>
      </w:pPr>
      <w:bookmarkStart w:id="423" w:name="xdx_896_eus-gaap--LeaseCostTableTextBloc"/>
      <w:bookmarkEnd w:id="423"/>
      <w:r>
        <w:rPr>
          <w:caps w:val="false"/>
          <w:smallCaps w:val="false"/>
        </w:rPr>
        <w:t> </w:t>
      </w:r>
      <w:bookmarkStart w:id="424" w:name="xdx_8BB_zEQeVmebPM4e"/>
      <w:bookmarkEnd w:id="424"/>
      <w:r>
        <w:rPr>
          <w:rFonts w:ascii="Times New Roman;Times;Serif" w:hAnsi="Times New Roman;Times;Serif"/>
          <w:b w:val="false"/>
          <w:i w:val="false"/>
          <w:caps w:val="false"/>
          <w:smallCaps w:val="false"/>
          <w:sz w:val="20"/>
        </w:rPr>
        <w:t>SCHEDULE OF LEASE COST</w:t>
      </w:r>
    </w:p>
    <w:tbl>
      <w:tblPr>
        <w:tblW w:w="7363" w:type="dxa"/>
        <w:jc w:val="left"/>
        <w:tblInd w:w="0" w:type="dxa"/>
        <w:tblLayout w:type="fixed"/>
        <w:tblCellMar>
          <w:top w:w="0" w:type="dxa"/>
          <w:left w:w="0" w:type="dxa"/>
          <w:bottom w:w="0" w:type="dxa"/>
          <w:right w:w="0" w:type="dxa"/>
        </w:tblCellMar>
      </w:tblPr>
      <w:tblGrid>
        <w:gridCol w:w="1670"/>
        <w:gridCol w:w="60"/>
        <w:gridCol w:w="2225"/>
        <w:gridCol w:w="60"/>
        <w:gridCol w:w="344"/>
        <w:gridCol w:w="921"/>
        <w:gridCol w:w="165"/>
        <w:gridCol w:w="165"/>
        <w:gridCol w:w="344"/>
        <w:gridCol w:w="1334"/>
        <w:gridCol w:w="75"/>
      </w:tblGrid>
      <w:tr>
        <w:trPr/>
        <w:tc>
          <w:tcPr>
            <w:tcW w:w="16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cost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65" w:type="dxa"/>
            <w:tcBorders/>
            <w:vAlign w:val="center"/>
          </w:tcPr>
          <w:p>
            <w:pPr>
              <w:pStyle w:val="TableContents"/>
              <w:bidi w:val="0"/>
              <w:spacing w:before="0" w:after="283"/>
              <w:jc w:val="left"/>
              <w:rPr>
                <w:caps w:val="false"/>
                <w:smallCaps w:val="false"/>
              </w:rPr>
            </w:pPr>
            <w:r>
              <w:rPr>
                <w:caps w:val="false"/>
                <w:smallCaps w:val="false"/>
              </w:rPr>
              <w:t> </w:t>
            </w:r>
          </w:p>
        </w:tc>
        <w:tc>
          <w:tcPr>
            <w:tcW w:w="165" w:type="dxa"/>
            <w:tcBorders/>
            <w:vAlign w:val="center"/>
          </w:tcPr>
          <w:p>
            <w:pPr>
              <w:pStyle w:val="TableContents"/>
              <w:bidi w:val="0"/>
              <w:spacing w:before="0" w:after="283"/>
              <w:jc w:val="left"/>
              <w:rPr>
                <w:caps w:val="false"/>
                <w:smallCaps w:val="false"/>
              </w:rPr>
            </w:pPr>
            <w:r>
              <w:rPr>
                <w:caps w:val="false"/>
                <w:smallCaps w:val="false"/>
              </w:rPr>
              <w:t> </w:t>
            </w:r>
          </w:p>
        </w:tc>
        <w:tc>
          <w:tcPr>
            <w:tcW w:w="16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25" w:name="xdx_983_ecustom--OperatingLeaseCostInclu"/>
            <w:bookmarkEnd w:id="425"/>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26" w:name="xdx_987_ecustom--OperatingLeaseCostInclu"/>
            <w:bookmarkEnd w:id="426"/>
          </w:p>
        </w:tc>
        <w:tc>
          <w:tcPr>
            <w:tcW w:w="13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7" w:name="xdx_988_ecustom--OperatingLeaseCostInclu"/>
            <w:bookmarkEnd w:id="427"/>
          </w:p>
        </w:tc>
        <w:tc>
          <w:tcPr>
            <w:tcW w:w="9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28" w:name="xdx_985_ecustom--OperatingLeaseCostInclu"/>
            <w:bookmarkEnd w:id="428"/>
          </w:p>
        </w:tc>
        <w:tc>
          <w:tcPr>
            <w:tcW w:w="13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29" w:name="xdx_985_ecustom--OperatingLeaseCostInclu"/>
            <w:bookmarkEnd w:id="429"/>
          </w:p>
        </w:tc>
        <w:tc>
          <w:tcPr>
            <w:tcW w:w="9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0" w:name="xdx_982_ecustom--OperatingLeaseCostInclu"/>
            <w:bookmarkEnd w:id="430"/>
          </w:p>
        </w:tc>
        <w:tc>
          <w:tcPr>
            <w:tcW w:w="13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31" w:name="xdx_988_ecustom--OperatingLeaseCostInclu"/>
            <w:bookmarkEnd w:id="431"/>
          </w:p>
        </w:tc>
        <w:tc>
          <w:tcPr>
            <w:tcW w:w="9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432" w:name="xdx_98F_ecustom--OperatingLeaseCostInclu"/>
            <w:bookmarkEnd w:id="432"/>
          </w:p>
        </w:tc>
        <w:tc>
          <w:tcPr>
            <w:tcW w:w="13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3" w:name="xdx_98A_eus-gaap--OperatingLeaseCost_pn3"/>
            <w:bookmarkEnd w:id="433"/>
          </w:p>
        </w:tc>
        <w:tc>
          <w:tcPr>
            <w:tcW w:w="9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34" w:name="xdx_98F_eus-gaap--OperatingLeaseCost_pn3"/>
            <w:bookmarkEnd w:id="434"/>
          </w:p>
        </w:tc>
        <w:tc>
          <w:tcPr>
            <w:tcW w:w="13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435" w:name="xdx_8A1_zR3lqHlccDDl"/>
      <w:bookmarkEnd w:id="43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finance lease agreements for equipment to support the Company’s operations. Payments under the finance lease agreements are fixed for a term of </w:t>
      </w:r>
      <w:bookmarkStart w:id="436" w:name="xdx_906_eus-gaap--LesseeFinanceLeaseTerm"/>
      <w:bookmarkEnd w:id="436"/>
      <w:r>
        <w:rPr>
          <w:rFonts w:ascii="Times New Roman;Times;Serif" w:hAnsi="Times New Roman;Times;Serif"/>
          <w:b w:val="false"/>
          <w:i w:val="false"/>
          <w:caps w:val="false"/>
          <w:smallCaps w:val="false"/>
          <w:sz w:val="20"/>
        </w:rPr>
        <w:t>3-</w:t>
      </w:r>
      <w:bookmarkStart w:id="437" w:name="xdx_909_eus-gaap--LesseeFinanceLeaseTerm"/>
      <w:bookmarkEnd w:id="437"/>
      <w:r>
        <w:rPr>
          <w:rFonts w:ascii="Times New Roman;Times;Serif" w:hAnsi="Times New Roman;Times;Serif"/>
          <w:b w:val="false"/>
          <w:i w:val="false"/>
          <w:caps w:val="false"/>
          <w:smallCaps w:val="false"/>
          <w:sz w:val="20"/>
        </w:rPr>
        <w:t>5 years. The leased assets are recognized in property plant &amp;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8" w:name="xdx_890_ecustom--ScheduleOfBreakoutOfFin"/>
      <w:bookmarkEnd w:id="438"/>
      <w:r>
        <w:rPr>
          <w:rFonts w:ascii="Times New Roman;Times;Serif" w:hAnsi="Times New Roman;Times;Serif"/>
          <w:b w:val="false"/>
          <w:i w:val="false"/>
          <w:caps w:val="false"/>
          <w:smallCaps w:val="false"/>
          <w:sz w:val="20"/>
        </w:rPr>
        <w:t>The following table presents the breakout of the financing leases as of:</w:t>
      </w:r>
    </w:p>
    <w:p>
      <w:pPr>
        <w:pStyle w:val="TextBody"/>
        <w:bidi w:val="0"/>
        <w:spacing w:before="0" w:after="0"/>
        <w:ind w:left="0" w:right="0" w:hanging="0"/>
        <w:jc w:val="both"/>
        <w:rPr>
          <w:caps w:val="false"/>
          <w:smallCaps w:val="false"/>
        </w:rPr>
      </w:pPr>
      <w:r>
        <w:rPr>
          <w:caps w:val="false"/>
          <w:smallCaps w:val="false"/>
        </w:rPr>
        <w:t> </w:t>
      </w:r>
      <w:bookmarkStart w:id="439" w:name="xdx_8B4_zW6mAsOgff8j"/>
      <w:bookmarkEnd w:id="439"/>
      <w:r>
        <w:rPr>
          <w:rFonts w:ascii="Times New Roman;Times;Serif" w:hAnsi="Times New Roman;Times;Serif"/>
          <w:b w:val="false"/>
          <w:i w:val="false"/>
          <w:caps w:val="false"/>
          <w:smallCaps w:val="false"/>
          <w:sz w:val="20"/>
        </w:rPr>
        <w:t>SCHEDULE OF BREAKOUT OF FINANCE LEASES</w:t>
      </w:r>
    </w:p>
    <w:tbl>
      <w:tblPr>
        <w:tblW w:w="6638" w:type="dxa"/>
        <w:jc w:val="left"/>
        <w:tblInd w:w="0" w:type="dxa"/>
        <w:tblLayout w:type="fixed"/>
        <w:tblCellMar>
          <w:top w:w="0" w:type="dxa"/>
          <w:left w:w="0" w:type="dxa"/>
          <w:bottom w:w="0" w:type="dxa"/>
          <w:right w:w="0" w:type="dxa"/>
        </w:tblCellMar>
      </w:tblPr>
      <w:tblGrid>
        <w:gridCol w:w="3230"/>
        <w:gridCol w:w="60"/>
        <w:gridCol w:w="168"/>
        <w:gridCol w:w="1141"/>
        <w:gridCol w:w="185"/>
        <w:gridCol w:w="60"/>
        <w:gridCol w:w="205"/>
        <w:gridCol w:w="1389"/>
        <w:gridCol w:w="200"/>
      </w:tblGrid>
      <w:tr>
        <w:trPr/>
        <w:tc>
          <w:tcPr>
            <w:tcW w:w="32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40" w:name="xdx_490_20260331_zVFOHNL14oT5"/>
            <w:bookmarkEnd w:id="440"/>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441" w:name="xdx_493_20251231_zvusWrPFIa5l"/>
            <w:bookmarkEnd w:id="441"/>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bookmarkStart w:id="442" w:name="xdx_40E_eus-gaap--FinanceLeaseRightOfUse"/>
            <w:bookmarkEnd w:id="442"/>
          </w:p>
        </w:tc>
      </w:tr>
      <w:tr>
        <w:trPr/>
        <w:tc>
          <w:tcPr>
            <w:tcW w:w="32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3" w:name="xdx_403_eus-gaap--FinanceLeaseLiabilityC"/>
            <w:bookmarkEnd w:id="443"/>
          </w:p>
        </w:tc>
      </w:tr>
      <w:tr>
        <w:trPr/>
        <w:tc>
          <w:tcPr>
            <w:tcW w:w="32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finance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4" w:name="xdx_402_eus-gaap--FinanceLeaseLiabilityN"/>
            <w:bookmarkEnd w:id="444"/>
          </w:p>
        </w:tc>
      </w:tr>
      <w:tr>
        <w:trPr/>
        <w:tc>
          <w:tcPr>
            <w:tcW w:w="32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finance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5" w:name="xdx_400_eus-gaap--FinanceLeaseLiability_"/>
            <w:bookmarkEnd w:id="445"/>
          </w:p>
        </w:tc>
      </w:tr>
      <w:tr>
        <w:trPr/>
        <w:tc>
          <w:tcPr>
            <w:tcW w:w="32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finance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lease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46" w:name="xdx_902_eus-gaap--FinanceLeaseWeightedAv"/>
            <w:bookmarkEnd w:id="446"/>
            <w:r>
              <w:rPr>
                <w:rFonts w:ascii="Times New Roman;Times;Serif" w:hAnsi="Times New Roman;Times;Serif"/>
                <w:b w:val="false"/>
                <w:i w:val="false"/>
                <w:caps w:val="false"/>
                <w:smallCaps w:val="false"/>
                <w:sz w:val="20"/>
              </w:rPr>
              <w:t>2.10 years</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47" w:name="xdx_90B_eus-gaap--FinanceLeaseWeightedAv"/>
            <w:bookmarkEnd w:id="447"/>
            <w:r>
              <w:rPr>
                <w:rFonts w:ascii="Times New Roman;Times;Serif" w:hAnsi="Times New Roman;Times;Serif"/>
                <w:b w:val="false"/>
                <w:i w:val="false"/>
                <w:caps w:val="false"/>
                <w:smallCaps w:val="false"/>
                <w:sz w:val="20"/>
              </w:rPr>
              <w:t>2.15 years</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48" w:name="xdx_905_eus-gaap--FinanceLeaseWeightedAv"/>
            <w:bookmarkEnd w:id="448"/>
            <w:r>
              <w:rPr>
                <w:rFonts w:ascii="Times New Roman;Times;Serif" w:hAnsi="Times New Roman;Times;Serif"/>
                <w:b w:val="false"/>
                <w:i w:val="false"/>
                <w:caps w:val="false"/>
                <w:smallCaps w:val="false"/>
                <w:sz w:val="20"/>
              </w:rPr>
              <w:t>5.2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49" w:name="xdx_908_eus-gaap--FinanceLeaseWeightedAv"/>
            <w:bookmarkEnd w:id="449"/>
            <w:r>
              <w:rPr>
                <w:rFonts w:ascii="Times New Roman;Times;Serif" w:hAnsi="Times New Roman;Times;Serif"/>
                <w:b w:val="false"/>
                <w:i w:val="false"/>
                <w:caps w:val="false"/>
                <w:smallCaps w:val="false"/>
                <w:sz w:val="20"/>
              </w:rPr>
              <w:t>5.2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bookmarkStart w:id="450" w:name="xdx_8A4_zLyX5o65niJ3"/>
      <w:bookmarkEnd w:id="4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our incremental borrowing rate include our implied credit rating and an estimate of secured borrowing rates based on comparable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1" w:name="xdx_894_eus-gaap--FinanceLeaseLiabilityM"/>
      <w:bookmarkEnd w:id="451"/>
      <w:r>
        <w:rPr>
          <w:rFonts w:ascii="Times New Roman;Times;Serif" w:hAnsi="Times New Roman;Times;Serif"/>
          <w:b w:val="false"/>
          <w:i w:val="false"/>
          <w:caps w:val="false"/>
          <w:smallCaps w:val="false"/>
          <w:sz w:val="20"/>
        </w:rPr>
        <w:t>At March 31, 2026, the future minimum lease payments under these financing leases are as follows:</w:t>
      </w:r>
    </w:p>
    <w:p>
      <w:pPr>
        <w:pStyle w:val="TextBody"/>
        <w:bidi w:val="0"/>
        <w:spacing w:before="0" w:after="0"/>
        <w:ind w:left="0" w:right="0" w:hanging="0"/>
        <w:jc w:val="both"/>
        <w:rPr>
          <w:caps w:val="false"/>
          <w:smallCaps w:val="false"/>
        </w:rPr>
      </w:pPr>
      <w:r>
        <w:rPr>
          <w:caps w:val="false"/>
          <w:smallCaps w:val="false"/>
        </w:rPr>
        <w:t> </w:t>
      </w:r>
      <w:bookmarkStart w:id="452" w:name="xdx_8B7_zmudVPwdwp4"/>
      <w:bookmarkEnd w:id="452"/>
      <w:r>
        <w:rPr>
          <w:rFonts w:ascii="Times New Roman;Times;Serif" w:hAnsi="Times New Roman;Times;Serif"/>
          <w:b w:val="false"/>
          <w:i w:val="false"/>
          <w:caps w:val="false"/>
          <w:smallCaps w:val="false"/>
          <w:sz w:val="20"/>
        </w:rPr>
        <w:t>SCHEDULE OF FUTURE MINIMUM LEASE PAYMENTS UNDER FINANCE LEASES</w:t>
      </w:r>
    </w:p>
    <w:tbl>
      <w:tblPr>
        <w:tblW w:w="3060" w:type="dxa"/>
        <w:jc w:val="left"/>
        <w:tblInd w:w="0" w:type="dxa"/>
        <w:tblLayout w:type="fixed"/>
        <w:tblCellMar>
          <w:top w:w="0" w:type="dxa"/>
          <w:left w:w="0" w:type="dxa"/>
          <w:bottom w:w="28" w:type="dxa"/>
          <w:right w:w="0" w:type="dxa"/>
        </w:tblCellMar>
      </w:tblPr>
      <w:tblGrid>
        <w:gridCol w:w="2570"/>
        <w:gridCol w:w="60"/>
        <w:gridCol w:w="125"/>
        <w:gridCol w:w="230"/>
        <w:gridCol w:w="75"/>
      </w:tblGrid>
      <w:tr>
        <w:trPr/>
        <w:tc>
          <w:tcPr>
            <w:tcW w:w="257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Years Ending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453" w:name="xdx_491_20260331_zvwnVXyondu6"/>
            <w:bookmarkEnd w:id="453"/>
          </w:p>
        </w:tc>
        <w:tc>
          <w:tcPr>
            <w:tcW w:w="35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454" w:name="xdx_401_eus-gaap--FinanceLeaseLiabilityP"/>
            <w:bookmarkEnd w:id="454"/>
          </w:p>
        </w:tc>
      </w:tr>
      <w:tr>
        <w:trPr/>
        <w:tc>
          <w:tcPr>
            <w:tcW w:w="25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2026</w:t>
            </w:r>
            <w:bookmarkStart w:id="455" w:name="xdx_F49_z8D8CXHvzJE8"/>
            <w:bookmarkEnd w:id="455"/>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56" w:name="xdx_408_eus-gaap--FinanceLeaseLiabilityP"/>
            <w:bookmarkEnd w:id="456"/>
          </w:p>
        </w:tc>
      </w:tr>
      <w:tr>
        <w:trPr/>
        <w:tc>
          <w:tcPr>
            <w:tcW w:w="25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57" w:name="xdx_404_eus-gaap--FinanceLeaseLiabilityP"/>
            <w:bookmarkEnd w:id="457"/>
          </w:p>
        </w:tc>
      </w:tr>
      <w:tr>
        <w:trPr/>
        <w:tc>
          <w:tcPr>
            <w:tcW w:w="25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58" w:name="xdx_404_eus-gaap--FinanceLeaseLiabilityP"/>
            <w:bookmarkEnd w:id="458"/>
          </w:p>
        </w:tc>
      </w:tr>
      <w:tr>
        <w:trPr/>
        <w:tc>
          <w:tcPr>
            <w:tcW w:w="25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59" w:name="xdx_404_eus-gaap--FinanceLeaseLiabilityP"/>
            <w:bookmarkEnd w:id="459"/>
          </w:p>
        </w:tc>
      </w:tr>
      <w:tr>
        <w:trPr/>
        <w:tc>
          <w:tcPr>
            <w:tcW w:w="25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60" w:name="xdx_40E_eus-gaap--FinanceLeaseLiabilityU"/>
            <w:bookmarkEnd w:id="460"/>
          </w:p>
        </w:tc>
      </w:tr>
      <w:tr>
        <w:trPr/>
        <w:tc>
          <w:tcPr>
            <w:tcW w:w="25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61" w:name="xdx_406_eus-gaap--FinanceLeaseLiability_"/>
            <w:bookmarkEnd w:id="461"/>
          </w:p>
        </w:tc>
      </w:tr>
      <w:tr>
        <w:trPr/>
        <w:tc>
          <w:tcPr>
            <w:tcW w:w="25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financing lease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245"/>
        <w:gridCol w:w="7880"/>
      </w:tblGrid>
      <w:tr>
        <w:trPr/>
        <w:tc>
          <w:tcPr>
            <w:tcW w:w="245" w:type="dxa"/>
            <w:tcBorders/>
            <w:vAlign w:val="center"/>
          </w:tcPr>
          <w:p>
            <w:pPr>
              <w:pStyle w:val="TableContents"/>
              <w:bidi w:val="0"/>
              <w:spacing w:before="0" w:after="283"/>
              <w:jc w:val="both"/>
              <w:rPr>
                <w:rFonts w:ascii="Times New Roman;Times;Serif" w:hAnsi="Times New Roman;Times;Serif"/>
                <w:sz w:val="20"/>
              </w:rPr>
            </w:pPr>
            <w:bookmarkStart w:id="462" w:name="xdx_F0A_zzbPjfeKA3G5"/>
            <w:bookmarkEnd w:id="462"/>
            <w:r>
              <w:rPr>
                <w:rFonts w:ascii="Times New Roman;Times;Serif" w:hAnsi="Times New Roman;Times;Serif"/>
                <w:sz w:val="20"/>
              </w:rPr>
              <w:t>(1)</w:t>
            </w:r>
          </w:p>
        </w:tc>
        <w:tc>
          <w:tcPr>
            <w:tcW w:w="7880" w:type="dxa"/>
            <w:tcBorders/>
            <w:vAlign w:val="center"/>
          </w:tcPr>
          <w:p>
            <w:pPr>
              <w:pStyle w:val="TableContents"/>
              <w:bidi w:val="0"/>
              <w:spacing w:before="0" w:after="283"/>
              <w:jc w:val="both"/>
              <w:rPr>
                <w:rFonts w:ascii="Times New Roman;Times;Serif" w:hAnsi="Times New Roman;Times;Serif"/>
                <w:sz w:val="20"/>
              </w:rPr>
            </w:pPr>
            <w:bookmarkStart w:id="463" w:name="xdx_F1A_zXi3B9ALYO8c"/>
            <w:bookmarkEnd w:id="463"/>
            <w:r>
              <w:rPr>
                <w:rFonts w:ascii="Times New Roman;Times;Serif" w:hAnsi="Times New Roman;Times;Serif"/>
                <w:sz w:val="20"/>
              </w:rPr>
              <w:t>Represents scheduled payments for the remaining nine-month period ending December 31, 2026.</w:t>
            </w:r>
          </w:p>
        </w:tc>
      </w:tr>
    </w:tbl>
    <w:p>
      <w:pPr>
        <w:pStyle w:val="TextBody"/>
        <w:bidi w:val="0"/>
        <w:spacing w:before="0" w:after="0"/>
        <w:ind w:left="0" w:right="0" w:hanging="0"/>
        <w:jc w:val="both"/>
        <w:rPr>
          <w:caps w:val="false"/>
          <w:smallCaps w:val="false"/>
        </w:rPr>
      </w:pPr>
      <w:bookmarkStart w:id="464" w:name="xdx_8AD_z4VpfbC9DhWd"/>
      <w:bookmarkEnd w:id="46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agreed to pay LithiumHub a total of $</w:t>
      </w:r>
      <w:bookmarkStart w:id="465" w:name="xdx_906_eus-gaap--ContractualObligation_"/>
      <w:bookmarkEnd w:id="465"/>
      <w:r>
        <w:rPr>
          <w:rFonts w:ascii="Times New Roman;Times;Serif" w:hAnsi="Times New Roman;Times;Serif"/>
          <w:b w:val="false"/>
          <w:i w:val="false"/>
          <w:caps w:val="false"/>
          <w:smallCaps w:val="false"/>
          <w:sz w:val="20"/>
        </w:rPr>
        <w:t>2,500, of which approximately $</w:t>
      </w:r>
      <w:bookmarkStart w:id="466" w:name="xdx_90A_eus-gaap--ContractualObligationF"/>
      <w:bookmarkEnd w:id="466"/>
      <w:r>
        <w:rPr>
          <w:rFonts w:ascii="Times New Roman;Times;Serif" w:hAnsi="Times New Roman;Times;Serif"/>
          <w:b w:val="false"/>
          <w:i w:val="false"/>
          <w:caps w:val="false"/>
          <w:smallCaps w:val="false"/>
          <w:sz w:val="20"/>
        </w:rPr>
        <w:t>562 is payable in 2025 and approximately $</w:t>
      </w:r>
      <w:bookmarkStart w:id="467" w:name="xdx_90F_eus-gaap--ContractualObligationD"/>
      <w:bookmarkEnd w:id="467"/>
      <w:r>
        <w:rPr>
          <w:rFonts w:ascii="Times New Roman;Times;Serif" w:hAnsi="Times New Roman;Times;Serif"/>
          <w:b w:val="false"/>
          <w:i w:val="false"/>
          <w:caps w:val="false"/>
          <w:smallCaps w:val="false"/>
          <w:sz w:val="20"/>
        </w:rPr>
        <w:t>1,938 is payable in 2026, in exchange for a non-exclusive license in LithiumHub Technologies, LLC’s patent rights related to the Patents-in-Suit. In accordance with the Settlement Agreement, the Company and LithiumHub terminated the ongoing patent litigation between them. The Settlement Agreement includes no admission of infringement by the Company. On October 22, 2025, the Company paid the settlement amount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468" w:name="xdx_806_eus-gaap--DebtDisclosureTextBloc"/>
      <w:bookmarkEnd w:id="468"/>
      <w:r>
        <w:rPr>
          <w:rFonts w:ascii="Times New Roman;Times;Serif" w:hAnsi="Times New Roman;Times;Serif"/>
          <w:b/>
          <w:i w:val="false"/>
          <w:caps/>
          <w:sz w:val="20"/>
        </w:rPr>
        <w:t xml:space="preserve">Note 6 - </w:t>
      </w:r>
      <w:bookmarkStart w:id="469" w:name="xdx_82C_zw67FeZHNq0a"/>
      <w:bookmarkEnd w:id="469"/>
      <w:r>
        <w:rPr>
          <w:rFonts w:ascii="Times New Roman;Times;Serif" w:hAnsi="Times New Roman;Times;Serif"/>
          <w:b/>
          <w:i w:val="false"/>
          <w:caps/>
          <w:sz w:val="20"/>
        </w:rPr>
        <w:t>LONG 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 Company had an outstanding term loan (the “Term Loan”) under a Term Loan, Guarantee and Security Agreement (the “Term Loan Agreement”), dated October 7, 2022, with EICF Agent LLC, as agent, and certain lenders. As amended, the Term Loan matures on </w:t>
      </w:r>
      <w:bookmarkStart w:id="470" w:name="xdx_900_eus-gaap--DebtInstrumentMaturity"/>
      <w:bookmarkEnd w:id="470"/>
      <w:r>
        <w:rPr>
          <w:rFonts w:ascii="Times New Roman;Times;Serif" w:hAnsi="Times New Roman;Times;Serif"/>
          <w:b w:val="false"/>
          <w:i w:val="false"/>
          <w:caps w:val="false"/>
          <w:smallCaps w:val="false"/>
          <w:sz w:val="20"/>
        </w:rPr>
        <w:t xml:space="preserve">October 7, 2027 and requires monthly installments based on </w:t>
      </w:r>
      <w:bookmarkStart w:id="471" w:name="xdx_908_ecustom--DebtInstrumentPaymentPe"/>
      <w:bookmarkEnd w:id="471"/>
      <w:r>
        <w:rPr>
          <w:rFonts w:ascii="Times New Roman;Times;Serif" w:hAnsi="Times New Roman;Times;Serif"/>
          <w:b w:val="false"/>
          <w:i w:val="false"/>
          <w:caps w:val="false"/>
          <w:smallCaps w:val="false"/>
          <w:sz w:val="20"/>
        </w:rPr>
        <w:t>0.4167% of the principal amount of Term Loans outstanding beginning December 1, 2025. The obligations under the Term Loan Agreement are secured by a first priority lien on substantially all of the Company’s assets, including certain mortgaged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any amendments, the Term Loan accrued interest based on the Company’s senior leverage ratio. From inception through September 30, 2024, interest accrued at a per annum rate equal to adjusted SOFR (subject to a floor of 1.0%) plus </w:t>
      </w:r>
      <w:bookmarkStart w:id="472" w:name="xdx_900_ecustom--DebtInstrumentBasisSpre"/>
      <w:bookmarkEnd w:id="472"/>
      <w:r>
        <w:rPr>
          <w:rFonts w:ascii="Times New Roman;Times;Serif" w:hAnsi="Times New Roman;Times;Serif"/>
          <w:b w:val="false"/>
          <w:i w:val="false"/>
          <w:caps w:val="false"/>
          <w:smallCaps w:val="false"/>
          <w:sz w:val="20"/>
        </w:rPr>
        <w:t xml:space="preserve">7.0% payable in cash, plus an additional </w:t>
      </w:r>
      <w:bookmarkStart w:id="473" w:name="xdx_909_ecustom--DebtInstrumentBasisSpre"/>
      <w:bookmarkEnd w:id="473"/>
      <w:r>
        <w:rPr>
          <w:rFonts w:ascii="Times New Roman;Times;Serif" w:hAnsi="Times New Roman;Times;Serif"/>
          <w:b w:val="false"/>
          <w:i w:val="false"/>
          <w:caps w:val="false"/>
          <w:smallCaps w:val="false"/>
          <w:sz w:val="20"/>
        </w:rPr>
        <w:t xml:space="preserve">4.5% to </w:t>
      </w:r>
      <w:bookmarkStart w:id="474" w:name="xdx_902_ecustom--DebtInstrumentBasisSpre"/>
      <w:bookmarkEnd w:id="474"/>
      <w:r>
        <w:rPr>
          <w:rFonts w:ascii="Times New Roman;Times;Serif" w:hAnsi="Times New Roman;Times;Serif"/>
          <w:b w:val="false"/>
          <w:i w:val="false"/>
          <w:caps w:val="false"/>
          <w:smallCaps w:val="false"/>
          <w:sz w:val="20"/>
        </w:rPr>
        <w:t>6.5% payable in kind (“PIK”), depending on the Company’s senior leverage ratio. Effective April 1, 2024, interest payable to lenders subject to the regulations of the U.S. Small Business Administration (with $</w:t>
      </w:r>
      <w:bookmarkStart w:id="475" w:name="xdx_907_eus-gaap--DebtInstrumentFaceAmou"/>
      <w:bookmarkEnd w:id="475"/>
      <w:r>
        <w:rPr>
          <w:rFonts w:ascii="Times New Roman;Times;Serif" w:hAnsi="Times New Roman;Times;Serif"/>
          <w:b w:val="false"/>
          <w:i w:val="false"/>
          <w:caps w:val="false"/>
          <w:smallCaps w:val="false"/>
          <w:sz w:val="20"/>
        </w:rPr>
        <w:t xml:space="preserve">30,846 of principal outstanding as of that date) was limited to </w:t>
      </w:r>
      <w:bookmarkStart w:id="476" w:name="xdx_900_eus-gaap--DebtInstrumentInterest"/>
      <w:bookmarkEnd w:id="476"/>
      <w:r>
        <w:rPr>
          <w:rFonts w:ascii="Times New Roman;Times;Serif" w:hAnsi="Times New Roman;Times;Serif"/>
          <w:b w:val="false"/>
          <w:i w:val="false"/>
          <w:caps w:val="false"/>
          <w:smallCaps w:val="false"/>
          <w:sz w:val="20"/>
        </w:rPr>
        <w:t xml:space="preserve">14.0% per annum, excluding default interest permitted under applicable SBA regulations. From October 1, 2024 through March 31, 2025, interest on the non SBA regulated portion continued to accrue at adjusted SOFR plus </w:t>
      </w:r>
      <w:bookmarkStart w:id="477" w:name="xdx_90E_ecustom--DebtInstrumentBasisSpre"/>
      <w:bookmarkEnd w:id="477"/>
      <w:r>
        <w:rPr>
          <w:rFonts w:ascii="Times New Roman;Times;Serif" w:hAnsi="Times New Roman;Times;Serif"/>
          <w:b w:val="false"/>
          <w:i w:val="false"/>
          <w:caps w:val="false"/>
          <w:smallCaps w:val="false"/>
          <w:sz w:val="20"/>
        </w:rPr>
        <w:t xml:space="preserve">7.0% payable in cash, and </w:t>
      </w:r>
      <w:bookmarkStart w:id="478" w:name="xdx_909_ecustom--DebtInstrumentBasisSpre"/>
      <w:bookmarkEnd w:id="478"/>
      <w:r>
        <w:rPr>
          <w:rFonts w:ascii="Times New Roman;Times;Serif" w:hAnsi="Times New Roman;Times;Serif"/>
          <w:b w:val="false"/>
          <w:i w:val="false"/>
          <w:caps w:val="false"/>
          <w:smallCaps w:val="false"/>
          <w:sz w:val="20"/>
        </w:rPr>
        <w:t xml:space="preserve">4.5% to </w:t>
      </w:r>
      <w:bookmarkStart w:id="479" w:name="xdx_901_ecustom--DebtInstrumentBasisSpre"/>
      <w:bookmarkEnd w:id="479"/>
      <w:r>
        <w:rPr>
          <w:rFonts w:ascii="Times New Roman;Times;Serif" w:hAnsi="Times New Roman;Times;Serif"/>
          <w:b w:val="false"/>
          <w:i w:val="false"/>
          <w:caps w:val="false"/>
          <w:smallCaps w:val="false"/>
          <w:sz w:val="20"/>
        </w:rPr>
        <w:t xml:space="preserve">6.5% payable in kind. Beginning April 1, 2025, interest on all outstanding balances will be payable entirely in cash, at a rate equal to adjusted SOFR plus a margin ranging from </w:t>
      </w:r>
      <w:bookmarkStart w:id="480" w:name="xdx_903_ecustom--DebtInstrumentBasisSpre"/>
      <w:bookmarkEnd w:id="480"/>
      <w:r>
        <w:rPr>
          <w:rFonts w:ascii="Times New Roman;Times;Serif" w:hAnsi="Times New Roman;Times;Serif"/>
          <w:b w:val="false"/>
          <w:i w:val="false"/>
          <w:caps w:val="false"/>
          <w:smallCaps w:val="false"/>
          <w:sz w:val="20"/>
        </w:rPr>
        <w:t xml:space="preserve">11.5% to </w:t>
      </w:r>
      <w:bookmarkStart w:id="481" w:name="xdx_904_ecustom--DebtInstrumentBasisSpre"/>
      <w:bookmarkEnd w:id="481"/>
      <w:r>
        <w:rPr>
          <w:rFonts w:ascii="Times New Roman;Times;Serif" w:hAnsi="Times New Roman;Times;Serif"/>
          <w:b w:val="false"/>
          <w:i w:val="false"/>
          <w:caps w:val="false"/>
          <w:smallCaps w:val="false"/>
          <w:sz w:val="20"/>
        </w:rPr>
        <w:t xml:space="preserve">13.5%, depending on the Company’s senior leverage ratio. Effective October 20, 2025, the Term Loan was amended to adjust the fixed interest rate of the remaining outstanding principal amount under the Term Loan Agreement to a fixed interest rate of </w:t>
      </w:r>
      <w:bookmarkStart w:id="482" w:name="xdx_907_eus-gaap--DebtInstrumentInterest"/>
      <w:bookmarkEnd w:id="482"/>
      <w:r>
        <w:rPr>
          <w:rFonts w:ascii="Times New Roman;Times;Serif" w:hAnsi="Times New Roman;Times;Serif"/>
          <w:b w:val="false"/>
          <w:i w:val="false"/>
          <w:caps w:val="false"/>
          <w:smallCaps w:val="false"/>
          <w:sz w:val="20"/>
        </w:rPr>
        <w:t>12% per annum, payable monthly commencing December 31, 2025 that will mature in October 2027.</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recognized interest expense of $</w:t>
      </w:r>
      <w:bookmarkStart w:id="483" w:name="xdx_908_eus-gaap--InterestExpenseDebtExc"/>
      <w:bookmarkEnd w:id="483"/>
      <w:r>
        <w:rPr>
          <w:rFonts w:ascii="Times New Roman;Times;Serif" w:hAnsi="Times New Roman;Times;Serif"/>
          <w:b w:val="false"/>
          <w:i w:val="false"/>
          <w:caps w:val="false"/>
          <w:smallCaps w:val="false"/>
          <w:sz w:val="20"/>
        </w:rPr>
        <w:t>576 and $</w:t>
      </w:r>
      <w:bookmarkStart w:id="484" w:name="xdx_901_eus-gaap--InterestExpenseDebtExc"/>
      <w:bookmarkEnd w:id="484"/>
      <w:r>
        <w:rPr>
          <w:rFonts w:ascii="Times New Roman;Times;Serif" w:hAnsi="Times New Roman;Times;Serif"/>
          <w:b w:val="false"/>
          <w:i w:val="false"/>
          <w:caps w:val="false"/>
          <w:smallCaps w:val="false"/>
          <w:sz w:val="20"/>
        </w:rPr>
        <w:t>3,579, respectively. Amortization of the debt issuance costs amounted to $</w:t>
      </w:r>
      <w:bookmarkStart w:id="485" w:name="xdx_905_eus-gaap--AmortizationOfFinancin"/>
      <w:bookmarkEnd w:id="485"/>
      <w:r>
        <w:rPr>
          <w:rFonts w:ascii="Times New Roman;Times;Serif" w:hAnsi="Times New Roman;Times;Serif"/>
          <w:b w:val="false"/>
          <w:i w:val="false"/>
          <w:caps w:val="false"/>
          <w:smallCaps w:val="false"/>
          <w:sz w:val="20"/>
        </w:rPr>
        <w:t>921 and $</w:t>
      </w:r>
      <w:bookmarkStart w:id="486" w:name="xdx_909_eus-gaap--AmortizationOfFinancin"/>
      <w:bookmarkEnd w:id="486"/>
      <w:r>
        <w:rPr>
          <w:rFonts w:ascii="Times New Roman;Times;Serif" w:hAnsi="Times New Roman;Times;Serif"/>
          <w:b w:val="false"/>
          <w:i w:val="false"/>
          <w:caps w:val="false"/>
          <w:smallCaps w:val="false"/>
          <w:sz w:val="20"/>
        </w:rPr>
        <w:t>1,095, respectively, for the same periods. As of March 31, 2026, the carrying value of the Term Loan was $</w:t>
      </w:r>
      <w:bookmarkStart w:id="487" w:name="xdx_905_eus-gaap--LongTermDebt_iI_pn3n3_"/>
      <w:bookmarkEnd w:id="487"/>
      <w:r>
        <w:rPr>
          <w:rFonts w:ascii="Times New Roman;Times;Serif" w:hAnsi="Times New Roman;Times;Serif"/>
          <w:b w:val="false"/>
          <w:i w:val="false"/>
          <w:caps w:val="false"/>
          <w:smallCaps w:val="false"/>
          <w:sz w:val="20"/>
        </w:rPr>
        <w:t>10,325, consisting of $</w:t>
      </w:r>
      <w:bookmarkStart w:id="488" w:name="xdx_90F_eus-gaap--DebtInstrumentFaceAmou"/>
      <w:bookmarkEnd w:id="488"/>
      <w:r>
        <w:rPr>
          <w:rFonts w:ascii="Times New Roman;Times;Serif" w:hAnsi="Times New Roman;Times;Serif"/>
          <w:b w:val="false"/>
          <w:i w:val="false"/>
          <w:caps w:val="false"/>
          <w:smallCaps w:val="false"/>
          <w:sz w:val="20"/>
        </w:rPr>
        <w:t>19,103 in principal net of $</w:t>
      </w:r>
      <w:bookmarkStart w:id="489" w:name="xdx_907_eus-gaap--DebtInstrumentUnamorti"/>
      <w:bookmarkEnd w:id="489"/>
      <w:r>
        <w:rPr>
          <w:rFonts w:ascii="Times New Roman;Times;Serif" w:hAnsi="Times New Roman;Times;Serif"/>
          <w:b w:val="false"/>
          <w:i w:val="false"/>
          <w:caps w:val="false"/>
          <w:smallCaps w:val="false"/>
          <w:sz w:val="20"/>
        </w:rPr>
        <w:t>8,778 in unamortized debt discount. As of December 31, 2025, the carrying value of the Term Loan was $</w:t>
      </w:r>
      <w:bookmarkStart w:id="490" w:name="xdx_90E_eus-gaap--LongTermDebt_iI_pn3n3_"/>
      <w:bookmarkEnd w:id="490"/>
      <w:r>
        <w:rPr>
          <w:rFonts w:ascii="Times New Roman;Times;Serif" w:hAnsi="Times New Roman;Times;Serif"/>
          <w:b w:val="false"/>
          <w:i w:val="false"/>
          <w:caps w:val="false"/>
          <w:smallCaps w:val="false"/>
          <w:sz w:val="20"/>
        </w:rPr>
        <w:t>9,645, consisting of $</w:t>
      </w:r>
      <w:bookmarkStart w:id="491" w:name="xdx_908_eus-gaap--DebtInstrumentFaceAmou"/>
      <w:bookmarkEnd w:id="491"/>
      <w:r>
        <w:rPr>
          <w:rFonts w:ascii="Times New Roman;Times;Serif" w:hAnsi="Times New Roman;Times;Serif"/>
          <w:b w:val="false"/>
          <w:i w:val="false"/>
          <w:caps w:val="false"/>
          <w:smallCaps w:val="false"/>
          <w:sz w:val="20"/>
        </w:rPr>
        <w:t>19,344 in principal net of $</w:t>
      </w:r>
      <w:bookmarkStart w:id="492" w:name="xdx_906_eus-gaap--DebtInstrumentUnamorti"/>
      <w:bookmarkEnd w:id="492"/>
      <w:r>
        <w:rPr>
          <w:rFonts w:ascii="Times New Roman;Times;Serif" w:hAnsi="Times New Roman;Times;Serif"/>
          <w:b w:val="false"/>
          <w:i w:val="false"/>
          <w:caps w:val="false"/>
          <w:smallCaps w:val="false"/>
          <w:sz w:val="20"/>
        </w:rPr>
        <w:t>9,699 in unamortized debt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original execution of the Term Loan Agreement, the Company entered into six amendments which modified terms of the facility, including, but not limited to, interest rate mechanics, the timing of principal payments, and certain financial and operational covenants. All six amendments were in effect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two restrictive financial covenants, one which pertains to liquidity, requiring the Company to maintain cash and cash equivalents equal to or greater than $</w:t>
      </w:r>
      <w:bookmarkStart w:id="493" w:name="xdx_908_eus-gaap--CashAndCashEquivalents"/>
      <w:bookmarkEnd w:id="493"/>
      <w:r>
        <w:rPr>
          <w:rFonts w:ascii="Times New Roman;Times;Serif" w:hAnsi="Times New Roman;Times;Serif"/>
          <w:b w:val="false"/>
          <w:i w:val="false"/>
          <w:caps w:val="false"/>
          <w:smallCaps w:val="false"/>
          <w:sz w:val="20"/>
        </w:rPr>
        <w:t>5,000 through December 31, 2026, and a maximum capital expenditure threshold of $</w:t>
      </w:r>
      <w:bookmarkStart w:id="494" w:name="xdx_90E_eus-gaap--Capital_iI_pn3n3_c2026"/>
      <w:bookmarkEnd w:id="494"/>
      <w:r>
        <w:rPr>
          <w:rFonts w:ascii="Times New Roman;Times;Serif" w:hAnsi="Times New Roman;Times;Serif"/>
          <w:b w:val="false"/>
          <w:i w:val="false"/>
          <w:caps w:val="false"/>
          <w:smallCaps w:val="false"/>
          <w:sz w:val="20"/>
        </w:rPr>
        <w:t>5,000 per year. The financial covenants pertaining to maximum senior leverage ratio and fixed charge coverage ratio are both delayed until the quarter ending March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5" w:name="xdx_89F_eus-gaap--ScheduleOfMaturitiesOf"/>
      <w:bookmarkEnd w:id="495"/>
      <w:r>
        <w:rPr>
          <w:rFonts w:ascii="Times New Roman;Times;Serif" w:hAnsi="Times New Roman;Times;Serif"/>
          <w:b w:val="false"/>
          <w:i w:val="false"/>
          <w:caps w:val="false"/>
          <w:smallCaps w:val="false"/>
          <w:sz w:val="20"/>
        </w:rPr>
        <w:t>At March 31, 2026, the future debt maturities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6" w:name="xdx_8B2_zlr7jofNKpma"/>
      <w:bookmarkEnd w:id="496"/>
      <w:r>
        <w:rPr>
          <w:rFonts w:ascii="Times New Roman;Times;Serif" w:hAnsi="Times New Roman;Times;Serif"/>
          <w:b w:val="false"/>
          <w:i w:val="false"/>
          <w:caps w:val="false"/>
          <w:smallCaps w:val="false"/>
          <w:sz w:val="20"/>
        </w:rPr>
        <w:t>SCHEDULE OF FUTURE DEBT MATURITIES </w:t>
      </w:r>
    </w:p>
    <w:tbl>
      <w:tblPr>
        <w:tblW w:w="4010" w:type="dxa"/>
        <w:jc w:val="left"/>
        <w:tblInd w:w="0" w:type="dxa"/>
        <w:tblLayout w:type="fixed"/>
        <w:tblCellMar>
          <w:top w:w="0" w:type="dxa"/>
          <w:left w:w="0" w:type="dxa"/>
          <w:bottom w:w="28" w:type="dxa"/>
          <w:right w:w="0" w:type="dxa"/>
        </w:tblCellMar>
      </w:tblPr>
      <w:tblGrid>
        <w:gridCol w:w="3140"/>
        <w:gridCol w:w="60"/>
        <w:gridCol w:w="125"/>
        <w:gridCol w:w="590"/>
        <w:gridCol w:w="95"/>
      </w:tblGrid>
      <w:tr>
        <w:trPr/>
        <w:tc>
          <w:tcPr>
            <w:tcW w:w="314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Years Ending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497" w:name="xdx_49F_20260331_zunkVmQaHdfc"/>
            <w:bookmarkEnd w:id="497"/>
          </w:p>
        </w:tc>
        <w:tc>
          <w:tcPr>
            <w:tcW w:w="71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498" w:name="xdx_403_eus-gaap--LongTermDebtMaturities"/>
            <w:bookmarkEnd w:id="498"/>
          </w:p>
        </w:tc>
      </w:tr>
      <w:tr>
        <w:trPr/>
        <w:tc>
          <w:tcPr>
            <w:tcW w:w="3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2026</w:t>
            </w:r>
            <w:bookmarkStart w:id="499" w:name="xdx_F48_z7z7wQxHO74a"/>
            <w:bookmarkEnd w:id="499"/>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500" w:name="xdx_402_eus-gaap--LongTermDebtMaturities"/>
            <w:bookmarkEnd w:id="500"/>
          </w:p>
        </w:tc>
      </w:tr>
      <w:tr>
        <w:trPr/>
        <w:tc>
          <w:tcPr>
            <w:tcW w:w="31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501" w:name="xdx_406_eus-gaap--LongTermDebt_iTI_pn3n3"/>
            <w:bookmarkEnd w:id="501"/>
          </w:p>
        </w:tc>
      </w:tr>
      <w:tr>
        <w:trPr/>
        <w:tc>
          <w:tcPr>
            <w:tcW w:w="3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19,103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502" w:name="xdx_40D_eus-gaap--DebtInstrumentUnamorti"/>
            <w:bookmarkEnd w:id="502"/>
          </w:p>
        </w:tc>
      </w:tr>
      <w:tr>
        <w:trPr/>
        <w:tc>
          <w:tcPr>
            <w:tcW w:w="31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Unamortized debt issuance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(8,778</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3" w:name="xdx_40F_eus-gaap--DebtInstrumentCarrying"/>
            <w:bookmarkEnd w:id="503"/>
          </w:p>
        </w:tc>
      </w:tr>
      <w:tr>
        <w:trPr/>
        <w:tc>
          <w:tcPr>
            <w:tcW w:w="3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carrying amount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504" w:name="xdx_407_eus-gaap--LongTermDebtCurrent_iN"/>
            <w:bookmarkEnd w:id="504"/>
          </w:p>
        </w:tc>
      </w:tr>
      <w:tr>
        <w:trPr/>
        <w:tc>
          <w:tcPr>
            <w:tcW w:w="31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portion of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05" w:name="xdx_40D_eus-gaap--LongTermDebtNoncurrent"/>
            <w:bookmarkEnd w:id="505"/>
          </w:p>
        </w:tc>
      </w:tr>
      <w:tr>
        <w:trPr/>
        <w:tc>
          <w:tcPr>
            <w:tcW w:w="3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debt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245"/>
        <w:gridCol w:w="7880"/>
      </w:tblGrid>
      <w:tr>
        <w:trPr/>
        <w:tc>
          <w:tcPr>
            <w:tcW w:w="245" w:type="dxa"/>
            <w:tcBorders/>
            <w:vAlign w:val="center"/>
          </w:tcPr>
          <w:p>
            <w:pPr>
              <w:pStyle w:val="TableContents"/>
              <w:bidi w:val="0"/>
              <w:spacing w:before="0" w:after="283"/>
              <w:jc w:val="both"/>
              <w:rPr>
                <w:rFonts w:ascii="Times New Roman;Times;Serif" w:hAnsi="Times New Roman;Times;Serif"/>
                <w:sz w:val="20"/>
              </w:rPr>
            </w:pPr>
            <w:bookmarkStart w:id="506" w:name="xdx_F0C_zd6kuCMEj1jd"/>
            <w:bookmarkEnd w:id="506"/>
            <w:r>
              <w:rPr>
                <w:rFonts w:ascii="Times New Roman;Times;Serif" w:hAnsi="Times New Roman;Times;Serif"/>
                <w:sz w:val="20"/>
              </w:rPr>
              <w:t>(1)</w:t>
            </w:r>
          </w:p>
        </w:tc>
        <w:tc>
          <w:tcPr>
            <w:tcW w:w="7880" w:type="dxa"/>
            <w:tcBorders/>
            <w:vAlign w:val="center"/>
          </w:tcPr>
          <w:p>
            <w:pPr>
              <w:pStyle w:val="TableContents"/>
              <w:bidi w:val="0"/>
              <w:spacing w:before="0" w:after="283"/>
              <w:jc w:val="both"/>
              <w:rPr>
                <w:rFonts w:ascii="Times New Roman;Times;Serif" w:hAnsi="Times New Roman;Times;Serif"/>
                <w:sz w:val="20"/>
              </w:rPr>
            </w:pPr>
            <w:bookmarkStart w:id="507" w:name="xdx_F14_zjDThyXYEnDh"/>
            <w:bookmarkEnd w:id="507"/>
            <w:r>
              <w:rPr>
                <w:rFonts w:ascii="Times New Roman;Times;Serif" w:hAnsi="Times New Roman;Times;Serif"/>
                <w:sz w:val="20"/>
              </w:rPr>
              <w:t>Represents scheduled payments for the remaining nine-month period ending December 31, 2026.</w:t>
            </w:r>
          </w:p>
        </w:tc>
      </w:tr>
    </w:tbl>
    <w:p>
      <w:pPr>
        <w:pStyle w:val="TextBody"/>
        <w:bidi w:val="0"/>
        <w:spacing w:before="0" w:after="0"/>
        <w:ind w:left="0" w:right="0" w:hanging="0"/>
        <w:jc w:val="both"/>
        <w:rPr>
          <w:caps w:val="false"/>
          <w:smallCaps w:val="false"/>
        </w:rPr>
      </w:pPr>
      <w:bookmarkStart w:id="508" w:name="xdx_8A8_zmWpUgs4xEM6"/>
      <w:bookmarkEnd w:id="508"/>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09" w:name="xdx_806_eus-gaap--RelatedPartyTransactio"/>
      <w:bookmarkEnd w:id="509"/>
      <w:r>
        <w:rPr>
          <w:rFonts w:ascii="Times New Roman;Times;Serif" w:hAnsi="Times New Roman;Times;Serif"/>
          <w:b/>
          <w:i w:val="false"/>
          <w:caps/>
          <w:sz w:val="20"/>
        </w:rPr>
        <w:t xml:space="preserve">Note 7 - </w:t>
      </w:r>
      <w:bookmarkStart w:id="510" w:name="xdx_82C_zTXkRsluvvQh"/>
      <w:bookmarkEnd w:id="510"/>
      <w:r>
        <w:rPr>
          <w:rFonts w:ascii="Times New Roman;Times;Serif" w:hAnsi="Times New Roman;Times;Serif"/>
          <w:b/>
          <w:i w:val="false"/>
          <w:caps/>
          <w:sz w:val="20"/>
        </w:rPr>
        <w:t>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2026, the Company’s executive leadership team agreed to reduce their salaries by approximately 20% for the remainder of fiscal 2026, effective April 1, 2026. The adjusted salaries are as follows: Dr. Phares - $</w:t>
      </w:r>
      <w:bookmarkStart w:id="511" w:name="xdx_903_eus-gaap--SalariesAndWages_pn3n3"/>
      <w:bookmarkEnd w:id="511"/>
      <w:r>
        <w:rPr>
          <w:rFonts w:ascii="Times New Roman;Times;Serif" w:hAnsi="Times New Roman;Times;Serif"/>
          <w:b w:val="false"/>
          <w:i w:val="false"/>
          <w:caps w:val="false"/>
          <w:smallCaps w:val="false"/>
          <w:sz w:val="20"/>
        </w:rPr>
        <w:t>498; Mr. Seaburg - $</w:t>
      </w:r>
      <w:bookmarkStart w:id="512" w:name="xdx_90E_eus-gaap--SalariesAndWages_pn3n3"/>
      <w:bookmarkEnd w:id="512"/>
      <w:r>
        <w:rPr>
          <w:rFonts w:ascii="Times New Roman;Times;Serif" w:hAnsi="Times New Roman;Times;Serif"/>
          <w:b w:val="false"/>
          <w:i w:val="false"/>
          <w:caps w:val="false"/>
          <w:smallCaps w:val="false"/>
          <w:sz w:val="20"/>
        </w:rPr>
        <w:t>221; Mr. Bourns - $</w:t>
      </w:r>
      <w:bookmarkStart w:id="513" w:name="xdx_904_eus-gaap--SalariesAndWages_pn3n3"/>
      <w:bookmarkEnd w:id="513"/>
      <w:r>
        <w:rPr>
          <w:rFonts w:ascii="Times New Roman;Times;Serif" w:hAnsi="Times New Roman;Times;Serif"/>
          <w:b w:val="false"/>
          <w:i w:val="false"/>
          <w:caps w:val="false"/>
          <w:smallCaps w:val="false"/>
          <w:sz w:val="20"/>
        </w:rPr>
        <w:t>264; and Dr. Singh - $</w:t>
      </w:r>
      <w:bookmarkStart w:id="514" w:name="xdx_90F_eus-gaap--SalariesAndWages_pn3n3"/>
      <w:bookmarkEnd w:id="514"/>
      <w:r>
        <w:rPr>
          <w:rFonts w:ascii="Times New Roman;Times;Serif" w:hAnsi="Times New Roman;Times;Serif"/>
          <w:b w:val="false"/>
          <w:i w:val="false"/>
          <w:caps w:val="false"/>
          <w:smallCaps w:val="false"/>
          <w:sz w:val="20"/>
        </w:rPr>
        <w:t>280.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cash compensation, the executives were granted stock options under the Company’s 2022 Plan at an exercise price of $</w:t>
      </w:r>
      <w:bookmarkStart w:id="515" w:name="xdx_907_eus-gaap--SharePrice_iI_pid_c202"/>
      <w:bookmarkEnd w:id="515"/>
      <w:r>
        <w:rPr>
          <w:rFonts w:ascii="Times New Roman;Times;Serif" w:hAnsi="Times New Roman;Times;Serif"/>
          <w:b w:val="false"/>
          <w:i w:val="false"/>
          <w:caps w:val="false"/>
          <w:smallCaps w:val="false"/>
          <w:sz w:val="20"/>
        </w:rPr>
        <w:t xml:space="preserve">2.99 per share: Dr. Phares - </w:t>
      </w:r>
      <w:bookmarkStart w:id="516" w:name="xdx_90F_eus-gaap--ShareBasedCompensation"/>
      <w:bookmarkEnd w:id="516"/>
      <w:r>
        <w:rPr>
          <w:rFonts w:ascii="Times New Roman;Times;Serif" w:hAnsi="Times New Roman;Times;Serif"/>
          <w:b w:val="false"/>
          <w:i w:val="false"/>
          <w:caps w:val="false"/>
          <w:smallCaps w:val="false"/>
          <w:sz w:val="20"/>
        </w:rPr>
        <w:t xml:space="preserve">38,269 shares; Mr. Seaburg - </w:t>
      </w:r>
      <w:bookmarkStart w:id="517" w:name="xdx_907_eus-gaap--ShareBasedCompensation"/>
      <w:bookmarkEnd w:id="517"/>
      <w:r>
        <w:rPr>
          <w:rFonts w:ascii="Times New Roman;Times;Serif" w:hAnsi="Times New Roman;Times;Serif"/>
          <w:b w:val="false"/>
          <w:i w:val="false"/>
          <w:caps w:val="false"/>
          <w:smallCaps w:val="false"/>
          <w:sz w:val="20"/>
        </w:rPr>
        <w:t xml:space="preserve">36,607 shares; Mr. Bourns - </w:t>
      </w:r>
      <w:bookmarkStart w:id="518" w:name="xdx_904_eus-gaap--ShareBasedCompensation"/>
      <w:bookmarkEnd w:id="518"/>
      <w:r>
        <w:rPr>
          <w:rFonts w:ascii="Times New Roman;Times;Serif" w:hAnsi="Times New Roman;Times;Serif"/>
          <w:b w:val="false"/>
          <w:i w:val="false"/>
          <w:caps w:val="false"/>
          <w:smallCaps w:val="false"/>
          <w:sz w:val="20"/>
        </w:rPr>
        <w:t xml:space="preserve">20,303 shares; and Dr. Singh </w:t>
      </w:r>
      <w:bookmarkStart w:id="519" w:name="xdx_901_eus-gaap--ShareBasedCompensation"/>
      <w:bookmarkEnd w:id="519"/>
      <w:r>
        <w:rPr>
          <w:rFonts w:ascii="Times New Roman;Times;Serif" w:hAnsi="Times New Roman;Times;Serif"/>
          <w:b w:val="false"/>
          <w:i w:val="false"/>
          <w:caps w:val="false"/>
          <w:smallCaps w:val="false"/>
          <w:sz w:val="20"/>
        </w:rPr>
        <w:t>21,534 shares. The options vest in three equal annual installments beginning April 1, 2026, subject to continued service and the terms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each non-employee director agreed to a comparable 20% reduction in cash compensation for the remainder of fiscal 2026. In lieu thereof, the directors were granted and aggregated of </w:t>
      </w:r>
      <w:bookmarkStart w:id="520" w:name="xdx_90E_eus-gaap--StockIssuedDuringPerio"/>
      <w:bookmarkEnd w:id="520"/>
      <w:r>
        <w:rPr>
          <w:rFonts w:ascii="Times New Roman;Times;Serif" w:hAnsi="Times New Roman;Times;Serif"/>
          <w:b w:val="false"/>
          <w:i w:val="false"/>
          <w:caps w:val="false"/>
          <w:smallCaps w:val="false"/>
          <w:sz w:val="20"/>
        </w:rPr>
        <w:t>13,364 RSUs under the Plan, subject to the same vesting terms and continued Board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521" w:name="xdx_807_ecustom--WarrantLiabilitiesDiscl"/>
      <w:bookmarkEnd w:id="521"/>
      <w:r>
        <w:rPr>
          <w:rFonts w:ascii="Times New Roman;Times;Serif" w:hAnsi="Times New Roman;Times;Serif"/>
          <w:b/>
          <w:i w:val="false"/>
          <w:caps/>
          <w:sz w:val="20"/>
        </w:rPr>
        <w:t xml:space="preserve">Note 8 - </w:t>
      </w:r>
      <w:bookmarkStart w:id="522" w:name="xdx_826_z9SRk7cRZZGl"/>
      <w:bookmarkEnd w:id="522"/>
      <w:r>
        <w:rPr>
          <w:rFonts w:ascii="Times New Roman;Times;Serif" w:hAnsi="Times New Roman;Times;Serif"/>
          <w:b/>
          <w:i w:val="false"/>
          <w:caps/>
          <w:sz w:val="20"/>
        </w:rPr>
        <w:t>WARRANTS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Public Warrants are classified as equity and as of March 31, 2026 and December 31, 2025, there were </w:t>
      </w:r>
      <w:bookmarkStart w:id="523" w:name="xdx_904_eus-gaap--ShareBasedCompensation"/>
      <w:bookmarkStart w:id="524" w:name="xdx_905_eus-gaap--ShareBasedCompensation"/>
      <w:bookmarkStart w:id="525" w:name="xdx_900_eus-gaap--ShareBasedCompensation"/>
      <w:bookmarkStart w:id="526" w:name="xdx_90D_eus-gaap--ShareBasedCompensation"/>
      <w:bookmarkEnd w:id="523"/>
      <w:bookmarkEnd w:id="524"/>
      <w:bookmarkEnd w:id="525"/>
      <w:bookmarkEnd w:id="526"/>
      <w:r>
        <w:rPr>
          <w:rFonts w:ascii="Times New Roman;Times;Serif" w:hAnsi="Times New Roman;Times;Serif"/>
          <w:b w:val="false"/>
          <w:i w:val="false"/>
          <w:caps w:val="false"/>
          <w:smallCaps w:val="false"/>
          <w:sz w:val="20"/>
        </w:rPr>
        <w:t>104,695 Public Warrants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and 2025, </w:t>
      </w:r>
      <w:bookmarkStart w:id="527" w:name="xdx_90F_eus-gaap--ShareBasedCompensation"/>
      <w:bookmarkStart w:id="528" w:name="xdx_905_eus-gaap--ShareBasedCompensation"/>
      <w:bookmarkEnd w:id="527"/>
      <w:bookmarkEnd w:id="528"/>
      <w:r>
        <w:rPr>
          <w:rFonts w:ascii="Times New Roman;Times;Serif" w:hAnsi="Times New Roman;Times;Serif"/>
          <w:b w:val="false"/>
          <w:i w:val="false"/>
          <w:caps w:val="false"/>
          <w:smallCaps w:val="false"/>
          <w:sz w:val="20"/>
        </w:rPr>
        <w:t>no public warrants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9" w:name="xdx_89D_eus-gaap--ScheduleOfStockholders"/>
      <w:bookmarkEnd w:id="529"/>
      <w:r>
        <w:rPr>
          <w:rFonts w:ascii="Times New Roman;Times;Serif" w:hAnsi="Times New Roman;Times;Serif"/>
          <w:b w:val="false"/>
          <w:i w:val="false"/>
          <w:caps w:val="false"/>
          <w:smallCaps w:val="false"/>
          <w:sz w:val="20"/>
        </w:rPr>
        <w:t>The following table presents a roll-forward of the Company’s equity warrants from January 1, 2026 to March 31, 2026:</w:t>
      </w:r>
    </w:p>
    <w:p>
      <w:pPr>
        <w:pStyle w:val="TextBody"/>
        <w:bidi w:val="0"/>
        <w:spacing w:before="0" w:after="0"/>
        <w:ind w:left="0" w:right="0" w:hanging="0"/>
        <w:jc w:val="both"/>
        <w:rPr>
          <w:caps w:val="false"/>
          <w:smallCaps w:val="false"/>
        </w:rPr>
      </w:pPr>
      <w:r>
        <w:rPr>
          <w:caps w:val="false"/>
          <w:smallCaps w:val="false"/>
        </w:rPr>
        <w:t> </w:t>
      </w:r>
      <w:bookmarkStart w:id="530" w:name="xdx_8B3_zhxhYCnNcfOa"/>
      <w:bookmarkEnd w:id="530"/>
      <w:r>
        <w:rPr>
          <w:rFonts w:ascii="Times New Roman;Times;Serif" w:hAnsi="Times New Roman;Times;Serif"/>
          <w:b w:val="false"/>
          <w:i w:val="false"/>
          <w:caps w:val="false"/>
          <w:smallCaps w:val="false"/>
          <w:sz w:val="20"/>
        </w:rPr>
        <w:t>SCHEDULE OF ROLL-FORWARD OF EQUITY WARRANTS</w:t>
      </w:r>
    </w:p>
    <w:tbl>
      <w:tblPr>
        <w:tblW w:w="9050" w:type="dxa"/>
        <w:jc w:val="left"/>
        <w:tblInd w:w="0" w:type="dxa"/>
        <w:tblLayout w:type="fixed"/>
        <w:tblCellMar>
          <w:top w:w="0" w:type="dxa"/>
          <w:left w:w="0" w:type="dxa"/>
          <w:bottom w:w="0" w:type="dxa"/>
          <w:right w:w="0" w:type="dxa"/>
        </w:tblCellMar>
      </w:tblPr>
      <w:tblGrid>
        <w:gridCol w:w="5120"/>
        <w:gridCol w:w="60"/>
        <w:gridCol w:w="61"/>
        <w:gridCol w:w="814"/>
        <w:gridCol w:w="60"/>
        <w:gridCol w:w="60"/>
        <w:gridCol w:w="129"/>
        <w:gridCol w:w="1211"/>
        <w:gridCol w:w="60"/>
        <w:gridCol w:w="60"/>
        <w:gridCol w:w="93"/>
        <w:gridCol w:w="1247"/>
        <w:gridCol w:w="75"/>
      </w:tblGrid>
      <w:tr>
        <w:trPr/>
        <w:tc>
          <w:tcPr>
            <w:tcW w:w="5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1" w:name="xdx_4B9_us-gaap--StatementEquityComponen"/>
            <w:bookmarkEnd w:id="531"/>
          </w:p>
        </w:tc>
        <w:tc>
          <w:tcPr>
            <w:tcW w:w="87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Public </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2" w:name="xdx_4BD_us-gaap--StatementEquityComponen"/>
            <w:bookmarkEnd w:id="532"/>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Underwriters’</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3" w:name="xdx_4B3_us-gaap--StatementEquityComponen"/>
            <w:bookmarkEnd w:id="533"/>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Pre-Funded</w:t>
              <w:br/>
              <w:t>Underwriters’</w:t>
              <w:br/>
              <w:t>Warrants</w:t>
            </w:r>
          </w:p>
        </w:tc>
        <w:tc>
          <w:tcPr>
            <w:tcW w:w="75" w:type="dxa"/>
            <w:tcBorders/>
            <w:vAlign w:val="center"/>
          </w:tcPr>
          <w:p>
            <w:pPr>
              <w:pStyle w:val="TableContents"/>
              <w:bidi w:val="0"/>
              <w:spacing w:before="0" w:after="283"/>
              <w:jc w:val="left"/>
              <w:rPr/>
            </w:pPr>
            <w:r>
              <w:rPr/>
              <w:t> </w:t>
            </w:r>
            <w:bookmarkStart w:id="534" w:name="xdx_438_c20260101__20260331_eus-gaap--Sh"/>
            <w:bookmarkEnd w:id="534"/>
          </w:p>
        </w:tc>
      </w:tr>
      <w:tr>
        <w:trPr/>
        <w:tc>
          <w:tcPr>
            <w:tcW w:w="5120" w:type="dxa"/>
            <w:tcBorders/>
            <w:shd w:fill="CCEEFF" w:val="clear"/>
            <w:vAlign w:val="center"/>
          </w:tcPr>
          <w:p>
            <w:pPr>
              <w:pStyle w:val="TableContents"/>
              <w:bidi w:val="0"/>
              <w:spacing w:before="0" w:after="283"/>
              <w:jc w:val="left"/>
              <w:rPr/>
            </w:pPr>
            <w:r>
              <w:rPr/>
              <w:t>Warrants Outstanding, January 1, 2026</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104,695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6,336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500,000</w:t>
            </w:r>
          </w:p>
        </w:tc>
        <w:tc>
          <w:tcPr>
            <w:tcW w:w="75" w:type="dxa"/>
            <w:tcBorders/>
            <w:shd w:fill="CCEEFF" w:val="clear"/>
            <w:vAlign w:val="center"/>
          </w:tcPr>
          <w:p>
            <w:pPr>
              <w:pStyle w:val="TableContents"/>
              <w:bidi w:val="0"/>
              <w:spacing w:before="0" w:after="283"/>
              <w:jc w:val="left"/>
              <w:rPr/>
            </w:pPr>
            <w:r>
              <w:rPr/>
              <w:t> </w:t>
            </w:r>
            <w:bookmarkStart w:id="535" w:name="xdx_407_eus-gaap--ShareBasedCompensation"/>
            <w:bookmarkEnd w:id="535"/>
          </w:p>
        </w:tc>
      </w:tr>
      <w:tr>
        <w:trPr/>
        <w:tc>
          <w:tcPr>
            <w:tcW w:w="512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36" w:name="xdx_400_eus-gaap--ShareBasedCompensation"/>
            <w:bookmarkEnd w:id="536"/>
          </w:p>
        </w:tc>
      </w:tr>
      <w:tr>
        <w:trPr/>
        <w:tc>
          <w:tcPr>
            <w:tcW w:w="5120" w:type="dxa"/>
            <w:tcBorders/>
            <w:shd w:fill="CCEEFF" w:val="clear"/>
            <w:vAlign w:val="center"/>
          </w:tcPr>
          <w:p>
            <w:pPr>
              <w:pStyle w:val="TableContents"/>
              <w:bidi w:val="0"/>
              <w:spacing w:before="0" w:after="283"/>
              <w:jc w:val="left"/>
              <w:rPr/>
            </w:pPr>
            <w:r>
              <w:rPr/>
              <w:t>Warrants issued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37" w:name="xdx_430_c20260101__20260331_eus-gaap--Sh"/>
            <w:bookmarkEnd w:id="537"/>
          </w:p>
        </w:tc>
      </w:tr>
      <w:tr>
        <w:trPr/>
        <w:tc>
          <w:tcPr>
            <w:tcW w:w="5120" w:type="dxa"/>
            <w:tcBorders/>
            <w:shd w:fill="FFFFFF" w:val="clear"/>
            <w:vAlign w:val="center"/>
          </w:tcPr>
          <w:p>
            <w:pPr>
              <w:pStyle w:val="TableContents"/>
              <w:bidi w:val="0"/>
              <w:spacing w:before="0" w:after="283"/>
              <w:jc w:val="left"/>
              <w:rPr/>
            </w:pPr>
            <w:r>
              <w:rPr/>
              <w:t>Underwriters’ Warrants Outstanding, March 31, 2026</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jc w:val="right"/>
              <w:rPr/>
            </w:pPr>
            <w:r>
              <w:rPr/>
              <w:t>104,695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double" w:sz="6" w:space="0" w:color="000000"/>
            </w:tcBorders>
            <w:shd w:fill="FFFFFF" w:val="clear"/>
            <w:tcMar>
              <w:bottom w:w="28" w:type="dxa"/>
            </w:tcMar>
            <w:vAlign w:val="center"/>
          </w:tcPr>
          <w:p>
            <w:pPr>
              <w:pStyle w:val="TableContents"/>
              <w:bidi w:val="0"/>
              <w:spacing w:before="0" w:after="283"/>
              <w:jc w:val="right"/>
              <w:rPr/>
            </w:pPr>
            <w:r>
              <w:rPr/>
              <w:t>6,336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double" w:sz="6" w:space="0" w:color="000000"/>
            </w:tcBorders>
            <w:shd w:fill="FFFFFF" w:val="clear"/>
            <w:tcMar>
              <w:bottom w:w="28" w:type="dxa"/>
            </w:tcMar>
            <w:vAlign w:val="center"/>
          </w:tcPr>
          <w:p>
            <w:pPr>
              <w:pStyle w:val="TableContents"/>
              <w:bidi w:val="0"/>
              <w:spacing w:before="0" w:after="283"/>
              <w:jc w:val="right"/>
              <w:rPr/>
            </w:pPr>
            <w:r>
              <w:rPr/>
              <w:t>500,000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8" w:name="xdx_8A9_zcgPaPJ7a9O8"/>
      <w:bookmarkEnd w:id="53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8 - Warrants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539" w:name="xdx_907_eus-gaap--ShareBasedCompensation"/>
      <w:bookmarkStart w:id="540" w:name="xdx_902_eus-gaap--ShareBasedCompensation"/>
      <w:bookmarkEnd w:id="539"/>
      <w:bookmarkEnd w:id="540"/>
      <w:r>
        <w:rPr>
          <w:rFonts w:ascii="Times New Roman;Times;Serif" w:hAnsi="Times New Roman;Times;Serif"/>
          <w:b w:val="false"/>
          <w:i w:val="false"/>
          <w:caps w:val="false"/>
          <w:smallCaps w:val="false"/>
          <w:sz w:val="20"/>
        </w:rPr>
        <w:t>16,682 private warrants outstanding as of March 31, 2026 and December 31, 2025,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within the fair value hierarchy. Although these instruments are not actively traded, they are valued based on observable inputs, including the market price of the Company’s publicly traded warrants. The Company used a Black-Scholes model to estimate the fair value of the Private Placement Warrants, applying a discount to the value of the Public Warrants to account for the difference in remaining life. Because the valuation primarily relies on observable market data with limited adjustments, the Company determined that classification within Level 2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Term Loan Agreement on October 7, 2022, and as a required term and condition thereof, </w:t>
      </w:r>
      <w:bookmarkStart w:id="541" w:name="xdx_902_ecustom--ClassOfWarrantOrRightEx"/>
      <w:bookmarkEnd w:id="541"/>
      <w:r>
        <w:rPr>
          <w:rFonts w:ascii="Times New Roman;Times;Serif" w:hAnsi="Times New Roman;Times;Serif"/>
          <w:b w:val="false"/>
          <w:i w:val="false"/>
          <w:caps w:val="false"/>
          <w:smallCaps w:val="false"/>
          <w:sz w:val="20"/>
        </w:rPr>
        <w:t xml:space="preserve">the Company issued (i) the penny warrants to the Term Loan Lenders exercisable to purchase an aggregate of </w:t>
      </w:r>
      <w:bookmarkStart w:id="542" w:name="xdx_907_eus-gaap--ClassOfWarrantOrRightN"/>
      <w:bookmarkEnd w:id="542"/>
      <w:r>
        <w:rPr>
          <w:rFonts w:ascii="Times New Roman;Times;Serif" w:hAnsi="Times New Roman;Times;Serif"/>
          <w:b w:val="false"/>
          <w:i w:val="false"/>
          <w:caps w:val="false"/>
          <w:smallCaps w:val="false"/>
          <w:sz w:val="20"/>
        </w:rPr>
        <w:t>28,812 shares of Common Stock (the “Original Penny Warrants”) and (ii) the $</w:t>
      </w:r>
      <w:bookmarkStart w:id="543" w:name="xdx_904_eus-gaap--ClassOfWarrantOrRightE"/>
      <w:bookmarkEnd w:id="543"/>
      <w:r>
        <w:rPr>
          <w:rFonts w:ascii="Times New Roman;Times;Serif" w:hAnsi="Times New Roman;Times;Serif"/>
          <w:b w:val="false"/>
          <w:i w:val="false"/>
          <w:caps w:val="false"/>
          <w:smallCaps w:val="false"/>
          <w:sz w:val="20"/>
        </w:rPr>
        <w:t xml:space="preserve">900.00 warrants to issue warrants to the Term Loan Lenders exercisable to purchase an aggregate of </w:t>
      </w:r>
      <w:bookmarkStart w:id="544" w:name="xdx_90E_eus-gaap--ClassOfWarrantOrRightN"/>
      <w:bookmarkEnd w:id="544"/>
      <w:r>
        <w:rPr>
          <w:rFonts w:ascii="Times New Roman;Times;Serif" w:hAnsi="Times New Roman;Times;Serif"/>
          <w:b w:val="false"/>
          <w:i w:val="false"/>
          <w:caps w:val="false"/>
          <w:smallCaps w:val="false"/>
          <w:sz w:val="20"/>
        </w:rPr>
        <w:t>17,778 shares of Common Stock at $</w:t>
      </w:r>
      <w:bookmarkStart w:id="545" w:name="xdx_908_eus-gaap--SharePrice_iI_pid_c202"/>
      <w:bookmarkEnd w:id="545"/>
      <w:r>
        <w:rPr>
          <w:rFonts w:ascii="Times New Roman;Times;Serif" w:hAnsi="Times New Roman;Times;Serif"/>
          <w:b w:val="false"/>
          <w:i w:val="false"/>
          <w:caps w:val="false"/>
          <w:smallCaps w:val="false"/>
          <w:sz w:val="20"/>
        </w:rPr>
        <w:t>900 per share (the “$10 Warrants” and, together with the Original Penny Warrants, the “Term Loan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26, 2025, the Company entered into the Fifth Amendment to the Term Loan with the Term Loan Lenders in connection with the February 2025 securities purchase agreement (see </w:t>
      </w:r>
      <w:r>
        <w:rPr>
          <w:rFonts w:ascii="Times New Roman;Times;Serif" w:hAnsi="Times New Roman;Times;Serif"/>
          <w:b/>
          <w:i w:val="false"/>
          <w:caps w:val="false"/>
          <w:smallCaps w:val="false"/>
          <w:sz w:val="20"/>
        </w:rPr>
        <w:t>Note 8</w:t>
      </w:r>
      <w:r>
        <w:rPr>
          <w:rFonts w:ascii="Times New Roman;Times;Serif" w:hAnsi="Times New Roman;Times;Serif"/>
          <w:b w:val="false"/>
          <w:i w:val="false"/>
          <w:caps w:val="false"/>
          <w:smallCaps w:val="false"/>
          <w:sz w:val="20"/>
        </w:rPr>
        <w:t xml:space="preserve">). The Fifth Amendment provided for a one-time issuance the February 2025 Penny Warrants to purchase up to </w:t>
      </w:r>
      <w:bookmarkStart w:id="546" w:name="xdx_90E_eus-gaap--ClassOfWarrantOrRightN"/>
      <w:bookmarkEnd w:id="546"/>
      <w:r>
        <w:rPr>
          <w:rFonts w:ascii="Times New Roman;Times;Serif" w:hAnsi="Times New Roman;Times;Serif"/>
          <w:b w:val="false"/>
          <w:i w:val="false"/>
          <w:caps w:val="false"/>
          <w:smallCaps w:val="false"/>
          <w:sz w:val="20"/>
        </w:rPr>
        <w:t>33,000 shares of the Company’s Common Stock, at an exercise price of $</w:t>
      </w:r>
      <w:bookmarkStart w:id="547" w:name="xdx_90D_eus-gaap--ClassOfWarrantOrRightE"/>
      <w:bookmarkEnd w:id="547"/>
      <w:r>
        <w:rPr>
          <w:rFonts w:ascii="Times New Roman;Times;Serif" w:hAnsi="Times New Roman;Times;Serif"/>
          <w:b w:val="false"/>
          <w:i w:val="false"/>
          <w:caps w:val="false"/>
          <w:smallCaps w:val="false"/>
          <w:sz w:val="20"/>
        </w:rPr>
        <w:t xml:space="preserve">0.01 per share. The February 2025 Penny Warrants are immediately exercisable upon issuance and will expire </w:t>
      </w:r>
      <w:bookmarkStart w:id="548" w:name="xdx_900_eus-gaap--WarrantsAndRightsOutst"/>
      <w:bookmarkEnd w:id="548"/>
      <w:r>
        <w:rPr>
          <w:rFonts w:ascii="Times New Roman;Times;Serif" w:hAnsi="Times New Roman;Times;Serif"/>
          <w:b w:val="false"/>
          <w:i w:val="false"/>
          <w:caps w:val="false"/>
          <w:smallCaps w:val="false"/>
          <w:sz w:val="20"/>
        </w:rPr>
        <w:t>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Original Penny Warrant holders exercised </w:t>
      </w:r>
      <w:bookmarkStart w:id="549" w:name="xdx_90C_eus-gaap--ShareBasedCompensation"/>
      <w:bookmarkEnd w:id="549"/>
      <w:r>
        <w:rPr>
          <w:rFonts w:ascii="Times New Roman;Times;Serif" w:hAnsi="Times New Roman;Times;Serif"/>
          <w:b w:val="false"/>
          <w:i w:val="false"/>
          <w:caps w:val="false"/>
          <w:smallCaps w:val="false"/>
          <w:sz w:val="20"/>
        </w:rPr>
        <w:t xml:space="preserve">70,267 warrants on a cashless basis, with the Company agreeing to issue </w:t>
      </w:r>
      <w:bookmarkStart w:id="550" w:name="xdx_90D_eus-gaap--StockIssuedDuringPerio"/>
      <w:bookmarkEnd w:id="550"/>
      <w:r>
        <w:rPr>
          <w:rFonts w:ascii="Times New Roman;Times;Serif" w:hAnsi="Times New Roman;Times;Serif"/>
          <w:b w:val="false"/>
          <w:i w:val="false"/>
          <w:caps w:val="false"/>
          <w:smallCaps w:val="false"/>
          <w:sz w:val="20"/>
        </w:rPr>
        <w:t>69,985 shares of Common Stock in connection with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1" w:name="xdx_895_ecustom--ScheduleOfShareBasedPay"/>
      <w:bookmarkEnd w:id="551"/>
      <w:r>
        <w:rPr>
          <w:rFonts w:ascii="Times New Roman;Times;Serif" w:hAnsi="Times New Roman;Times;Serif"/>
          <w:b w:val="false"/>
          <w:i w:val="false"/>
          <w:caps w:val="false"/>
          <w:smallCaps w:val="false"/>
          <w:sz w:val="20"/>
        </w:rPr>
        <w:t>The May 2024 Penny Warrants, the June 2024 Penny Warrants, the September 2024 Penny Warrants, the December 2024 Penny Warrants, and the February 2025 Penny Warrants were valued utilizing a Black-Scholes model to estimate fair value at the grant date, with the following assumptions:</w:t>
      </w:r>
    </w:p>
    <w:p>
      <w:pPr>
        <w:pStyle w:val="TextBody"/>
        <w:bidi w:val="0"/>
        <w:spacing w:before="0" w:after="0"/>
        <w:ind w:left="0" w:right="0" w:hanging="0"/>
        <w:jc w:val="both"/>
        <w:rPr>
          <w:caps w:val="false"/>
          <w:smallCaps w:val="false"/>
        </w:rPr>
      </w:pPr>
      <w:r>
        <w:rPr>
          <w:caps w:val="false"/>
          <w:smallCaps w:val="false"/>
        </w:rPr>
        <w:t> </w:t>
      </w:r>
      <w:bookmarkStart w:id="552" w:name="xdx_8BC_zTE868ZcKK7d"/>
      <w:bookmarkEnd w:id="552"/>
      <w:r>
        <w:rPr>
          <w:rFonts w:ascii="Times New Roman;Times;Serif" w:hAnsi="Times New Roman;Times;Serif"/>
          <w:b w:val="false"/>
          <w:i w:val="false"/>
          <w:caps w:val="false"/>
          <w:smallCaps w:val="false"/>
          <w:sz w:val="20"/>
        </w:rPr>
        <w:t>SCHEDULE OF PENNY WARRANTS </w:t>
      </w:r>
    </w:p>
    <w:tbl>
      <w:tblPr>
        <w:tblW w:w="8738" w:type="dxa"/>
        <w:jc w:val="left"/>
        <w:tblInd w:w="0" w:type="dxa"/>
        <w:tblLayout w:type="fixed"/>
        <w:tblCellMar>
          <w:top w:w="0" w:type="dxa"/>
          <w:left w:w="0" w:type="dxa"/>
          <w:bottom w:w="0" w:type="dxa"/>
          <w:right w:w="0" w:type="dxa"/>
        </w:tblCellMar>
      </w:tblPr>
      <w:tblGrid>
        <w:gridCol w:w="1115"/>
        <w:gridCol w:w="60"/>
        <w:gridCol w:w="218"/>
        <w:gridCol w:w="1032"/>
        <w:gridCol w:w="185"/>
        <w:gridCol w:w="60"/>
        <w:gridCol w:w="256"/>
        <w:gridCol w:w="994"/>
        <w:gridCol w:w="185"/>
        <w:gridCol w:w="60"/>
        <w:gridCol w:w="274"/>
        <w:gridCol w:w="1065"/>
        <w:gridCol w:w="185"/>
        <w:gridCol w:w="60"/>
        <w:gridCol w:w="265"/>
        <w:gridCol w:w="1029"/>
        <w:gridCol w:w="185"/>
        <w:gridCol w:w="60"/>
        <w:gridCol w:w="256"/>
        <w:gridCol w:w="994"/>
        <w:gridCol w:w="200"/>
      </w:tblGrid>
      <w:tr>
        <w:trPr/>
        <w:tc>
          <w:tcPr>
            <w:tcW w:w="11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2024</w:t>
              <w:br/>
              <w:t>penny warrants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2024</w:t>
              <w:br/>
              <w:t>penny warrants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2024</w:t>
              <w:br/>
              <w:t>penny warrants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2024</w:t>
              <w:br/>
              <w:t>penny warrants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2025</w:t>
              <w:br/>
              <w:t>penny warrants</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3" w:name="xdx_985_eus-gaap--SharePrice_iI_pid_c202"/>
            <w:bookmarkEnd w:id="553"/>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4" w:name="xdx_98E_eus-gaap--SharePrice_iI_pid_c202"/>
            <w:bookmarkEnd w:id="554"/>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5" w:name="xdx_982_eus-gaap--SharePrice_iI_pid_c202"/>
            <w:bookmarkEnd w:id="555"/>
          </w:p>
        </w:tc>
        <w:tc>
          <w:tcPr>
            <w:tcW w:w="10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6" w:name="xdx_980_eus-gaap--SharePrice_iI_pid_c202"/>
            <w:bookmarkEnd w:id="556"/>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7" w:name="xdx_98C_eus-gaap--SharePrice_iI_pid_c202"/>
            <w:bookmarkEnd w:id="557"/>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8" w:name="xdx_981_eus-gaap--ShareBasedCompensation"/>
            <w:bookmarkEnd w:id="558"/>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59" w:name="xdx_98F_eus-gaap--ShareBasedCompensation"/>
            <w:bookmarkEnd w:id="559"/>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0" w:name="xdx_985_eus-gaap--ShareBasedCompensation"/>
            <w:bookmarkEnd w:id="560"/>
          </w:p>
        </w:tc>
        <w:tc>
          <w:tcPr>
            <w:tcW w:w="10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1" w:name="xdx_98B_eus-gaap--ShareBasedCompensation"/>
            <w:bookmarkEnd w:id="561"/>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62" w:name="xdx_984_eus-gaap--ShareBasedCompensation"/>
            <w:bookmarkEnd w:id="562"/>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3" w:name="xdx_903_eus-gaap--SharebasedCompensation"/>
            <w:bookmarkEnd w:id="563"/>
            <w:r>
              <w:rPr>
                <w:rFonts w:ascii="Times New Roman;Times;Serif" w:hAnsi="Times New Roman;Times;Serif"/>
                <w:b w:val="false"/>
                <w:i w:val="false"/>
                <w:caps w:val="false"/>
                <w:smallCaps w:val="false"/>
                <w:sz w:val="20"/>
              </w:rPr>
              <w:t>10 years</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4" w:name="xdx_903_eus-gaap--SharebasedCompensation"/>
            <w:bookmarkEnd w:id="564"/>
            <w:r>
              <w:rPr>
                <w:rFonts w:ascii="Times New Roman;Times;Serif" w:hAnsi="Times New Roman;Times;Serif"/>
                <w:b w:val="false"/>
                <w:i w:val="false"/>
                <w:caps w:val="false"/>
                <w:smallCaps w:val="false"/>
                <w:sz w:val="20"/>
              </w:rPr>
              <w:t>10 years</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5" w:name="xdx_90D_eus-gaap--SharebasedCompensation"/>
            <w:bookmarkEnd w:id="565"/>
            <w:r>
              <w:rPr>
                <w:rFonts w:ascii="Times New Roman;Times;Serif" w:hAnsi="Times New Roman;Times;Serif"/>
                <w:b w:val="false"/>
                <w:i w:val="false"/>
                <w:caps w:val="false"/>
                <w:smallCaps w:val="false"/>
                <w:sz w:val="20"/>
              </w:rPr>
              <w:t>10 years</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6" w:name="xdx_901_eus-gaap--SharebasedCompensation"/>
            <w:bookmarkEnd w:id="566"/>
            <w:r>
              <w:rPr>
                <w:rFonts w:ascii="Times New Roman;Times;Serif" w:hAnsi="Times New Roman;Times;Serif"/>
                <w:b w:val="false"/>
                <w:i w:val="false"/>
                <w:caps w:val="false"/>
                <w:smallCaps w:val="false"/>
                <w:sz w:val="20"/>
              </w:rPr>
              <w:t>10 years</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67" w:name="xdx_90D_eus-gaap--SharebasedCompensation"/>
            <w:bookmarkEnd w:id="567"/>
            <w:r>
              <w:rPr>
                <w:rFonts w:ascii="Times New Roman;Times;Serif" w:hAnsi="Times New Roman;Times;Serif"/>
                <w:b w:val="false"/>
                <w:i w:val="false"/>
                <w:caps w:val="false"/>
                <w:smallCaps w:val="false"/>
                <w:sz w:val="20"/>
              </w:rPr>
              <w:t>10 years</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68" w:name="xdx_98D_eus-gaap--ShareBasedCompensation"/>
            <w:bookmarkEnd w:id="568"/>
          </w:p>
        </w:tc>
        <w:tc>
          <w:tcPr>
            <w:tcW w:w="10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69" w:name="xdx_98F_eus-gaap--ShareBasedCompensation"/>
            <w:bookmarkEnd w:id="569"/>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0" w:name="xdx_98B_eus-gaap--ShareBasedCompensation"/>
            <w:bookmarkEnd w:id="570"/>
          </w:p>
        </w:tc>
        <w:tc>
          <w:tcPr>
            <w:tcW w:w="10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1" w:name="xdx_98E_eus-gaap--ShareBasedCompensation"/>
            <w:bookmarkEnd w:id="571"/>
          </w:p>
        </w:tc>
        <w:tc>
          <w:tcPr>
            <w:tcW w:w="10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72" w:name="xdx_98B_eus-gaap--ShareBasedCompensation"/>
            <w:bookmarkEnd w:id="572"/>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1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3" w:name="xdx_985_eus-gaap--ShareBasedCompensation"/>
            <w:bookmarkEnd w:id="573"/>
          </w:p>
        </w:tc>
        <w:tc>
          <w:tcPr>
            <w:tcW w:w="10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4" w:name="xdx_987_eus-gaap--ShareBasedCompensation"/>
            <w:bookmarkEnd w:id="574"/>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5" w:name="xdx_98D_eus-gaap--ShareBasedCompensation"/>
            <w:bookmarkEnd w:id="575"/>
          </w:p>
        </w:tc>
        <w:tc>
          <w:tcPr>
            <w:tcW w:w="10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6" w:name="xdx_983_eus-gaap--ShareBasedCompensation"/>
            <w:bookmarkEnd w:id="576"/>
          </w:p>
        </w:tc>
        <w:tc>
          <w:tcPr>
            <w:tcW w:w="10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77" w:name="xdx_981_eus-gaap--ShareBasedCompensation"/>
            <w:bookmarkEnd w:id="577"/>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bookmarkStart w:id="578" w:name="xdx_8A5_zHuiSz0mON2d"/>
      <w:bookmarkEnd w:id="5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8 - Warrants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9" w:name="xdx_89C_ecustom--ScheduleOfShareBasedPay"/>
      <w:bookmarkEnd w:id="579"/>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ind w:left="0" w:right="0" w:hanging="0"/>
        <w:jc w:val="both"/>
        <w:rPr>
          <w:caps w:val="false"/>
          <w:smallCaps w:val="false"/>
        </w:rPr>
      </w:pPr>
      <w:r>
        <w:rPr>
          <w:caps w:val="false"/>
          <w:smallCaps w:val="false"/>
        </w:rPr>
        <w:t> </w:t>
      </w:r>
      <w:bookmarkStart w:id="580" w:name="xdx_8B4_zExWzC1C5Id4"/>
      <w:bookmarkEnd w:id="580"/>
      <w:r>
        <w:rPr>
          <w:rFonts w:ascii="Times New Roman;Times;Serif" w:hAnsi="Times New Roman;Times;Serif"/>
          <w:b w:val="false"/>
          <w:i w:val="false"/>
          <w:caps w:val="false"/>
          <w:smallCaps w:val="false"/>
          <w:sz w:val="20"/>
        </w:rPr>
        <w:t>SCHEDULE OF SIGNIFICANT INPUTS OF FAIR VALUE OF WARRANTS </w:t>
      </w:r>
    </w:p>
    <w:tbl>
      <w:tblPr>
        <w:tblW w:w="5123" w:type="dxa"/>
        <w:jc w:val="left"/>
        <w:tblInd w:w="0" w:type="dxa"/>
        <w:tblLayout w:type="fixed"/>
        <w:tblCellMar>
          <w:top w:w="0" w:type="dxa"/>
          <w:left w:w="0" w:type="dxa"/>
          <w:bottom w:w="0" w:type="dxa"/>
          <w:right w:w="0" w:type="dxa"/>
        </w:tblCellMar>
      </w:tblPr>
      <w:tblGrid>
        <w:gridCol w:w="1715"/>
        <w:gridCol w:w="60"/>
        <w:gridCol w:w="168"/>
        <w:gridCol w:w="1141"/>
        <w:gridCol w:w="185"/>
        <w:gridCol w:w="60"/>
        <w:gridCol w:w="205"/>
        <w:gridCol w:w="1389"/>
        <w:gridCol w:w="200"/>
      </w:tblGrid>
      <w:tr>
        <w:trPr/>
        <w:tc>
          <w:tcPr>
            <w:tcW w:w="17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81" w:name="xdx_498_20260101__20260331__us-gaap--Sta"/>
            <w:bookmarkEnd w:id="581"/>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March 31, 2026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582" w:name="xdx_497_20250101__20251231__us-gaap--Sta"/>
            <w:bookmarkEnd w:id="582"/>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December 31,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bookmarkStart w:id="583" w:name="xdx_407_eus-gaap--SharePrice_iE_pid_zDCL"/>
            <w:bookmarkEnd w:id="583"/>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84" w:name="xdx_409_eus-gaap--ShareBasedCompensation"/>
            <w:bookmarkEnd w:id="584"/>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85" w:name="xdx_400_eus-gaap--ShareBasedCompensation"/>
            <w:bookmarkEnd w:id="585"/>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6" w:name="xdx_909_eus-gaap--SharebasedCompensation"/>
            <w:bookmarkEnd w:id="586"/>
            <w:r>
              <w:rPr>
                <w:rFonts w:ascii="Times New Roman;Times;Serif" w:hAnsi="Times New Roman;Times;Serif"/>
                <w:b w:val="false"/>
                <w:i w:val="false"/>
                <w:caps w:val="false"/>
                <w:smallCaps w:val="false"/>
                <w:sz w:val="20"/>
              </w:rPr>
              <w:t>6.52-</w:t>
            </w:r>
            <w:bookmarkStart w:id="587" w:name="xdx_904_eus-gaap--SharebasedCompensation"/>
            <w:bookmarkEnd w:id="587"/>
            <w:r>
              <w:rPr>
                <w:rFonts w:ascii="Times New Roman;Times;Serif" w:hAnsi="Times New Roman;Times;Serif"/>
                <w:b w:val="false"/>
                <w:i w:val="false"/>
                <w:caps w:val="false"/>
                <w:smallCaps w:val="false"/>
                <w:sz w:val="20"/>
              </w:rPr>
              <w:t>8.91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88" w:name="xdx_90F_eus-gaap--SharebasedCompensation"/>
            <w:bookmarkEnd w:id="588"/>
            <w:r>
              <w:rPr>
                <w:rFonts w:ascii="Times New Roman;Times;Serif" w:hAnsi="Times New Roman;Times;Serif"/>
                <w:b w:val="false"/>
                <w:i w:val="false"/>
                <w:caps w:val="false"/>
                <w:smallCaps w:val="false"/>
                <w:sz w:val="20"/>
              </w:rPr>
              <w:t>6.77-</w:t>
            </w:r>
            <w:bookmarkStart w:id="589" w:name="xdx_902_eus-gaap--SharebasedCompensation"/>
            <w:bookmarkEnd w:id="589"/>
            <w:r>
              <w:rPr>
                <w:rFonts w:ascii="Times New Roman;Times;Serif" w:hAnsi="Times New Roman;Times;Serif"/>
                <w:b w:val="false"/>
                <w:i w:val="false"/>
                <w:caps w:val="false"/>
                <w:smallCaps w:val="false"/>
                <w:sz w:val="20"/>
              </w:rPr>
              <w:t>9.16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590" w:name="xdx_40A_eus-gaap--ShareBasedCompensation"/>
            <w:bookmarkEnd w:id="590"/>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91" w:name="xdx_903_eus-gaap--ShareBasedCompensation"/>
            <w:bookmarkEnd w:id="591"/>
            <w:r>
              <w:rPr>
                <w:rFonts w:ascii="Times New Roman;Times;Serif" w:hAnsi="Times New Roman;Times;Serif"/>
                <w:b w:val="false"/>
                <w:i w:val="false"/>
                <w:caps w:val="false"/>
                <w:smallCaps w:val="false"/>
                <w:sz w:val="20"/>
              </w:rPr>
              <w:t xml:space="preserve">4.0% - </w:t>
            </w:r>
            <w:bookmarkStart w:id="592" w:name="xdx_909_eus-gaap--ShareBasedCompensation"/>
            <w:bookmarkEnd w:id="592"/>
            <w:r>
              <w:rPr>
                <w:rFonts w:ascii="Times New Roman;Times;Serif" w:hAnsi="Times New Roman;Times;Serif"/>
                <w:b w:val="false"/>
                <w:i w:val="false"/>
                <w:caps w:val="false"/>
                <w:smallCaps w:val="false"/>
                <w:sz w:val="20"/>
              </w:rPr>
              <w:t>4.2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593" w:name="xdx_90F_eus-gaap--ShareBasedCompensation"/>
            <w:bookmarkEnd w:id="593"/>
            <w:r>
              <w:rPr>
                <w:rFonts w:ascii="Times New Roman;Times;Serif" w:hAnsi="Times New Roman;Times;Serif"/>
                <w:b w:val="false"/>
                <w:i w:val="false"/>
                <w:caps w:val="false"/>
                <w:smallCaps w:val="false"/>
                <w:sz w:val="20"/>
              </w:rPr>
              <w:t xml:space="preserve">4.0% - </w:t>
            </w:r>
            <w:bookmarkStart w:id="594" w:name="xdx_906_eus-gaap--ShareBasedCompensation"/>
            <w:bookmarkEnd w:id="594"/>
            <w:r>
              <w:rPr>
                <w:rFonts w:ascii="Times New Roman;Times;Serif" w:hAnsi="Times New Roman;Times;Serif"/>
                <w:b w:val="false"/>
                <w:i w:val="false"/>
                <w:caps w:val="false"/>
                <w:smallCaps w:val="false"/>
                <w:sz w:val="20"/>
              </w:rPr>
              <w:t>4.2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595" w:name="xdx_40F_ecustom--FairValueOfWarrant_iI_p"/>
            <w:bookmarkEnd w:id="595"/>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Investor Warrants issued in the June 2023 Offering:</w:t>
      </w:r>
    </w:p>
    <w:p>
      <w:pPr>
        <w:pStyle w:val="TextBody"/>
        <w:bidi w:val="0"/>
        <w:spacing w:before="0" w:after="0"/>
        <w:ind w:left="0" w:right="0" w:hanging="0"/>
        <w:jc w:val="both"/>
        <w:rPr>
          <w:caps w:val="false"/>
          <w:smallCaps w:val="false"/>
        </w:rPr>
      </w:pPr>
      <w:r>
        <w:rPr>
          <w:caps w:val="false"/>
          <w:smallCaps w:val="false"/>
        </w:rPr>
        <w:t> </w:t>
      </w:r>
    </w:p>
    <w:tbl>
      <w:tblPr>
        <w:tblW w:w="5123" w:type="dxa"/>
        <w:jc w:val="left"/>
        <w:tblInd w:w="0" w:type="dxa"/>
        <w:tblLayout w:type="fixed"/>
        <w:tblCellMar>
          <w:top w:w="0" w:type="dxa"/>
          <w:left w:w="0" w:type="dxa"/>
          <w:bottom w:w="0" w:type="dxa"/>
          <w:right w:w="0" w:type="dxa"/>
        </w:tblCellMar>
      </w:tblPr>
      <w:tblGrid>
        <w:gridCol w:w="1715"/>
        <w:gridCol w:w="60"/>
        <w:gridCol w:w="268"/>
        <w:gridCol w:w="1041"/>
        <w:gridCol w:w="185"/>
        <w:gridCol w:w="60"/>
        <w:gridCol w:w="326"/>
        <w:gridCol w:w="1268"/>
        <w:gridCol w:w="200"/>
      </w:tblGrid>
      <w:tr>
        <w:trPr/>
        <w:tc>
          <w:tcPr>
            <w:tcW w:w="17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96" w:name="xdx_497_20260101__20260331__us-gaap--Sta"/>
            <w:bookmarkEnd w:id="596"/>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March 31, 2026</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597" w:name="xdx_49D_20250101__20251231__us-gaap--Sta"/>
            <w:bookmarkEnd w:id="597"/>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December 31,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bookmarkStart w:id="598" w:name="xdx_407_eus-gaap--SharePrice_iE_pid_z0mH"/>
            <w:bookmarkEnd w:id="598"/>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599" w:name="xdx_409_eus-gaap--ShareBasedCompensation"/>
            <w:bookmarkEnd w:id="599"/>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0" w:name="xdx_400_eus-gaap--ShareBasedCompensation"/>
            <w:bookmarkEnd w:id="600"/>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1" w:name="xdx_904_eus-gaap--SharebasedCompensation"/>
            <w:bookmarkEnd w:id="601"/>
            <w:r>
              <w:rPr>
                <w:rFonts w:ascii="Times New Roman;Times;Serif" w:hAnsi="Times New Roman;Times;Serif"/>
                <w:b w:val="false"/>
                <w:i w:val="false"/>
                <w:caps w:val="false"/>
                <w:smallCaps w:val="false"/>
                <w:sz w:val="20"/>
              </w:rPr>
              <w:t>2.23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02" w:name="xdx_906_eus-gaap--SharebasedCompensation"/>
            <w:bookmarkEnd w:id="602"/>
            <w:r>
              <w:rPr>
                <w:rFonts w:ascii="Times New Roman;Times;Serif" w:hAnsi="Times New Roman;Times;Serif"/>
                <w:b w:val="false"/>
                <w:i w:val="false"/>
                <w:caps w:val="false"/>
                <w:smallCaps w:val="false"/>
                <w:sz w:val="20"/>
              </w:rPr>
              <w:t>2.48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03" w:name="xdx_409_eus-gaap--ShareBasedCompensation"/>
            <w:bookmarkEnd w:id="603"/>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4" w:name="xdx_408_eus-gaap--ShareBasedCompensation"/>
            <w:bookmarkEnd w:id="604"/>
          </w:p>
        </w:tc>
      </w:tr>
      <w:tr>
        <w:trPr/>
        <w:tc>
          <w:tcPr>
            <w:tcW w:w="17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05" w:name="xdx_40B_ecustom--FairValueOfWarrant_iI_p"/>
            <w:bookmarkEnd w:id="605"/>
          </w:p>
        </w:tc>
      </w:tr>
      <w:tr>
        <w:trPr/>
        <w:tc>
          <w:tcPr>
            <w:tcW w:w="17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06" w:name="xdx_8AC_z45dNLhqBXHf"/>
      <w:bookmarkEnd w:id="60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7" w:name="xdx_89E_eus-gaap--ScheduleOfShareBasedCo"/>
      <w:bookmarkEnd w:id="607"/>
      <w:r>
        <w:rPr>
          <w:rFonts w:ascii="Times New Roman;Times;Serif" w:hAnsi="Times New Roman;Times;Serif"/>
          <w:b w:val="false"/>
          <w:i w:val="false"/>
          <w:caps w:val="false"/>
          <w:smallCaps w:val="false"/>
          <w:sz w:val="20"/>
        </w:rPr>
        <w:t>The following table presents a roll-forward of the Company’s warrants from January 1, 2026 to March 31, 2026:</w:t>
      </w:r>
    </w:p>
    <w:p>
      <w:pPr>
        <w:pStyle w:val="TextBody"/>
        <w:bidi w:val="0"/>
        <w:spacing w:before="0" w:after="0"/>
        <w:ind w:left="0" w:right="0" w:hanging="0"/>
        <w:jc w:val="both"/>
        <w:rPr>
          <w:caps w:val="false"/>
          <w:smallCaps w:val="false"/>
        </w:rPr>
      </w:pPr>
      <w:r>
        <w:rPr>
          <w:caps w:val="false"/>
          <w:smallCaps w:val="false"/>
        </w:rPr>
        <w:t> </w:t>
      </w:r>
      <w:bookmarkStart w:id="608" w:name="xdx_8BF_zARSl2Hx2tW"/>
      <w:bookmarkEnd w:id="608"/>
      <w:r>
        <w:rPr>
          <w:rFonts w:ascii="Times New Roman;Times;Serif" w:hAnsi="Times New Roman;Times;Serif"/>
          <w:b w:val="false"/>
          <w:i w:val="false"/>
          <w:caps w:val="false"/>
          <w:smallCaps w:val="false"/>
          <w:sz w:val="20"/>
        </w:rPr>
        <w:t>SCHEDULE OF ROLL FORWARD OF LIABILITY CLASSIFIED WARRANTS </w:t>
      </w:r>
    </w:p>
    <w:tbl>
      <w:tblPr>
        <w:tblW w:w="6638" w:type="dxa"/>
        <w:jc w:val="left"/>
        <w:tblInd w:w="0" w:type="dxa"/>
        <w:tblLayout w:type="fixed"/>
        <w:tblCellMar>
          <w:top w:w="0" w:type="dxa"/>
          <w:left w:w="0" w:type="dxa"/>
          <w:bottom w:w="0" w:type="dxa"/>
          <w:right w:w="0" w:type="dxa"/>
        </w:tblCellMar>
      </w:tblPr>
      <w:tblGrid>
        <w:gridCol w:w="3185"/>
        <w:gridCol w:w="60"/>
        <w:gridCol w:w="124"/>
        <w:gridCol w:w="1230"/>
        <w:gridCol w:w="60"/>
        <w:gridCol w:w="60"/>
        <w:gridCol w:w="75"/>
        <w:gridCol w:w="874"/>
        <w:gridCol w:w="80"/>
        <w:gridCol w:w="60"/>
        <w:gridCol w:w="60"/>
        <w:gridCol w:w="695"/>
        <w:gridCol w:w="75"/>
      </w:tblGrid>
      <w:tr>
        <w:trPr/>
        <w:tc>
          <w:tcPr>
            <w:tcW w:w="3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09" w:name="xdx_4B0_us-gaap--StatementEquityComponen"/>
            <w:bookmarkEnd w:id="609"/>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Warrants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610" w:name="xdx_4B3_us-gaap--StatementEquityComponen"/>
            <w:bookmarkEnd w:id="610"/>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 Loan </w:t>
              <w:br/>
              <w:t>Warrants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bookmarkStart w:id="611" w:name="xdx_4B0_us-gaap--StatementEquityComponen"/>
            <w:bookmarkEnd w:id="611"/>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w:t>
              <w:br/>
              <w:t>Warrants</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612" w:name="xdx_435_c20260101__20260331_eus-gaap--Sh"/>
            <w:bookmarkEnd w:id="612"/>
          </w:p>
        </w:tc>
      </w:tr>
      <w:tr>
        <w:trPr/>
        <w:tc>
          <w:tcPr>
            <w:tcW w:w="31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Outstanding,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13" w:name="xdx_407_eus-gaap--ShareBasedCompensation"/>
            <w:bookmarkEnd w:id="613"/>
          </w:p>
        </w:tc>
      </w:tr>
      <w:tr>
        <w:trPr/>
        <w:tc>
          <w:tcPr>
            <w:tcW w:w="31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14" w:name="xdx_40F_eus-gaap--ShareBasedCompensation"/>
            <w:bookmarkEnd w:id="614"/>
          </w:p>
        </w:tc>
      </w:tr>
      <w:tr>
        <w:trPr/>
        <w:tc>
          <w:tcPr>
            <w:tcW w:w="318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issued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15" w:name="xdx_43B_c20260101__20260331_eus-gaap--Sh"/>
            <w:bookmarkEnd w:id="615"/>
          </w:p>
        </w:tc>
      </w:tr>
      <w:tr>
        <w:trPr/>
        <w:tc>
          <w:tcPr>
            <w:tcW w:w="31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Outstanding,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16" w:name="xdx_8A6_zdqktO2G4cz5"/>
      <w:bookmarkEnd w:id="61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7" w:name="xdx_809_eus-gaap--PreferredStockTextBloc"/>
      <w:bookmarkEnd w:id="617"/>
      <w:r>
        <w:rPr>
          <w:rFonts w:ascii="Times New Roman;Times;Serif" w:hAnsi="Times New Roman;Times;Serif"/>
          <w:b/>
          <w:i w:val="false"/>
          <w:caps w:val="false"/>
          <w:smallCaps w:val="false"/>
          <w:sz w:val="20"/>
        </w:rPr>
        <w:t xml:space="preserve">NOTE 9 - </w:t>
      </w:r>
      <w:bookmarkStart w:id="618" w:name="xdx_82E_zxK855tbXsE8"/>
      <w:bookmarkEnd w:id="618"/>
      <w:r>
        <w:rPr>
          <w:rFonts w:ascii="Times New Roman;Times;Serif" w:hAnsi="Times New Roman;Times;Serif"/>
          <w:b/>
          <w:i w:val="false"/>
          <w:caps w:val="false"/>
          <w:smallCaps w:val="false"/>
          <w:sz w:val="20"/>
        </w:rPr>
        <w:t>REDEEMABLE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Series B Convertible Preferred Stock (the “Series B Preferred Stock”) was issued in connection with the Sixth Amendment to the Term Loan entered into on October 20, 2025, pursuant to which $</w:t>
      </w:r>
      <w:bookmarkStart w:id="619" w:name="xdx_90E_eus-gaap--DebtConversionOriginal"/>
      <w:bookmarkEnd w:id="619"/>
      <w:r>
        <w:rPr>
          <w:rFonts w:ascii="Times New Roman;Times;Serif" w:hAnsi="Times New Roman;Times;Serif"/>
          <w:b w:val="false"/>
          <w:i w:val="false"/>
          <w:caps w:val="false"/>
          <w:smallCaps w:val="false"/>
          <w:sz w:val="20"/>
        </w:rPr>
        <w:t xml:space="preserve">25.0 million of outstanding principal was exchanged for </w:t>
      </w:r>
      <w:bookmarkStart w:id="620" w:name="xdx_909_eus-gaap--DebtConversionConverte"/>
      <w:bookmarkEnd w:id="620"/>
      <w:r>
        <w:rPr>
          <w:rFonts w:ascii="Times New Roman;Times;Serif" w:hAnsi="Times New Roman;Times;Serif"/>
          <w:b w:val="false"/>
          <w:i w:val="false"/>
          <w:caps w:val="false"/>
          <w:smallCaps w:val="false"/>
          <w:sz w:val="20"/>
        </w:rPr>
        <w:t>25,000 shares of Series B Preferred Stock with an aggregate liquidation preference of $</w:t>
      </w:r>
      <w:bookmarkStart w:id="621" w:name="xdx_90B_eus-gaap--PreferredStockLiquidat"/>
      <w:bookmarkEnd w:id="621"/>
      <w:r>
        <w:rPr>
          <w:rFonts w:ascii="Times New Roman;Times;Serif" w:hAnsi="Times New Roman;Times;Serif"/>
          <w:b w:val="false"/>
          <w:i w:val="false"/>
          <w:caps w:val="false"/>
          <w:smallCaps w:val="false"/>
          <w:sz w:val="20"/>
        </w:rPr>
        <w:t>25.0 million. The Series B Preferred Stock is non-voting and carries a base liquidation preference of $</w:t>
      </w:r>
      <w:bookmarkStart w:id="622" w:name="xdx_90A_eus-gaap--PreferredStockLiquidat"/>
      <w:bookmarkEnd w:id="622"/>
      <w:r>
        <w:rPr>
          <w:rFonts w:ascii="Times New Roman;Times;Serif" w:hAnsi="Times New Roman;Times;Serif"/>
          <w:b w:val="false"/>
          <w:i w:val="false"/>
          <w:caps w:val="false"/>
          <w:smallCaps w:val="false"/>
          <w:sz w:val="20"/>
        </w:rPr>
        <w:t xml:space="preserve">1,000 per share, plus accrued and unpaid dividends, senior to the Company’s common stock in a liquidation. </w:t>
      </w:r>
      <w:bookmarkStart w:id="623" w:name="xdx_90D_eus-gaap--PreferredStockDividend"/>
      <w:bookmarkEnd w:id="623"/>
      <w:r>
        <w:rPr>
          <w:rFonts w:ascii="Times New Roman;Times;Serif" w:hAnsi="Times New Roman;Times;Serif"/>
          <w:b w:val="false"/>
          <w:i w:val="false"/>
          <w:caps w:val="false"/>
          <w:smallCaps w:val="false"/>
          <w:sz w:val="20"/>
        </w:rPr>
        <w:t>Dividends accrue at 10% per annum, with 80% payable in cash and 20% payable in kind and added to the liquidation preference; any unpaid cash dividends may also be paid in kind and added to the liquidation preference.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 Preferred Stock is convertible, at the holder’s option beginning six months after the original issuance date, into shares of the Company’s common stock at a fixed conversion price of $</w:t>
      </w:r>
      <w:bookmarkStart w:id="624" w:name="xdx_90E_eus-gaap--PreferredStockConverti"/>
      <w:bookmarkEnd w:id="624"/>
      <w:r>
        <w:rPr>
          <w:rFonts w:ascii="Times New Roman;Times;Serif" w:hAnsi="Times New Roman;Times;Serif"/>
          <w:b w:val="false"/>
          <w:i w:val="false"/>
          <w:caps w:val="false"/>
          <w:smallCaps w:val="false"/>
          <w:sz w:val="20"/>
        </w:rPr>
        <w:t>3.15 per share, subject to a minimum aggregate value of $</w:t>
      </w:r>
      <w:bookmarkStart w:id="625" w:name="xdx_908_eus-gaap--StockIssuedDuringPerio"/>
      <w:bookmarkEnd w:id="625"/>
      <w:r>
        <w:rPr>
          <w:rFonts w:ascii="Times New Roman;Times;Serif" w:hAnsi="Times New Roman;Times;Serif"/>
          <w:b w:val="false"/>
          <w:i w:val="false"/>
          <w:caps w:val="false"/>
          <w:smallCaps w:val="false"/>
          <w:sz w:val="20"/>
        </w:rPr>
        <w:t>500,000 per conversion (other than a final conversion) and customary beneficial ownership and exchange caps. The Series B Preferred Stock is redeemable at the Company’s option and under certain holder-option and other specified circumstances, generally at a price per share equal to the greater of (i) the liquidation preference (including accrued but unpaid dividends) and (ii) the value on an as-converted basis determined with reference to recent volume-weighted average trading prices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Series B Preferred Stock under ASC 480, Distinguishing Liabilities from Equity, and concluded it is not a liability because it is not mandatorily redeemable and does not otherwise meet the definition of a liability. The host contract was determined to be more akin to debt for purposes of ASC 815, Derivatives and Hedging; the conversion feature is not clearly and closely related to the host but qualifies for the equity classification scope exception because the conversion price is fixed and the instrument is indexed to the Company’s own stock. Because certain redemption rights are not solely within the Company’s control, the Series B Preferred Stock is presented as temporary equity and initially measured at fair value. The carrying amount is being accreted to the redemption value over the expected term, and dividends (cash and paid-in-kind) are recognized as preferred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recognized accreted dividends of $</w:t>
      </w:r>
      <w:bookmarkStart w:id="626" w:name="xdx_90C_eus-gaap--TemporaryEquityAccreti"/>
      <w:bookmarkEnd w:id="626"/>
      <w:r>
        <w:rPr>
          <w:rFonts w:ascii="Times New Roman;Times;Serif" w:hAnsi="Times New Roman;Times;Serif"/>
          <w:b w:val="false"/>
          <w:i w:val="false"/>
          <w:caps w:val="false"/>
          <w:smallCaps w:val="false"/>
          <w:sz w:val="20"/>
        </w:rPr>
        <w:t>468, related to the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627" w:name="xdx_80C_eus-gaap--StockholdersEquityNote"/>
      <w:bookmarkEnd w:id="627"/>
      <w:r>
        <w:rPr>
          <w:rFonts w:ascii="Times New Roman;Times;Serif" w:hAnsi="Times New Roman;Times;Serif"/>
          <w:b/>
          <w:i w:val="false"/>
          <w:caps/>
          <w:sz w:val="20"/>
        </w:rPr>
        <w:t xml:space="preserve">Note 10 - </w:t>
      </w:r>
      <w:bookmarkStart w:id="628" w:name="xdx_824_z0mwBI292u32"/>
      <w:bookmarkEnd w:id="628"/>
      <w:r>
        <w:rPr>
          <w:rFonts w:ascii="Times New Roman;Times;Serif" w:hAnsi="Times New Roman;Times;Serif"/>
          <w:b/>
          <w:i w:val="false"/>
          <w:caps/>
          <w:sz w:val="20"/>
        </w:rPr>
        <w:t>COMMON STOCK</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are entitled to dividends if and when declared by the Board of Directors subject to the rights of the preferred stockholders. No dividends on common stock had been declared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an Equity Distribution Agreement with Canaccord Genuity LLC, as lead agent and representative of the other sales agents, establishing an at-the-market offering program under which the Company may, from time to time and at its discretion, offer and sell up to $</w:t>
      </w:r>
      <w:bookmarkStart w:id="629" w:name="xdx_907_eus-gaap--SaleOfStockConsiderati"/>
      <w:bookmarkEnd w:id="629"/>
      <w:r>
        <w:rPr>
          <w:rFonts w:ascii="Times New Roman;Times;Serif" w:hAnsi="Times New Roman;Times;Serif"/>
          <w:b w:val="false"/>
          <w:i w:val="false"/>
          <w:caps w:val="false"/>
          <w:smallCaps w:val="false"/>
          <w:sz w:val="20"/>
        </w:rPr>
        <w:t>50 million of its common stock. The Company is not obligated to sell any shares under the program and retains sole discretion over the timing, amount, pricing, and other terms of any sales effected through the lead agent. The program is intended to provide the Company with a flexible source of capital to support its liquidity needs and is subject to customary closing conditions, a 3% sales commission and reimbursement of specified expenses payable to the agents, and customary indemnification and contribution provisions. As of March 31, 2026, the Company did not sell any stock under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0" w:name="xdx_899_eus-gaap--ScheduleOfStockholders"/>
      <w:bookmarkEnd w:id="630"/>
      <w:r>
        <w:rPr>
          <w:rFonts w:ascii="Times New Roman;Times;Serif" w:hAnsi="Times New Roman;Times;Serif"/>
          <w:b w:val="false"/>
          <w:i w:val="false"/>
          <w:caps w:val="false"/>
          <w:smallCaps w:val="false"/>
          <w:sz w:val="20"/>
        </w:rPr>
        <w:t>For the three months ended March 31, 2026 and 2025, the Company had reserved shares of common stock for issuance as follows:</w:t>
      </w:r>
    </w:p>
    <w:p>
      <w:pPr>
        <w:pStyle w:val="TextBody"/>
        <w:bidi w:val="0"/>
        <w:spacing w:before="0" w:after="0"/>
        <w:ind w:left="0" w:right="0" w:hanging="0"/>
        <w:jc w:val="both"/>
        <w:rPr>
          <w:caps w:val="false"/>
          <w:smallCaps w:val="false"/>
        </w:rPr>
      </w:pPr>
      <w:r>
        <w:rPr>
          <w:caps w:val="false"/>
          <w:smallCaps w:val="false"/>
        </w:rPr>
        <w:t> </w:t>
      </w:r>
      <w:bookmarkStart w:id="631" w:name="xdx_8B1_zmny3JyKY7n"/>
      <w:bookmarkEnd w:id="631"/>
      <w:r>
        <w:rPr>
          <w:rFonts w:ascii="Times New Roman;Times;Serif" w:hAnsi="Times New Roman;Times;Serif"/>
          <w:b w:val="false"/>
          <w:i w:val="false"/>
          <w:caps w:val="false"/>
          <w:smallCaps w:val="false"/>
          <w:sz w:val="20"/>
        </w:rPr>
        <w:t>SUMMARY OF RESERVED SHARES OF COMMON STOCK FOR ISSUANCE </w:t>
      </w:r>
    </w:p>
    <w:tbl>
      <w:tblPr>
        <w:tblW w:w="5863" w:type="dxa"/>
        <w:jc w:val="left"/>
        <w:tblInd w:w="0" w:type="dxa"/>
        <w:tblLayout w:type="fixed"/>
        <w:tblCellMar>
          <w:top w:w="0" w:type="dxa"/>
          <w:left w:w="0" w:type="dxa"/>
          <w:bottom w:w="0" w:type="dxa"/>
          <w:right w:w="0" w:type="dxa"/>
        </w:tblCellMar>
      </w:tblPr>
      <w:tblGrid>
        <w:gridCol w:w="2990"/>
        <w:gridCol w:w="60"/>
        <w:gridCol w:w="77"/>
        <w:gridCol w:w="1232"/>
        <w:gridCol w:w="60"/>
        <w:gridCol w:w="60"/>
        <w:gridCol w:w="86"/>
        <w:gridCol w:w="1223"/>
        <w:gridCol w:w="75"/>
      </w:tblGrid>
      <w:tr>
        <w:trPr/>
        <w:tc>
          <w:tcPr>
            <w:tcW w:w="29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32" w:name="xdx_49B_20260331_zm9h2DGCXbFi"/>
            <w:bookmarkEnd w:id="632"/>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33" w:name="xdx_496_20250331_zJIxbAcsHanh"/>
            <w:bookmarkEnd w:id="633"/>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634" w:name="xdx_40C_ecustom--ShareBasedCompensationA"/>
            <w:bookmarkEnd w:id="634"/>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5" w:name="xdx_40F_eus-gaap--CommonStockSharesOutst"/>
            <w:bookmarkEnd w:id="635"/>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12,148,783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758,964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6" w:name="xdx_40C_eus-gaap--ClassOfWarrantOrRightO"/>
            <w:bookmarkEnd w:id="636"/>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855,349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5,225,616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7" w:name="xdx_40F_ecustom--EarnoutShares_iI_pid_z3"/>
            <w:bookmarkEnd w:id="637"/>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Earnout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277,778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277,778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38" w:name="xdx_40A_ecustom--SeriesPreferredStockOut"/>
            <w:bookmarkEnd w:id="638"/>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Stock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39" w:name="xdx_40D_eus-gaap--ShareBasedCompensation"/>
            <w:bookmarkEnd w:id="639"/>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available for future issuance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1,504,929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40" w:name="xdx_407_eus-gaap--CommonStockCapitalShar"/>
            <w:bookmarkEnd w:id="640"/>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14,916,923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6,785,277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41" w:name="xdx_8A5_zsy469HubSW8"/>
      <w:bookmarkEnd w:id="64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642" w:name="xdx_80C_eus-gaap--DisclosureOfCompensati"/>
      <w:bookmarkEnd w:id="642"/>
      <w:r>
        <w:rPr>
          <w:rFonts w:ascii="Times New Roman;Times;Serif" w:hAnsi="Times New Roman;Times;Serif"/>
          <w:b/>
          <w:i w:val="false"/>
          <w:caps/>
          <w:sz w:val="20"/>
        </w:rPr>
        <w:t xml:space="preserve">Note 11 - </w:t>
      </w:r>
      <w:bookmarkStart w:id="643" w:name="xdx_82D_zq1m3V2cEXQe"/>
      <w:bookmarkEnd w:id="643"/>
      <w:r>
        <w:rPr>
          <w:rFonts w:ascii="Times New Roman;Times;Serif" w:hAnsi="Times New Roman;Times;Serif"/>
          <w:b/>
          <w:i w:val="false"/>
          <w:caps/>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15, 2025 at the 2025 Annual Meeting of Stockholders (the “Annual Meeting”) of the Company, the Company’s stockholders approved an amendment (the “Plan Amendment”) to the Company’s 2022 Equity Incentive Plan (the “2022 Plan”) increasing the number of shares available for issuance under the 2022 Plan by </w:t>
      </w:r>
      <w:bookmarkStart w:id="644" w:name="xdx_90E_eus-gaap--ShareBasedCompensation"/>
      <w:bookmarkEnd w:id="644"/>
      <w:r>
        <w:rPr>
          <w:rFonts w:ascii="Times New Roman;Times;Serif" w:hAnsi="Times New Roman;Times;Serif"/>
          <w:b w:val="false"/>
          <w:i w:val="false"/>
          <w:caps w:val="false"/>
          <w:smallCaps w:val="false"/>
          <w:sz w:val="20"/>
        </w:rPr>
        <w:t>900,000 shares. The Plan Amendment became effective following its approval by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w:t>
      </w:r>
      <w:bookmarkStart w:id="645" w:name="xdx_905_eus-gaap--CommonStockCapitalShar"/>
      <w:bookmarkEnd w:id="645"/>
      <w:r>
        <w:rPr>
          <w:rFonts w:ascii="Times New Roman;Times;Serif" w:hAnsi="Times New Roman;Times;Serif"/>
          <w:b w:val="false"/>
          <w:i w:val="false"/>
          <w:caps w:val="false"/>
          <w:smallCaps w:val="false"/>
          <w:sz w:val="20"/>
        </w:rPr>
        <w:t xml:space="preserve">27,382 shares of the Company’s common stock were initially available for issuance under the ESPP. </w:t>
      </w:r>
      <w:bookmarkStart w:id="646" w:name="xdx_90E_eus-gaap--ShareBasedCompensation"/>
      <w:bookmarkEnd w:id="646"/>
      <w:r>
        <w:rPr>
          <w:rFonts w:ascii="Times New Roman;Times;Serif" w:hAnsi="Times New Roman;Times;Serif"/>
          <w:b w:val="false"/>
          <w:i w:val="false"/>
          <w:caps w:val="false"/>
          <w:smallCaps w:val="false"/>
          <w:sz w:val="20"/>
        </w:rPr>
        <w:t>The share limit will automatically increase on the first trading day in January of each year by an amount equal to lesser of (1) 1% of the total number of outstanding shares of the Company’s common stock on December 31 in the prior year, (2) 16,667 shares, or (3) such number as determined by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the Dragonfly Energy Corporation, Inc. Employee Stock Purchase Plan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did not issue any shares of common stock under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7" w:name="xdx_89A_eus-gaap--ScheduleOfShareBasedCo"/>
      <w:bookmarkEnd w:id="647"/>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8" w:name="xdx_8B8_zBp8KNnPK3w7"/>
      <w:bookmarkEnd w:id="648"/>
      <w:r>
        <w:rPr>
          <w:rFonts w:ascii="Times New Roman;Times;Serif" w:hAnsi="Times New Roman;Times;Serif"/>
          <w:b w:val="false"/>
          <w:i w:val="false"/>
          <w:caps w:val="false"/>
          <w:smallCaps w:val="false"/>
          <w:sz w:val="20"/>
        </w:rPr>
        <w:t>SCHEDULE OF OPTION ACTIVITY AND RELATED INFORMATION  </w:t>
      </w:r>
    </w:p>
    <w:tbl>
      <w:tblPr>
        <w:tblW w:w="10205" w:type="dxa"/>
        <w:jc w:val="left"/>
        <w:tblInd w:w="0" w:type="dxa"/>
        <w:tblLayout w:type="fixed"/>
        <w:tblCellMar>
          <w:top w:w="0" w:type="dxa"/>
          <w:left w:w="0" w:type="dxa"/>
          <w:bottom w:w="0" w:type="dxa"/>
          <w:right w:w="0" w:type="dxa"/>
        </w:tblCellMar>
      </w:tblPr>
      <w:tblGrid>
        <w:gridCol w:w="1514"/>
        <w:gridCol w:w="60"/>
        <w:gridCol w:w="65"/>
        <w:gridCol w:w="756"/>
        <w:gridCol w:w="80"/>
        <w:gridCol w:w="60"/>
        <w:gridCol w:w="353"/>
        <w:gridCol w:w="1676"/>
        <w:gridCol w:w="60"/>
        <w:gridCol w:w="60"/>
        <w:gridCol w:w="396"/>
        <w:gridCol w:w="1881"/>
        <w:gridCol w:w="60"/>
        <w:gridCol w:w="60"/>
        <w:gridCol w:w="262"/>
        <w:gridCol w:w="1669"/>
        <w:gridCol w:w="60"/>
        <w:gridCol w:w="60"/>
        <w:gridCol w:w="198"/>
        <w:gridCol w:w="794"/>
        <w:gridCol w:w="81"/>
      </w:tblGrid>
      <w:tr>
        <w:trPr/>
        <w:tc>
          <w:tcPr>
            <w:tcW w:w="151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of </w:t>
              <w:b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Grant Date 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Remaining</w:t>
              <w:br/>
              <w:t xml:space="preserve">Contractual </w:t>
              <w:br/>
              <w:t>Life (in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w:t>
              <w:br/>
              <w:t>intrinsic value</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49" w:name="xdx_98E_eus-gaap--ShareBasedCompensation"/>
            <w:bookmarkEnd w:id="649"/>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50" w:name="xdx_985_eus-gaap--ShareBasedCompensation"/>
            <w:bookmarkEnd w:id="650"/>
          </w:p>
        </w:tc>
        <w:tc>
          <w:tcPr>
            <w:tcW w:w="16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51" w:name="xdx_98E_eus-gaap--SharebasedCompensation"/>
            <w:bookmarkEnd w:id="651"/>
          </w:p>
        </w:tc>
        <w:tc>
          <w:tcPr>
            <w:tcW w:w="18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52" w:name="xdx_901_eus-gaap--SharebasedCompensation"/>
            <w:bookmarkEnd w:id="652"/>
            <w:r>
              <w:rPr>
                <w:rFonts w:ascii="Times New Roman;Times;Serif" w:hAnsi="Times New Roman;Times;Serif"/>
                <w:b w:val="false"/>
                <w:i w:val="false"/>
                <w:caps w:val="false"/>
                <w:smallCaps w:val="false"/>
                <w:sz w:val="20"/>
              </w:rPr>
              <w:t>5.64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53" w:name="xdx_984_eus-gaap--ShareBasedCompensation"/>
            <w:bookmarkEnd w:id="653"/>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4" w:name="xdx_985_eus-gaap--ShareBasedCompensation"/>
            <w:bookmarkEnd w:id="654"/>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5" w:name="xdx_982_eus-gaap--ShareBasedCompensation"/>
            <w:bookmarkEnd w:id="655"/>
          </w:p>
        </w:tc>
        <w:tc>
          <w:tcPr>
            <w:tcW w:w="16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6" w:name="xdx_986_eus-gaap--ShareBasedCompensation"/>
            <w:bookmarkEnd w:id="656"/>
          </w:p>
        </w:tc>
        <w:tc>
          <w:tcPr>
            <w:tcW w:w="18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57" w:name="xdx_90E_ecustom--SharebasedCompensationA"/>
            <w:bookmarkEnd w:id="657"/>
            <w:r>
              <w:rPr>
                <w:rFonts w:ascii="Times New Roman;Times;Serif" w:hAnsi="Times New Roman;Times;Serif"/>
                <w:b w:val="false"/>
                <w:i w:val="false"/>
                <w:caps w:val="false"/>
                <w:smallCaps w:val="false"/>
                <w:sz w:val="20"/>
              </w:rPr>
              <w:t>9.95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58" w:name="xdx_980_eus-gaap--ShareBasedCompensation"/>
            <w:bookmarkEnd w:id="658"/>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forfeited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59" w:name="xdx_98E_eus-gaap--ShareBasedCompensation"/>
            <w:bookmarkEnd w:id="659"/>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0" w:name="xdx_986_eus-gaap--ShareBasedCompensation"/>
            <w:bookmarkEnd w:id="660"/>
          </w:p>
        </w:tc>
        <w:tc>
          <w:tcPr>
            <w:tcW w:w="16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1" w:name="xdx_98F_eus-gaap--SharebasedCompensation"/>
            <w:bookmarkEnd w:id="661"/>
          </w:p>
        </w:tc>
        <w:tc>
          <w:tcPr>
            <w:tcW w:w="18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62" w:name="xdx_986_ecustom--ShareBasedCompensationA"/>
            <w:bookmarkEnd w:id="662"/>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expired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63" w:name="xdx_981_eus-gaap--ShareBasedCompensation"/>
            <w:bookmarkEnd w:id="663"/>
          </w:p>
        </w:tc>
        <w:tc>
          <w:tcPr>
            <w:tcW w:w="7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64" w:name="xdx_987_eus-gaap--ShareBasedCompensation"/>
            <w:bookmarkEnd w:id="664"/>
          </w:p>
        </w:tc>
        <w:tc>
          <w:tcPr>
            <w:tcW w:w="16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65" w:name="xdx_98E_ecustom--SharebasedCompensationA"/>
            <w:bookmarkEnd w:id="665"/>
          </w:p>
        </w:tc>
        <w:tc>
          <w:tcPr>
            <w:tcW w:w="18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66" w:name="xdx_98D_ecustom--ShareBasedCompensationA"/>
            <w:bookmarkEnd w:id="666"/>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667" w:name="xdx_98E_eus-gaap--ShareBasedCompensation"/>
            <w:bookmarkEnd w:id="667"/>
          </w:p>
        </w:tc>
        <w:tc>
          <w:tcPr>
            <w:tcW w:w="7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68" w:name="xdx_983_eus-gaap--ShareBasedCompensation"/>
            <w:bookmarkEnd w:id="668"/>
          </w:p>
        </w:tc>
        <w:tc>
          <w:tcPr>
            <w:tcW w:w="16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69" w:name="xdx_988_eus-gaap--SharebasedCompensation"/>
            <w:bookmarkEnd w:id="669"/>
          </w:p>
        </w:tc>
        <w:tc>
          <w:tcPr>
            <w:tcW w:w="18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70" w:name="xdx_90F_eus-gaap--SharebasedCompensation"/>
            <w:bookmarkEnd w:id="670"/>
            <w:r>
              <w:rPr>
                <w:rFonts w:ascii="Times New Roman;Times;Serif" w:hAnsi="Times New Roman;Times;Serif"/>
                <w:b w:val="false"/>
                <w:i w:val="false"/>
                <w:caps w:val="false"/>
                <w:smallCaps w:val="false"/>
                <w:sz w:val="20"/>
              </w:rPr>
              <w:t>9.44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71" w:name="xdx_98D_ecustom--ShareBasedCompensationA"/>
            <w:bookmarkEnd w:id="671"/>
          </w:p>
        </w:tc>
        <w:tc>
          <w:tcPr>
            <w:tcW w:w="7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Exercisable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672" w:name="xdx_987_eus-gaap--ShareBasedCompensation"/>
            <w:bookmarkEnd w:id="672"/>
          </w:p>
        </w:tc>
        <w:tc>
          <w:tcPr>
            <w:tcW w:w="7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73" w:name="xdx_98F_eus-gaap--ShareBasedCompensation"/>
            <w:bookmarkEnd w:id="673"/>
          </w:p>
        </w:tc>
        <w:tc>
          <w:tcPr>
            <w:tcW w:w="16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74" w:name="xdx_90C_eus-gaap--SharebasedCompensation"/>
            <w:bookmarkEnd w:id="674"/>
            <w:r>
              <w:rPr>
                <w:rFonts w:ascii="Times New Roman;Times;Serif" w:hAnsi="Times New Roman;Times;Serif"/>
                <w:b w:val="false"/>
                <w:i w:val="false"/>
                <w:caps w:val="false"/>
                <w:smallCaps w:val="false"/>
                <w:sz w:val="20"/>
              </w:rPr>
              <w:t>4.97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75" w:name="xdx_988_eus-gaap--ShareBasedCompensation"/>
            <w:bookmarkEnd w:id="675"/>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and expected to vest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76" w:name="xdx_987_eus-gaap--ShareBasedCompensation"/>
            <w:bookmarkEnd w:id="676"/>
          </w:p>
        </w:tc>
        <w:tc>
          <w:tcPr>
            <w:tcW w:w="7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77" w:name="xdx_984_eus-gaap--ShareBasedCompensation"/>
            <w:bookmarkEnd w:id="677"/>
          </w:p>
        </w:tc>
        <w:tc>
          <w:tcPr>
            <w:tcW w:w="16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678" w:name="xdx_90E_eus-gaap--SharebasedCompensation"/>
            <w:bookmarkEnd w:id="678"/>
            <w:r>
              <w:rPr>
                <w:rFonts w:ascii="Times New Roman;Times;Serif" w:hAnsi="Times New Roman;Times;Serif"/>
                <w:b w:val="false"/>
                <w:i w:val="false"/>
                <w:caps w:val="false"/>
                <w:smallCaps w:val="false"/>
                <w:sz w:val="20"/>
              </w:rPr>
              <w:t>9.44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679" w:name="xdx_98F_eus-gaap--ShareBasedCompensation"/>
            <w:bookmarkEnd w:id="679"/>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680" w:name="xdx_8A7_zZba27GlVhC2"/>
      <w:bookmarkEnd w:id="68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issued </w:t>
      </w:r>
      <w:bookmarkStart w:id="681" w:name="xdx_903_eus-gaap--ShareBasedCompensation"/>
      <w:bookmarkEnd w:id="681"/>
      <w:r>
        <w:rPr>
          <w:rFonts w:ascii="Times New Roman;Times;Serif" w:hAnsi="Times New Roman;Times;Serif"/>
          <w:b w:val="false"/>
          <w:i w:val="false"/>
          <w:caps w:val="false"/>
          <w:smallCaps w:val="false"/>
          <w:sz w:val="20"/>
        </w:rPr>
        <w:t xml:space="preserve">116,713 stock options. During the three months ended March 31, 2025, the Company did </w:t>
      </w:r>
      <w:bookmarkStart w:id="682" w:name="xdx_900_eus-gaap--ShareBasedCompensation"/>
      <w:bookmarkEnd w:id="682"/>
      <w:r>
        <w:rPr>
          <w:rFonts w:ascii="Times New Roman;Times;Serif" w:hAnsi="Times New Roman;Times;Serif"/>
          <w:b w:val="false"/>
          <w:i w:val="false"/>
          <w:caps w:val="false"/>
          <w:smallCaps w:val="false"/>
          <w:sz w:val="20"/>
        </w:rPr>
        <w:t>not issue any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RSUs totaling $</w:t>
      </w:r>
      <w:bookmarkStart w:id="683" w:name="xdx_907_eus-gaap--ShareBasedCompensation"/>
      <w:bookmarkEnd w:id="683"/>
      <w:r>
        <w:rPr>
          <w:rFonts w:ascii="Times New Roman;Times;Serif" w:hAnsi="Times New Roman;Times;Serif"/>
          <w:b w:val="false"/>
          <w:i w:val="false"/>
          <w:caps w:val="false"/>
          <w:smallCaps w:val="false"/>
          <w:sz w:val="20"/>
        </w:rPr>
        <w:t>100 and $</w:t>
      </w:r>
      <w:bookmarkStart w:id="684" w:name="xdx_90D_eus-gaap--ShareBasedCompensation"/>
      <w:bookmarkEnd w:id="684"/>
      <w:r>
        <w:rPr>
          <w:rFonts w:ascii="Times New Roman;Times;Serif" w:hAnsi="Times New Roman;Times;Serif"/>
          <w:b w:val="false"/>
          <w:i w:val="false"/>
          <w:caps w:val="false"/>
          <w:smallCaps w:val="false"/>
          <w:sz w:val="20"/>
        </w:rPr>
        <w:t>220 was recognized in the Company’s consolidated statements of operations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11 - Stock-Based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685" w:name="xdx_907_eus-gaap--ShareBasedCompensation"/>
      <w:bookmarkEnd w:id="685"/>
      <w:r>
        <w:rPr>
          <w:rFonts w:ascii="Times New Roman;Times;Serif" w:hAnsi="Times New Roman;Times;Serif"/>
          <w:b w:val="false"/>
          <w:i w:val="false"/>
          <w:caps w:val="false"/>
          <w:smallCaps w:val="false"/>
          <w:sz w:val="20"/>
        </w:rPr>
        <w:t>100 of share-based compensation incurred during the three months ended March 31, 2026, $</w:t>
      </w:r>
      <w:bookmarkStart w:id="686" w:name="xdx_904_eus-gaap--ShareBasedCompensation"/>
      <w:bookmarkEnd w:id="686"/>
      <w:r>
        <w:rPr>
          <w:rFonts w:ascii="Times New Roman;Times;Serif" w:hAnsi="Times New Roman;Times;Serif"/>
          <w:b w:val="false"/>
          <w:i w:val="false"/>
          <w:caps w:val="false"/>
          <w:smallCaps w:val="false"/>
          <w:sz w:val="20"/>
        </w:rPr>
        <w:t>3 is allocated to cost of goods sold, $</w:t>
      </w:r>
      <w:bookmarkStart w:id="687" w:name="xdx_903_eus-gaap--ShareBasedCompensation"/>
      <w:bookmarkEnd w:id="687"/>
      <w:r>
        <w:rPr>
          <w:rFonts w:ascii="Times New Roman;Times;Serif" w:hAnsi="Times New Roman;Times;Serif"/>
          <w:b w:val="false"/>
          <w:i w:val="false"/>
          <w:caps w:val="false"/>
          <w:smallCaps w:val="false"/>
          <w:sz w:val="20"/>
        </w:rPr>
        <w:t>4 to research and development, $</w:t>
      </w:r>
      <w:bookmarkStart w:id="688" w:name="xdx_90E_eus-gaap--ShareBasedCompensation"/>
      <w:bookmarkEnd w:id="688"/>
      <w:r>
        <w:rPr>
          <w:rFonts w:ascii="Times New Roman;Times;Serif" w:hAnsi="Times New Roman;Times;Serif"/>
          <w:b w:val="false"/>
          <w:i w:val="false"/>
          <w:caps w:val="false"/>
          <w:smallCaps w:val="false"/>
          <w:sz w:val="20"/>
        </w:rPr>
        <w:t>20 to selling and marketing, and $</w:t>
      </w:r>
      <w:bookmarkStart w:id="689" w:name="xdx_906_eus-gaap--ShareBasedCompensation"/>
      <w:bookmarkEnd w:id="689"/>
      <w:r>
        <w:rPr>
          <w:rFonts w:ascii="Times New Roman;Times;Serif" w:hAnsi="Times New Roman;Times;Serif"/>
          <w:b w:val="false"/>
          <w:i w:val="false"/>
          <w:caps w:val="false"/>
          <w:smallCaps w:val="false"/>
          <w:sz w:val="20"/>
        </w:rPr>
        <w:t>73 to general and administrative expenses. Of the $</w:t>
      </w:r>
      <w:bookmarkStart w:id="690" w:name="xdx_909_eus-gaap--ShareBasedCompensation"/>
      <w:bookmarkEnd w:id="690"/>
      <w:r>
        <w:rPr>
          <w:rFonts w:ascii="Times New Roman;Times;Serif" w:hAnsi="Times New Roman;Times;Serif"/>
          <w:b w:val="false"/>
          <w:i w:val="false"/>
          <w:caps w:val="false"/>
          <w:smallCaps w:val="false"/>
          <w:sz w:val="20"/>
        </w:rPr>
        <w:t>220 of share-based compensation incurred during the three months ended March 31, 2025, $</w:t>
      </w:r>
      <w:bookmarkStart w:id="691" w:name="xdx_900_eus-gaap--ShareBasedCompensation"/>
      <w:bookmarkEnd w:id="691"/>
      <w:r>
        <w:rPr>
          <w:rFonts w:ascii="Times New Roman;Times;Serif" w:hAnsi="Times New Roman;Times;Serif"/>
          <w:b w:val="false"/>
          <w:i w:val="false"/>
          <w:caps w:val="false"/>
          <w:smallCaps w:val="false"/>
          <w:sz w:val="20"/>
        </w:rPr>
        <w:t>18 is allocated to cost of goods sold, $</w:t>
      </w:r>
      <w:bookmarkStart w:id="692" w:name="xdx_902_eus-gaap--ShareBasedCompensation"/>
      <w:bookmarkEnd w:id="692"/>
      <w:r>
        <w:rPr>
          <w:rFonts w:ascii="Times New Roman;Times;Serif" w:hAnsi="Times New Roman;Times;Serif"/>
          <w:b w:val="false"/>
          <w:i w:val="false"/>
          <w:caps w:val="false"/>
          <w:smallCaps w:val="false"/>
          <w:sz w:val="20"/>
        </w:rPr>
        <w:t>14 to research and development, $</w:t>
      </w:r>
      <w:bookmarkStart w:id="693" w:name="xdx_907_eus-gaap--ShareBasedCompensation"/>
      <w:bookmarkEnd w:id="693"/>
      <w:r>
        <w:rPr>
          <w:rFonts w:ascii="Times New Roman;Times;Serif" w:hAnsi="Times New Roman;Times;Serif"/>
          <w:b w:val="false"/>
          <w:i w:val="false"/>
          <w:caps w:val="false"/>
          <w:smallCaps w:val="false"/>
          <w:sz w:val="20"/>
        </w:rPr>
        <w:t>61 to selling and marketing, and $</w:t>
      </w:r>
      <w:bookmarkStart w:id="694" w:name="xdx_905_eus-gaap--ShareBasedCompensation"/>
      <w:bookmarkEnd w:id="694"/>
      <w:r>
        <w:rPr>
          <w:rFonts w:ascii="Times New Roman;Times;Serif" w:hAnsi="Times New Roman;Times;Serif"/>
          <w:b w:val="false"/>
          <w:i w:val="false"/>
          <w:caps w:val="false"/>
          <w:smallCaps w:val="false"/>
          <w:sz w:val="20"/>
        </w:rPr>
        <w:t>127 to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5" w:name="xdx_866_zTE9Imsh2tO1"/>
      <w:bookmarkStart w:id="696" w:name="xdx_891_eus-gaap--ShareBasedCompensation"/>
      <w:bookmarkEnd w:id="695"/>
      <w:bookmarkEnd w:id="696"/>
      <w:r>
        <w:rPr>
          <w:rFonts w:ascii="Times New Roman;Times;Serif" w:hAnsi="Times New Roman;Times;Serif"/>
          <w:b w:val="false"/>
          <w:i w:val="false"/>
          <w:caps w:val="false"/>
          <w:smallCaps w:val="false"/>
          <w:sz w:val="20"/>
        </w:rPr>
        <w:t>SCHEDULE OF WEIGHTED AVERAGE FAIR VALUE OF OPTIONS </w:t>
      </w:r>
    </w:p>
    <w:tbl>
      <w:tblPr>
        <w:tblW w:w="5414" w:type="dxa"/>
        <w:jc w:val="left"/>
        <w:tblInd w:w="0" w:type="dxa"/>
        <w:tblLayout w:type="fixed"/>
        <w:tblCellMar>
          <w:top w:w="0" w:type="dxa"/>
          <w:left w:w="0" w:type="dxa"/>
          <w:bottom w:w="0" w:type="dxa"/>
          <w:right w:w="0" w:type="dxa"/>
        </w:tblCellMar>
      </w:tblPr>
      <w:tblGrid>
        <w:gridCol w:w="3845"/>
        <w:gridCol w:w="60"/>
        <w:gridCol w:w="268"/>
        <w:gridCol w:w="1041"/>
        <w:gridCol w:w="200"/>
      </w:tblGrid>
      <w:tr>
        <w:trPr/>
        <w:tc>
          <w:tcPr>
            <w:tcW w:w="384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697" w:name="xdx_490_20260101__20260331__us-gaap--Awa"/>
            <w:bookmarkEnd w:id="697"/>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bookmarkStart w:id="698" w:name="xdx_404_eus-gaap--ShareBasedCompensation"/>
            <w:bookmarkEnd w:id="698"/>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fair value of options granted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699" w:name="xdx_40F_eus-gaap--ShareBasedCompensation"/>
            <w:bookmarkEnd w:id="699"/>
          </w:p>
        </w:tc>
      </w:tr>
      <w:tr>
        <w:trPr/>
        <w:tc>
          <w:tcPr>
            <w:tcW w:w="38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0" w:name="xdx_40B_eus-gaap--ShareBasedCompensation"/>
            <w:bookmarkEnd w:id="700"/>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01" w:name="xdx_986_eus-gaap--SharebasedCompensation"/>
            <w:bookmarkEnd w:id="701"/>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02" w:name="xdx_408_eus-gaap--ShareBasedCompensation"/>
            <w:bookmarkEnd w:id="702"/>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bookmarkStart w:id="703" w:name="xdx_8A4_zv1tg94eSdi9"/>
      <w:bookmarkEnd w:id="70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4" w:name="xdx_89C_eus-gaap--ScheduleOfUnvestedRest"/>
      <w:bookmarkEnd w:id="704"/>
      <w:r>
        <w:rPr>
          <w:rFonts w:ascii="Times New Roman;Times;Serif" w:hAnsi="Times New Roman;Times;Serif"/>
          <w:b w:val="false"/>
          <w:i w:val="false"/>
          <w:caps w:val="false"/>
          <w:smallCaps w:val="false"/>
          <w:sz w:val="20"/>
        </w:rPr>
        <w:t>The following table presents the restricted stock units activity for the three months ended March 31,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5" w:name="xdx_8B1_zqIJ4YsPYtCk"/>
      <w:bookmarkEnd w:id="705"/>
      <w:r>
        <w:rPr>
          <w:rFonts w:ascii="Times New Roman;Times;Serif" w:hAnsi="Times New Roman;Times;Serif"/>
          <w:b w:val="false"/>
          <w:i w:val="false"/>
          <w:caps w:val="false"/>
          <w:smallCaps w:val="false"/>
          <w:sz w:val="20"/>
        </w:rPr>
        <w:t>SCHEDULE OF RESTRICTED STOCK UNITS ACTIVITY  </w:t>
      </w:r>
    </w:p>
    <w:tbl>
      <w:tblPr>
        <w:tblW w:w="5989" w:type="dxa"/>
        <w:jc w:val="left"/>
        <w:tblInd w:w="0" w:type="dxa"/>
        <w:tblLayout w:type="fixed"/>
        <w:tblCellMar>
          <w:top w:w="0" w:type="dxa"/>
          <w:left w:w="0" w:type="dxa"/>
          <w:bottom w:w="0" w:type="dxa"/>
          <w:right w:w="0" w:type="dxa"/>
        </w:tblCellMar>
      </w:tblPr>
      <w:tblGrid>
        <w:gridCol w:w="2720"/>
        <w:gridCol w:w="60"/>
        <w:gridCol w:w="132"/>
        <w:gridCol w:w="1312"/>
        <w:gridCol w:w="80"/>
        <w:gridCol w:w="60"/>
        <w:gridCol w:w="317"/>
        <w:gridCol w:w="1233"/>
        <w:gridCol w:w="75"/>
      </w:tblGrid>
      <w:tr>
        <w:trPr/>
        <w:tc>
          <w:tcPr>
            <w:tcW w:w="27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w:t>
              <w:br/>
              <w:t>Fair Market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shares,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06" w:name="xdx_98E_eus-gaap--ShareBasedCompensation"/>
            <w:bookmarkEnd w:id="706"/>
          </w:p>
        </w:tc>
        <w:tc>
          <w:tcPr>
            <w:tcW w:w="13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07" w:name="xdx_982_eus-gaap--ShareBasedCompensation"/>
            <w:bookmarkEnd w:id="707"/>
          </w:p>
        </w:tc>
        <w:tc>
          <w:tcPr>
            <w:tcW w:w="12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8" w:name="xdx_980_eus-gaap--ShareBasedCompensation"/>
            <w:bookmarkEnd w:id="708"/>
            <w:r>
              <w:rPr>
                <w:rFonts w:ascii="Times New Roman;Times;Serif" w:hAnsi="Times New Roman;Times;Serif"/>
                <w:b w:val="false"/>
                <w:i w:val="false"/>
                <w:caps w:val="false"/>
                <w:smallCaps w:val="false"/>
                <w:sz w:val="20"/>
              </w:rPr>
              <w:t>13,364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709" w:name="xdx_98D_eus-gaap--ShareBasedCompensation"/>
            <w:bookmarkEnd w:id="709"/>
            <w:r>
              <w:rPr>
                <w:rFonts w:ascii="Times New Roman;Times;Serif" w:hAnsi="Times New Roman;Times;Serif"/>
                <w:b w:val="false"/>
                <w:i w:val="false"/>
                <w:caps w:val="false"/>
                <w:smallCaps w:val="false"/>
                <w:sz w:val="20"/>
              </w:rPr>
              <w:t>1.73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0" w:name="xdx_988_eus-gaap--StockIssuedDuringPerio"/>
            <w:bookmarkEnd w:id="710"/>
          </w:p>
        </w:tc>
        <w:tc>
          <w:tcPr>
            <w:tcW w:w="13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11" w:name="xdx_981_eus-gaap--ShareBasedCompensation"/>
            <w:bookmarkEnd w:id="711"/>
          </w:p>
        </w:tc>
        <w:tc>
          <w:tcPr>
            <w:tcW w:w="12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12" w:name="xdx_981_eus-gaap--ShareBasedCompensation"/>
            <w:bookmarkEnd w:id="712"/>
          </w:p>
        </w:tc>
        <w:tc>
          <w:tcPr>
            <w:tcW w:w="13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13" w:name="xdx_987_eus-gaap--ShareBasedCompensation"/>
            <w:bookmarkEnd w:id="713"/>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shares,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714" w:name="xdx_987_eus-gaap--ShareBasedCompensation"/>
            <w:bookmarkEnd w:id="714"/>
          </w:p>
        </w:tc>
        <w:tc>
          <w:tcPr>
            <w:tcW w:w="13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15" w:name="xdx_981_eus-gaap--ShareBasedCompensation"/>
            <w:bookmarkEnd w:id="715"/>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716" w:name="xdx_8AF_zgU0qTHlgVrh"/>
      <w:bookmarkEnd w:id="7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2025 there were </w:t>
      </w:r>
      <w:bookmarkStart w:id="717" w:name="xdx_905_eus-gaap--ShareBasedCompensation"/>
      <w:bookmarkEnd w:id="717"/>
      <w:r>
        <w:rPr>
          <w:rFonts w:ascii="Times New Roman;Times;Serif" w:hAnsi="Times New Roman;Times;Serif"/>
          <w:b w:val="false"/>
          <w:i w:val="false"/>
          <w:caps w:val="false"/>
          <w:smallCaps w:val="false"/>
          <w:sz w:val="20"/>
        </w:rPr>
        <w:t xml:space="preserve">1,504,929 and </w:t>
      </w:r>
      <w:bookmarkStart w:id="718" w:name="xdx_901_eus-gaap--ShareBasedCompensation"/>
      <w:bookmarkEnd w:id="718"/>
      <w:r>
        <w:rPr>
          <w:rFonts w:ascii="Times New Roman;Times;Serif" w:hAnsi="Times New Roman;Times;Serif"/>
          <w:b w:val="false"/>
          <w:i w:val="false"/>
          <w:caps w:val="false"/>
          <w:smallCaps w:val="false"/>
          <w:sz w:val="20"/>
        </w:rPr>
        <w:t>122,725 shares, respectively, of unissued authorized and available for future awards under the 2022 Equity Incentive Plan and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719" w:name="xdx_803_eus-gaap--SegmentReportingDisclo"/>
      <w:bookmarkEnd w:id="719"/>
      <w:r>
        <w:rPr>
          <w:rFonts w:ascii="Times New Roman;Times;Serif" w:hAnsi="Times New Roman;Times;Serif"/>
          <w:b/>
          <w:i w:val="false"/>
          <w:caps/>
          <w:sz w:val="20"/>
        </w:rPr>
        <w:t xml:space="preserve">Note 12 - </w:t>
      </w:r>
      <w:bookmarkStart w:id="720" w:name="xdx_829_z23FmzJKDSi7"/>
      <w:bookmarkEnd w:id="720"/>
      <w:r>
        <w:rPr>
          <w:rFonts w:ascii="Times New Roman;Times;Serif" w:hAnsi="Times New Roman;Times;Serif"/>
          <w:b/>
          <w:i w:val="false"/>
          <w:caps/>
          <w:sz w:val="20"/>
        </w:rPr>
        <w:t>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721" w:name="xdx_906_eus-gaap--NumberOfReportableSegm"/>
      <w:bookmarkEnd w:id="721"/>
      <w:r>
        <w:rPr>
          <w:rFonts w:ascii="Times New Roman;Times;Serif" w:hAnsi="Times New Roman;Times;Serif"/>
          <w:b w:val="false"/>
          <w:i w:val="false"/>
          <w:caps w:val="false"/>
          <w:smallCaps w:val="false"/>
          <w:sz w:val="20"/>
        </w:rPr>
        <w:t>two reportable segments: DTC and OEM. The DTC segment pertains to Battle Born, LLC branded batteries which are sold directly to consumers. The OEM segment pertains to Dragonfly branded batteries which are sold to original equipment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segments are the same as those described in the summary of significant accounting policies. The Company evaluates performance for all of its reportable segments based on both segment gross and net profit or 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DTC and OEM, the Chief Operating Decision Maker (“CODM”) uses both segment gross and net profit and loss from operations to allocate resources (including employees, property, and financial or capital resources) for each segment predominantly in the annual budget and forecasting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information for the reported segments is not disclosed as it is not used by the Chief Operating Decision Maker CODM in evaluating the performance of, or making decisions about, the reported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reportable segments are strategic business units that offer different branded products. They are managed separately because each segment requires different technology and marketing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the Chief Executive Officer.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Reportable Segments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2" w:name="xdx_892_eus-gaap--ScheduleOfSegmentRepor"/>
      <w:bookmarkEnd w:id="722"/>
      <w:r>
        <w:rPr>
          <w:rFonts w:ascii="Times New Roman;Times;Serif" w:hAnsi="Times New Roman;Times;Serif"/>
          <w:b w:val="false"/>
          <w:i w:val="false"/>
          <w:caps w:val="false"/>
          <w:smallCaps w:val="false"/>
          <w:sz w:val="20"/>
        </w:rPr>
        <w:t>The following table presents the reportable segments information for the three months ended March 31,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3" w:name="xdx_8BC_zeIwDGVrDja"/>
      <w:bookmarkEnd w:id="723"/>
      <w:r>
        <w:rPr>
          <w:rFonts w:ascii="Times New Roman;Times;Serif" w:hAnsi="Times New Roman;Times;Serif"/>
          <w:b w:val="false"/>
          <w:i w:val="false"/>
          <w:caps w:val="false"/>
          <w:smallCaps w:val="false"/>
          <w:sz w:val="20"/>
        </w:rPr>
        <w:t>SCHEDULE OF REPORTABLE SEGMENTS INFORMATION  </w:t>
      </w:r>
    </w:p>
    <w:tbl>
      <w:tblPr>
        <w:tblW w:w="6900" w:type="dxa"/>
        <w:jc w:val="left"/>
        <w:tblInd w:w="0" w:type="dxa"/>
        <w:tblLayout w:type="fixed"/>
        <w:tblCellMar>
          <w:top w:w="0" w:type="dxa"/>
          <w:left w:w="0" w:type="dxa"/>
          <w:bottom w:w="0" w:type="dxa"/>
          <w:right w:w="0" w:type="dxa"/>
        </w:tblCellMar>
      </w:tblPr>
      <w:tblGrid>
        <w:gridCol w:w="3755"/>
        <w:gridCol w:w="60"/>
        <w:gridCol w:w="110"/>
        <w:gridCol w:w="425"/>
        <w:gridCol w:w="80"/>
        <w:gridCol w:w="60"/>
        <w:gridCol w:w="110"/>
        <w:gridCol w:w="425"/>
        <w:gridCol w:w="60"/>
        <w:gridCol w:w="60"/>
        <w:gridCol w:w="110"/>
        <w:gridCol w:w="650"/>
        <w:gridCol w:w="245"/>
        <w:gridCol w:w="60"/>
        <w:gridCol w:w="110"/>
        <w:gridCol w:w="485"/>
        <w:gridCol w:w="95"/>
      </w:tblGrid>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24" w:name="xdx_495_20260101__20260331__us-gaap--Sta"/>
            <w:bookmarkEnd w:id="724"/>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DTC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25" w:name="xdx_49F_20260101__20260331__us-gaap--Sta"/>
            <w:bookmarkEnd w:id="725"/>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OEM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26" w:name="xdx_490_20260101__20260331__us-gaap--Sta"/>
            <w:bookmarkEnd w:id="726"/>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Other</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27" w:name="xdx_491_20260101__20260331_z3mKj2O7WTE7"/>
            <w:bookmarkEnd w:id="727"/>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728" w:name="xdx_404_eus-gaap--RevenueFromContractWit"/>
            <w:bookmarkEnd w:id="728"/>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8"/>
              </w:rPr>
              <w:t>250</w:t>
            </w:r>
            <w:bookmarkStart w:id="729" w:name="xdx_F28_zJYa2RPJmEVc"/>
            <w:bookmarkEnd w:id="729"/>
            <w:r>
              <w:rPr>
                <w:rFonts w:ascii="Times New Roman;Times;Serif" w:hAnsi="Times New Roman;Times;Serif"/>
                <w:b w:val="false"/>
                <w:i w:val="false"/>
                <w:caps w:val="false"/>
                <w:smallCaps w:val="false"/>
                <w:sz w:val="20"/>
              </w:rPr>
              <w:t>(1)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Reconciliation of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0" w:name="xdx_400_ecustom--ReconciliationOfNetSale"/>
            <w:bookmarkEnd w:id="730"/>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Reconciling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1" w:name="xdx_40C_eus-gaap--Revenues_pn3n3_zoZsWZs"/>
            <w:bookmarkEnd w:id="731"/>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Consolidated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2" w:name="xdx_403_eus-gaap--CostDirectMaterial_pn3"/>
            <w:bookmarkEnd w:id="732"/>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material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3" w:name="xdx_408_eus-gaap--CostDirectLabor_pn3n3_"/>
            <w:bookmarkEnd w:id="733"/>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labor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4" w:name="xdx_402_eus-gaap--CostOfGoodsAndServices"/>
            <w:bookmarkEnd w:id="734"/>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overhead and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5" w:name="xdx_401_eus-gaap--CostOfGoodsAndServices"/>
            <w:bookmarkEnd w:id="735"/>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6" w:name="xdx_405_eus-gaap--GrossProfit_pn3n3_zQZs"/>
            <w:bookmarkEnd w:id="736"/>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37" w:name="xdx_403_eus-gaap--ResearchAndDevelopment"/>
            <w:bookmarkEnd w:id="737"/>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Research &amp;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980</w:t>
            </w:r>
            <w:bookmarkStart w:id="738" w:name="xdx_F2C_zNOjXDPpkIM4"/>
            <w:bookmarkEnd w:id="738"/>
            <w:r>
              <w:rPr>
                <w:rFonts w:ascii="Times New Roman;Times;Serif" w:hAnsi="Times New Roman;Times;Serif"/>
                <w:b w:val="false"/>
                <w:i w:val="false"/>
                <w:caps w:val="false"/>
                <w:smallCaps w:val="false"/>
                <w:sz w:val="20"/>
              </w:rPr>
              <w:t>(2)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980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39" w:name="xdx_40B_ecustom--SalesTaxAdjustment_pn3n"/>
            <w:bookmarkEnd w:id="739"/>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tax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0" w:name="xdx_40B_ecustom--TransactionFees_pn3n3_z"/>
            <w:bookmarkEnd w:id="740"/>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Credit card &amp; amazon transaction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1" w:name="xdx_401_eus-gaap--OtherGeneralAndAdminis"/>
            <w:bookmarkEnd w:id="741"/>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general &amp;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4,400</w:t>
            </w:r>
            <w:bookmarkStart w:id="742" w:name="xdx_F2A_z1PI15VW6wGd"/>
            <w:bookmarkEnd w:id="742"/>
            <w:r>
              <w:rPr>
                <w:rFonts w:ascii="Times New Roman;Times;Serif" w:hAnsi="Times New Roman;Times;Serif"/>
                <w:b w:val="false"/>
                <w:i w:val="false"/>
                <w:caps w:val="false"/>
                <w:smallCaps w:val="false"/>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3" w:name="xdx_408_ecustom--Shipping_pn3n3_znLpc1bh"/>
            <w:bookmarkEnd w:id="743"/>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Shipping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4" w:name="xdx_40E_ecustom--SalesAndMarketingStockC"/>
            <w:bookmarkEnd w:id="744"/>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Sales and marketing stock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5" w:name="xdx_40E_ecustom--SalesAndMarketingWages_"/>
            <w:bookmarkEnd w:id="745"/>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Sales and marketing wages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6" w:name="xdx_405_ecustom--MarketingSpend_pn3n3_z7"/>
            <w:bookmarkEnd w:id="746"/>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Marketing spend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47" w:name="xdx_404_ecustom--Rent_pn3n3_zKcHbb4KuDH2"/>
            <w:bookmarkEnd w:id="747"/>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48" w:name="xdx_401_ecustom--UnallocatedSalesAndMark"/>
            <w:bookmarkEnd w:id="748"/>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Unallocated sales and marketing stock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243</w:t>
            </w:r>
            <w:bookmarkStart w:id="749" w:name="xdx_F29_zBtHL4DFrhHb"/>
            <w:bookmarkEnd w:id="749"/>
            <w:r>
              <w:rPr>
                <w:rFonts w:ascii="Times New Roman;Times;Serif" w:hAnsi="Times New Roman;Times;Serif"/>
                <w:b w:val="false"/>
                <w:i w:val="false"/>
                <w:caps w:val="false"/>
                <w:smallCaps w:val="false"/>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0" w:name="xdx_404_ecustom--UnallocatedSalesAndMark"/>
            <w:bookmarkEnd w:id="750"/>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Unallocated sales and marketing wages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w:t>
            </w:r>
            <w:bookmarkStart w:id="751" w:name="xdx_F2E_zYGRZcZvmJKl"/>
            <w:bookmarkEnd w:id="751"/>
            <w:r>
              <w:rPr>
                <w:rFonts w:ascii="Times New Roman;Times;Serif" w:hAnsi="Times New Roman;Times;Serif"/>
                <w:b w:val="false"/>
                <w:i w:val="false"/>
                <w:caps w:val="false"/>
                <w:smallCaps w:val="false"/>
                <w:sz w:val="20"/>
              </w:rPr>
              <w:t>(4)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2" w:name="xdx_40C_eus-gaap--OtherSellingAndMarketi"/>
            <w:bookmarkEnd w:id="752"/>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sales &amp;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120</w:t>
            </w:r>
            <w:bookmarkStart w:id="753" w:name="xdx_F25_zy5LV8MIUfsc"/>
            <w:bookmarkEnd w:id="753"/>
            <w:r>
              <w:rPr>
                <w:rFonts w:ascii="Times New Roman;Times;Serif" w:hAnsi="Times New Roman;Times;Serif"/>
                <w:b w:val="false"/>
                <w:i w:val="false"/>
                <w:caps w:val="false"/>
                <w:smallCaps w:val="false"/>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4" w:name="xdx_406_eus-gaap--OperatingExpenses_pn3n"/>
            <w:bookmarkEnd w:id="754"/>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5,748</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5" w:name="xdx_40B_eus-gaap--OperatingIncomeLoss_pn"/>
            <w:bookmarkEnd w:id="755"/>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(5,498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6" w:name="xdx_404_eus-gaap--OtherNonoperatingIncom"/>
            <w:bookmarkEnd w:id="756"/>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61</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57" w:name="xdx_40F_eus-gaap--InterestExpenseNonoper"/>
            <w:bookmarkEnd w:id="757"/>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(1,465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758" w:name="xdx_400_eus-gaap--FairValueAdjustmentOfW"/>
            <w:bookmarkEnd w:id="758"/>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Change in FMV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506</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59" w:name="xdx_40F_eus-gaap--NonoperatingIncomeExpe"/>
            <w:bookmarkEnd w:id="759"/>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(898</w:t>
            </w:r>
            <w:bookmarkStart w:id="760" w:name="xdx_F22_zt0quzDrHM88"/>
            <w:bookmarkEnd w:id="760"/>
            <w:r>
              <w:rPr>
                <w:rFonts w:ascii="Times New Roman;Times;Serif" w:hAnsi="Times New Roman;Times;Serif"/>
                <w:b w:val="false"/>
                <w:i w:val="false"/>
                <w:caps w:val="false"/>
                <w:smallCaps w:val="false"/>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r>
              <w:rPr>
                <w:rFonts w:ascii="Times New Roman;Times;Serif" w:hAnsi="Times New Roman;Times;Serif"/>
                <w:b w:val="false"/>
                <w:i w:val="false"/>
                <w:caps w:val="false"/>
                <w:smallCaps w:val="false"/>
                <w:position w:val="6"/>
                <w:sz w:val="14"/>
                <w:sz w:val="18"/>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1" w:name="xdx_40F_eus-gaap--IncomeLossFromContinui"/>
            <w:bookmarkEnd w:id="761"/>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Loss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(6,396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2" w:name="xdx_409_eus-gaap--IncomeTaxExpenseBenefi"/>
            <w:bookmarkEnd w:id="762"/>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Income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3" w:name="xdx_40D_eus-gaap--NetIncomeLoss_pn3n3_zF"/>
            <w:bookmarkEnd w:id="763"/>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(6,396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Reconciliation of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64" w:name="xdx_406_ecustom--NetIncomeLossReconcilin"/>
            <w:bookmarkEnd w:id="764"/>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Reconciling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65" w:name="xdx_403_eus-gaap--ProfitLoss_pn3n3_zthVh"/>
            <w:bookmarkEnd w:id="765"/>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Consolidated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bl>
    <w:p>
      <w:pPr>
        <w:pStyle w:val="TextBody"/>
        <w:bidi w:val="0"/>
        <w:spacing w:before="0" w:after="0"/>
        <w:ind w:left="0" w:right="0" w:hanging="0"/>
        <w:jc w:val="center"/>
        <w:rPr>
          <w:smallCaps/>
        </w:rPr>
      </w:pPr>
      <w:r>
        <w:rPr>
          <w:smallCaps/>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sz w:val="20"/>
              </w:rPr>
            </w:pPr>
            <w:bookmarkStart w:id="766" w:name="xdx_F0B_zcZYfMXGyJv8"/>
            <w:bookmarkEnd w:id="766"/>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767" w:name="xdx_F10_zcEDiIu2lyE5"/>
            <w:bookmarkEnd w:id="767"/>
            <w:r>
              <w:rPr>
                <w:rFonts w:ascii="Times New Roman;Times;Serif" w:hAnsi="Times New Roman;Times;Serif"/>
                <w:sz w:val="20"/>
              </w:rPr>
              <w:t>Licensing Revenue which is not considered a segment as it is currently immaterial</w:t>
            </w:r>
          </w:p>
        </w:tc>
      </w:tr>
      <w:tr>
        <w:trPr/>
        <w:tc>
          <w:tcPr>
            <w:tcW w:w="232" w:type="dxa"/>
            <w:tcBorders/>
            <w:vAlign w:val="center"/>
          </w:tcPr>
          <w:p>
            <w:pPr>
              <w:pStyle w:val="TableContents"/>
              <w:bidi w:val="0"/>
              <w:spacing w:before="0" w:after="283"/>
              <w:jc w:val="both"/>
              <w:rPr>
                <w:rFonts w:ascii="Times New Roman;Times;Serif" w:hAnsi="Times New Roman;Times;Serif"/>
                <w:sz w:val="20"/>
              </w:rPr>
            </w:pPr>
            <w:bookmarkStart w:id="768" w:name="xdx_F03_z9UxdMKjdBr"/>
            <w:bookmarkEnd w:id="768"/>
            <w:r>
              <w:rPr>
                <w:rFonts w:ascii="Times New Roman;Times;Serif" w:hAnsi="Times New Roman;Times;Serif"/>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769" w:name="xdx_F1F_zuYsCNNsIpof"/>
            <w:bookmarkEnd w:id="769"/>
            <w:r>
              <w:rPr>
                <w:rFonts w:ascii="Times New Roman;Times;Serif" w:hAnsi="Times New Roman;Times;Serif"/>
                <w:sz w:val="20"/>
              </w:rPr>
              <w:t>Research and Development expenses including employee costs related to new products</w:t>
            </w:r>
          </w:p>
        </w:tc>
      </w:tr>
      <w:tr>
        <w:trPr/>
        <w:tc>
          <w:tcPr>
            <w:tcW w:w="232" w:type="dxa"/>
            <w:tcBorders/>
            <w:vAlign w:val="center"/>
          </w:tcPr>
          <w:p>
            <w:pPr>
              <w:pStyle w:val="TableContents"/>
              <w:bidi w:val="0"/>
              <w:spacing w:before="0" w:after="283"/>
              <w:jc w:val="both"/>
              <w:rPr>
                <w:rFonts w:ascii="Times New Roman;Times;Serif" w:hAnsi="Times New Roman;Times;Serif"/>
                <w:sz w:val="20"/>
              </w:rPr>
            </w:pPr>
            <w:bookmarkStart w:id="770" w:name="xdx_F0B_zcLQadYky0Se"/>
            <w:bookmarkEnd w:id="770"/>
            <w:r>
              <w:rPr>
                <w:rFonts w:ascii="Times New Roman;Times;Serif" w:hAnsi="Times New Roman;Times;Serif"/>
                <w:sz w:val="20"/>
              </w:rPr>
              <w:t>(3)</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771" w:name="xdx_F16_z2OOAdxtJe9h"/>
            <w:bookmarkEnd w:id="771"/>
            <w:r>
              <w:rPr>
                <w:rFonts w:ascii="Times New Roman;Times;Serif" w:hAnsi="Times New Roman;Times;Serif"/>
                <w:sz w:val="20"/>
              </w:rPr>
              <w:t>Administrative and Engineering employee costs along with legal, insurance, professional fees related to administration and other general office expenses</w:t>
            </w:r>
          </w:p>
        </w:tc>
      </w:tr>
      <w:tr>
        <w:trPr/>
        <w:tc>
          <w:tcPr>
            <w:tcW w:w="232" w:type="dxa"/>
            <w:tcBorders/>
            <w:vAlign w:val="center"/>
          </w:tcPr>
          <w:p>
            <w:pPr>
              <w:pStyle w:val="TableContents"/>
              <w:bidi w:val="0"/>
              <w:spacing w:before="0" w:after="283"/>
              <w:jc w:val="both"/>
              <w:rPr>
                <w:rFonts w:ascii="Times New Roman;Times;Serif" w:hAnsi="Times New Roman;Times;Serif"/>
                <w:sz w:val="20"/>
              </w:rPr>
            </w:pPr>
            <w:bookmarkStart w:id="772" w:name="xdx_F0B_zLcQe2y98CZ2"/>
            <w:bookmarkEnd w:id="772"/>
            <w:r>
              <w:rPr>
                <w:rFonts w:ascii="Times New Roman;Times;Serif" w:hAnsi="Times New Roman;Times;Serif"/>
                <w:sz w:val="20"/>
              </w:rPr>
              <w:t>(4)</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773" w:name="xdx_F12_zO5nvVt2cxBa"/>
            <w:bookmarkEnd w:id="773"/>
            <w:r>
              <w:rPr>
                <w:rFonts w:ascii="Times New Roman;Times;Serif" w:hAnsi="Times New Roman;Times;Serif"/>
                <w:sz w:val="20"/>
              </w:rPr>
              <w:t>General sales and marketing employee cost and other marketing expenses</w:t>
            </w:r>
          </w:p>
        </w:tc>
      </w:tr>
      <w:tr>
        <w:trPr/>
        <w:tc>
          <w:tcPr>
            <w:tcW w:w="232" w:type="dxa"/>
            <w:tcBorders/>
            <w:vAlign w:val="center"/>
          </w:tcPr>
          <w:p>
            <w:pPr>
              <w:pStyle w:val="TableContents"/>
              <w:bidi w:val="0"/>
              <w:spacing w:before="0" w:after="283"/>
              <w:jc w:val="both"/>
              <w:rPr>
                <w:rFonts w:ascii="Times New Roman;Times;Serif" w:hAnsi="Times New Roman;Times;Serif"/>
                <w:sz w:val="20"/>
              </w:rPr>
            </w:pPr>
            <w:bookmarkStart w:id="774" w:name="xdx_F04_zd5wc7FJ1oY9"/>
            <w:bookmarkEnd w:id="774"/>
            <w:r>
              <w:rPr>
                <w:rFonts w:ascii="Times New Roman;Times;Serif" w:hAnsi="Times New Roman;Times;Serif"/>
                <w:sz w:val="20"/>
              </w:rPr>
              <w:t>(5)</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775" w:name="xdx_F10_z2n2EToYwtNe"/>
            <w:bookmarkEnd w:id="775"/>
            <w:r>
              <w:rPr>
                <w:rFonts w:ascii="Times New Roman;Times;Serif" w:hAnsi="Times New Roman;Times;Serif"/>
                <w:sz w:val="20"/>
              </w:rPr>
              <w:t>Interest expense related to debt and change in fair market value of warrant liability</w:t>
            </w:r>
          </w:p>
        </w:tc>
      </w:tr>
    </w:tbl>
    <w:p>
      <w:pPr>
        <w:pStyle w:val="TextBody"/>
        <w:bidi w:val="0"/>
        <w:spacing w:before="0" w:after="0"/>
        <w:ind w:left="0" w:right="0" w:hanging="0"/>
        <w:jc w:val="both"/>
        <w:rPr>
          <w:caps w:val="false"/>
          <w:smallCaps w:val="false"/>
        </w:rPr>
      </w:pPr>
      <w:bookmarkStart w:id="776" w:name="xdx_8A8_zjL1gaq2wdCg"/>
      <w:bookmarkEnd w:id="7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represents approximately $</w:t>
      </w:r>
      <w:bookmarkStart w:id="777" w:name="xdx_907_eus-gaap--RevenueFromContractWit"/>
      <w:bookmarkEnd w:id="777"/>
      <w:r>
        <w:rPr>
          <w:rFonts w:ascii="Times New Roman;Times;Serif" w:hAnsi="Times New Roman;Times;Serif"/>
          <w:b w:val="false"/>
          <w:i w:val="false"/>
          <w:caps w:val="false"/>
          <w:smallCaps w:val="false"/>
          <w:sz w:val="20"/>
        </w:rPr>
        <w:t xml:space="preserve">1,369, or </w:t>
      </w:r>
      <w:bookmarkStart w:id="778" w:name="xdx_90E_eus-gaap--ConcentrationRiskPerce"/>
      <w:bookmarkEnd w:id="778"/>
      <w:r>
        <w:rPr>
          <w:rFonts w:ascii="Times New Roman;Times;Serif" w:hAnsi="Times New Roman;Times;Serif"/>
          <w:b w:val="false"/>
          <w:i w:val="false"/>
          <w:caps w:val="false"/>
          <w:smallCaps w:val="false"/>
          <w:sz w:val="20"/>
        </w:rPr>
        <w:t>14%, of the Company’s consolidated revenues for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Reportable Segments (continued)</w:t>
      </w:r>
    </w:p>
    <w:p>
      <w:pPr>
        <w:pStyle w:val="TextBody"/>
        <w:bidi w:val="0"/>
        <w:spacing w:before="0" w:after="0"/>
        <w:ind w:left="0" w:right="0" w:hanging="0"/>
        <w:jc w:val="both"/>
        <w:rPr>
          <w:caps/>
        </w:rPr>
      </w:pPr>
      <w:bookmarkStart w:id="779" w:name="xdx_C00_gL3SOSRIBSTB-TKHVJ_zqeqTBHFxy42"/>
      <w:bookmarkEnd w:id="779"/>
      <w:r>
        <w:rPr>
          <w:caps/>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reportable segments information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80" w:name="xdx_307_134_zWCXel0AB3Wh"/>
      <w:bookmarkStart w:id="781" w:name="xdx_307_134_zWCXel0AB3Wh"/>
      <w:bookmarkEnd w:id="781"/>
    </w:p>
    <w:tbl>
      <w:tblPr>
        <w:tblW w:w="6910" w:type="dxa"/>
        <w:jc w:val="left"/>
        <w:tblInd w:w="0" w:type="dxa"/>
        <w:tblLayout w:type="fixed"/>
        <w:tblCellMar>
          <w:top w:w="0" w:type="dxa"/>
          <w:left w:w="0" w:type="dxa"/>
          <w:bottom w:w="0" w:type="dxa"/>
          <w:right w:w="0" w:type="dxa"/>
        </w:tblCellMar>
      </w:tblPr>
      <w:tblGrid>
        <w:gridCol w:w="3755"/>
        <w:gridCol w:w="60"/>
        <w:gridCol w:w="110"/>
        <w:gridCol w:w="425"/>
        <w:gridCol w:w="60"/>
        <w:gridCol w:w="60"/>
        <w:gridCol w:w="110"/>
        <w:gridCol w:w="425"/>
        <w:gridCol w:w="60"/>
        <w:gridCol w:w="60"/>
        <w:gridCol w:w="110"/>
        <w:gridCol w:w="650"/>
        <w:gridCol w:w="245"/>
        <w:gridCol w:w="60"/>
        <w:gridCol w:w="110"/>
        <w:gridCol w:w="515"/>
        <w:gridCol w:w="95"/>
      </w:tblGrid>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82" w:name="xdx_498_20250101__20250331__us-gaap--Sta"/>
            <w:bookmarkEnd w:id="782"/>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DTC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83" w:name="xdx_49B_20250101__20250331__us-gaap--Sta"/>
            <w:bookmarkEnd w:id="783"/>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OEM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84" w:name="xdx_49B_20250101__20250331__us-gaap--Sta"/>
            <w:bookmarkEnd w:id="784"/>
          </w:p>
        </w:tc>
        <w:tc>
          <w:tcPr>
            <w:tcW w:w="7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Other</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785" w:name="xdx_491_20250101__20250331_zMnvNfe0t2g6"/>
            <w:bookmarkEnd w:id="785"/>
          </w:p>
        </w:tc>
        <w:tc>
          <w:tcPr>
            <w:tcW w:w="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786" w:name="xdx_404_eus-gaap--RevenueFromContractWit"/>
            <w:bookmarkEnd w:id="786"/>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8,091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w:t>
            </w:r>
            <w:bookmarkStart w:id="787" w:name="xdx_F29_zcSHl3hLARQ9"/>
            <w:bookmarkEnd w:id="787"/>
            <w:r>
              <w:rPr>
                <w:rFonts w:ascii="Times New Roman;Times;Serif" w:hAnsi="Times New Roman;Times;Serif"/>
                <w:b w:val="false"/>
                <w:i w:val="false"/>
                <w:caps w:val="false"/>
                <w:smallCaps w:val="false"/>
                <w:sz w:val="20"/>
              </w:rPr>
              <w:t>(1)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Reconciliation of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88" w:name="xdx_400_ecustom--ReconciliationOfNetSale"/>
            <w:bookmarkEnd w:id="788"/>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Reconciling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89" w:name="xdx_40C_eus-gaap--Revenues_pn3n3_zf2f2Lr"/>
            <w:bookmarkEnd w:id="789"/>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Consolidated 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0" w:name="xdx_403_eus-gaap--CostDirectMaterial_pn3"/>
            <w:bookmarkEnd w:id="790"/>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material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91" w:name="xdx_408_eus-gaap--CostDirectLabor_pn3n3_"/>
            <w:bookmarkEnd w:id="791"/>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labor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2" w:name="xdx_402_eus-gaap--CostOfGoodsAndServices"/>
            <w:bookmarkEnd w:id="792"/>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Direct overhead and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3" w:name="xdx_401_eus-gaap--CostOfGoodsAndServices"/>
            <w:bookmarkEnd w:id="793"/>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Cost of Goods Sold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4" w:name="xdx_405_eus-gaap--GrossProfit_pn3n3_znnq"/>
            <w:bookmarkEnd w:id="794"/>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95" w:name="xdx_403_eus-gaap--ResearchAndDevelopment"/>
            <w:bookmarkEnd w:id="795"/>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Research &amp;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w:t>
            </w:r>
            <w:bookmarkStart w:id="796" w:name="xdx_F21_zHunVtXiuPY8"/>
            <w:bookmarkEnd w:id="796"/>
            <w:r>
              <w:rPr>
                <w:rFonts w:ascii="Times New Roman;Times;Serif" w:hAnsi="Times New Roman;Times;Serif"/>
                <w:b w:val="false"/>
                <w:i w:val="false"/>
                <w:caps w:val="false"/>
                <w:smallCaps w:val="false"/>
                <w:sz w:val="20"/>
              </w:rPr>
              <w:t>(2)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7" w:name="xdx_40B_ecustom--SalesTaxAdjustment_pn3n"/>
            <w:bookmarkEnd w:id="797"/>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Sales tax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798" w:name="xdx_40B_ecustom--TransactionFees_pn3n3_z"/>
            <w:bookmarkEnd w:id="798"/>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Credit card &amp; amazon transaction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799" w:name="xdx_401_eus-gaap--OtherGeneralAndAdminis"/>
            <w:bookmarkEnd w:id="799"/>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general &amp;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6,241</w:t>
            </w:r>
            <w:bookmarkStart w:id="800" w:name="xdx_F20_ziC1WpqZUCz1"/>
            <w:bookmarkEnd w:id="800"/>
            <w:r>
              <w:rPr>
                <w:rFonts w:ascii="Times New Roman;Times;Serif" w:hAnsi="Times New Roman;Times;Serif"/>
                <w:b w:val="false"/>
                <w:i w:val="false"/>
                <w:caps w:val="false"/>
                <w:smallCaps w:val="false"/>
                <w:sz w:val="20"/>
              </w:rPr>
              <w:t>(3)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1" w:name="xdx_408_ecustom--Shipping_pn3n3_zLaBP3QM"/>
            <w:bookmarkEnd w:id="801"/>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Shipping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2" w:name="xdx_40E_ecustom--SalesAndMarketingStockC"/>
            <w:bookmarkEnd w:id="802"/>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Sales and marketing stock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3" w:name="xdx_40E_ecustom--SalesAndMarketingWages_"/>
            <w:bookmarkEnd w:id="803"/>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Sales and marketing wages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4" w:name="xdx_405_ecustom--MarketingSpend_pn3n3_zv"/>
            <w:bookmarkEnd w:id="804"/>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Marketing spend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5" w:name="xdx_404_ecustom--Rent_pn3n3_z5U2ThYpvebe"/>
            <w:bookmarkEnd w:id="805"/>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06" w:name="xdx_401_ecustom--UnallocatedSalesAndMark"/>
            <w:bookmarkEnd w:id="806"/>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Unallocated sales and marketing stock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292</w:t>
            </w:r>
            <w:bookmarkStart w:id="807" w:name="xdx_F22_z5sSIKrueM73"/>
            <w:bookmarkEnd w:id="807"/>
            <w:r>
              <w:rPr>
                <w:rFonts w:ascii="Times New Roman;Times;Serif" w:hAnsi="Times New Roman;Times;Serif"/>
                <w:b w:val="false"/>
                <w:i w:val="false"/>
                <w:caps w:val="false"/>
                <w:smallCaps w:val="false"/>
                <w:sz w:val="20"/>
              </w:rPr>
              <w:t>(4)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08" w:name="xdx_404_ecustom--UnallocatedSalesAndMark"/>
            <w:bookmarkEnd w:id="808"/>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Unallocated sales and marketing wages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w:t>
            </w:r>
            <w:bookmarkStart w:id="809" w:name="xdx_F21_zHOyqKh2wv9c"/>
            <w:bookmarkEnd w:id="809"/>
            <w:r>
              <w:rPr>
                <w:rFonts w:ascii="Times New Roman;Times;Serif" w:hAnsi="Times New Roman;Times;Serif"/>
                <w:b w:val="false"/>
                <w:i w:val="false"/>
                <w:caps w:val="false"/>
                <w:smallCaps w:val="false"/>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10" w:name="xdx_40C_eus-gaap--OtherSellingAndMarketi"/>
            <w:bookmarkEnd w:id="810"/>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sales &amp;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234</w:t>
            </w:r>
            <w:bookmarkStart w:id="811" w:name="xdx_F20_zUufiBLIonY9"/>
            <w:bookmarkEnd w:id="811"/>
            <w:r>
              <w:rPr>
                <w:rFonts w:ascii="Times New Roman;Times;Serif" w:hAnsi="Times New Roman;Times;Serif"/>
                <w:b w:val="false"/>
                <w:i w:val="false"/>
                <w:caps w:val="false"/>
                <w:smallCaps w:val="false"/>
                <w:sz w:val="20"/>
              </w:rPr>
              <w:t>(4)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6"/>
                <w:sz w:val="14"/>
                <w:sz w:val="18"/>
              </w:rPr>
            </w:pPr>
            <w:r>
              <w:rPr>
                <w:rFonts w:ascii="Times New Roman;Times;Serif" w:hAnsi="Times New Roman;Times;Serif"/>
                <w:b w:val="false"/>
                <w:i w:val="false"/>
                <w:caps w:val="false"/>
                <w:smallCaps w:val="false"/>
                <w:position w:val="6"/>
                <w:sz w:val="14"/>
                <w:sz w:val="18"/>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12" w:name="xdx_406_eus-gaap--OperatingExpenses_pn3n"/>
            <w:bookmarkEnd w:id="812"/>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7,781</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9,842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13" w:name="xdx_40B_eus-gaap--OperatingIncomeLoss_pn"/>
            <w:bookmarkEnd w:id="813"/>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(7,531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7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14" w:name="xdx_40F_eus-gaap--InterestExpenseNonoper"/>
            <w:bookmarkEnd w:id="814"/>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(4,701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815" w:name="xdx_403_eus-gaap--FairValueAdjustmentOfW"/>
            <w:bookmarkEnd w:id="815"/>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Change in FMV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3,818</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16" w:name="xdx_40F_eus-gaap--NonoperatingIncomeExpe"/>
            <w:bookmarkEnd w:id="816"/>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(883</w:t>
            </w:r>
            <w:bookmarkStart w:id="817" w:name="xdx_F2F_z2zUkvuarNP5"/>
            <w:bookmarkEnd w:id="817"/>
            <w:r>
              <w:rPr>
                <w:rFonts w:ascii="Times New Roman;Times;Serif" w:hAnsi="Times New Roman;Times;Serif"/>
                <w:b w:val="false"/>
                <w:i w:val="false"/>
                <w:caps w:val="false"/>
                <w:smallCaps w:val="false"/>
                <w:sz w:val="20"/>
              </w:rPr>
              <w:t>(5)</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r>
              <w:rPr>
                <w:rFonts w:ascii="Times New Roman;Times;Serif" w:hAnsi="Times New Roman;Times;Serif"/>
                <w:b w:val="false"/>
                <w:i w:val="false"/>
                <w:caps w:val="false"/>
                <w:smallCaps w:val="false"/>
                <w:position w:val="6"/>
                <w:sz w:val="14"/>
                <w:sz w:val="18"/>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18" w:name="xdx_40F_eus-gaap--IncomeLossFromContinui"/>
            <w:bookmarkEnd w:id="818"/>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Loss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(8,414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19" w:name="xdx_409_eus-gaap--IncomeTaxExpenseBenefi"/>
            <w:bookmarkEnd w:id="819"/>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Income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0" w:name="xdx_40D_eus-gaap--NetIncomeLoss_pn3n3_zB"/>
            <w:bookmarkEnd w:id="820"/>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(8,414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37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Reconciliation of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21" w:name="xdx_406_ecustom--NetIncomeLossReconcilin"/>
            <w:bookmarkEnd w:id="821"/>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Reconciling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822" w:name="xdx_402_eus-gaap--ProfitLoss_pn3n3_z3R9E"/>
            <w:bookmarkEnd w:id="822"/>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Consolidated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sz w:val="20"/>
              </w:rPr>
            </w:pPr>
            <w:bookmarkStart w:id="823" w:name="xdx_F05_zXqXvr9hxoF3"/>
            <w:bookmarkEnd w:id="823"/>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824" w:name="xdx_F13_zc8aiiEsmVS4"/>
            <w:bookmarkEnd w:id="824"/>
            <w:r>
              <w:rPr>
                <w:rFonts w:ascii="Times New Roman;Times;Serif" w:hAnsi="Times New Roman;Times;Serif"/>
                <w:sz w:val="20"/>
              </w:rPr>
              <w:t>Licensing Revenue which is not considered a segment as it is currently immaterial</w:t>
            </w:r>
          </w:p>
        </w:tc>
      </w:tr>
      <w:tr>
        <w:trPr/>
        <w:tc>
          <w:tcPr>
            <w:tcW w:w="232" w:type="dxa"/>
            <w:tcBorders/>
            <w:vAlign w:val="center"/>
          </w:tcPr>
          <w:p>
            <w:pPr>
              <w:pStyle w:val="TableContents"/>
              <w:bidi w:val="0"/>
              <w:spacing w:before="0" w:after="283"/>
              <w:jc w:val="both"/>
              <w:rPr>
                <w:rFonts w:ascii="Times New Roman;Times;Serif" w:hAnsi="Times New Roman;Times;Serif"/>
                <w:sz w:val="20"/>
              </w:rPr>
            </w:pPr>
            <w:bookmarkStart w:id="825" w:name="xdx_F0E_zyIDcuHQRGVg"/>
            <w:bookmarkEnd w:id="825"/>
            <w:r>
              <w:rPr>
                <w:rFonts w:ascii="Times New Roman;Times;Serif" w:hAnsi="Times New Roman;Times;Serif"/>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826" w:name="xdx_F1B_z7FZHFUnicVc"/>
            <w:bookmarkEnd w:id="826"/>
            <w:r>
              <w:rPr>
                <w:rFonts w:ascii="Times New Roman;Times;Serif" w:hAnsi="Times New Roman;Times;Serif"/>
                <w:sz w:val="20"/>
              </w:rPr>
              <w:t>Research and Development expenses including employee costs related to new products</w:t>
            </w:r>
          </w:p>
        </w:tc>
      </w:tr>
      <w:tr>
        <w:trPr/>
        <w:tc>
          <w:tcPr>
            <w:tcW w:w="232" w:type="dxa"/>
            <w:tcBorders/>
            <w:vAlign w:val="center"/>
          </w:tcPr>
          <w:p>
            <w:pPr>
              <w:pStyle w:val="TableContents"/>
              <w:bidi w:val="0"/>
              <w:spacing w:before="0" w:after="283"/>
              <w:jc w:val="both"/>
              <w:rPr>
                <w:rFonts w:ascii="Times New Roman;Times;Serif" w:hAnsi="Times New Roman;Times;Serif"/>
                <w:sz w:val="20"/>
              </w:rPr>
            </w:pPr>
            <w:bookmarkStart w:id="827" w:name="xdx_F06_zTq3JuUJlmRf"/>
            <w:bookmarkEnd w:id="827"/>
            <w:r>
              <w:rPr>
                <w:rFonts w:ascii="Times New Roman;Times;Serif" w:hAnsi="Times New Roman;Times;Serif"/>
                <w:sz w:val="20"/>
              </w:rPr>
              <w:t>(3)</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828" w:name="xdx_F17_ztyQo2DHVuEj"/>
            <w:bookmarkEnd w:id="828"/>
            <w:r>
              <w:rPr>
                <w:rFonts w:ascii="Times New Roman;Times;Serif" w:hAnsi="Times New Roman;Times;Serif"/>
                <w:sz w:val="20"/>
              </w:rPr>
              <w:t>Administrative and Engineering employee costs along with legal, insurance, professional fees related to administration and other general office expenses</w:t>
            </w:r>
          </w:p>
        </w:tc>
      </w:tr>
      <w:tr>
        <w:trPr/>
        <w:tc>
          <w:tcPr>
            <w:tcW w:w="232" w:type="dxa"/>
            <w:tcBorders/>
            <w:vAlign w:val="center"/>
          </w:tcPr>
          <w:p>
            <w:pPr>
              <w:pStyle w:val="TableContents"/>
              <w:bidi w:val="0"/>
              <w:spacing w:before="0" w:after="283"/>
              <w:jc w:val="both"/>
              <w:rPr>
                <w:rFonts w:ascii="Times New Roman;Times;Serif" w:hAnsi="Times New Roman;Times;Serif"/>
                <w:sz w:val="20"/>
              </w:rPr>
            </w:pPr>
            <w:bookmarkStart w:id="829" w:name="xdx_F06_z4IgA1InxGkl"/>
            <w:bookmarkEnd w:id="829"/>
            <w:r>
              <w:rPr>
                <w:rFonts w:ascii="Times New Roman;Times;Serif" w:hAnsi="Times New Roman;Times;Serif"/>
                <w:sz w:val="20"/>
              </w:rPr>
              <w:t>(4)</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830" w:name="xdx_F12_zEOTfsO3QhXl"/>
            <w:bookmarkEnd w:id="830"/>
            <w:r>
              <w:rPr>
                <w:rFonts w:ascii="Times New Roman;Times;Serif" w:hAnsi="Times New Roman;Times;Serif"/>
                <w:sz w:val="20"/>
              </w:rPr>
              <w:t>General sales and marketing employee cost and other marketing expenses</w:t>
            </w:r>
          </w:p>
        </w:tc>
      </w:tr>
      <w:tr>
        <w:trPr/>
        <w:tc>
          <w:tcPr>
            <w:tcW w:w="232" w:type="dxa"/>
            <w:tcBorders/>
            <w:vAlign w:val="center"/>
          </w:tcPr>
          <w:p>
            <w:pPr>
              <w:pStyle w:val="TableContents"/>
              <w:bidi w:val="0"/>
              <w:spacing w:before="0" w:after="283"/>
              <w:jc w:val="both"/>
              <w:rPr>
                <w:rFonts w:ascii="Times New Roman;Times;Serif" w:hAnsi="Times New Roman;Times;Serif"/>
                <w:sz w:val="20"/>
              </w:rPr>
            </w:pPr>
            <w:bookmarkStart w:id="831" w:name="xdx_F0A_zLD4uH7T469f"/>
            <w:bookmarkEnd w:id="831"/>
            <w:r>
              <w:rPr>
                <w:rFonts w:ascii="Times New Roman;Times;Serif" w:hAnsi="Times New Roman;Times;Serif"/>
                <w:sz w:val="20"/>
              </w:rPr>
              <w:t>(5)</w:t>
            </w:r>
          </w:p>
        </w:tc>
        <w:tc>
          <w:tcPr>
            <w:tcW w:w="9973" w:type="dxa"/>
            <w:tcBorders/>
            <w:vAlign w:val="center"/>
          </w:tcPr>
          <w:p>
            <w:pPr>
              <w:pStyle w:val="TableContents"/>
              <w:bidi w:val="0"/>
              <w:spacing w:before="0" w:after="283"/>
              <w:jc w:val="both"/>
              <w:rPr>
                <w:rFonts w:ascii="Times New Roman;Times;Serif" w:hAnsi="Times New Roman;Times;Serif"/>
                <w:sz w:val="20"/>
              </w:rPr>
            </w:pPr>
            <w:bookmarkStart w:id="832" w:name="xdx_F1C_z0Drw40LCXIe"/>
            <w:bookmarkEnd w:id="832"/>
            <w:r>
              <w:rPr>
                <w:rFonts w:ascii="Times New Roman;Times;Serif" w:hAnsi="Times New Roman;Times;Serif"/>
                <w:sz w:val="20"/>
              </w:rPr>
              <w:t>Interest expense related to debt and change in fair market value of warrant liability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833" w:name="xdx_C06_gL3SOSRIBSTB-TKHVJ_z6o8SsRNFaXd"/>
      <w:bookmarkEnd w:id="8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represents approximately $</w:t>
      </w:r>
      <w:bookmarkStart w:id="834" w:name="xdx_90C_eus-gaap--RevenueFromContractWit"/>
      <w:bookmarkEnd w:id="834"/>
      <w:r>
        <w:rPr>
          <w:rFonts w:ascii="Times New Roman;Times;Serif" w:hAnsi="Times New Roman;Times;Serif"/>
          <w:b w:val="false"/>
          <w:i w:val="false"/>
          <w:caps w:val="false"/>
          <w:smallCaps w:val="false"/>
          <w:sz w:val="20"/>
        </w:rPr>
        <w:t xml:space="preserve">2,300, or </w:t>
      </w:r>
      <w:bookmarkStart w:id="835" w:name="xdx_90E_eus-gaap--ConcentrationRiskPerce"/>
      <w:bookmarkEnd w:id="835"/>
      <w:r>
        <w:rPr>
          <w:rFonts w:ascii="Times New Roman;Times;Serif" w:hAnsi="Times New Roman;Times;Serif"/>
          <w:b w:val="false"/>
          <w:i w:val="false"/>
          <w:caps w:val="false"/>
          <w:smallCaps w:val="false"/>
          <w:sz w:val="20"/>
        </w:rPr>
        <w:t>18%, of the Company’s consolidated revenues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836" w:name="xdx_80B_eus-gaap--SubsequentEventsTextBl"/>
      <w:bookmarkEnd w:id="836"/>
      <w:r>
        <w:rPr>
          <w:rFonts w:ascii="Times New Roman;Times;Serif" w:hAnsi="Times New Roman;Times;Serif"/>
          <w:b/>
          <w:i w:val="false"/>
          <w:caps/>
          <w:sz w:val="20"/>
        </w:rPr>
        <w:t xml:space="preserve">Note 13 - </w:t>
      </w:r>
      <w:bookmarkStart w:id="837" w:name="xdx_82F_zsS9HrHjBtRe"/>
      <w:bookmarkEnd w:id="837"/>
      <w:r>
        <w:rPr>
          <w:rFonts w:ascii="Times New Roman;Times;Serif" w:hAnsi="Times New Roman;Times;Serif"/>
          <w:b/>
          <w:i w:val="false"/>
          <w:caps/>
          <w:sz w:val="20"/>
        </w:rPr>
        <w:t>SUBSEQUENT EVENTS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March 31, 2026, the remaining outstanding penny warrants of </w:t>
      </w:r>
      <w:bookmarkStart w:id="838" w:name="xdx_90E_eus-gaap--ShareBasedCompensation"/>
      <w:bookmarkEnd w:id="838"/>
      <w:r>
        <w:rPr>
          <w:rFonts w:ascii="Times New Roman;Times;Serif" w:hAnsi="Times New Roman;Times;Serif"/>
          <w:b w:val="false"/>
          <w:i w:val="false"/>
          <w:caps w:val="false"/>
          <w:smallCaps w:val="false"/>
          <w:sz w:val="20"/>
        </w:rPr>
        <w:t xml:space="preserve">103,948 warrants were exercised in full on a cashless basis, resulting in the issuance of </w:t>
      </w:r>
      <w:bookmarkStart w:id="839" w:name="xdx_90E_eus-gaap--StockIssuedDuringPerio"/>
      <w:bookmarkEnd w:id="839"/>
      <w:r>
        <w:rPr>
          <w:rFonts w:ascii="Times New Roman;Times;Serif" w:hAnsi="Times New Roman;Times;Serif"/>
          <w:b w:val="false"/>
          <w:i w:val="false"/>
          <w:caps w:val="false"/>
          <w:smallCaps w:val="false"/>
          <w:sz w:val="20"/>
        </w:rPr>
        <w:t>103,390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March 31, 2026, the Company issued and sold approximately </w:t>
      </w:r>
      <w:bookmarkStart w:id="840" w:name="xdx_90E_eus-gaap--SaleOfStockNumberOfSha"/>
      <w:bookmarkEnd w:id="840"/>
      <w:r>
        <w:rPr>
          <w:rFonts w:ascii="Times New Roman;Times;Serif" w:hAnsi="Times New Roman;Times;Serif"/>
          <w:b w:val="false"/>
          <w:i w:val="false"/>
          <w:caps w:val="false"/>
          <w:smallCaps w:val="false"/>
          <w:sz w:val="20"/>
        </w:rPr>
        <w:t>379,700 shares of common stock under the Equity Distribution Agreement with Canaccord Genuity LLC, resulting in additional net cash proceeds of approximately $</w:t>
      </w:r>
      <w:bookmarkStart w:id="841" w:name="xdx_903_eus-gaap--ProceedsFromIssuanceOf"/>
      <w:bookmarkEnd w:id="841"/>
      <w:r>
        <w:rPr>
          <w:rFonts w:ascii="Times New Roman;Times;Serif" w:hAnsi="Times New Roman;Times;Serif"/>
          <w:b w:val="false"/>
          <w:i w:val="false"/>
          <w:caps w:val="false"/>
          <w:smallCaps w:val="false"/>
          <w:sz w:val="20"/>
        </w:rPr>
        <w:t>768.</w:t>
      </w:r>
    </w:p>
    <w:p>
      <w:pPr>
        <w:pStyle w:val="TextBody"/>
        <w:bidi w:val="0"/>
        <w:spacing w:before="0" w:after="0"/>
        <w:ind w:left="0" w:right="0" w:hanging="0"/>
        <w:jc w:val="both"/>
        <w:rPr>
          <w:caps w:val="false"/>
          <w:smallCaps w:val="false"/>
        </w:rPr>
      </w:pPr>
      <w:bookmarkStart w:id="842" w:name="xdx_819_zbzTVh7JuZY3"/>
      <w:bookmarkEnd w:id="84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3" w:name="sa_001"/>
      <w:bookmarkEnd w:id="843"/>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this report (the “Quarterly Report”) to “we,” “us,” “our” or the “Company” refer to Dragonfly Energy Holdings Corp., a Nevada corporation. References to “Legacy Dragonfly” refer to Dragonfly Energy Corp., a Nevada corporation and one of our wholly-owned subsidiaries.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2025 included in our Annual Report on Form 10-K filed with the Securities and Exchange Commission (the “SEC”) on March 30, 2026 (the “Annual Report”),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Cautionary Note Regarding Forward Looking-Statements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made pursuant to the safe harbor provisions of the Private Securities Litigation Reform Act of 1995 under Section 27A of the Securities Act of 1933, as amended (the “Securities Act”),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the conversion and the terms of our outstanding Series B Convertible Stock (the “Series B Preferred Stock”) on the market price of our common stock and our ability to redeem and make dividend payments with respect to our Series B Preferred Stock;</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and public warrants on the Nasdaq Capital Market;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including with Stevens Transport;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in our existing markets or new markets that we enter, including the trucking and industrials markets, and our ability to achieve and maintain profitability;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produce lithium battery cells in the United States in a timely manner or at all, or to scale to mass production;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pending litigation and potential product liability claims;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timely achieve the anticipated benefits of our licensing arrangement with Stryten Energy LLC (“Stryten”);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changes in the rates of tariffs or any adjustments to the amounts payable by us to customs as a result of improperly identifying the applicable tariff rate payable on our products;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committed equity facility;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one manufacturing facility;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global and macroeconomic conditions, including economic, political and social instability, including the Russia-Ukraine conflict, the India-Pakistan conflict, Hamas’ attack on Israel and the Iranian conflict, and their effects on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Part I-Item 1A-Risk Factors</w:t>
      </w:r>
      <w:r>
        <w:rPr>
          <w:rFonts w:ascii="Times New Roman;Times;Serif" w:hAnsi="Times New Roman;Times;Serif"/>
          <w:b w:val="false"/>
          <w:i w:val="false"/>
          <w:caps w:val="false"/>
          <w:smallCaps w:val="false"/>
          <w:sz w:val="20"/>
        </w:rPr>
        <w:t>” of our Annual Report and in this Quarterly Report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industry (including the recreational vehicle (“RV”), marine vessel, solar and off-grid residence industries), and trucking, industrial and energy storage markets, with proprietary, patented and disruptive battery cell manufacturing and non-flammable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382,000 batteries. For the quarters ended March 31, 2026, and March 31, 2025, we sold 5,783 and 10,845 batteries, respectively, and had $9.7 million and $13.4 million in net sales, respectively. We currently offer several lines of batteries across our two brands, each differentiated by size, power and capacity, consisting of seven different models, which come with an option for internal heat for cold temperature operation or an option for wireless communication using our Dragonfly IntelLigence feature. As a result of changes to our marketing focus and corporate objectives, we are focusing our selling efforts of “Battle Born” branded batteries primarily to original equipment manufacturers (“OEMs”) as well as directly to consumers (“DTC”).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decrease in sales was primarily attributable to RV OEM customers right sizing inventory levels in response to a slower-than-anticipated market recovery, as reflected in RVIA shipment data for the quarter, as well as overall macroeconomic conditions. DTC sales declined due to macroeconomic pressures on consumer demand. In addition, during the quarter, we experienced increased negative third-party online commentary regarding some of our products, which may have impacted customer sentiment and contributed to variability in demand. We expect our sales to increase in the next 12 months as our customers expand the number of models they include our battery systems in for the new model year and our entrance into new markets, trucking and industrials, with new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we continued to implement our corporate optimization initiative, prioritizing product development to drive near term revenue and profit. For instance, this strategic shift is accelerating our development of purpose-built solutions for the trucking and industrial markets, resulting in the recent launch of our Battle Born DualFlow Power Pack, a practical, cost-effective hybrid electrification solution for the trucking industry. Subsequent to first quarter end, we received a purchase order from Stevens Transport valued in excess of $3 million for approximately 500 trucks, representing one of the largest single-fleet deployments of our heavy-duty trucking solutions to date and spanning our full product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April 2026, we announced we have received an allowance from the Japan Patent Office for our application titled “Powderized Solid-State Electrolyte and Electroactive Materials.” This marks our first patent application allowance in Japan and covers innovations in powderized solid-state electrolyte and electroactive materials, a core component of our solid-state battery development and dry electrode manufacturing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(“LFP”)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the Wakespeed Offshore brand (“Wakespeed”)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we completed the construction of our proprietary and patented cell electrode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have since produced sample cells using PFAS-free binders and automotive-grade electrode loadings and C-rates, and are now working on the design and deployment of scaled-up coating equipment that can be applied to a GWh-scale factory, reflecting the shift in industry priorities from cell performance to cost-effective scalability.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totaling $8.6 million. Our net loss for the quarter ended March 31, 2026 was $6.6 million and our net loss for the quarter ended March 31, 2025 was $6.8 million.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the ATM (as defined below) and the issuance of equity, equity-related or debt securities or by obtaining additional credit from financial institutions to fund, together with our principal sources of liquidity, ongoing costs.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reduce operations, sell off our assets, seek the protection of bankruptcy courts or shut down our operations and dissolve.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 with Stryten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Battery Products, LLC (“Battle Born LLC”), a wholly-owned subsidiary of Legacy Dragonfly, entered into a License Agreement (the “License Agreement”) with Stryten. Pursuant to the License Agreement, Battle Born LLC granted Stryten an exclusive, worldwide license to use certain trademarks relating to Legacy Dragonfly’s lithium-ion battery brand, Battle Born Batteries® (the “Licensed Trademarks”) for business-to-business sales of batteries to customers within the following markets: (i) automative, (ii) marine, (iii) powersports, (iv) lawn and garden, (v) golf cart, and (vi) military and defense (such industries, the “Stryten Market”). In exchange for the licensing rights, Stryten agreed to pay Battle Born LLC an initial licensing fee of five million dollars ($5,000,000) (the “Initial Licensing Fee”), which was paid on August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provides for mid-single digit royalty payments based on net sales using the Licensed Trademarks, with a tiered structure reaching up to twenty-five million dollars ($25,000,000), at which point Stryten will be required to pay a nominal annual license fee. Additional fees will apply for battery design and contract manufacturing services outside of the License Agreement. 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fifteen million dollars ($15,000,000) after five (5)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initial merger consideration in connection with our business combination in October of 2022, up to 444,445 additional shares of common stock (“Earnout Shares”) may be issued based on achieving specified milestones in three tranches: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Tranche (166,667 shares): Issuable if 2023 total audited revenue is at least $250 million and audited operating income is at least $35 million. This milestone was not achieved for 2023.</w:t>
            </w:r>
          </w:p>
        </w:tc>
      </w:tr>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Tranche (138,889 shares): Issuable if the volume-weighted average trading price of common stock reaches $2,025.00 over any 20 trading days within a 30-day period, on or before December 31, 2026.</w:t>
            </w:r>
          </w:p>
        </w:tc>
      </w:tr>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Tranche (138,889 shares): Issuable if the volume-weighted average trading price of common stock reaches $2,925.00 over any 20 trading days within a 30-day period, on or before December 31, 2028.</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during the second or third earnout periods, unachieved milestones will be automatically deemed satisfied if the share price at the time of the transaction meets or exceeds $2,025.00 for the second period or $2,925.00 for the third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2025 Registered Direct Offering and Concurrent Private Placement, Fifth Amendment to Term Loan Agreement and April 2025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we entered into a securities purchase agreement with a single institutional investor, pursuant to which we sold in a registered direct offering (the “Registered Direct Offering”) 18 shares of Series A Convertible Preferred Stock, par value $0.001 per share (the “Series A Preferred Stock”), at a price of $100,000 per share, initially convertible into shares of our common stock, at a conversion price of $23.32 per share of common stock. The Series A Preferred Stock was also convertible by the investor at an adjusted conversion price, subject to the applicable floor price.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sale of the Series A Preferred Stock in the Registered Direct Offering, in a private placement offering pursuant to the Purchase Agreement (the “Private Placement” and, together with the Registered Direct Offering, the “Offerings”), we sold, at the initial closing of the Private Placement (the “Initial Closing” and, together with the Registered Direct Offering, the “Initial Offerings”), (i) an additional 17 shares of Series A Preferred Stock at the same offering price as the Series A Preferred Stock offered in the Registered Direct Offering, initially convertible into shares of common stock at a conversion price of $23.32 per share, and (ii) warrants (the “Private Placement Convertible Preferred Warrants”) to purchase up to an aggregate of 400 shares of Series A Preferred Stock (the “Private Placement Warrant Shares”), with an exercise price of $100,000 per share of Series A Preferred Stock, and a term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under each Private Placement Convertible Preferred Warrant was $100,000 per share of Series A Preferred Stock. Each Private Placement Convertible Preferred Warrant was exercisable for 20 shares of Series A Preferred Stock in minimum increments of $500,000. The Private Placement Convertible Preferred Warrants had a term beginning on the issuance date and ending on or prior to the earlier of (i) the thirty-three (33) month anniversary of the date the shares of common stock issued or issuable upon the conversion of the Series A Preferred Stock issued in the concurrent Private Placement were registered for resale (“Registration Effectiveness”) pursuant to an effective registration statement under the Securities Act of 1933, as amended, (the “Securities Act”) (such date, the “Registration Effectiveness Date”) and (ii) (A) the consummation of a Change of Control (as defined in the certificate of designation) and (B) the consummation of a redemption of the then outstanding Series A Preferred Stock in full. The exercise price and number of shares of Series A Preferred Stock issuable upon exercise was subject to appropriate adjustment in the event of share dividends, share splits, reorganizations or similar events affecting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pursuant to the Purchase Agreement, we sold to the Purchaser, in the second closing of the Private Placement (the “Second Closing”) 45 Preferred Shares at a price of $100,000 per share, initially convertible into shares of common stock at a conversion price of $5.95 per share,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 from the Initial Offerings and the Second Offering, after deducting the placement agent’s fees and expenses and estimated offering expenses, were approximately $3.2 million and $4.2 million, respectively, excluding the net proceeds, if any, from the exercise of the Private Placement Convertible 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precedent to the closing of the Initial Offerings, on February 26, 2025, we entered into the Fifth Amendment (the “Fifth Amendment”)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we and the holder of Private Placement Convertible Preferred Warrants agreed to cancel such holder’s Private Placement Convertible Preferred Warrants to purchase up to an aggregate of 400 shares of Series A Preferred Stock, with an exercise price of $100,000 per share of Series A Preferred Stock. As a result, the Private Placement Convertible Preferred Warrants are no longer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2025, we entered into a Settlement and Release Agreement (the “Release Agreement”) with the holder of the outstanding shares of Series A Preferred Stock. Pursuant to the terms of the Release Agreement, we issued and delivered 210,000 shares of common stock to the holder and the holder surrendered to us all of the outstanding shares of Series A Preferred Stock. In addition, under the Release Agreement, upon the issuance of the shares of common stock, our obligations under the Purchase Agreement, the Certificate of Designation governing the Series A Preferred Stock and the other agreements entered into in connection with the offering of the Series A Preferred Stock were satisfied in full and the Purchase Agreement and the other agreements were deemed terminated and any remaining shares of Series A Preferred Stock that were outstanding or deemed to be outstanding were deemed cancelled and no longer outstanding. We have no further obligation to issue any shares of common stock or Series A Preferred Stock to the holder under the Purchase Agreement or otherwise. Under the Release Agreement, each party also provided a full release to the other party.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we entered into an underwriting agreement with Canaccord Genuity LLC (“Canaccord”), as representative of the several underwriters named in the certain underwriting agreement, relating to an underwritten public offering (the “July 2025 Public Offering”) of 2,198,000 shares of common stock, at a price to the public of $2.50 per share. On July 31, 2025, we completed the July 2025 Public Offering raising gross proceeds of approximately $5.5 million and net proceeds of $4.7 million after deducting underwriting discounts and commissions and other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October 2025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we entered into an underwriting agreement with Canaccord, as representative of the several underwriters (the “First Offering Underwriters”) named in the underwriting agreement dated October 6, 2025, relating to an underwritten public offering (the “First October 2025 Offering”) of 2,000,000 shares of common stock at a price to the public of $12.50 per share, which includes the First Offering Underwriters’ option to purchase an additional 300,000 shares of common stock, at a public offering price of $12.50 per share. On October 8, 2025, we completed the First October 2025 Offering, including the full exercise of the additional 300,000 shares of common stock, raising gross proceeds of approximately $28.8 million and net proceeds of $26.9 million after deducting underwriting discounts and commissions and other estimated offering expenses payable by us. On October 8, 2025 upon a request from our Term Loan Lenders under the term loan agreement, we repaid $4.0 million of principal to satisfy a portion of its outstanding principal under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we entered into an additional underwriting agreement with Canaccord, as representative of the several underwriters (the “Second Offering Underwriters”) named in the underwriting agreement, dated October 17, 2025 (the “Second Offering Underwriting Agreement”), relating to an underwritten public offering (the “Second October 2025 Offering”) of 3,600,000 shares of common stock at a price to the public of $13.50 per share, and (ii) prefunded warrants (the “October 2025 Pre-Funded Warrants”) to purchase up to 500,000 shares of common stock (the “Pre-Funded Warrant Shares”) at a price to the public of $13.50 per October 2025 Pre-Funded Warrant, which represents the per share public offering price for the Shares (as defined below) less the $0.001 per share exercise price for each such Pre-Funded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Sixth Amendment to Term Loan, Series B Preferred Stock Issuance and 2025 Debt Restructuring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we entered into the Sixth Amendment to the Term Loan Agreement with the Term Loan Lenders to, among other matters, (i) adjust the fixed interest rate of the remaining outstanding principal amount under the Term Loan Agreement to a fixed interest rate of 12% per annum, payable monthly commencing December 31, 2025 that will mature in October 2027, and (ii) waive any applicable financial covenants (except for a financial covenant requiring us to maintain cash and cash equivalents equal to or greater than $5.0 million) through December 31, 2026. In connection with the Sixth Amendment, (i) we made a prepayment of $45.0 million of outstanding indebtedness under the Term Loan Agreement from the net proceeds from the Second October 2025 Offering (the “Loan Prepayment”), (ii) the Term Loan Lenders forgave the repayment of $5.0 million of the outstanding principal under the Term Loan Agreement, (iii) we paid a fee to the Term Loan Lenders equal to approximately $450,000 in cash and $450,000 added to principal outstanding amount of the loan under the Term Loan Agreement; and (iv) we issued 25,000 shares of Series B Preferred Stock in exchange for $25.0 million outstanding principal amount of the Term Loan. The remaining outstanding principal amount under the Term Loan Agreement of approximately $19.0 million, after the repayment and forgiveness disclosed above, will have a fixed interest rate of 12% per annum, payable monthly commencing December 31, 2025 and will mature in October 2027. In addition, certain covenants under the Term Loan Agreement have been waived through December 31, 2026, and we have agreed to a minimum liquidity covenant of $5.0 million calculated on a monthly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we filed a Certificate of Designation of the Powers, Preferences and Relative, Participating, Optional and Other Restrictions of Series B Convertible Preferred Stock (the “Series B Certificate of Designation”) with the Secretary of State of the State of Nevada to establish the rights, privileges, preferences, and restrictions of the Series B Preferred Stock. As set forth in the Certificate of Designation, we designated 25,000 shares of preferred stock as Series B Preferred Stock with a stated value of $1,000 per share. The Series B Preferred Stock is convertible into shares of common stock at the option of the Term Lenders at a conversion price of $31.50 per share, or an aggregate of 793,651 shares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we entered into the Exchange Agreement with the Term Loan Lenders pursuant to we issued 25,000 shares of newly created Series B Preferred Stock in exchange for $25.0 million outstanding principal amount of the Term Loan. The Series B Preferred Stock (i) is convertible into shares of common stock at the option of the Term Loan Lenders at a conversion price of $31.50 per share, or an aggregate of 793,651 shares of common stock, (ii) has a dividend of 8% per annum payable quarterly in cash and (iii) has a dividend of 2% per annum payable quarterly in kind (“PIK Dividends”), which includes the aggregate amount of all paid PIK Dividends and any accrued and unpaid PIK Dividends on the applicable dividend date. In addition, we have a right to redeem any outstanding shares of the Series B Preferred Stock at our option at the greater of (i) the stated value plus any outstanding dividends and (ii) the as-converted value of the shares of common stock underlying the Series B Preferred Stock (the “Optional Redemption Price”). The Term Loan Lenders have also agreed not to convert any shares of the Series B Preferred Stock for a period of six months following the issuance of the Series B Preferred Stock. In connection with any future equity offerings, we will be required to use 50% of the net proceeds from such offering to redeem outstanding shares of the Series B Preferred Stock at the Optional Redemption Price. In the event we have not redeemed the outstanding shares of Series B Preferred Stock by October 7, 2027 or upon the occurrence of a Non-Payment Event (as defined in the Series B Certificate of Designation), the holders will have the right to require us to redeem the Series B Preferred Stock at the Optional Redemption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entered into an Equity Distribution Agreement (the “Equity Distribution Agreement”) with Canaccord Genuity LLC (“Canaccord”) under which we may offer and sell, from time to time, shares of our common stock through an at-the-market equity offering program (the “ATM”) for up to $50.0 million in gross proceeds. Subject to the terms and conditions of the Equity Distribution Agreement, Canaccord will use commercially reasonable efforts to sell shares of our common stock from time to time based upon our instructions, including any price, time or size limits specified by us. We are not obligated to sell any shares of common stock under the Equity Distribution Agreement. We will pay Canaccord a commission of 3.0% of the aggregate gross proceeds from each sale of shares of common stock and will reimburse Canaccord for certain specified expenses. As of March 31, 2026, we have not sold any shares of our common stock pursuant to the ATM. Subsequent to March 31, 2026, we have sold 379,700 shares of common stock for aggregate net proceeds of approximately $0.8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through OEMs, particularly in the RV market. As our business has evolved, our growth strategy has increasingly shifted toward OEM, fleet, and industrial channels, where we can deliver integrated energy storage solutions at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macro-economic conditions and increased competition from imported battery packs have led to a decrease in direct to consumer sales. We have focused on product diversification, including the introduction of batteries equipped with our Dragonfly IntelLigence technology and the expansion of complementary system components that support integrated power solutions across our end markets. We expect that direct to consumer sales will remain relatively flat through 2026. However, we expect growth among our existing RV OEM customers to be driven by expanded adoption of our products across additional models and configurations, as well as increased system content per unit, rather than solely by changes in overall RV shipment volumes. In addition, we anticipate increased revenue from continued expansion within existing customer relationships across other end markets, including industrial and commercial energy storage applications and the heavy-duty trucking market, where fleet customers have begun to adopt our systems and expand deployments following initial pilot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numerous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390,240 square foot headquarters and manufacturing facility located in Reno, Nevada. We currently operate four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 We have also focused on optimizing our manufacturing efficiency and throughput, enabling us to increase our production capacity without the need for increased headcount.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own conventional LFP cells and, in the longer term,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currently primarily focused on the scaling our proprietary dry electrode process for domestic production of full LFP cells. Although we have reallocated resources from the advanced manufacturing of solid-state lithium-ion batteries in order to focus on conventional cells, we expect to return to the solid-state chemistry as capital becomes more available for these longer term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primarily generated from the sale of our LFP batteries to OEMs and directly to consumers, as well as chargers and other accessories, either individually or bundled, and recognition of deferred licensing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engineering and product development organizations, certain facility and information technology costs, and fees for professional services.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consists primarily of debt extinguishment, interest expense, the change in fair value of the warrant liability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Three months ended March 31, 2026, and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three months ended March 31, 2026 and March 31, 2025.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8048" w:type="dxa"/>
        <w:jc w:val="left"/>
        <w:tblInd w:w="0" w:type="dxa"/>
        <w:tblLayout w:type="fixed"/>
        <w:tblCellMar>
          <w:top w:w="0" w:type="dxa"/>
          <w:left w:w="0" w:type="dxa"/>
          <w:bottom w:w="0" w:type="dxa"/>
          <w:right w:w="0" w:type="dxa"/>
        </w:tblCellMar>
      </w:tblPr>
      <w:tblGrid>
        <w:gridCol w:w="4040"/>
        <w:gridCol w:w="60"/>
        <w:gridCol w:w="125"/>
        <w:gridCol w:w="545"/>
        <w:gridCol w:w="80"/>
        <w:gridCol w:w="60"/>
        <w:gridCol w:w="112"/>
        <w:gridCol w:w="912"/>
        <w:gridCol w:w="80"/>
        <w:gridCol w:w="60"/>
        <w:gridCol w:w="125"/>
        <w:gridCol w:w="590"/>
        <w:gridCol w:w="80"/>
        <w:gridCol w:w="60"/>
        <w:gridCol w:w="112"/>
        <w:gridCol w:w="912"/>
        <w:gridCol w:w="95"/>
      </w:tblGrid>
      <w:tr>
        <w:trPr/>
        <w:tc>
          <w:tcPr>
            <w:tcW w:w="4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5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Net Sales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Net Sales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53"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Preferred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Common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1610"/>
        <w:gridCol w:w="60"/>
        <w:gridCol w:w="125"/>
        <w:gridCol w:w="485"/>
        <w:gridCol w:w="60"/>
        <w:gridCol w:w="60"/>
        <w:gridCol w:w="112"/>
        <w:gridCol w:w="912"/>
        <w:gridCol w:w="60"/>
        <w:gridCol w:w="60"/>
        <w:gridCol w:w="125"/>
        <w:gridCol w:w="590"/>
        <w:gridCol w:w="60"/>
        <w:gridCol w:w="60"/>
        <w:gridCol w:w="112"/>
        <w:gridCol w:w="912"/>
        <w:gridCol w:w="75"/>
      </w:tblGrid>
      <w:tr>
        <w:trPr/>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3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Net Sales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Net Sales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33"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decreased by $3.7 million, or 27.3%, to $9.7 million for the quarter ended March 31, 2026, as compared to $13.4 million for the quarter ended March 31, 2025. This decrease was primarily due to lower OEM and DTC sales. RV OEM sales declined as customers rightsized inventory levels in response to a slower-than-anticipated market recovery, as reflected in RVIA shipment data for the quarter, as well as overall macroeconomic conditions. DTC sales declined due to macroeconomic pressures on consumer demand. We expect our sales to increase in the next 12 months as our customers expand the number of models they include our battery systems in for the new model year and our entrance into new markets, trucking and industrials, with new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decreased by $1.4 million, or 15.2%, to $8.0 million for the quarter ended March 31, 2026, as compared to $9.4 million for the quarter ended March 31, 2025. This decrease was primarily due to lower unit volume of batteries and accessories. We expect our cost of goods sold to increase over the next 12 months in conjunction with the anticipated increase in revenue and higher tariffs but will be slightly offset with some automation initiatives in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$2.2 million, or 56.5%, to $1.7 million for the quarter ended March 31, 2026, as compared to $3.9 million for the quarter ended March 31, 2025. The decrease in gross profit was primarily due to lower unit volume of battery and accessory sales. Gross Profit percentage decreased by 11.8% to 17.6% primarily due to lower sales unit volume and higher material costs due to higher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remained unchanged at $1.0 million for the quarters ended March 31, 2026 and 2025. A decrease in wage expense of $0.4 million, resulting from reduced headcount, was offset by an increase in depreciation expense due to a prior period correction, leading to overall unchanged research and development expenses. We expect research and development expenses to remain relatively stable over the next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declined by $1.9 million, or 29.5%, from $4.5 million for the quarter ended March 31, 2026, compared to $6.4 million for the quarter ended March 31, 2025. The reduction was mainly driven by a $1.4 million decrease in professional fees, which resulted from lower deal costs and litigation expenses in the current period. Rent expense also fell by $0.5 million due to the impairment of two leases in the last quarter of 2025. Additionally, depreciation decreased by $0.5 million, primarily because the prior year included a catch-up adjustment related to tenant improvements under the lease. These cost reductions were partially offset by a rise in employee expenses, reflecting increased headcount in engineering and product development. Looking forward, we anticipate that general and administrative expenses as a percentage of revenue will decrease over the next 12 months. This expectation is based on targeted cost reduction measures which have been implemented, including further reductions in professional fees, continued optimization of lease agreements, and ongoing evaluation of staffing levels beginning in the second quarter of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$0.5 million, or 20.5%, to $2.0 million for the quarter ended March 31, 2026, as compared to $2.5 million for the quarter ended March 31, 2025. This decrease was primarily due to lower employee-related costs in the amount of $0.2 million related to lower headcount and lower shipping costs related to lower sales. We expect our Selling and Marketing Expenses to decrease over the next 12 months due to cost reduction measures beginning in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$0.9 million for the quarter ended March 31, 2026 as compared to other expense of $0.9 million for the quarter ended March 31, 2025. Other expense of $0.9 million for the quarter ended March 31, 2026 was comprised primarily of interest expense of $1.5 million related to our debt securities partially offset by a change in fair market value of warrant liability in the amount of $0.5 million and other income in the amount of $0.1 million. The $0.9 million of other expense for the quarter ended March 31, 2025 was comprised primarily of interest expense of $4.7 million related to our debt securities offset by a change in fair market value of warrant liability in the amount of $3.8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quarter ended March 31, 2026 or March 31, 2025.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$37.7 million was recorded as of the year ended December 31, 2025 and is unchanged as of March 31,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 net loss of $6.6 million for the quarter ended March 31, 2026, as compared to net loss of $6.8 million for the quarter ended March 31, 2025. As described above, this result was driven by lower sales, lower cost of goods sold, and lower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have been prepared in accordance with accounting principles generally accepted in the United States. The preparation of these condensed consolidated financial statements requires us to make judgments and estimates that affect the reported amounts of assets, liabilities, revenues and expenses, and the disclosure of contingent assets and liabilities. We base our estimates on historical experience, known trends and events, and other factors we believe to be reasonable under the circumstances. These estimates form the basis for judgments about the carrying values of assets and liabilities that are not readily apparent from other sources, and actual results may differ from these estimates under different assumptions or conditions. On a recurring basis, we evaluate our judgments and estimates in light of changes in circumstances, facts, and experience. The effects of material revisions in an estimate, if any, are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(1) the accounting estimate requires us to make assumptions about matters that involve a significant degree of estimation uncertainty at the time the estimate is made; and (2) changes in the estimate that are reasonably likely to occur from period to period, or the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discussed the development and selection of these critical accounting estimates with the Audit Committee of our board of directors. In addition to the estimates described below, there are other items within our financial statements that require estimation, but that we do not consider critical under the definition above. Changes in estimates used in these and other items could have a material impact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estimates are the most critical to the judgments and assumptions used in the preparation of our financial statements because they involve significant estimation uncertainty and have had, or are reasonably likely to have, a material impact on our financial condition and results of operations.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reserves for excess and obsolete inventory and for inventory that is carried at amounts in excess of its estimated realizable value. These reserves are inherently judgmental and involve significant estimates regarding expected future demand, product life cycles, pricing, and the recoverability of costs through future sales. In estimating these reserves, we consider factors such as recent sales experience, forecasted demand, the aging of inventories and specific identification of items that may be obsolete or slow-moving.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these assumptions, including adverse changes in customer demand, technological developments, or pricing pressures, could result in materially different reserve levels and related cost of goods sold in future periods. For example, a decrease in expected demand or sales prices, or an increase in the aging of inventory, could require us to increase our reserves, which would negatively affect our gross margin. Conversely, if actual demand is higher than currently estimated, our reserves could prove to be overstated, resulting in lower cost of goods sold in future periods.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 warrants to purchase our common stock in connection with certain financing and other transactions. We apply the relevant guidance in ASC 480 and ASC 815 in determining whether warrants should be classified as liabilities or equity. Warrants that are classified as liabilities are initially recorded at fair value and remeasured at fair value at each reporting date, with changes in fair value recognized in earnings.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liability-classified warrants involves significant judgment, as it is based on valuation models that incorporate various inputs, including our common stock price, expected stock price volatility, expected term, risk-free interest rates and, as applicable, other market-based or contractual features. These inputs are subject to estimation uncertainty and can change over time in response to our operating performance, changes in our capital structure, market conditions or other factors.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changes in these inputs directly affect the fair value of the warrants, they can result in material volatility in our reported earnings from period to period. For example, an increase in the price or volatility of our common stock generally increases the fair value of liability-classified warrants and may result in a loss recognized in our statement of operations, whereas decreases in stock price or volatility may result in a gain.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Deferred tax assets and liabilities are recognized for the future tax consequences of temporary differences between the carrying amounts and tax bases of assets and liabilities and for operating loss and tax credit carryforwards. We measure deferred tax assets and liabilities using enacted tax rates expected to apply to taxable income in the years in which those temporary differences are expected to be recovered or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tax position when it is more likely than not, based on the technical merits, that the position will be sustained upon examination. Recognized tax positions are measured at the largest amount of benefit that has a greater than 50% likelihood of being realized upon ultimate settlement. We also establish a valuation allowance to reduce deferred tax assets to an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the realizability of deferred tax assets and the recognition and measurement of uncertain tax positions involve significant judgment and estimation, including projections of future taxable income, the timing and character of that income, the reversal of existing temporary differences, the outcome of tax examinations and the interpretation of tax laws and regulations in multiple jurisdictions. Our projections of future taxable income are inherently uncertain and subject to change due to changes in our business, our industry, and the overall economic environment.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actual results differ from our estimates, or if we adjust our estimates in future periods, we may need to increase or decrease our valuation allowance or adjust our uncertain tax positions, which could have a material impact on our effective tax rate, income tax expense and results of operations. For example, evidence of sustained profitability in one or more jurisdictions could result in a reduction of the valuation allowance and a related decrease in income tax expense, whereas evidence of sustained losses or unfavorable changes in tax law could result in an increase in the valuation allowance and higher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right-of-use assets and lease liabilities for our operating leases based on the present value of lease payments over the expected lease term. Because our leases generally do not provide an implicit rate, we estimate an incremental borrowing rate to determine the present value of lease payments. Our incremental borrowing rate is derived from market data, including current borrowing rates available to us for similar terms and collateral, as well as broader market interest rate information. We also make judgments regarding the lease term, including renewal and termination options, when it is reasonably certain that such options will be exercised.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estimates are subjective and can significantly affect the measurement of our right-of-use assets, lease liabilities and related lease cost recognized in the statement of operations. Changes in our assessment of the incremental borrowing rate, or our expectations about exercising renewal or termination options, could result in material changes to the recorded lease liabilities and right-of-use assets and affect the pattern of lease expense recognition over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Arrangement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license arrangements under which we receive upfront compensation. We recognize this compensation as revenue over a five-year period, which we believe reflects the pattern in which control of the licensed rights and related services is transferred and the period over which we expect to realize the economic benefits of the arrangement.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appropriate recognition pattern involves significant judgment, including our assessment of the nature and timing of performance obligations, the expected duration and level of customer engagement, and the likelihood of renewal or modification of the arrangement. These factors are inherently uncertain and may change over time as we gain more experience with the arrangements or as customer behavior evolves.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expectations regarding the timing or amount of the benefits to be provided under these arrangements change, or if we modify or renew the arrangements on terms different from those originally anticipated, we may be required to adjust the recognition pattern, which could result in a material increase or decrease in revenue in one or more reporting periods.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a non-generally accepted account principles within the United States (“U.S. GAAP”) measure that we use to supplement our results presented in accordance with U.S. GAAP. Earnings before interest tax and amortization (“EBITDA”)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for the three months ended March 31, 2026, and March 31, 2025.</w:t>
      </w:r>
    </w:p>
    <w:p>
      <w:pPr>
        <w:pStyle w:val="TextBody"/>
        <w:bidi w:val="0"/>
        <w:spacing w:before="0" w:after="0"/>
        <w:ind w:left="0" w:right="0" w:hanging="0"/>
        <w:jc w:val="both"/>
        <w:rPr>
          <w:caps w:val="false"/>
          <w:smallCaps w:val="false"/>
        </w:rPr>
      </w:pPr>
      <w:r>
        <w:rPr>
          <w:caps w:val="false"/>
          <w:smallCaps w:val="false"/>
        </w:rPr>
        <w:t> </w:t>
      </w:r>
    </w:p>
    <w:tbl>
      <w:tblPr>
        <w:tblW w:w="6898" w:type="dxa"/>
        <w:jc w:val="left"/>
        <w:tblInd w:w="0" w:type="dxa"/>
        <w:tblLayout w:type="fixed"/>
        <w:tblCellMar>
          <w:top w:w="0" w:type="dxa"/>
          <w:left w:w="0" w:type="dxa"/>
          <w:bottom w:w="0" w:type="dxa"/>
          <w:right w:w="0" w:type="dxa"/>
        </w:tblCellMar>
      </w:tblPr>
      <w:tblGrid>
        <w:gridCol w:w="4100"/>
        <w:gridCol w:w="60"/>
        <w:gridCol w:w="223"/>
        <w:gridCol w:w="974"/>
        <w:gridCol w:w="142"/>
        <w:gridCol w:w="107"/>
        <w:gridCol w:w="223"/>
        <w:gridCol w:w="974"/>
        <w:gridCol w:w="95"/>
      </w:tblGrid>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3"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(5,461</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for: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market value of warrant liability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Preferred Stock Dividend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Non-Recurring/One-Time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Litigation Expenses </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Financing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At-the Market (ATM) set up Expenses</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Impairment of Asset</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Debt Restructure</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Stock Split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(4,552</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9"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9"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Change in fair market value of warrant liabilities represents the change in fair value for the three months ended March 31, 2026 and March 31, 2025.</w:t>
            </w:r>
          </w:p>
        </w:tc>
      </w:tr>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Litigation Fees includes fees and expenses related to the Berdner et al case. In 2025, Litigation Fees includes legal fees and expenses and settlement related to the International Trade Commission ‘ITC’ Lithium Hub patent infringement case and other.</w:t>
            </w:r>
          </w:p>
        </w:tc>
      </w:tr>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At-the-Market (ATM) set up expenses are for the equity distribution agreement with Canaccord Genuity, LLC.</w:t>
            </w:r>
          </w:p>
        </w:tc>
      </w:tr>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9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Impairment of Asset is costs related to the prior year impairment of our previous main office.</w:t>
            </w:r>
          </w:p>
        </w:tc>
      </w:tr>
      <w:tr>
        <w:trPr/>
        <w:tc>
          <w:tcPr>
            <w:tcW w:w="2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Restructure expenses including legal and professional service.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March 31, 2026, we had cash totaling $8.6 million. We believe that our cash balance as of March 31, 2025 will fund our operations into the second quarter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we entered into the Equity Distribution Agreement with Canaccord under which we may offer and sell, from time to time, shares of our common stock through an ATM for up to $50.0 million in gross proceeds, as described in the “</w:t>
      </w:r>
      <w:r>
        <w:rPr>
          <w:rFonts w:ascii="Times New Roman;Times;Serif" w:hAnsi="Times New Roman;Times;Serif"/>
          <w:b w:val="false"/>
          <w:i/>
          <w:caps w:val="false"/>
          <w:smallCaps w:val="false"/>
          <w:sz w:val="20"/>
        </w:rPr>
        <w:t>Overview</w:t>
      </w:r>
      <w:r>
        <w:rPr>
          <w:rFonts w:ascii="Times New Roman;Times;Serif" w:hAnsi="Times New Roman;Times;Serif"/>
          <w:b w:val="false"/>
          <w:i w:val="false"/>
          <w:caps w:val="false"/>
          <w:smallCaps w:val="false"/>
          <w:sz w:val="20"/>
        </w:rPr>
        <w:t>” section above. As of March 31, 2026, we have not sold any shares of our common stock pursuant to the ATM. Subsequent to March 31, 2026, we have sold 379,700 shares of common stock for aggregate net proceeds of approximately $0.8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use of the ATM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Further, any future debt or equity financings may be dilutive to our current stockholders.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$45.0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“Original Term Loan Agreement” and, as amended, the “Term Loan Agreement”) by and among, us, Legacy Dragonfly, Alter Domus (US) LLC, as the Agent to the lenders time-to-time party thereto (such lenders, the “Term Loan Lenders”), the proceeds of which were used to repay the $45.0 million fixed rate senior notes, and 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w:t>
      </w:r>
      <w:r>
        <w:rPr>
          <w:rFonts w:ascii="Times New Roman;Times;Serif" w:hAnsi="Times New Roman;Times;Serif"/>
          <w:b w:val="false"/>
          <w:i/>
          <w:caps w:val="false"/>
          <w:smallCaps w:val="false"/>
          <w:sz w:val="20"/>
        </w:rPr>
        <w:t xml:space="preserve">Overview” </w:t>
      </w:r>
      <w:r>
        <w:rPr>
          <w:rFonts w:ascii="Times New Roman;Times;Serif" w:hAnsi="Times New Roman;Times;Serif"/>
          <w:b w:val="false"/>
          <w:i w:val="false"/>
          <w:caps w:val="false"/>
          <w:smallCaps w:val="false"/>
          <w:sz w:val="20"/>
        </w:rPr>
        <w:t>section above, under the Sixth Amendment, we (i) prepaid $45.0 million of principal using proceeds from the Second October 2025 Offering, (ii) exchanged $25.0 million of principal for redeemable Series B Preferred Stock (convertible at $31.50 per share, with 8% cash and 2% “in kind” dividends), which is redeemable in October 2027 unless otherwise converted by the holder, and (iii) had $5.0 million of principal forgiven by the Term Loan Lenders. Following these transactions, approximately $19.4 million of principal remained outstanding under the Term Loan, bearing 12% interest payable monthly and maturing in October 2027. We paid $0.9 million in fees (half in cash, half added to principal) and obtained covenant waivers through December 2026, subject to maintaining $5.0 million of minimum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Sixth Amendment significantly improved our liquidity by reducing total debt from $93.1 million to approximately $19.4 million and deferring near-term cash interest requirements through the preferred stock exchange and covenant waivers.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2027,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In accordance with U.S. GAAP, we reclassified our notes payable from a long-term liability to a current liability. The Term Loan accrues interest as follows: (i) until April 1, 2024, at a per annum rate equal to adjusted secured overnight financing rate (“SOFR”) plus 7% payable in cash plus an amount ranging from 4.5% to 6.5%, depending on our senior leverage ratio; (ii) effective April 1, 2024 and thereafter, interest payable to certain lenders subject to regulations of the U.S. Small Business Administration (“SBA”)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is secured by substantially all assets of the Company, Battle Born LLC and Legacy Dragonfly, and we pledged our equity interests in Battle Born LLC and Legacy Dragonfly as additional collateral. In connection with the Business Combination, the Term Loan Lenders also received penny warrants and $10 warrants. The $10 warrants were exercised in full on October 10, 2022. During the quarter ended March 31, 2026, 70,267 penny warrants were exercised on a cashless basis, with the Company agreeing to issue 69,985 shares of Common Stock in connection with such exercise. Subsequent to March 31, 2026, the remaining outstanding penny warrants were exercised in full on a cashless basis, resulting in the issuance of 103,390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identified an underpayment of tariffs to U.S. Customs and Border Protection (“CBP”) in the amount of approximately $1.66 million in the aggregate, related to the improper classification and valuation of certain of the products used in our batteries. We have reported the underpayment to CBP. In June 2025, after a comprehensive review of this tariff calculation, an additional $0.29 million was discovered and also reported to CBP and a payment plan of $0.05 million per week was put into place. As of March 31, 2026, the entire balance of the reported tariff underpayment has been paid in full; however, we have recorded an estimated liability of approximately $0.3 million on our balance sheet related to interest that may have accrued on the underpayment. The amount and timing of any such interest obligation have not yet been confirmed by CBP, and the actual amount payable, if any, may differ from the current estimate.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March 31, 2026, we incurred losses and had a negative cash flow from operations. As of March 31, 2025, we had approximately $8.6 million in cash and cash equivalents and a working capital of $23.4 million. Our ability to achieve profitability and positive cash flow depends on our ability to increase revenue, contain our expenses and maintain compliance with the financial covenants in our outstanding indebtedness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the Term Loan was amended to (i) extend the maturity date by one (1) year to October 2027, (ii) defer all principal and interest payments to April 2026 and (iii) remove any applicable financial covenants (except for a financial covenant requiring us to maintain cash and cash equivalents equal to or greater than $2,500) through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investors received warrants to purchase up to 4,000 shares of Series A Preferred Stock at $10,000 per share, potentially providing up to $40 million in future capital, however, these warrants were cancelled on June 23,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we received proceeds of $5,495 less $811 in costs, which we have been using for working capital and other general corporate purposes, including the repayment of indebtedness in the ordinary course. Investors received an aggregate of 2,198,000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we received proceeds of $26,925, net of costs, in connection with the issuance of 2,300,000 shares of common stock and option to purchase 300,000 shares of common stock. On October 17, 2025, we received additional proceeds of $51,928, net of costs, from the issuance of 3,600,000 shares of common stock and 500,000 pre-funded warrants to purchase shares of common stock. We used the aggregate net proceeds for working capital and other general corporate purposes, including the repayment of indebtedness in the ordinary course of business. Additionally, on October 20, 2025, the Term Loan was restructured and we entered into the Sixth Amendment (the “Sixth Amendment”) with the Term Loan lenders, which included new interest payment terms, $45,000 prepayment in October, and $5,000 debt cancellation. Lastly, as part of the restructuring, on November 4, 2025, we and the lenders entered into an exchange agreement (the “Exchange Agreement”) pursuant to which we issued 25,000 shares of Series B Preferred Stock in exchange for $25,000 outstanding principal amount of the Term Loan.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we entered into an Equity Distribution Agreement with Canaccord Genuity LLC, as lead agent and representative of the other sales agents, establishing an at-the-market equity offering program under which we may, at our discretion, offer and sell from time to time up to $50 million of its common stock. While we are not obligated to issue any shares under the agreement and retain full control over the timing, amount, pricing, and terms of any sales effected through the lead agent, this agreement provides us with a flexible, readily accessible source of capital to support its liquidity needs, subject to customary closing conditions, a 3% sales commission and reimbursement of specified expenses payable to the agents, and standard indemnification and contribution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2025 and early 2026 in order to alleviate the substantial doubt regarding our ability to continue as a going concern. These initiatives include multiple capital raises totaling a net cash increase of $90.9 million and Term Loan restructuring to reduce principal and interest owed, including a significant principal paydown, partial debt cancellation, and partial principal conversion into preferred shares, along with the at-the-market equity offering program entered into January 2026. Management has evaluated the conditions and events described above in relation to our obligations coming due within one year after the date these condensed consolidated financial statements are issued. Based on this evaluation and the capital raising and debt restructuring activities completed in 2025 and early 2026, including access to the at-the-market equity offering program, management has concluded that although substantial doubt was initially raised, its plans have alleviated substantial doubt about the Company’s ability to continue as a going concern within one year after the date these condensed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strategic plans, meet our financial covenants under the Term Loan and our redemption obligations under the Series B Preferred Stock and repay our outstanding indebtedness under the Term Loan. We have historically been able to raise additional capital through issuance of equity and/or debt financing and we intend to raise additional capital as needed. However, we cannot guarantee that we will be able to raise additional equity, contain expenses, or increase revenue, and comply with the financial covenants under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Three months ended March 31, 2026, and March 31, 2025</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428" w:type="dxa"/>
        <w:jc w:val="left"/>
        <w:tblInd w:w="0" w:type="dxa"/>
        <w:tblLayout w:type="fixed"/>
        <w:tblCellMar>
          <w:top w:w="0" w:type="dxa"/>
          <w:left w:w="0" w:type="dxa"/>
          <w:bottom w:w="0" w:type="dxa"/>
          <w:right w:w="0" w:type="dxa"/>
        </w:tblCellMar>
      </w:tblPr>
      <w:tblGrid>
        <w:gridCol w:w="2630"/>
        <w:gridCol w:w="60"/>
        <w:gridCol w:w="223"/>
        <w:gridCol w:w="974"/>
        <w:gridCol w:w="142"/>
        <w:gridCol w:w="107"/>
        <w:gridCol w:w="223"/>
        <w:gridCol w:w="974"/>
        <w:gridCol w:w="95"/>
      </w:tblGrid>
      <w:tr>
        <w:trPr/>
        <w:tc>
          <w:tcPr>
            <w:tcW w:w="26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3"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in)/provided by: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(8,784</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$8.8 million for the three months ended March 31, 2026, primarily due to a net loss of $6.6 million, $0.6 million decrease in operating lease liabilities, and a decrease in accounts payable of $2.9 million, partially offset by $1.2 million increase in accounts receivable.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$4.5 million for the three months ended March 31, 2025, primarily due to a net loss of $6.8 million and $0.7 million decrease in operating lease liabilities, partially offset by $3.4 million increase in accounts payable.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$0.3 million for the three months ended March 31, 2026, as compared to net cash used in investing activities of $0.8 million for the three months ended March 31, 2025. The cash used for the three months ended March 31, 2026 was primarily for payments of improvements to the battery production area and renovations to the research and development location. The cash used for the three months ended March 31, 2025 was primarily for payments of building improvements for the new warehouse.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financing activities was $0.6 million for the three months ended March 31, 2026, primarily related to Series B preferred stock dividend payments and repayment of debt, as compared to net cash provided by financing activities of $3.3 million for the three months ended March 31, 2025, primarily related to net proceeds of $3.2 million from the Offerings on February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and financing lease liabilities. As of March 31, 2026, we had $2.5 million in short-term operating and financing lease liabilities and $20.0 million in long-term operating and financing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March 31, 2026, the principal amount outstanding under the Term Loan was $19.1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required to pay to the holders of the Series B Preferred Stock dividends, which will accrue at 10% per annum, commencing from the Initial Issuance Date, payable (i) 80% in cash and (i) 20% “in kind” and added the Liquidation Preference of such holder’s Series B Preferred Stock. Such dividends are payable quarterly in arrears on the first trading day of each fiscal quarter commencing on the first trading day of the initial fiscal quarter after the date of issuance. Upon the occurrence of certain events, the dividend rate may automatically increase, as described in the Certificate of Designation. Additionally, in connection with any future equity offerings, we are required to use 50% of the net proceeds from such offering to redeem outstanding shares of the Series B Preferred Stock at the Optional Redemption Price. In the event we have not redeemed the outstanding shares of Series B Preferred Stock by October 7, 2027 or upon the occurrence of a Non-Payment Event (as defined in the Certificate of Designation), the holders will have the right to require us to redeem the Series B Preferred Stock at the Optional Redemption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Chardan Capital Markets LLC, a New York limited liability company (“CCM LLC”) entered into a purchase agreement (as amended, the “ChEF Purchase Agreement”) and a Registration Rights Agreement in connection with our merger in October 2022 (the “Business Combination”). Pursuant to the Original Purchase Agreement, we had the right to sell to CCM LLC an amount of shares of common stock, up to a maximum aggregate purchase price of $150 million, pursuant to the terms of the ChEF Purchase Agreement (the “ChEF Equity Facility”), subject to certain restrictions set forth in the Term Loan Agreement (as defined below). The ChEF Purchase Agreement terminated in December 2025.As part of the expiration, the remainder of the Commitment Fee, pursuant to the purchase agreement, of $891 is due and payable to Chardan Capital Markets. This amount was expensed in fiscal year ending December 31, 2025 and remains accrued in current liabilities, specifically ‘Accrued payroll and other liabilities’, on the balance sheet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844" w:name="sa_002"/>
      <w:bookmarkEnd w:id="844"/>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5" w:name="sa_003"/>
      <w:bookmarkEnd w:id="845"/>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under the Exchange Act, our management, under the supervision and with the participation of our principal executive officer and principal financial officer, has evaluated the effectiveness of the design and implementation of our disclosure controls and procedures (as such term is defined in Rules 13a-15(e) and 15d-15(e) under the Exchange Act) as of March 31, 2026. Based on that evaluation, management concluded that as of March 31, 2026, we did maintain effective disclosure controls and procedures.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in our internal control over financial reporting (as defined by Rules 13a-15(f) and 15d-15(f) under the Exchange Act) occurred during the quarter ended March 31, 2026, that has materially affected, or is reasonably likely to materially affect, our internal control over financial reporting.</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46" w:name="sa_004"/>
      <w:bookmarkEnd w:id="846"/>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7" w:name="sa_005"/>
      <w:bookmarkEnd w:id="847"/>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Item 3. Legal Proceedings” in our Annual Report on Form 10-K for the year ended December 31, 2025 filed with the SEC on March 30, 2026 includes a discussion of our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forth below, there have been no material updates to the legal proceedings previously disclosed in our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2026, a putative consumer class action captioned Berdner et al v. Dragonfly Energy Holdings Corp. d/b/a Battle Born, was filed against the Company in the Superior Court of the State of California, County of Sonoma, Case No. 26CV01247. We were served with the complaint on March 31, 2026. The case was removed to Northern District of California on April 30, 2026. The plaintiffs purport to represent four classes of purchasers of certain “Battle Born” branded 100 amp-hour 12V LiFePo4 batteries. They allege that the products share a uniform design defect related to the positive terminal connection that can result in overheating, premature failure, and safety risk. The complaint asserts violations of various state consumer protection statutes, breach of express and implied warranties (including under California law), and false advertising, and seeks damages, restitution, injunctive relief, punitive damages, and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claims are without merit and intend to vigorously defend this matter. No trial date has been set as of the date of this report. We are unable at this time to reasonably estimate a range of possible loss or determine whether an adverse outcome is probable; accordingly, no liability has been recorded related to this matter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8" w:name="sa_006"/>
      <w:bookmarkEnd w:id="848"/>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the other information set forth in this report, you should carefully consider the factors discussed in Part I, “Item 1A. Risk Factors” in our Annual Report on Form 10-K for the year ended December 31, 2025 filed with the SEC on March 30, 2026,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changes to the risk factors previously disclosed in our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49" w:name="sa_007"/>
      <w:bookmarkEnd w:id="849"/>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0" w:name="sa_008"/>
      <w:bookmarkEnd w:id="850"/>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1" w:name="sa_009"/>
      <w:bookmarkEnd w:id="851"/>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2" w:name="sa_010"/>
      <w:bookmarkEnd w:id="852"/>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(a)</w:t>
            </w:r>
          </w:p>
        </w:tc>
        <w:tc>
          <w:tcPr>
            <w:tcW w:w="10007"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None.</w:t>
            </w:r>
          </w:p>
        </w:tc>
      </w:tr>
      <w:tr>
        <w:trPr/>
        <w:tc>
          <w:tcPr>
            <w:tcW w:w="198" w:type="dxa"/>
            <w:tcBorders/>
            <w:vAlign w:val="center"/>
          </w:tcPr>
          <w:p>
            <w:pPr>
              <w:pStyle w:val="TableContents"/>
              <w:bidi w:val="0"/>
              <w:spacing w:before="0" w:after="283"/>
              <w:ind w:left="0" w:right="0" w:hanging="200"/>
              <w:jc w:val="both"/>
              <w:rPr/>
            </w:pPr>
            <w:r>
              <w:rPr/>
              <w:t> </w:t>
            </w:r>
          </w:p>
        </w:tc>
        <w:tc>
          <w:tcPr>
            <w:tcW w:w="10007" w:type="dxa"/>
            <w:tcBorders/>
            <w:vAlign w:val="center"/>
          </w:tcPr>
          <w:p>
            <w:pPr>
              <w:pStyle w:val="TableContents"/>
              <w:bidi w:val="0"/>
              <w:spacing w:before="0" w:after="283"/>
              <w:ind w:left="0" w:right="0" w:hanging="200"/>
              <w:jc w:val="both"/>
              <w:rPr/>
            </w:pPr>
            <w:r>
              <w:rPr/>
              <w:t> </w:t>
            </w:r>
          </w:p>
        </w:tc>
      </w:tr>
      <w:tr>
        <w:trPr/>
        <w:tc>
          <w:tcPr>
            <w:tcW w:w="198"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(b)</w:t>
            </w:r>
          </w:p>
        </w:tc>
        <w:tc>
          <w:tcPr>
            <w:tcW w:w="10007" w:type="dxa"/>
            <w:tcBorders/>
            <w:vAlign w:val="center"/>
          </w:tcPr>
          <w:p>
            <w:pPr>
              <w:pStyle w:val="TableContents"/>
              <w:bidi w:val="0"/>
              <w:spacing w:before="0" w:after="283"/>
              <w:ind w:left="0" w:right="0" w:hanging="200"/>
              <w:jc w:val="both"/>
              <w:rPr>
                <w:rFonts w:ascii="Times New Roman;Times;Serif" w:hAnsi="Times New Roman;Times;Serif"/>
                <w:sz w:val="20"/>
              </w:rPr>
            </w:pPr>
            <w:r>
              <w:rPr>
                <w:rFonts w:ascii="Times New Roman;Times;Serif" w:hAnsi="Times New Roman;Times;Serif"/>
                <w:sz w:val="20"/>
              </w:rPr>
              <w:t>None.</w:t>
            </w:r>
          </w:p>
        </w:tc>
      </w:tr>
      <w:tr>
        <w:trPr/>
        <w:tc>
          <w:tcPr>
            <w:tcW w:w="198" w:type="dxa"/>
            <w:tcBorders/>
            <w:vAlign w:val="center"/>
          </w:tcPr>
          <w:p>
            <w:pPr>
              <w:pStyle w:val="TableContents"/>
              <w:bidi w:val="0"/>
              <w:spacing w:before="0" w:after="283"/>
              <w:ind w:left="0" w:right="0" w:hanging="200"/>
              <w:jc w:val="both"/>
              <w:rPr/>
            </w:pPr>
            <w:r>
              <w:rPr/>
              <w:t> </w:t>
            </w:r>
          </w:p>
        </w:tc>
        <w:tc>
          <w:tcPr>
            <w:tcW w:w="10007" w:type="dxa"/>
            <w:tcBorders/>
            <w:vAlign w:val="center"/>
          </w:tcPr>
          <w:p>
            <w:pPr>
              <w:pStyle w:val="TableContents"/>
              <w:bidi w:val="0"/>
              <w:spacing w:before="0" w:after="283"/>
              <w:jc w:val="both"/>
              <w:rPr/>
            </w:pPr>
            <w:r>
              <w:rPr/>
              <w:t> </w:t>
            </w:r>
          </w:p>
        </w:tc>
      </w:tr>
      <w:tr>
        <w:trPr/>
        <w:tc>
          <w:tcPr>
            <w:tcW w:w="1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During the fiscal quarter ended March 31, 2026, none of our directors or “officers” (as defined in Rule 16a-1(f) under the Exchange Act) </w:t>
            </w:r>
            <w:bookmarkStart w:id="853" w:name="xdx_90F_eecd--NonRule10b51ArrAdoptedFlag"/>
            <w:bookmarkStart w:id="854" w:name="xdx_90B_eecd--Rule10b51ArrAdoptedFlag_db"/>
            <w:bookmarkEnd w:id="853"/>
            <w:bookmarkEnd w:id="854"/>
            <w:r>
              <w:rPr>
                <w:rFonts w:ascii="Times New Roman;Times;Serif" w:hAnsi="Times New Roman;Times;Serif"/>
                <w:sz w:val="20"/>
              </w:rPr>
              <w:t xml:space="preserve">adopted or </w:t>
            </w:r>
            <w:bookmarkStart w:id="855" w:name="xdx_909_eecd--NonRule10b51ArrTrmntdFlag_"/>
            <w:bookmarkStart w:id="856" w:name="xdx_900_eecd--Rule10b51ArrTrmntdFlag_dbF"/>
            <w:bookmarkEnd w:id="855"/>
            <w:bookmarkEnd w:id="856"/>
            <w:r>
              <w:rPr>
                <w:rFonts w:ascii="Times New Roman;Times;Serif" w:hAnsi="Times New Roman;Times;Serif"/>
                <w:sz w:val="20"/>
              </w:rPr>
              <w:t>terminated any “Rule 10b5-1 trading arrangement” or “non-Rule 10b5-1 trading arrangement,” as each term is defined in Item 408(c) of Regulation S-K.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57" w:name="sa_011"/>
      <w:bookmarkEnd w:id="85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4"/>
        <w:gridCol w:w="60"/>
        <w:gridCol w:w="7230"/>
        <w:gridCol w:w="60"/>
        <w:gridCol w:w="510"/>
        <w:gridCol w:w="60"/>
        <w:gridCol w:w="663"/>
        <w:gridCol w:w="60"/>
        <w:gridCol w:w="758"/>
      </w:tblGrid>
      <w:tr>
        <w:trPr/>
        <w:tc>
          <w:tcPr>
            <w:tcW w:w="8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1"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80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Articles of Incorporation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November 29, 2023.</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11/29/2023</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Articles of Incorporation of Dragonfly Energy Holdings Corp., as filed with the Secretary of State of the State of Nevada, dated November 19, 2024.</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11/22/2024</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April 25,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04/28/2025</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Amendment to the Articles of Incorporation of Dragonfly Energy Holdings Corp., as filed with the Secretary of State of the State of Nevada, dated December 15, 2025.</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12/18/2025</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Designation of the Powers, Preferences and Relative, Participating, Optional and Other Restrictions of Series A Convertible Preferred Stock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02/27/2025</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Designation of the Powers, Preferences and Relative, Participating, Optional and Other Restrictions of Series B Convertible Preferred Stock.</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11/04/2025</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Bylaws of Dragonfly Energy Holdings Corp.</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Equity Distribution Agreement, dated January 30, 2026, by and between Dragonfly Energy Holdings Corp. and Canaccord Genuity, LLC.</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01/30/2026</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included as Exhibit 101).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8"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100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w:t>
            </w:r>
          </w:p>
        </w:tc>
      </w:tr>
      <w:tr>
        <w:trPr/>
        <w:tc>
          <w:tcPr>
            <w:tcW w:w="191" w:type="dxa"/>
            <w:tcBorders/>
            <w:vAlign w:val="center"/>
          </w:tcPr>
          <w:p>
            <w:pPr>
              <w:pStyle w:val="TableContents"/>
              <w:bidi w:val="0"/>
              <w:spacing w:before="0" w:after="283"/>
              <w:jc w:val="both"/>
              <w:rPr>
                <w:caps w:val="false"/>
                <w:smallCaps w:val="false"/>
              </w:rPr>
            </w:pPr>
            <w:r>
              <w:rPr>
                <w:caps w:val="false"/>
                <w:smallCaps w:val="false"/>
              </w:rPr>
              <w:t> </w:t>
            </w:r>
          </w:p>
        </w:tc>
        <w:tc>
          <w:tcPr>
            <w:tcW w:w="100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schedules and exhibits to the agreement have been omitted pursuant to Item 601(b)(2) of Regulation S-K. A copy of any omitted schedule and/or exhibit will be furnished to the Securities and Exchange Commission upon request.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58" w:name="sa_012"/>
      <w:bookmarkEnd w:id="85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8265" w:type="dxa"/>
        <w:jc w:val="left"/>
        <w:tblInd w:w="0" w:type="dxa"/>
        <w:tblLayout w:type="fixed"/>
        <w:tblCellMar>
          <w:top w:w="0" w:type="dxa"/>
          <w:left w:w="0" w:type="dxa"/>
          <w:bottom w:w="0" w:type="dxa"/>
          <w:right w:w="0" w:type="dxa"/>
        </w:tblCellMar>
      </w:tblPr>
      <w:tblGrid>
        <w:gridCol w:w="1655"/>
        <w:gridCol w:w="365"/>
        <w:gridCol w:w="6245"/>
      </w:tblGrid>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661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62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62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Interim Chief Financial Officer</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859" w:name="ex31-1.htm"/>
      <w:bookmarkStart w:id="860" w:name="ksex311"/>
      <w:bookmarkEnd w:id="859"/>
      <w:bookmarkEnd w:id="86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March 31, 2026 of Dragonfly Energy Holdings Corp.;</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861" w:name="ex31-2.htm"/>
      <w:bookmarkStart w:id="862" w:name="ksex312"/>
      <w:bookmarkEnd w:id="861"/>
      <w:bookmarkEnd w:id="86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March 31, 2026 of Dragonfly Energy Holdings Corp.;</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863" w:name="ex32-1.htm"/>
      <w:bookmarkStart w:id="864" w:name="ksex321"/>
      <w:bookmarkEnd w:id="863"/>
      <w:bookmarkEnd w:id="86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 the quarter ended March 31, 2026 (the “</w:t>
      </w:r>
      <w:r>
        <w:rPr>
          <w:rFonts w:ascii="Times New Roman;Times;Serif" w:hAnsi="Times New Roman;Times;Serif"/>
          <w:b/>
          <w:i w:val="false"/>
          <w:caps w:val="false"/>
          <w:smallCaps w:val="false"/>
          <w:sz w:val="20"/>
        </w:rPr>
        <w:t>Quarterly Report</w:t>
      </w:r>
      <w:r>
        <w:rPr>
          <w:rFonts w:ascii="Times New Roman;Times;Serif" w:hAnsi="Times New Roman;Times;Serif"/>
          <w:b w:val="false"/>
          <w:i w:val="false"/>
          <w:caps w:val="false"/>
          <w:smallCaps w:val="false"/>
          <w:sz w:val="20"/>
        </w:rPr>
        <w:t>”), Denis Phares, as Chief Executive Officer and Interim Chief Financial Officer, certifies in his capacity as such officer of the Company, that to his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Quarterly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290"/>
        <w:gridCol w:w="4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8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8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4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any purpose, nor shall it be deemed to be incorporated by reference into any filing under the Securities Act of 1933 or the Exchange Act.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86/000149315223010262/ex3-1.htm" TargetMode="External"/><Relationship Id="rId3" Type="http://schemas.openxmlformats.org/officeDocument/2006/relationships/hyperlink" Target="https://www.sec.gov/Archives/edgar/data/1847986/000149315223043109/ex3-1.htm" TargetMode="External"/><Relationship Id="rId4" Type="http://schemas.openxmlformats.org/officeDocument/2006/relationships/hyperlink" Target="https://www.sec.gov/Archives/edgar/data/1847986/000149315224047295/ex3-1.htm" TargetMode="External"/><Relationship Id="rId5" Type="http://schemas.openxmlformats.org/officeDocument/2006/relationships/hyperlink" Target="https://www.sec.gov/Archives/edgar/data/1847986/000164117225006463/ex3-1.htm" TargetMode="External"/><Relationship Id="rId6" Type="http://schemas.openxmlformats.org/officeDocument/2006/relationships/hyperlink" Target="https://www.sec.gov/Archives/edgar/data/1847986/000149315225028282/ex3-1.htm" TargetMode="External"/><Relationship Id="rId7" Type="http://schemas.openxmlformats.org/officeDocument/2006/relationships/hyperlink" Target="https://www.sec.gov/Archives/edgar/data/1847986/000149315225008445/ex3-1.htm" TargetMode="External"/><Relationship Id="rId8" Type="http://schemas.openxmlformats.org/officeDocument/2006/relationships/hyperlink" Target="https://www.sec.gov/Archives/edgar/data/1847986/000149315225020907/ex3-1.htm" TargetMode="External"/><Relationship Id="rId9" Type="http://schemas.openxmlformats.org/officeDocument/2006/relationships/hyperlink" Target="https://www.sec.gov/Archives/edgar/data/1847986/000149315223010262/ex3-2.htm" TargetMode="External"/><Relationship Id="rId10" Type="http://schemas.openxmlformats.org/officeDocument/2006/relationships/hyperlink" Target="https://www.sec.gov/Archives/edgar/data/1847986/000149315226004495/ex1-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25840</Words>
  <Characters>139547</Characters>
  <CharactersWithSpaces>167567</CharactersWithSpaces>
  <Paragraphs>7434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