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Date of Report (Date of earliest event reported): August 10, 2022 (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CHARDAN NEXTECH ACQUISITION 2 CORP.</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36" w:right="299" w:bottom="1440" w:gutter="0" w:footer="0" w:header="0"/>
        </w:sectPr>
      </w:pPr>
    </w:p>
    <w:p>
      <w:pPr>
        <w:spacing w:after="0" w:line="325" w:lineRule="exact"/>
        <w:rPr>
          <w:sz w:val="24"/>
          <w:szCs w:val="24"/>
          <w:color w:val="auto"/>
        </w:rPr>
      </w:pPr>
    </w:p>
    <w:p>
      <w:pPr>
        <w:ind w:left="1620"/>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180"/>
        <w:spacing w:after="0"/>
        <w:rPr>
          <w:sz w:val="20"/>
          <w:szCs w:val="20"/>
          <w:color w:val="auto"/>
        </w:rPr>
      </w:pPr>
      <w:r>
        <w:rPr>
          <w:rFonts w:ascii="Arial" w:cs="Arial" w:eastAsia="Arial" w:hAnsi="Arial"/>
          <w:sz w:val="10"/>
          <w:szCs w:val="10"/>
          <w:b w:val="1"/>
          <w:bCs w:val="1"/>
          <w:color w:val="auto"/>
        </w:rPr>
        <w:t>(State or other jurisdiction</w:t>
      </w:r>
    </w:p>
    <w:p>
      <w:pPr>
        <w:spacing w:after="0" w:line="29" w:lineRule="exact"/>
        <w:rPr>
          <w:sz w:val="24"/>
          <w:szCs w:val="24"/>
          <w:color w:val="auto"/>
        </w:rPr>
      </w:pPr>
    </w:p>
    <w:p>
      <w:pPr>
        <w:ind w:left="142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jc w:val="center"/>
        <w:ind w:right="2240"/>
        <w:spacing w:after="0"/>
        <w:rPr>
          <w:sz w:val="20"/>
          <w:szCs w:val="20"/>
          <w:color w:val="auto"/>
        </w:rPr>
      </w:pPr>
      <w:r>
        <w:rPr>
          <w:rFonts w:ascii="Arial" w:cs="Arial" w:eastAsia="Arial" w:hAnsi="Arial"/>
          <w:sz w:val="12"/>
          <w:szCs w:val="12"/>
          <w:b w:val="1"/>
          <w:bCs w:val="1"/>
          <w:color w:val="auto"/>
        </w:rPr>
        <w:t>001-40730</w:t>
      </w:r>
    </w:p>
    <w:p>
      <w:pPr>
        <w:spacing w:after="0" w:line="19" w:lineRule="exact"/>
        <w:rPr>
          <w:sz w:val="24"/>
          <w:szCs w:val="24"/>
          <w:color w:val="auto"/>
        </w:rPr>
      </w:pPr>
    </w:p>
    <w:p>
      <w:pPr>
        <w:jc w:val="center"/>
        <w:ind w:right="2240"/>
        <w:spacing w:after="0"/>
        <w:rPr>
          <w:sz w:val="20"/>
          <w:szCs w:val="20"/>
          <w:color w:val="auto"/>
        </w:rPr>
      </w:pPr>
      <w:r>
        <w:rPr>
          <w:rFonts w:ascii="Arial" w:cs="Arial" w:eastAsia="Arial" w:hAnsi="Arial"/>
          <w:sz w:val="11"/>
          <w:szCs w:val="11"/>
          <w:b w:val="1"/>
          <w:bCs w:val="1"/>
          <w:color w:val="auto"/>
        </w:rPr>
        <w:t>(Commission</w:t>
      </w:r>
    </w:p>
    <w:p>
      <w:pPr>
        <w:spacing w:after="0" w:line="18" w:lineRule="exact"/>
        <w:rPr>
          <w:sz w:val="24"/>
          <w:szCs w:val="24"/>
          <w:color w:val="auto"/>
        </w:rPr>
      </w:pPr>
    </w:p>
    <w:p>
      <w:pPr>
        <w:jc w:val="center"/>
        <w:ind w:right="2240"/>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jc w:val="center"/>
        <w:ind w:right="1400"/>
        <w:spacing w:after="0"/>
        <w:rPr>
          <w:sz w:val="20"/>
          <w:szCs w:val="20"/>
          <w:color w:val="auto"/>
        </w:rPr>
      </w:pPr>
      <w:r>
        <w:rPr>
          <w:rFonts w:ascii="Arial" w:cs="Arial" w:eastAsia="Arial" w:hAnsi="Arial"/>
          <w:sz w:val="12"/>
          <w:szCs w:val="12"/>
          <w:b w:val="1"/>
          <w:bCs w:val="1"/>
          <w:color w:val="auto"/>
        </w:rPr>
        <w:t>85-1873463</w:t>
      </w:r>
    </w:p>
    <w:p>
      <w:pPr>
        <w:spacing w:after="0" w:line="19" w:lineRule="exact"/>
        <w:rPr>
          <w:sz w:val="24"/>
          <w:szCs w:val="24"/>
          <w:color w:val="auto"/>
        </w:rPr>
      </w:pPr>
    </w:p>
    <w:p>
      <w:pPr>
        <w:jc w:val="center"/>
        <w:ind w:right="140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jc w:val="center"/>
        <w:ind w:right="1400"/>
        <w:spacing w:after="0"/>
        <w:rPr>
          <w:sz w:val="20"/>
          <w:szCs w:val="20"/>
          <w:color w:val="auto"/>
        </w:rPr>
      </w:pPr>
      <w:r>
        <w:rPr>
          <w:rFonts w:ascii="Arial" w:cs="Arial" w:eastAsia="Arial" w:hAnsi="Arial"/>
          <w:sz w:val="11"/>
          <w:szCs w:val="11"/>
          <w:b w:val="1"/>
          <w:bCs w:val="1"/>
          <w:color w:val="auto"/>
        </w:rPr>
        <w:t>Identification No.)</w:t>
      </w:r>
    </w:p>
    <w:p>
      <w:pPr>
        <w:spacing w:after="0" w:line="148" w:lineRule="exact"/>
        <w:rPr>
          <w:sz w:val="24"/>
          <w:szCs w:val="24"/>
          <w:color w:val="auto"/>
        </w:rPr>
      </w:pPr>
    </w:p>
    <w:p>
      <w:pPr>
        <w:sectPr>
          <w:pgSz w:w="11900" w:h="16838" w:orient="portrait"/>
          <w:cols w:equalWidth="0" w:num="3">
            <w:col w:w="4580" w:space="720"/>
            <w:col w:w="2940" w:space="720"/>
            <w:col w:w="2340"/>
          </w:cols>
          <w:pgMar w:left="300" w:top="836" w:right="299" w:bottom="1440" w:gutter="0" w:footer="0" w:header="0"/>
          <w:type w:val="continuous"/>
        </w:sectPr>
      </w:pPr>
    </w:p>
    <w:p>
      <w:pPr>
        <w:jc w:val="center"/>
        <w:ind w:right="1860"/>
        <w:spacing w:after="0"/>
        <w:rPr>
          <w:sz w:val="20"/>
          <w:szCs w:val="20"/>
          <w:color w:val="auto"/>
        </w:rPr>
      </w:pPr>
      <w:r>
        <w:rPr>
          <w:rFonts w:ascii="Arial" w:cs="Arial" w:eastAsia="Arial" w:hAnsi="Arial"/>
          <w:sz w:val="12"/>
          <w:szCs w:val="12"/>
          <w:b w:val="1"/>
          <w:bCs w:val="1"/>
          <w:color w:val="auto"/>
        </w:rPr>
        <w:t>17 State Street, 21st Floor</w:t>
      </w:r>
    </w:p>
    <w:p>
      <w:pPr>
        <w:spacing w:after="0" w:line="19" w:lineRule="exact"/>
        <w:rPr>
          <w:sz w:val="24"/>
          <w:szCs w:val="24"/>
          <w:color w:val="auto"/>
        </w:rPr>
      </w:pPr>
    </w:p>
    <w:p>
      <w:pPr>
        <w:jc w:val="center"/>
        <w:ind w:right="1860"/>
        <w:spacing w:after="0"/>
        <w:rPr>
          <w:sz w:val="20"/>
          <w:szCs w:val="20"/>
          <w:color w:val="auto"/>
        </w:rPr>
      </w:pPr>
      <w:r>
        <w:rPr>
          <w:rFonts w:ascii="Arial" w:cs="Arial" w:eastAsia="Arial" w:hAnsi="Arial"/>
          <w:sz w:val="12"/>
          <w:szCs w:val="12"/>
          <w:b w:val="1"/>
          <w:bCs w:val="1"/>
          <w:color w:val="auto"/>
        </w:rPr>
        <w:t>New York, NY</w:t>
      </w:r>
    </w:p>
    <w:p>
      <w:pPr>
        <w:spacing w:after="0" w:line="6" w:lineRule="exact"/>
        <w:rPr>
          <w:sz w:val="24"/>
          <w:szCs w:val="24"/>
          <w:color w:val="auto"/>
        </w:rPr>
      </w:pPr>
    </w:p>
    <w:p>
      <w:pPr>
        <w:jc w:val="center"/>
        <w:ind w:right="186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60"/>
        <w:spacing w:after="0"/>
        <w:rPr>
          <w:sz w:val="20"/>
          <w:szCs w:val="20"/>
          <w:color w:val="auto"/>
        </w:rPr>
      </w:pPr>
      <w:r>
        <w:rPr>
          <w:rFonts w:ascii="Arial" w:cs="Arial" w:eastAsia="Arial" w:hAnsi="Arial"/>
          <w:sz w:val="12"/>
          <w:szCs w:val="12"/>
          <w:b w:val="1"/>
          <w:bCs w:val="1"/>
          <w:color w:val="auto"/>
        </w:rPr>
        <w:t>10004</w:t>
      </w:r>
    </w:p>
    <w:p>
      <w:pPr>
        <w:spacing w:after="0" w:line="19" w:lineRule="exact"/>
        <w:rPr>
          <w:sz w:val="24"/>
          <w:szCs w:val="24"/>
          <w:color w:val="auto"/>
        </w:rPr>
      </w:pPr>
    </w:p>
    <w:p>
      <w:pPr>
        <w:jc w:val="center"/>
        <w:ind w:right="2560"/>
        <w:spacing w:after="0"/>
        <w:rPr>
          <w:sz w:val="20"/>
          <w:szCs w:val="20"/>
          <w:color w:val="auto"/>
        </w:rPr>
      </w:pPr>
      <w:r>
        <w:rPr>
          <w:rFonts w:ascii="Arial" w:cs="Arial" w:eastAsia="Arial" w:hAnsi="Arial"/>
          <w:sz w:val="10"/>
          <w:szCs w:val="10"/>
          <w:b w:val="1"/>
          <w:bCs w:val="1"/>
          <w:color w:val="auto"/>
        </w:rPr>
        <w:t>(Zip Code)</w:t>
      </w:r>
    </w:p>
    <w:p>
      <w:pPr>
        <w:spacing w:after="0" w:line="160" w:lineRule="exact"/>
        <w:rPr>
          <w:sz w:val="24"/>
          <w:szCs w:val="24"/>
          <w:color w:val="auto"/>
        </w:rPr>
      </w:pPr>
    </w:p>
    <w:p>
      <w:pPr>
        <w:sectPr>
          <w:pgSz w:w="11900" w:h="16838" w:orient="portrait"/>
          <w:cols w:equalWidth="0" w:num="2">
            <w:col w:w="7480" w:space="720"/>
            <w:col w:w="3100"/>
          </w:cols>
          <w:pgMar w:left="300" w:top="836" w:right="29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(646) 465-9000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36" w:right="299" w:bottom="1440" w:gutter="0" w:footer="0" w:header="0"/>
          <w:type w:val="continuous"/>
        </w:sectPr>
      </w:pPr>
    </w:p>
    <w:p>
      <w:pPr>
        <w:spacing w:after="0" w:line="35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656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Written communications pursuant to Rule 425 under the Securities Act (17 CFR 230.425)</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656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Soliciting material pursuant to Rule 14a-12 under the Exchange Act (17 CFR 240.14a-12)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6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Pre-commencement communications pursuant to Rule 14d-2(b) under the Exchange Act (17 CFR 240.14d-2(b))</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6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Pre-commencement communications pursuant to Rule 13e-4(c) under the Exchange Act (17 CFR 240.13e-4(c))</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56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Securities Exchange Act of 1934: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7"/>
              </w:rPr>
              <w:t>Title of each class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Trading</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c>
          <w:tcPr>
            <w:tcW w:w="0" w:type="dxa"/>
            <w:vAlign w:val="bottom"/>
          </w:tcPr>
          <w:p>
            <w:pPr>
              <w:spacing w:after="0"/>
              <w:rPr>
                <w:sz w:val="1"/>
                <w:szCs w:val="1"/>
                <w:color w:val="auto"/>
              </w:rPr>
            </w:pPr>
          </w:p>
        </w:tc>
      </w:tr>
      <w:tr>
        <w:trPr>
          <w:trHeight w:val="157"/>
        </w:trPr>
        <w:tc>
          <w:tcPr>
            <w:tcW w:w="6560" w:type="dxa"/>
            <w:vAlign w:val="bottom"/>
            <w:gridSpan w:val="2"/>
            <w:vMerge w:val="continue"/>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Symbol(s)</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c>
          <w:tcPr>
            <w:tcW w:w="0" w:type="dxa"/>
            <w:vAlign w:val="bottom"/>
          </w:tcPr>
          <w:p>
            <w:pPr>
              <w:spacing w:after="0"/>
              <w:rPr>
                <w:sz w:val="1"/>
                <w:szCs w:val="1"/>
                <w:color w:val="auto"/>
              </w:rPr>
            </w:pPr>
          </w:p>
        </w:tc>
      </w:tr>
      <w:tr>
        <w:trPr>
          <w:trHeight w:val="120"/>
        </w:trPr>
        <w:tc>
          <w:tcPr>
            <w:tcW w:w="64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w w:val="89"/>
              </w:rPr>
              <w:t>Units, consisting of one share of Common Stock, $0.0001 par value per share, and three-quarters of one Redeemable Warrant</w:t>
            </w:r>
          </w:p>
        </w:tc>
        <w:tc>
          <w:tcPr>
            <w:tcW w:w="12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CNTQU</w:t>
            </w:r>
          </w:p>
        </w:tc>
        <w:tc>
          <w:tcPr>
            <w:tcW w:w="120" w:type="dxa"/>
            <w:vAlign w:val="bottom"/>
          </w:tcPr>
          <w:p>
            <w:pPr>
              <w:spacing w:after="0"/>
              <w:rPr>
                <w:sz w:val="10"/>
                <w:szCs w:val="10"/>
                <w:color w:val="auto"/>
              </w:rPr>
            </w:pPr>
          </w:p>
        </w:tc>
        <w:tc>
          <w:tcPr>
            <w:tcW w:w="35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NASDAQ Capital Market</w:t>
            </w:r>
          </w:p>
        </w:tc>
        <w:tc>
          <w:tcPr>
            <w:tcW w:w="0" w:type="dxa"/>
            <w:vAlign w:val="bottom"/>
          </w:tcPr>
          <w:p>
            <w:pPr>
              <w:spacing w:after="0"/>
              <w:rPr>
                <w:sz w:val="1"/>
                <w:szCs w:val="1"/>
                <w:color w:val="auto"/>
              </w:rPr>
            </w:pPr>
          </w:p>
        </w:tc>
      </w:tr>
      <w:tr>
        <w:trPr>
          <w:trHeight w:val="144"/>
        </w:trPr>
        <w:tc>
          <w:tcPr>
            <w:tcW w:w="6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Common Stock, par value $0.0001 per share, included as part of the Units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CNTQ</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97"/>
              </w:rPr>
              <w:t>NASDAQ Capital Market</w:t>
            </w:r>
          </w:p>
        </w:tc>
        <w:tc>
          <w:tcPr>
            <w:tcW w:w="0" w:type="dxa"/>
            <w:vAlign w:val="bottom"/>
          </w:tcPr>
          <w:p>
            <w:pPr>
              <w:spacing w:after="0"/>
              <w:rPr>
                <w:sz w:val="1"/>
                <w:szCs w:val="1"/>
                <w:color w:val="auto"/>
              </w:rPr>
            </w:pPr>
          </w:p>
        </w:tc>
      </w:tr>
      <w:tr>
        <w:trPr>
          <w:trHeight w:val="157"/>
        </w:trPr>
        <w:tc>
          <w:tcPr>
            <w:tcW w:w="6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Redeemable Warrants included as part of the Units, each exercisable for one share of Common Stock for $11.50 per share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CNTQW</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97"/>
              </w:rPr>
              <w:t>NASDAQ Capital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jc w:val="both"/>
        <w:ind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jc w:val="both"/>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193040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581660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36"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previously disclosed, on May 15, 2022, Chardan NexTech Acquisition 2 Corp., a Delaware corporation (“</w:t>
      </w:r>
      <w:r>
        <w:rPr>
          <w:rFonts w:ascii="Arial" w:cs="Arial" w:eastAsia="Arial" w:hAnsi="Arial"/>
          <w:sz w:val="12"/>
          <w:szCs w:val="12"/>
          <w:u w:val="single" w:color="auto"/>
          <w:color w:val="auto"/>
        </w:rPr>
        <w:t>Chardan</w:t>
      </w:r>
      <w:r>
        <w:rPr>
          <w:rFonts w:ascii="Arial" w:cs="Arial" w:eastAsia="Arial" w:hAnsi="Arial"/>
          <w:sz w:val="12"/>
          <w:szCs w:val="12"/>
          <w:color w:val="auto"/>
        </w:rPr>
        <w:t>” or “</w:t>
      </w:r>
      <w:r>
        <w:rPr>
          <w:rFonts w:ascii="Arial" w:cs="Arial" w:eastAsia="Arial" w:hAnsi="Arial"/>
          <w:sz w:val="12"/>
          <w:szCs w:val="12"/>
          <w:u w:val="single" w:color="auto"/>
          <w:color w:val="auto"/>
        </w:rPr>
        <w:t>CNTQ</w:t>
      </w:r>
      <w:r>
        <w:rPr>
          <w:rFonts w:ascii="Arial" w:cs="Arial" w:eastAsia="Arial" w:hAnsi="Arial"/>
          <w:sz w:val="12"/>
          <w:szCs w:val="12"/>
          <w:color w:val="auto"/>
        </w:rPr>
        <w:t>”), entered into an Agreement and Plan of Merger, as amended on July 12, 2022, with Dragonfly Energy Corp., a Nevada corporation (“</w:t>
      </w:r>
      <w:r>
        <w:rPr>
          <w:rFonts w:ascii="Arial" w:cs="Arial" w:eastAsia="Arial" w:hAnsi="Arial"/>
          <w:sz w:val="12"/>
          <w:szCs w:val="12"/>
          <w:u w:val="single" w:color="auto"/>
          <w:color w:val="auto"/>
        </w:rPr>
        <w:t>Dragonfly</w:t>
      </w:r>
      <w:r>
        <w:rPr>
          <w:rFonts w:ascii="Arial" w:cs="Arial" w:eastAsia="Arial" w:hAnsi="Arial"/>
          <w:sz w:val="12"/>
          <w:szCs w:val="12"/>
          <w:color w:val="auto"/>
        </w:rPr>
        <w:t>”), and Bronco Merger Sub, Inc., a Nevada corporation and a direct, wholly owned subsidiary of Chardan.</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Attached as Exhibit 99.1, and incorporated herein by reference, is the revised investor presentation, dated August 10, 2022, for use by Chardan in meetings with certain of its stockholders as well as other persons with respect to Chardan’s proposed transaction with Dragonfly, as described in this Current Report on Form 8-K. This revised investor presentation amends the investor presentation, filed as Exhibit 99.1 to the Form 8-K filed by Chardan on July 12, 2022, to detail the reconciliation of non-GAAP figures disclosed in the investor presentation.</w:t>
      </w:r>
    </w:p>
    <w:p>
      <w:pPr>
        <w:spacing w:after="0" w:line="12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or otherwise subject to liabilities under that section, and shall not be deemed to be incorporated by reference into the filings of Chardan under the Securities Act or the Exchange Act, regardless of any general incorporation language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 w:name="page3"/>
    <w:bookmarkEnd w:id="2"/>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left="8"/>
        <w:spacing w:after="0" w:line="304" w:lineRule="auto"/>
        <w:rPr>
          <w:sz w:val="20"/>
          <w:szCs w:val="20"/>
          <w:color w:val="auto"/>
        </w:rPr>
      </w:pPr>
      <w:r>
        <w:rPr>
          <w:rFonts w:ascii="Arial" w:cs="Arial" w:eastAsia="Arial" w:hAnsi="Arial"/>
          <w:sz w:val="10"/>
          <w:szCs w:val="10"/>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w:t>
      </w:r>
    </w:p>
    <w:p>
      <w:pPr>
        <w:spacing w:after="0" w:line="120" w:lineRule="exact"/>
        <w:rPr>
          <w:sz w:val="20"/>
          <w:szCs w:val="20"/>
          <w:color w:val="auto"/>
        </w:rPr>
      </w:pPr>
    </w:p>
    <w:p>
      <w:pPr>
        <w:jc w:val="both"/>
        <w:ind w:left="8" w:hanging="8"/>
        <w:spacing w:after="0" w:line="277" w:lineRule="auto"/>
        <w:tabs>
          <w:tab w:leader="none" w:pos="203" w:val="left"/>
        </w:tabs>
        <w:numPr>
          <w:ilvl w:val="0"/>
          <w:numId w:val="1"/>
        </w:numPr>
        <w:rPr>
          <w:rFonts w:ascii="Arial" w:cs="Arial" w:eastAsia="Arial" w:hAnsi="Arial"/>
          <w:sz w:val="11"/>
          <w:szCs w:val="11"/>
          <w:color w:val="auto"/>
        </w:rPr>
      </w:pPr>
      <w:r>
        <w:rPr>
          <w:rFonts w:ascii="Arial" w:cs="Arial" w:eastAsia="Arial" w:hAnsi="Arial"/>
          <w:sz w:val="11"/>
          <w:szCs w:val="11"/>
          <w:color w:val="auto"/>
        </w:rPr>
        <w:t>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This Current Report on Form 8-K relates to a proposed transaction between CNTQ and Dragonfly. CNTQ has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documents filed by CNTQ with the SEC also may be obtained by contacting Chardan NexTech Acquisition 2 Corp. at 17 State Street, 21st Floor, New York, New York 10004, or by calling (646) 465-9001.</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the Solicitation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Offer or Solicitation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20" w:type="dxa"/>
            <w:vAlign w:val="bottom"/>
            <w:gridSpan w:val="5"/>
          </w:tcPr>
          <w:p>
            <w:pPr>
              <w:ind w:left="420"/>
              <w:spacing w:after="0"/>
              <w:rPr>
                <w:sz w:val="20"/>
                <w:szCs w:val="20"/>
                <w:color w:val="auto"/>
              </w:rPr>
            </w:pPr>
            <w:r>
              <w:rPr>
                <w:rFonts w:ascii="Arial" w:cs="Arial" w:eastAsia="Arial" w:hAnsi="Arial"/>
                <w:sz w:val="12"/>
                <w:szCs w:val="12"/>
                <w:color w:val="auto"/>
              </w:rPr>
              <w:t>(d) Exhibits.</w:t>
            </w:r>
          </w:p>
        </w:tc>
        <w:tc>
          <w:tcPr>
            <w:tcW w:w="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020" w:type="dxa"/>
            <w:vAlign w:val="bottom"/>
          </w:tcPr>
          <w:p>
            <w:pPr>
              <w:spacing w:after="0"/>
              <w:rPr>
                <w:sz w:val="13"/>
                <w:szCs w:val="13"/>
                <w:color w:val="auto"/>
              </w:rPr>
            </w:pPr>
          </w:p>
        </w:tc>
      </w:tr>
      <w:tr>
        <w:trPr>
          <w:trHeight w:val="279"/>
        </w:trPr>
        <w:tc>
          <w:tcPr>
            <w:tcW w:w="60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Exhibit No.</w:t>
            </w:r>
          </w:p>
        </w:tc>
        <w:tc>
          <w:tcPr>
            <w:tcW w:w="9480" w:type="dxa"/>
            <w:vAlign w:val="bottom"/>
            <w:gridSpan w:val="3"/>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2"/>
                <w:szCs w:val="12"/>
                <w:color w:val="0000EE"/>
              </w:rPr>
              <w:t>99.</w:t>
            </w:r>
            <w:r>
              <w:rPr>
                <w:rFonts w:ascii="Arial" w:cs="Arial" w:eastAsia="Arial" w:hAnsi="Arial"/>
                <w:sz w:val="12"/>
                <w:szCs w:val="12"/>
                <w:u w:val="single" w:color="auto"/>
                <w:color w:val="0000EE"/>
              </w:rPr>
              <w:t>1</w:t>
            </w:r>
          </w:p>
        </w:tc>
        <w:tc>
          <w:tcPr>
            <w:tcW w:w="640" w:type="dxa"/>
            <w:vAlign w:val="bottom"/>
          </w:tcPr>
          <w:p>
            <w:pPr>
              <w:spacing w:after="0"/>
              <w:rPr>
                <w:sz w:val="13"/>
                <w:szCs w:val="13"/>
                <w:color w:val="auto"/>
              </w:rPr>
            </w:pPr>
          </w:p>
        </w:tc>
        <w:tc>
          <w:tcPr>
            <w:tcW w:w="9480" w:type="dxa"/>
            <w:vAlign w:val="bottom"/>
            <w:gridSpan w:val="3"/>
          </w:tcPr>
          <w:p>
            <w:pPr>
              <w:spacing w:after="0"/>
              <w:rPr>
                <w:sz w:val="20"/>
                <w:szCs w:val="20"/>
                <w:color w:val="auto"/>
              </w:rPr>
            </w:pPr>
            <w:r>
              <w:rPr>
                <w:rFonts w:ascii="Arial" w:cs="Arial" w:eastAsia="Arial" w:hAnsi="Arial"/>
                <w:sz w:val="12"/>
                <w:szCs w:val="12"/>
                <w:color w:val="0000EE"/>
              </w:rPr>
              <w:t>Investor Presentation, dated as of August 10, 2022.</w:t>
            </w:r>
          </w:p>
        </w:tc>
      </w:tr>
      <w:tr>
        <w:trPr>
          <w:trHeight w:val="20"/>
        </w:trPr>
        <w:tc>
          <w:tcPr>
            <w:tcW w:w="80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87"/>
        </w:trPr>
        <w:tc>
          <w:tcPr>
            <w:tcW w:w="800" w:type="dxa"/>
            <w:vAlign w:val="bottom"/>
            <w:gridSpan w:val="2"/>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79"/>
              </w:rPr>
              <w:t>104</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8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68"/>
        </w:trPr>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80" w:type="dxa"/>
            <w:vAlign w:val="bottom"/>
          </w:tcPr>
          <w:p>
            <w:pPr>
              <w:spacing w:after="0"/>
              <w:rPr>
                <w:sz w:val="13"/>
                <w:szCs w:val="13"/>
                <w:color w:val="auto"/>
              </w:rPr>
            </w:pPr>
          </w:p>
        </w:tc>
        <w:tc>
          <w:tcPr>
            <w:tcW w:w="7820" w:type="dxa"/>
            <w:vAlign w:val="bottom"/>
            <w:gridSpan w:val="3"/>
          </w:tcPr>
          <w:p>
            <w:pPr>
              <w:ind w:left="2400"/>
              <w:spacing w:after="0"/>
              <w:rPr>
                <w:sz w:val="20"/>
                <w:szCs w:val="20"/>
                <w:color w:val="auto"/>
              </w:rPr>
            </w:pPr>
            <w:r>
              <w:rPr>
                <w:rFonts w:ascii="Arial" w:cs="Arial" w:eastAsia="Arial" w:hAnsi="Arial"/>
                <w:sz w:val="12"/>
                <w:szCs w:val="12"/>
                <w:color w:val="auto"/>
              </w:rPr>
              <w:t>CHARDAN NEXTECH ACQUISITION 2 CORP.</w:t>
            </w:r>
          </w:p>
        </w:tc>
      </w:tr>
      <w:tr>
        <w:trPr>
          <w:trHeight w:val="432"/>
        </w:trPr>
        <w:tc>
          <w:tcPr>
            <w:tcW w:w="3480" w:type="dxa"/>
            <w:vAlign w:val="bottom"/>
          </w:tcPr>
          <w:p>
            <w:pPr>
              <w:spacing w:after="0"/>
              <w:rPr>
                <w:sz w:val="20"/>
                <w:szCs w:val="20"/>
                <w:color w:val="auto"/>
              </w:rPr>
            </w:pPr>
            <w:r>
              <w:rPr>
                <w:rFonts w:ascii="Arial" w:cs="Arial" w:eastAsia="Arial" w:hAnsi="Arial"/>
                <w:sz w:val="12"/>
                <w:szCs w:val="12"/>
                <w:color w:val="auto"/>
              </w:rPr>
              <w:t>Date: August 10, 2022</w:t>
            </w:r>
          </w:p>
        </w:tc>
        <w:tc>
          <w:tcPr>
            <w:tcW w:w="7820" w:type="dxa"/>
            <w:vAlign w:val="bottom"/>
            <w:gridSpan w:val="3"/>
          </w:tcPr>
          <w:p>
            <w:pPr>
              <w:ind w:left="2400"/>
              <w:spacing w:after="0"/>
              <w:rPr>
                <w:sz w:val="20"/>
                <w:szCs w:val="20"/>
                <w:color w:val="auto"/>
              </w:rPr>
            </w:pPr>
            <w:r>
              <w:rPr>
                <w:rFonts w:ascii="Arial" w:cs="Arial" w:eastAsia="Arial" w:hAnsi="Arial"/>
                <w:sz w:val="12"/>
                <w:szCs w:val="12"/>
                <w:color w:val="auto"/>
              </w:rPr>
              <w:t>By: /s/ Jonas Grossman</w:t>
            </w:r>
          </w:p>
        </w:tc>
      </w:tr>
      <w:tr>
        <w:trPr>
          <w:trHeight w:val="124"/>
        </w:trPr>
        <w:tc>
          <w:tcPr>
            <w:tcW w:w="34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Name:</w:t>
            </w:r>
          </w:p>
        </w:tc>
        <w:tc>
          <w:tcPr>
            <w:tcW w:w="4740" w:type="dxa"/>
            <w:vAlign w:val="bottom"/>
            <w:tcBorders>
              <w:top w:val="single" w:sz="8" w:color="auto"/>
            </w:tcBorders>
          </w:tcPr>
          <w:p>
            <w:pPr>
              <w:ind w:left="120"/>
              <w:spacing w:after="0" w:line="124" w:lineRule="exact"/>
              <w:rPr>
                <w:sz w:val="20"/>
                <w:szCs w:val="20"/>
                <w:color w:val="auto"/>
              </w:rPr>
            </w:pPr>
            <w:r>
              <w:rPr>
                <w:rFonts w:ascii="Arial" w:cs="Arial" w:eastAsia="Arial" w:hAnsi="Arial"/>
                <w:sz w:val="12"/>
                <w:szCs w:val="12"/>
                <w:color w:val="auto"/>
              </w:rPr>
              <w:t>Jonas Grossman</w:t>
            </w:r>
          </w:p>
        </w:tc>
      </w:tr>
      <w:tr>
        <w:trPr>
          <w:trHeight w:val="153"/>
        </w:trPr>
        <w:tc>
          <w:tcPr>
            <w:tcW w:w="34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74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r>
        <w:trPr>
          <w:trHeight w:val="594"/>
        </w:trPr>
        <w:tc>
          <w:tcPr>
            <w:tcW w:w="3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5" w:name="page6"/>
    <w:bookmarkEnd w:id="5"/>
    <w:p>
      <w:pPr>
        <w:ind w:left="942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122555</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1"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12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2022-08-13T10:08:29Z</dcterms:created>
  <dcterms:modified xsi:type="dcterms:W3CDTF">2022-08-13T10:08:29Z</dcterms:modified>
</cp:coreProperties>
</file>