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40" w:type="dxa"/>
            <w:vAlign w:val="bottom"/>
            <w:gridSpan w:val="6"/>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gridSpan w:val="6"/>
          </w:tcPr>
          <w:p>
            <w:pPr>
              <w:jc w:val="center"/>
              <w:ind w:right="1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1190 Trademark Drive #108</w:t>
            </w:r>
          </w:p>
        </w:tc>
        <w:tc>
          <w:tcPr>
            <w:tcW w:w="2820" w:type="dxa"/>
            <w:vAlign w:val="bottom"/>
          </w:tcPr>
          <w:p>
            <w:pPr>
              <w:spacing w:after="0"/>
              <w:rPr>
                <w:sz w:val="24"/>
                <w:szCs w:val="24"/>
                <w:color w:val="auto"/>
              </w:rPr>
            </w:pPr>
          </w:p>
        </w:tc>
      </w:tr>
      <w:tr>
        <w:trPr>
          <w:trHeight w:val="198"/>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gridSpan w:val="6"/>
          </w:tcPr>
          <w:p>
            <w:pPr>
              <w:jc w:val="center"/>
              <w:ind w:right="20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Reno, Nevada 89521</w:t>
            </w:r>
          </w:p>
        </w:tc>
        <w:tc>
          <w:tcPr>
            <w:tcW w:w="28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(775) 622-3448</w:t>
            </w:r>
          </w:p>
        </w:tc>
        <w:tc>
          <w:tcPr>
            <w:tcW w:w="2820" w:type="dxa"/>
            <w:vAlign w:val="bottom"/>
          </w:tcPr>
          <w:p>
            <w:pPr>
              <w:spacing w:after="0"/>
              <w:rPr>
                <w:sz w:val="24"/>
                <w:szCs w:val="24"/>
                <w:color w:val="auto"/>
              </w:rPr>
            </w:pPr>
          </w:p>
        </w:tc>
      </w:tr>
      <w:tr>
        <w:trPr>
          <w:trHeight w:val="391"/>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2640" w:type="dxa"/>
            <w:vAlign w:val="bottom"/>
            <w:gridSpan w:val="4"/>
          </w:tcPr>
          <w:p>
            <w:pPr>
              <w:spacing w:after="0"/>
              <w:rPr>
                <w:sz w:val="24"/>
                <w:szCs w:val="24"/>
                <w:color w:val="auto"/>
              </w:rPr>
            </w:pPr>
          </w:p>
        </w:tc>
        <w:tc>
          <w:tcPr>
            <w:tcW w:w="282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546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2023,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John Marchetti, the Company’s Chief Financial Officer, entered into the First Amended and Restated Employment Agreement (the “</w:t>
      </w:r>
      <w:r>
        <w:rPr>
          <w:rFonts w:ascii="Times New Roman" w:cs="Times New Roman" w:eastAsia="Times New Roman" w:hAnsi="Times New Roman"/>
          <w:sz w:val="18"/>
          <w:szCs w:val="18"/>
          <w:u w:val="single" w:color="auto"/>
          <w:color w:val="auto"/>
        </w:rPr>
        <w:t>Restated Agreement</w:t>
      </w:r>
      <w:r>
        <w:rPr>
          <w:rFonts w:ascii="Times New Roman" w:cs="Times New Roman" w:eastAsia="Times New Roman" w:hAnsi="Times New Roman"/>
          <w:sz w:val="18"/>
          <w:szCs w:val="18"/>
          <w:color w:val="auto"/>
        </w:rPr>
        <w:t>”), which amended and restated the employment agreement, dated October 11, 2022, by and between the Company and Mr. Marchetti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The Restated Agreement provides that Mr. Marchetti will receive a minimum annual bonus of $175,000 for the fiscal year ending December 31, 2023. All other terms of the Restated Agreement remain the same as the Original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Restated Agreement, which is attached hereto as Exhibit 10.1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28, 2023, the Company held a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The matters voted on at the Special Meeting were the following proposals: (1) the approval of the reincorporation by conversion of the Company from the State of Delaware to the State of Nevada (the “</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and (2) to approve the adjournment of the Special Meeting in the event that the number of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present or represented by proxy at the Special Meeting and voting “FOR” the adoption of the Reincorporation proposal were insufficient.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Special Meeting, both of the foregoing stockholder proposals were approved, based upon an aggregate of 43,272,728 shares of Common Stock outstanding as of January 17, 2023, which was the record date for the Special Meeting. The final voting results were as follows:</w:t>
      </w:r>
    </w:p>
    <w:p>
      <w:pPr>
        <w:spacing w:after="0" w:line="162"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the Reincorporation was approved by a majority of the outstanding shares of Common Stock entitled to vote at the Special Meeting based upon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50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34,524,149</w:t>
            </w:r>
          </w:p>
        </w:tc>
        <w:tc>
          <w:tcPr>
            <w:tcW w:w="36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67,351</w:t>
            </w:r>
          </w:p>
        </w:tc>
        <w:tc>
          <w:tcPr>
            <w:tcW w:w="3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the adjournment of the Special Meeting in the event the number of shares of Common Stock present or represented by proxy at the Special Meeting and voting “FOR” the adoption of the Reincorporation proposal were insufficient was approved by a majority of the voting power of the votes cast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34,493,156</w:t>
            </w:r>
          </w:p>
        </w:tc>
        <w:tc>
          <w:tcPr>
            <w:tcW w:w="36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74,959</w:t>
            </w:r>
          </w:p>
        </w:tc>
        <w:tc>
          <w:tcPr>
            <w:tcW w:w="3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25,060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First Amended and Restated Employment Agreement, dated February 24, 2023, by and between Dragonfly Energy Holdings Corp. and John</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Marchetti.</w:t>
            </w: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AMENDED AND RESTATED EMPLOYMENT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Amended and Restated Employment Agreement (the “Agreement”) is made and entered into as of February 24, 2023, amending and restated that Employment Agreement dated October 11, 2022, by and between John Marchetti (the “Executive”) and Dragonfly Energy Holdings Corp.,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on such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promises, and obligations set forth herein, the parties agree as follows:</w:t>
      </w:r>
    </w:p>
    <w:p>
      <w:pPr>
        <w:spacing w:after="0" w:line="225" w:lineRule="exact"/>
        <w:rPr>
          <w:sz w:val="20"/>
          <w:szCs w:val="20"/>
          <w:color w:val="auto"/>
        </w:rPr>
      </w:pPr>
    </w:p>
    <w:p>
      <w:pPr>
        <w:jc w:val="both"/>
        <w:ind w:firstLine="332"/>
        <w:spacing w:after="0" w:line="258"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5 of this Agreement, the Executive’s initial term of employment hereunder shall be from the period beginning on October 11, 2022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183"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During the Employment Term, the Executive shall serve as the Chief Financial Officer of the Company, reporting to the Chief Executive Officer. In such position, the Executive shall have such duties, authority, and responsibilities as are consistent with the Executive’s position.</w:t>
      </w:r>
    </w:p>
    <w:p>
      <w:pPr>
        <w:spacing w:after="0" w:line="162"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176" w:lineRule="exact"/>
        <w:rPr>
          <w:sz w:val="20"/>
          <w:szCs w:val="20"/>
          <w:color w:val="auto"/>
        </w:rPr>
      </w:pPr>
    </w:p>
    <w:p>
      <w:pPr>
        <w:jc w:val="both"/>
        <w:ind w:firstLine="332"/>
        <w:spacing w:after="0" w:line="258" w:lineRule="auto"/>
        <w:tabs>
          <w:tab w:leader="none" w:pos="5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The principal place of Executive’s employment shall be the Company’s principal executive office currently located in Reno, Nevada; provided that, the Executive may be required to travel on Company business during the Employment Term. The Executive may work remotely from the Executive’s residence in Reno, Nevada so long as doing so does not interfere with the Executive’s responsibilities under this Agreement; provided, that, subject to any health or safety concerns related to the COVID-19 pandemic or other similar extraordinary circumstances, the Executive shall be required to spend on average 16 days per month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88" w:hanging="188"/>
        <w:spacing w:after="0"/>
        <w:tabs>
          <w:tab w:leader="none" w:pos="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Executive an annual rate of base salary of $370,000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180"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8" w:firstLine="648"/>
        <w:spacing w:after="0" w:line="266" w:lineRule="auto"/>
        <w:tabs>
          <w:tab w:leader="none" w:pos="15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of the Employment Term, the Executive shall be eligible to receive an annual bonus (the “Annual Bonus”) of up to 63% of the Executive’s base annual salary. The decision to provide any Annual Bonus and the amount and terms of any Annual Bonus shall be in the sole and absolute discretion of the Compensation Committee of the Board (the “Compensation Committee”).</w:t>
      </w:r>
    </w:p>
    <w:p>
      <w:pPr>
        <w:spacing w:after="0" w:line="175" w:lineRule="exact"/>
        <w:rPr>
          <w:rFonts w:ascii="Times New Roman" w:cs="Times New Roman" w:eastAsia="Times New Roman" w:hAnsi="Times New Roman"/>
          <w:sz w:val="18"/>
          <w:szCs w:val="18"/>
          <w:color w:val="auto"/>
        </w:rPr>
      </w:pPr>
    </w:p>
    <w:p>
      <w:pPr>
        <w:ind w:left="1548" w:hanging="252"/>
        <w:spacing w:after="0"/>
        <w:tabs>
          <w:tab w:leader="none" w:pos="15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for 2023 is guaranteed to be a minimum of $175,000.</w:t>
      </w:r>
    </w:p>
    <w:p>
      <w:pPr>
        <w:spacing w:after="0" w:line="225" w:lineRule="exact"/>
        <w:rPr>
          <w:rFonts w:ascii="Times New Roman" w:cs="Times New Roman" w:eastAsia="Times New Roman" w:hAnsi="Times New Roman"/>
          <w:sz w:val="18"/>
          <w:szCs w:val="18"/>
          <w:color w:val="auto"/>
        </w:rPr>
      </w:pPr>
    </w:p>
    <w:p>
      <w:pPr>
        <w:ind w:left="1528" w:hanging="232"/>
        <w:spacing w:after="0"/>
        <w:tabs>
          <w:tab w:leader="none" w:pos="15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if any, will be paid within two and a half (2 1/2) months after the end of the applicable fiscal year.</w:t>
      </w:r>
    </w:p>
    <w:p>
      <w:pPr>
        <w:spacing w:after="0" w:line="225" w:lineRule="exact"/>
        <w:rPr>
          <w:rFonts w:ascii="Times New Roman" w:cs="Times New Roman" w:eastAsia="Times New Roman" w:hAnsi="Times New Roman"/>
          <w:sz w:val="18"/>
          <w:szCs w:val="18"/>
          <w:color w:val="auto"/>
        </w:rPr>
      </w:pPr>
    </w:p>
    <w:p>
      <w:pPr>
        <w:ind w:left="648" w:firstLine="648"/>
        <w:spacing w:after="0" w:line="282" w:lineRule="auto"/>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5, in order to be eligible to receive an Annual Bonus, the Executive must be employed by the Company on the date that Annual Bonuses are paid.</w:t>
      </w:r>
    </w:p>
    <w:p>
      <w:pPr>
        <w:spacing w:after="0" w:line="162"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an annual long-term incentive award with a value of no less than $646,000 (based on the grant date value of any such award). All terms and conditions applicable to each such award shall be determined by the Compensation Committee.</w:t>
      </w:r>
    </w:p>
    <w:p>
      <w:pPr>
        <w:spacing w:after="0" w:line="176"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Fringe Benefits and Perquisites</w:t>
      </w:r>
      <w:r>
        <w:rPr>
          <w:rFonts w:ascii="Times New Roman" w:cs="Times New Roman" w:eastAsia="Times New Roman" w:hAnsi="Times New Roman"/>
          <w:sz w:val="18"/>
          <w:szCs w:val="18"/>
          <w:color w:val="auto"/>
        </w:rPr>
        <w:t>. During the Employment Term, the Executive shall be entitled to fringe benefits and perquisites consistent with those provided to similarly situated executives of the Company.</w:t>
      </w:r>
    </w:p>
    <w:p>
      <w:pPr>
        <w:spacing w:after="0" w:line="162"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 w:name="page6"/>
    <w:bookmarkEnd w:id="5"/>
    <w:p>
      <w:pPr>
        <w:jc w:val="both"/>
        <w:ind w:lef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Vacation; Paid Time Off</w:t>
      </w:r>
      <w:r>
        <w:rPr>
          <w:rFonts w:ascii="Times New Roman" w:cs="Times New Roman" w:eastAsia="Times New Roman" w:hAnsi="Times New Roman"/>
          <w:sz w:val="18"/>
          <w:szCs w:val="18"/>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180" w:lineRule="exact"/>
        <w:rPr>
          <w:sz w:val="20"/>
          <w:szCs w:val="20"/>
          <w:color w:val="auto"/>
        </w:rPr>
      </w:pPr>
    </w:p>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76" w:lineRule="exact"/>
        <w:rPr>
          <w:sz w:val="20"/>
          <w:szCs w:val="20"/>
          <w:color w:val="auto"/>
        </w:rPr>
      </w:pPr>
    </w:p>
    <w:p>
      <w:pPr>
        <w:jc w:val="both"/>
        <w:ind w:left="32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62" w:lineRule="exact"/>
        <w:rPr>
          <w:sz w:val="20"/>
          <w:szCs w:val="20"/>
          <w:color w:val="auto"/>
        </w:rPr>
      </w:pPr>
    </w:p>
    <w:p>
      <w:pPr>
        <w:jc w:val="both"/>
        <w:ind w:left="3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3" w:lineRule="exact"/>
        <w:rPr>
          <w:sz w:val="20"/>
          <w:szCs w:val="20"/>
          <w:color w:val="auto"/>
        </w:rPr>
      </w:pPr>
    </w:p>
    <w:p>
      <w:pPr>
        <w:jc w:val="both"/>
        <w:ind w:left="-20" w:firstLine="332"/>
        <w:spacing w:after="0" w:line="258" w:lineRule="auto"/>
        <w:tabs>
          <w:tab w:leader="none" w:pos="4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Expiration of the Term, For Cause, or Without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firstLine="648"/>
        <w:spacing w:after="0" w:line="282" w:lineRule="auto"/>
        <w:tabs>
          <w:tab w:leader="none" w:pos="18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161" w:lineRule="exact"/>
        <w:rPr>
          <w:rFonts w:ascii="Times New Roman" w:cs="Times New Roman" w:eastAsia="Times New Roman" w:hAnsi="Times New Roman"/>
          <w:sz w:val="18"/>
          <w:szCs w:val="18"/>
          <w:color w:val="auto"/>
        </w:rPr>
      </w:pPr>
    </w:p>
    <w:p>
      <w:pPr>
        <w:ind w:left="1600" w:right="20" w:firstLine="656"/>
        <w:spacing w:after="0" w:line="282" w:lineRule="auto"/>
        <w:tabs>
          <w:tab w:leader="none" w:pos="25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6" w:name="page7"/>
    <w:bookmarkEnd w:id="6"/>
    <w:p>
      <w:pPr>
        <w:ind w:left="500" w:right="20" w:firstLine="656"/>
        <w:spacing w:after="0" w:line="282" w:lineRule="auto"/>
        <w:tabs>
          <w:tab w:leader="none" w:pos="14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unreimbursed business expenses properly incurred by the Executive, which shall be subject to and paid in accordance with the Company’s expense reimbursement policy; and</w:t>
      </w:r>
    </w:p>
    <w:p>
      <w:pPr>
        <w:spacing w:after="0" w:line="161" w:lineRule="exact"/>
        <w:rPr>
          <w:rFonts w:ascii="Times New Roman" w:cs="Times New Roman" w:eastAsia="Times New Roman" w:hAnsi="Times New Roman"/>
          <w:sz w:val="18"/>
          <w:szCs w:val="18"/>
          <w:color w:val="auto"/>
        </w:rPr>
      </w:pPr>
    </w:p>
    <w:p>
      <w:pPr>
        <w:jc w:val="both"/>
        <w:ind w:left="500" w:firstLine="656"/>
        <w:spacing w:after="0" w:line="266" w:lineRule="auto"/>
        <w:tabs>
          <w:tab w:leader="none" w:pos="1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Items 5.1(a)(i) through 5.1(a)(iii) are referred to herein collectively as the “Accrued Amounts.”</w:t>
      </w:r>
    </w:p>
    <w:p>
      <w:pPr>
        <w:spacing w:after="0" w:line="225" w:lineRule="exact"/>
        <w:rPr>
          <w:sz w:val="20"/>
          <w:szCs w:val="20"/>
          <w:color w:val="auto"/>
        </w:rPr>
      </w:pPr>
    </w:p>
    <w:p>
      <w:pPr>
        <w:ind w:left="760" w:hanging="252"/>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shall mean:</w:t>
      </w:r>
    </w:p>
    <w:p>
      <w:pPr>
        <w:spacing w:after="0" w:line="225" w:lineRule="exact"/>
        <w:rPr>
          <w:rFonts w:ascii="Times New Roman" w:cs="Times New Roman" w:eastAsia="Times New Roman" w:hAnsi="Times New Roman"/>
          <w:sz w:val="18"/>
          <w:szCs w:val="18"/>
          <w:color w:val="auto"/>
        </w:rPr>
      </w:pPr>
    </w:p>
    <w:p>
      <w:pPr>
        <w:ind w:left="500" w:right="20" w:firstLine="656"/>
        <w:spacing w:after="0" w:line="282" w:lineRule="auto"/>
        <w:tabs>
          <w:tab w:leader="none" w:pos="137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perform the Executive’s duties (other than any such failure resulting from incapacity due to physical or mental illness);</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43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comply with any valid and legal directive of the Dragonfly Energy Holdings Corp. Board of Directors;</w:t>
      </w:r>
    </w:p>
    <w:p>
      <w:pPr>
        <w:spacing w:after="0" w:line="161" w:lineRule="exact"/>
        <w:rPr>
          <w:rFonts w:ascii="Times New Roman" w:cs="Times New Roman" w:eastAsia="Times New Roman" w:hAnsi="Times New Roman"/>
          <w:sz w:val="18"/>
          <w:szCs w:val="18"/>
          <w:color w:val="auto"/>
        </w:rPr>
      </w:pPr>
    </w:p>
    <w:p>
      <w:pPr>
        <w:ind w:left="500" w:right="20" w:firstLine="656"/>
        <w:spacing w:after="0" w:line="282" w:lineRule="auto"/>
        <w:tabs>
          <w:tab w:leader="none" w:pos="15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engagement in dishonesty, illegal conduct, or gross misconduct, which is, in each case, materially injurious to the Company or its affiliates;</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4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misappropriation, or fraud, whether or not related to the Executive’s employment with the Company;</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42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4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5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any material obligation under this Agreement or any other written agreement between the Executive and the Company; or</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6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engagement in conduct that brings the Company negative publicity or into public disgrace, embarrassment, or disrepute.</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jc w:val="both"/>
        <w:ind w:left="500"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183" w:lineRule="exact"/>
        <w:rPr>
          <w:sz w:val="20"/>
          <w:szCs w:val="20"/>
          <w:color w:val="auto"/>
        </w:rPr>
      </w:pPr>
    </w:p>
    <w:p>
      <w:pPr>
        <w:jc w:val="both"/>
        <w:ind w:left="500" w:firstLine="648"/>
        <w:spacing w:after="0" w:line="282" w:lineRule="auto"/>
        <w:rPr>
          <w:sz w:val="20"/>
          <w:szCs w:val="20"/>
          <w:color w:val="auto"/>
        </w:rPr>
      </w:pPr>
      <w:r>
        <w:rPr>
          <w:rFonts w:ascii="Times New Roman" w:cs="Times New Roman" w:eastAsia="Times New Roman" w:hAnsi="Times New Roman"/>
          <w:sz w:val="18"/>
          <w:szCs w:val="18"/>
          <w:color w:val="auto"/>
        </w:rPr>
        <w:t>Except for a failure, breach, or refusal which, by its nature, cannot reasonably be expected to be cured, the Executive shall have 40 business days from the delivery of written notice by the Company within which to cure any acts constituting Cause.</w:t>
      </w:r>
    </w:p>
    <w:p>
      <w:pPr>
        <w:spacing w:after="0" w:line="162" w:lineRule="exact"/>
        <w:rPr>
          <w:sz w:val="20"/>
          <w:szCs w:val="20"/>
          <w:color w:val="auto"/>
        </w:rPr>
      </w:pPr>
    </w:p>
    <w:p>
      <w:pPr>
        <w:ind w:left="180" w:firstLine="328"/>
        <w:spacing w:after="0" w:line="282" w:lineRule="auto"/>
        <w:tabs>
          <w:tab w:leader="none" w:pos="7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shall mean the occurrence of any of the following, in each case during the Employment Term without the Executive’s prior written consent:</w:t>
      </w:r>
    </w:p>
    <w:p>
      <w:pPr>
        <w:spacing w:after="0" w:line="161" w:lineRule="exact"/>
        <w:rPr>
          <w:rFonts w:ascii="Times New Roman" w:cs="Times New Roman" w:eastAsia="Times New Roman" w:hAnsi="Times New Roman"/>
          <w:sz w:val="18"/>
          <w:szCs w:val="18"/>
          <w:color w:val="auto"/>
        </w:rPr>
      </w:pPr>
    </w:p>
    <w:p>
      <w:pPr>
        <w:ind w:left="500" w:firstLine="656"/>
        <w:spacing w:after="0" w:line="282" w:lineRule="auto"/>
        <w:tabs>
          <w:tab w:leader="none" w:pos="13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other than a general reduction in Base Salary that affects all similarly situated executives in substantially the same proportions;</w:t>
      </w:r>
    </w:p>
    <w:p>
      <w:pPr>
        <w:spacing w:after="0" w:line="161" w:lineRule="exact"/>
        <w:rPr>
          <w:rFonts w:ascii="Times New Roman" w:cs="Times New Roman" w:eastAsia="Times New Roman" w:hAnsi="Times New Roman"/>
          <w:sz w:val="18"/>
          <w:szCs w:val="18"/>
          <w:color w:val="auto"/>
        </w:rPr>
      </w:pPr>
    </w:p>
    <w:p>
      <w:pPr>
        <w:ind w:left="1420" w:hanging="264"/>
        <w:spacing w:after="0"/>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Executive’s principal place of employment by more than 50 miles;</w:t>
      </w:r>
    </w:p>
    <w:p>
      <w:pPr>
        <w:spacing w:after="0" w:line="225" w:lineRule="exact"/>
        <w:rPr>
          <w:rFonts w:ascii="Times New Roman" w:cs="Times New Roman" w:eastAsia="Times New Roman" w:hAnsi="Times New Roman"/>
          <w:sz w:val="18"/>
          <w:szCs w:val="18"/>
          <w:color w:val="auto"/>
        </w:rPr>
      </w:pPr>
    </w:p>
    <w:p>
      <w:pPr>
        <w:ind w:left="500" w:firstLine="656"/>
        <w:spacing w:after="0" w:line="282" w:lineRule="auto"/>
        <w:tabs>
          <w:tab w:leader="none" w:pos="14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provision of this Agreement or any material provision of any other agreement between the Executive and the Company;</w:t>
      </w:r>
    </w:p>
    <w:p>
      <w:pPr>
        <w:spacing w:after="0" w:line="161" w:lineRule="exact"/>
        <w:rPr>
          <w:rFonts w:ascii="Times New Roman" w:cs="Times New Roman" w:eastAsia="Times New Roman" w:hAnsi="Times New Roman"/>
          <w:sz w:val="18"/>
          <w:szCs w:val="18"/>
          <w:color w:val="auto"/>
        </w:rPr>
      </w:pPr>
    </w:p>
    <w:p>
      <w:pPr>
        <w:jc w:val="both"/>
        <w:ind w:left="500" w:firstLine="656"/>
        <w:spacing w:after="0" w:line="266" w:lineRule="auto"/>
        <w:tabs>
          <w:tab w:leader="none" w:pos="14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175" w:lineRule="exact"/>
        <w:rPr>
          <w:rFonts w:ascii="Times New Roman" w:cs="Times New Roman" w:eastAsia="Times New Roman" w:hAnsi="Times New Roman"/>
          <w:sz w:val="18"/>
          <w:szCs w:val="18"/>
          <w:color w:val="auto"/>
        </w:rPr>
      </w:pPr>
    </w:p>
    <w:p>
      <w:pPr>
        <w:ind w:left="500" w:firstLine="656"/>
        <w:spacing w:after="0" w:line="282" w:lineRule="auto"/>
        <w:tabs>
          <w:tab w:leader="none" w:pos="14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title, authority, duties, or responsibilities (other than temporarily while the Executive is physically or mentally incapacitated or as required by applicable law); or</w:t>
      </w:r>
    </w:p>
    <w:p>
      <w:pPr>
        <w:spacing w:after="0" w:line="161" w:lineRule="exact"/>
        <w:rPr>
          <w:rFonts w:ascii="Times New Roman" w:cs="Times New Roman" w:eastAsia="Times New Roman" w:hAnsi="Times New Roman"/>
          <w:sz w:val="18"/>
          <w:szCs w:val="18"/>
          <w:color w:val="auto"/>
        </w:rPr>
      </w:pPr>
    </w:p>
    <w:p>
      <w:pPr>
        <w:ind w:left="1460" w:hanging="304"/>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reporting structure applicable to the Executive.</w:t>
      </w:r>
    </w:p>
    <w:p>
      <w:pPr>
        <w:spacing w:after="0" w:line="225" w:lineRule="exact"/>
        <w:rPr>
          <w:sz w:val="20"/>
          <w:szCs w:val="20"/>
          <w:color w:val="auto"/>
        </w:rPr>
      </w:pPr>
    </w:p>
    <w:p>
      <w:pPr>
        <w:jc w:val="both"/>
        <w:ind w:left="500" w:firstLine="648"/>
        <w:spacing w:after="0" w:line="256" w:lineRule="auto"/>
        <w:rPr>
          <w:sz w:val="20"/>
          <w:szCs w:val="20"/>
          <w:color w:val="auto"/>
        </w:rPr>
      </w:pPr>
      <w:r>
        <w:rPr>
          <w:rFonts w:ascii="Times New Roman" w:cs="Times New Roman" w:eastAsia="Times New Roman" w:hAnsi="Times New Roman"/>
          <w:sz w:val="18"/>
          <w:szCs w:val="18"/>
          <w:color w:val="auto"/>
        </w:rPr>
        <w:t>To terminate the Executive’s employment for Good Reason, the Executive must provide written notice to the Company of the existence of the circumstances providing grounds for termination for Good Reason within 15 days of the initial existence of such grounds and the Company must have at least 10 days from the date on which such notice is provided to cure such circumstances. If the Executive does not terminate the Executive’s employment for Good Reason within 40 days after the first occurrence of the applicable grounds, then the Executive will be deemed to have waived the Executive’s right to terminate for Good Reason with respect to such grounds.</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Without Cause or for Good Reason</w:t>
      </w:r>
      <w:r>
        <w:rPr>
          <w:rFonts w:ascii="Times New Roman" w:cs="Times New Roman" w:eastAsia="Times New Roman" w:hAnsi="Times New Roman"/>
          <w:sz w:val="18"/>
          <w:szCs w:val="18"/>
          <w:color w:val="auto"/>
        </w:rPr>
        <w:t>. 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(the “Release”) (such 21-day period, the “Release Execution Period”), and the Release becoming effective according to its terms, the Executive shall be entitled to receive the following:</w:t>
      </w:r>
    </w:p>
    <w:p>
      <w:pPr>
        <w:spacing w:after="0" w:line="187" w:lineRule="exact"/>
        <w:rPr>
          <w:sz w:val="20"/>
          <w:szCs w:val="20"/>
          <w:color w:val="auto"/>
        </w:rPr>
      </w:pPr>
    </w:p>
    <w:p>
      <w:pPr>
        <w:jc w:val="both"/>
        <w:ind w:left="640" w:firstLine="648"/>
        <w:spacing w:after="0" w:line="261"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installment payments payable in accordance with the Company’s normal payroll practices, but no less frequently than monthly, which are in the aggregate equal to the Executive’s Base Salary for the year that includes the date of the Executive’s termination,</w:t>
      </w:r>
    </w:p>
    <w:p>
      <w:pPr>
        <w:jc w:val="both"/>
        <w:ind w:left="640"/>
        <w:spacing w:after="0" w:line="231" w:lineRule="auto"/>
        <w:rPr>
          <w:sz w:val="20"/>
          <w:szCs w:val="20"/>
          <w:color w:val="auto"/>
        </w:rPr>
      </w:pPr>
      <w:r>
        <w:rPr>
          <w:rFonts w:ascii="Times New Roman" w:cs="Times New Roman" w:eastAsia="Times New Roman" w:hAnsi="Times New Roman"/>
          <w:sz w:val="18"/>
          <w:szCs w:val="18"/>
          <w:color w:val="auto"/>
        </w:rPr>
        <w:t>which shall begin within 30 days following the date of the Executive’s termination and continue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200" w:lineRule="exact"/>
        <w:rPr>
          <w:sz w:val="20"/>
          <w:szCs w:val="20"/>
          <w:color w:val="auto"/>
        </w:rPr>
      </w:pPr>
    </w:p>
    <w:p>
      <w:pPr>
        <w:jc w:val="both"/>
        <w:ind w:left="640" w:firstLine="648"/>
        <w:spacing w:after="0" w:line="258" w:lineRule="auto"/>
        <w:tabs>
          <w:tab w:leader="none" w:pos="15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date of the Executive’s termination;</w:t>
      </w:r>
    </w:p>
    <w:p>
      <w:pPr>
        <w:spacing w:after="0" w:line="183" w:lineRule="exact"/>
        <w:rPr>
          <w:sz w:val="20"/>
          <w:szCs w:val="20"/>
          <w:color w:val="auto"/>
        </w:rPr>
      </w:pPr>
    </w:p>
    <w:p>
      <w:pPr>
        <w:jc w:val="both"/>
        <w:ind w:left="640" w:firstLine="648"/>
        <w:spacing w:after="0" w:line="258" w:lineRule="auto"/>
        <w:tabs>
          <w:tab w:leader="none" w:pos="15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5.2(c) in a manner as is necessary to comply with the ACA.</w:t>
      </w:r>
    </w:p>
    <w:p>
      <w:pPr>
        <w:spacing w:after="0" w:line="183" w:lineRule="exact"/>
        <w:rPr>
          <w:sz w:val="20"/>
          <w:szCs w:val="20"/>
          <w:color w:val="auto"/>
        </w:rPr>
      </w:pPr>
    </w:p>
    <w:p>
      <w:pPr>
        <w:ind w:left="640" w:firstLine="648"/>
        <w:spacing w:after="0" w:line="282" w:lineRule="auto"/>
        <w:tabs>
          <w:tab w:leader="none" w:pos="15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Dragonfly Energy Holdings Corp. Equity Incentive Plan and all successor plans or any applicable award agreements:</w:t>
      </w:r>
    </w:p>
    <w:p>
      <w:pPr>
        <w:spacing w:after="0" w:line="161" w:lineRule="exact"/>
        <w:rPr>
          <w:rFonts w:ascii="Times New Roman" w:cs="Times New Roman" w:eastAsia="Times New Roman" w:hAnsi="Times New Roman"/>
          <w:sz w:val="18"/>
          <w:szCs w:val="18"/>
          <w:color w:val="auto"/>
        </w:rPr>
      </w:pPr>
    </w:p>
    <w:p>
      <w:pPr>
        <w:jc w:val="both"/>
        <w:ind w:left="960" w:firstLine="976"/>
        <w:spacing w:after="0" w:line="261" w:lineRule="auto"/>
        <w:tabs>
          <w:tab w:leader="none" w:pos="216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and</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9" w:name="page10"/>
    <w:bookmarkEnd w:id="9"/>
    <w:p>
      <w:pPr>
        <w:jc w:val="both"/>
        <w:ind w:left="320" w:firstLine="976"/>
        <w:spacing w:after="0" w:line="266" w:lineRule="auto"/>
        <w:tabs>
          <w:tab w:leader="none" w:pos="15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 in Control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tabs>
          <w:tab w:leader="none" w:pos="9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 30 days following the Termination Date; provided that, if the Release Execution Period begins in one taxable year and ends in another taxable year, payment shall not be made until the beginning of the second taxable year.</w:t>
      </w:r>
    </w:p>
    <w:p>
      <w:pPr>
        <w:spacing w:after="0" w:line="188" w:lineRule="exact"/>
        <w:rPr>
          <w:rFonts w:ascii="Times New Roman" w:cs="Times New Roman" w:eastAsia="Times New Roman" w:hAnsi="Times New Roman"/>
          <w:sz w:val="18"/>
          <w:szCs w:val="18"/>
          <w:color w:val="auto"/>
        </w:rPr>
      </w:pPr>
    </w:p>
    <w:p>
      <w:pPr>
        <w:jc w:val="both"/>
        <w:ind w:firstLine="648"/>
        <w:spacing w:after="0" w:line="254"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 grandfathered, insured group plans under the ACA, or result in the imposition of penalties under the ACA, the parties agree to reform this Section 5.3(b) in a manner as is necessary to comply with the ACA.</w:t>
      </w:r>
    </w:p>
    <w:p>
      <w:pPr>
        <w:spacing w:after="0" w:line="188" w:lineRule="exact"/>
        <w:rPr>
          <w:rFonts w:ascii="Times New Roman" w:cs="Times New Roman" w:eastAsia="Times New Roman" w:hAnsi="Times New Roman"/>
          <w:sz w:val="18"/>
          <w:szCs w:val="18"/>
          <w:color w:val="auto"/>
        </w:rPr>
      </w:pPr>
    </w:p>
    <w:p>
      <w:pPr>
        <w:ind w:left="900" w:hanging="252"/>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any equity incentive plan or award agreements, as applicable:</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0" w:name="page11"/>
    <w:bookmarkEnd w:id="10"/>
    <w:p>
      <w:pPr>
        <w:ind w:left="320" w:right="20" w:firstLine="976"/>
        <w:spacing w:after="0" w:line="282" w:lineRule="auto"/>
        <w:tabs>
          <w:tab w:leader="none" w:pos="15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granted to the Executive during the Employment Term shall become fully vested and exercisable for the remainder of their full term;</w:t>
      </w:r>
    </w:p>
    <w:p>
      <w:pPr>
        <w:spacing w:after="0" w:line="161" w:lineRule="exact"/>
        <w:rPr>
          <w:rFonts w:ascii="Times New Roman" w:cs="Times New Roman" w:eastAsia="Times New Roman" w:hAnsi="Times New Roman"/>
          <w:sz w:val="18"/>
          <w:szCs w:val="18"/>
          <w:color w:val="auto"/>
        </w:rPr>
      </w:pPr>
    </w:p>
    <w:p>
      <w:pPr>
        <w:jc w:val="both"/>
        <w:ind w:left="320" w:firstLine="976"/>
        <w:spacing w:after="0" w:line="266" w:lineRule="auto"/>
        <w:tabs>
          <w:tab w:leader="none" w:pos="156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175" w:lineRule="exact"/>
        <w:rPr>
          <w:rFonts w:ascii="Times New Roman" w:cs="Times New Roman" w:eastAsia="Times New Roman" w:hAnsi="Times New Roman"/>
          <w:sz w:val="18"/>
          <w:szCs w:val="18"/>
          <w:color w:val="auto"/>
        </w:rPr>
      </w:pPr>
    </w:p>
    <w:p>
      <w:pPr>
        <w:jc w:val="both"/>
        <w:ind w:left="320" w:firstLine="976"/>
        <w:spacing w:after="0" w:line="266" w:lineRule="auto"/>
        <w:tabs>
          <w:tab w:leader="none" w:pos="1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5" w:lineRule="exact"/>
        <w:rPr>
          <w:rFonts w:ascii="Times New Roman" w:cs="Times New Roman" w:eastAsia="Times New Roman" w:hAnsi="Times New Roman"/>
          <w:sz w:val="18"/>
          <w:szCs w:val="18"/>
          <w:color w:val="auto"/>
        </w:rPr>
      </w:pPr>
    </w:p>
    <w:p>
      <w:pPr>
        <w:ind w:left="580" w:hanging="256"/>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shall mean the occurrence of any of the following after the Effective Date:</w:t>
      </w:r>
    </w:p>
    <w:p>
      <w:pPr>
        <w:spacing w:after="0" w:line="225" w:lineRule="exact"/>
        <w:rPr>
          <w:rFonts w:ascii="Times New Roman" w:cs="Times New Roman" w:eastAsia="Times New Roman" w:hAnsi="Times New Roman"/>
          <w:sz w:val="18"/>
          <w:szCs w:val="18"/>
          <w:color w:val="auto"/>
        </w:rPr>
      </w:pPr>
    </w:p>
    <w:p>
      <w:pPr>
        <w:ind w:left="700" w:right="40" w:firstLine="639"/>
        <w:spacing w:after="0" w:line="261" w:lineRule="auto"/>
        <w:tabs>
          <w:tab w:leader="none" w:pos="156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79" w:lineRule="exact"/>
        <w:rPr>
          <w:rFonts w:ascii="Times New Roman" w:cs="Times New Roman" w:eastAsia="Times New Roman" w:hAnsi="Times New Roman"/>
          <w:sz w:val="18"/>
          <w:szCs w:val="18"/>
          <w:color w:val="auto"/>
        </w:rPr>
      </w:pPr>
    </w:p>
    <w:p>
      <w:pPr>
        <w:ind w:left="700" w:right="340" w:firstLine="639"/>
        <w:spacing w:after="0" w:line="266" w:lineRule="auto"/>
        <w:tabs>
          <w:tab w:leader="none" w:pos="161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175" w:lineRule="exact"/>
        <w:rPr>
          <w:rFonts w:ascii="Times New Roman" w:cs="Times New Roman" w:eastAsia="Times New Roman" w:hAnsi="Times New Roman"/>
          <w:sz w:val="18"/>
          <w:szCs w:val="18"/>
          <w:color w:val="auto"/>
        </w:rPr>
      </w:pPr>
    </w:p>
    <w:p>
      <w:pPr>
        <w:ind w:left="700" w:right="120" w:firstLine="639"/>
        <w:spacing w:after="0" w:line="282" w:lineRule="auto"/>
        <w:tabs>
          <w:tab w:leader="none" w:pos="166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61" w:lineRule="exact"/>
        <w:rPr>
          <w:rFonts w:ascii="Times New Roman" w:cs="Times New Roman" w:eastAsia="Times New Roman" w:hAnsi="Times New Roman"/>
          <w:sz w:val="18"/>
          <w:szCs w:val="18"/>
          <w:color w:val="auto"/>
        </w:rPr>
      </w:pPr>
    </w:p>
    <w:p>
      <w:pPr>
        <w:ind w:left="1640" w:hanging="301"/>
        <w:spacing w:after="0"/>
        <w:tabs>
          <w:tab w:leader="none" w:pos="16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w:t>
      </w:r>
    </w:p>
    <w:p>
      <w:pPr>
        <w:spacing w:after="0" w:line="225" w:lineRule="exact"/>
        <w:rPr>
          <w:sz w:val="20"/>
          <w:szCs w:val="20"/>
          <w:color w:val="auto"/>
        </w:rPr>
      </w:pPr>
    </w:p>
    <w:p>
      <w:pPr>
        <w:ind w:left="40" w:right="420"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tabs>
          <w:tab w:leader="none" w:pos="8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1" w:name="page12"/>
    <w:bookmarkEnd w:id="11"/>
    <w:p>
      <w:pPr>
        <w:ind w:left="640" w:right="20" w:firstLine="648"/>
        <w:spacing w:after="0" w:line="282" w:lineRule="auto"/>
        <w:tabs>
          <w:tab w:leader="none" w:pos="15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61" w:lineRule="exact"/>
        <w:rPr>
          <w:rFonts w:ascii="Times New Roman" w:cs="Times New Roman" w:eastAsia="Times New Roman" w:hAnsi="Times New Roman"/>
          <w:sz w:val="18"/>
          <w:szCs w:val="18"/>
          <w:color w:val="auto"/>
        </w:rPr>
      </w:pPr>
    </w:p>
    <w:p>
      <w:pPr>
        <w:ind w:left="2160" w:hanging="224"/>
        <w:spacing w:after="0"/>
        <w:tabs>
          <w:tab w:leader="none" w:pos="2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and</w:t>
      </w:r>
    </w:p>
    <w:p>
      <w:pPr>
        <w:spacing w:after="0" w:line="225" w:lineRule="exact"/>
        <w:rPr>
          <w:rFonts w:ascii="Times New Roman" w:cs="Times New Roman" w:eastAsia="Times New Roman" w:hAnsi="Times New Roman"/>
          <w:sz w:val="18"/>
          <w:szCs w:val="18"/>
          <w:color w:val="auto"/>
        </w:rPr>
      </w:pPr>
    </w:p>
    <w:p>
      <w:pPr>
        <w:jc w:val="both"/>
        <w:ind w:left="960" w:right="20" w:firstLine="976"/>
        <w:spacing w:after="0" w:line="261" w:lineRule="auto"/>
        <w:tabs>
          <w:tab w:leader="none" w:pos="22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180" w:lineRule="exact"/>
        <w:rPr>
          <w:sz w:val="20"/>
          <w:szCs w:val="20"/>
          <w:color w:val="auto"/>
        </w:rPr>
      </w:pPr>
    </w:p>
    <w:p>
      <w:pPr>
        <w:ind w:left="960" w:right="40"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contained herein, all payments made in connection with the Executive’s Disability shall be provided in a manner which is consistent with federal and state law.</w:t>
      </w:r>
    </w:p>
    <w:p>
      <w:pPr>
        <w:spacing w:after="0" w:line="162" w:lineRule="exact"/>
        <w:rPr>
          <w:sz w:val="20"/>
          <w:szCs w:val="20"/>
          <w:color w:val="auto"/>
        </w:rPr>
      </w:pPr>
    </w:p>
    <w:p>
      <w:pPr>
        <w:jc w:val="both"/>
        <w:ind w:left="640" w:firstLine="324"/>
        <w:spacing w:after="0" w:line="256" w:lineRule="auto"/>
        <w:tabs>
          <w:tab w:leader="none" w:pos="12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the Executive’s employment hereunder by the Company or by the Executive during the Employment Term (other than termination pursuant to Section 5.4(a) on account of the Executive’s death) shall be communicated by written notice of termination (“Notice of Termination”) to the other party hereto in accordance with Section 15. The Notice of Termination shall specify:</w:t>
      </w:r>
    </w:p>
    <w:p>
      <w:pPr>
        <w:spacing w:after="0" w:line="176" w:lineRule="exact"/>
        <w:rPr>
          <w:sz w:val="20"/>
          <w:szCs w:val="20"/>
          <w:color w:val="auto"/>
        </w:rPr>
      </w:pPr>
    </w:p>
    <w:p>
      <w:pPr>
        <w:ind w:left="1200" w:hanging="236"/>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provision of this Agreement relied upon;</w:t>
      </w:r>
    </w:p>
    <w:p>
      <w:pPr>
        <w:spacing w:after="0" w:line="225" w:lineRule="exact"/>
        <w:rPr>
          <w:rFonts w:ascii="Times New Roman" w:cs="Times New Roman" w:eastAsia="Times New Roman" w:hAnsi="Times New Roman"/>
          <w:sz w:val="18"/>
          <w:szCs w:val="18"/>
          <w:color w:val="auto"/>
        </w:rPr>
      </w:pPr>
    </w:p>
    <w:p>
      <w:pPr>
        <w:ind w:left="640" w:right="20" w:firstLine="324"/>
        <w:spacing w:after="0" w:line="282" w:lineRule="auto"/>
        <w:tabs>
          <w:tab w:leader="none" w:pos="1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facts and circumstances claimed to provide a basis for termination of the Executive’s employment under the provision so indicated; and</w:t>
      </w:r>
    </w:p>
    <w:p>
      <w:pPr>
        <w:spacing w:after="0" w:line="161"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2" w:name="page13"/>
    <w:bookmarkEnd w:id="12"/>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76" w:lineRule="exact"/>
        <w:rPr>
          <w:sz w:val="20"/>
          <w:szCs w:val="20"/>
          <w:color w:val="auto"/>
        </w:rPr>
      </w:pPr>
    </w:p>
    <w:p>
      <w:pPr>
        <w:ind w:left="-20" w:right="20" w:firstLine="332"/>
        <w:spacing w:after="0" w:line="282" w:lineRule="auto"/>
        <w:tabs>
          <w:tab w:leader="none" w:pos="4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Restrictive Covenants</w:t>
      </w:r>
      <w:r>
        <w:rPr>
          <w:rFonts w:ascii="Times New Roman" w:cs="Times New Roman" w:eastAsia="Times New Roman" w:hAnsi="Times New Roman"/>
          <w:sz w:val="18"/>
          <w:szCs w:val="18"/>
          <w:color w:val="auto"/>
        </w:rPr>
        <w:t>. As a condition of the Executive’s employment with the Company, the Executive shall enter into and abide by the Company’s Restrictive Covenant Agreement, attached hereto and incorporation herein as Exhibit A.</w:t>
      </w:r>
    </w:p>
    <w:p>
      <w:pPr>
        <w:spacing w:after="0" w:line="161" w:lineRule="exact"/>
        <w:rPr>
          <w:rFonts w:ascii="Times New Roman" w:cs="Times New Roman" w:eastAsia="Times New Roman" w:hAnsi="Times New Roman"/>
          <w:sz w:val="18"/>
          <w:szCs w:val="18"/>
          <w:color w:val="auto"/>
        </w:rPr>
      </w:pPr>
    </w:p>
    <w:p>
      <w:pPr>
        <w:jc w:val="both"/>
        <w:ind w:left="-20" w:firstLine="332"/>
        <w:spacing w:after="0" w:line="258" w:lineRule="auto"/>
        <w:tabs>
          <w:tab w:leader="none" w:pos="4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183"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5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75" w:lineRule="exact"/>
        <w:rPr>
          <w:rFonts w:ascii="Times New Roman" w:cs="Times New Roman" w:eastAsia="Times New Roman" w:hAnsi="Times New Roman"/>
          <w:sz w:val="18"/>
          <w:szCs w:val="18"/>
          <w:color w:val="auto"/>
        </w:rPr>
      </w:pPr>
    </w:p>
    <w:p>
      <w:pPr>
        <w:jc w:val="both"/>
        <w:ind w:left="-20" w:firstLine="332"/>
        <w:spacing w:after="0" w:line="261" w:lineRule="auto"/>
        <w:tabs>
          <w:tab w:leader="none" w:pos="4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79"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75" w:lineRule="exact"/>
        <w:rPr>
          <w:rFonts w:ascii="Times New Roman" w:cs="Times New Roman" w:eastAsia="Times New Roman" w:hAnsi="Times New Roman"/>
          <w:sz w:val="18"/>
          <w:szCs w:val="18"/>
          <w:color w:val="auto"/>
        </w:rPr>
      </w:pPr>
    </w:p>
    <w:p>
      <w:pPr>
        <w:ind w:left="-20" w:right="20" w:firstLine="332"/>
        <w:spacing w:after="0" w:line="282" w:lineRule="auto"/>
        <w:tabs>
          <w:tab w:leader="none" w:pos="5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61" w:lineRule="exact"/>
        <w:rPr>
          <w:rFonts w:ascii="Times New Roman" w:cs="Times New Roman" w:eastAsia="Times New Roman" w:hAnsi="Times New Roman"/>
          <w:sz w:val="18"/>
          <w:szCs w:val="18"/>
          <w:color w:val="auto"/>
        </w:rPr>
      </w:pPr>
    </w:p>
    <w:p>
      <w:pPr>
        <w:ind w:left="-20" w:firstLine="332"/>
        <w:spacing w:after="0" w:line="282"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shall be deemed an original, but all of which taken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3" w:name="page14"/>
    <w:bookmarkEnd w:id="13"/>
    <w:p>
      <w:pPr>
        <w:ind w:left="268" w:hanging="268"/>
        <w:spacing w:after="0"/>
        <w:tabs>
          <w:tab w:leader="none" w:pos="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General Compliance</w:t>
      </w:r>
      <w:r>
        <w:rPr>
          <w:rFonts w:ascii="Times New Roman" w:cs="Times New Roman" w:eastAsia="Times New Roman" w:hAnsi="Times New Roman"/>
          <w:sz w:val="18"/>
          <w:szCs w:val="18"/>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94" w:lineRule="exact"/>
        <w:rPr>
          <w:sz w:val="20"/>
          <w:szCs w:val="20"/>
          <w:color w:val="auto"/>
        </w:rPr>
      </w:pPr>
    </w:p>
    <w:p>
      <w:pPr>
        <w:jc w:val="both"/>
        <w:ind w:left="8"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189"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To the extent required by Section 409A, each reimbursement or in-kind benefit provided under this Agreement shall be provided in accordance with the following:</w:t>
      </w:r>
    </w:p>
    <w:p>
      <w:pPr>
        <w:spacing w:after="0" w:line="162" w:lineRule="exact"/>
        <w:rPr>
          <w:sz w:val="20"/>
          <w:szCs w:val="20"/>
          <w:color w:val="auto"/>
        </w:rPr>
      </w:pPr>
    </w:p>
    <w:p>
      <w:pPr>
        <w:ind w:left="648" w:firstLine="648"/>
        <w:spacing w:after="0" w:line="282" w:lineRule="auto"/>
        <w:tabs>
          <w:tab w:leader="none" w:pos="1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61" w:lineRule="exact"/>
        <w:rPr>
          <w:rFonts w:ascii="Times New Roman" w:cs="Times New Roman" w:eastAsia="Times New Roman" w:hAnsi="Times New Roman"/>
          <w:sz w:val="18"/>
          <w:szCs w:val="18"/>
          <w:color w:val="auto"/>
        </w:rPr>
      </w:pPr>
    </w:p>
    <w:p>
      <w:pPr>
        <w:ind w:left="648" w:firstLine="648"/>
        <w:spacing w:after="0" w:line="282" w:lineRule="auto"/>
        <w:tabs>
          <w:tab w:leader="none" w:pos="15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 eligible expense shall be paid to the Executive on or before the last day of the calendar year following the calendar year in which the expense was incurred; and</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4" w:name="page15"/>
    <w:bookmarkEnd w:id="14"/>
    <w:p>
      <w:pPr>
        <w:ind w:left="1600"/>
        <w:spacing w:after="0"/>
        <w:rPr>
          <w:sz w:val="20"/>
          <w:szCs w:val="20"/>
          <w:color w:val="auto"/>
        </w:rPr>
      </w:pPr>
      <w:r>
        <w:rPr>
          <w:rFonts w:ascii="Times New Roman" w:cs="Times New Roman" w:eastAsia="Times New Roman" w:hAnsi="Times New Roman"/>
          <w:sz w:val="18"/>
          <w:szCs w:val="18"/>
          <w:color w:val="auto"/>
        </w:rPr>
        <w:t>(c) any right to reimbursements or in-kind benefits under this Agreement shall not be subject to liquidation or exchange for another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benefit.</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60" w:firstLine="648"/>
        <w:spacing w:after="0" w:line="254" w:lineRule="auto"/>
        <w:tabs>
          <w:tab w:leader="none" w:pos="18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rFonts w:ascii="Times New Roman" w:cs="Times New Roman" w:eastAsia="Times New Roman" w:hAnsi="Times New Roman"/>
          <w:sz w:val="18"/>
          <w:szCs w:val="18"/>
          <w:color w:val="auto"/>
        </w:rPr>
      </w:pPr>
    </w:p>
    <w:p>
      <w:pPr>
        <w:jc w:val="both"/>
        <w:ind w:left="960" w:firstLine="648"/>
        <w:spacing w:after="0" w:line="255" w:lineRule="auto"/>
        <w:tabs>
          <w:tab w:leader="none" w:pos="18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188" w:lineRule="exact"/>
        <w:rPr>
          <w:rFonts w:ascii="Times New Roman" w:cs="Times New Roman" w:eastAsia="Times New Roman" w:hAnsi="Times New Roman"/>
          <w:sz w:val="18"/>
          <w:szCs w:val="18"/>
          <w:color w:val="auto"/>
        </w:rPr>
      </w:pPr>
    </w:p>
    <w:p>
      <w:pPr>
        <w:jc w:val="both"/>
        <w:ind w:left="-20" w:firstLine="332"/>
        <w:spacing w:after="0" w:line="261"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79" w:lineRule="exact"/>
        <w:rPr>
          <w:rFonts w:ascii="Times New Roman" w:cs="Times New Roman" w:eastAsia="Times New Roman" w:hAnsi="Times New Roman"/>
          <w:sz w:val="18"/>
          <w:szCs w:val="18"/>
          <w:color w:val="auto"/>
        </w:rPr>
      </w:pPr>
    </w:p>
    <w:p>
      <w:pPr>
        <w:ind w:left="-20" w:firstLine="332"/>
        <w:spacing w:after="0" w:line="282"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Representations of the Executive</w:t>
      </w:r>
      <w:r>
        <w:rPr>
          <w:rFonts w:ascii="Times New Roman" w:cs="Times New Roman" w:eastAsia="Times New Roman" w:hAnsi="Times New Roman"/>
          <w:sz w:val="18"/>
          <w:szCs w:val="18"/>
          <w:color w:val="auto"/>
        </w:rPr>
        <w:t>. The Executive represents and warrants to the Company that: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162" w:lineRule="exact"/>
        <w:rPr>
          <w:sz w:val="20"/>
          <w:szCs w:val="20"/>
          <w:color w:val="auto"/>
        </w:rPr>
      </w:pPr>
    </w:p>
    <w:p>
      <w:pPr>
        <w:ind w:firstLine="332"/>
        <w:spacing w:after="0" w:line="282" w:lineRule="auto"/>
        <w:tabs>
          <w:tab w:leader="none" w:pos="5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Full Understanding</w:t>
      </w:r>
      <w:r>
        <w:rPr>
          <w:rFonts w:ascii="Times New Roman" w:cs="Times New Roman" w:eastAsia="Times New Roman" w:hAnsi="Times New Roman"/>
          <w:sz w:val="18"/>
          <w:szCs w:val="18"/>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5" w:lineRule="exact"/>
        <w:rPr>
          <w:sz w:val="20"/>
          <w:szCs w:val="20"/>
          <w:color w:val="auto"/>
        </w:rPr>
      </w:pPr>
    </w:p>
    <w:p>
      <w:pPr>
        <w:ind w:left="62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18415</wp:posOffset>
            </wp:positionV>
            <wp:extent cx="33343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John Marchetti</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lowerLetter"/>
      <w:start w:val="1"/>
    </w:lvl>
    <w:lvl w:ilvl="1">
      <w:lvlJc w:val="left"/>
      <w:lvlText w:val="(%2)"/>
      <w:numFmt w:val="lowerLetter"/>
      <w:start w:val="9"/>
    </w:lvl>
  </w:abstractNum>
  <w:abstractNum w:abstractNumId="9">
    <w:nsid w:val="62BBD95A"/>
    <w:multiLevelType w:val="hybridMultilevel"/>
    <w:lvl w:ilvl="0">
      <w:lvlJc w:val="left"/>
      <w:lvlText w:val="(%1)"/>
      <w:numFmt w:val="lowerRoman"/>
      <w:start w:val="2"/>
    </w:lvl>
  </w:abstractNum>
  <w:abstractNum w:abstractNumId="10">
    <w:nsid w:val="436C6125"/>
    <w:multiLevelType w:val="hybridMultilevel"/>
    <w:lvl w:ilvl="0">
      <w:lvlJc w:val="left"/>
      <w:lvlText w:val="(%1)"/>
      <w:numFmt w:val="lowerLetter"/>
      <w:start w:val="2"/>
    </w:lvl>
    <w:lvl w:ilvl="1">
      <w:lvlJc w:val="left"/>
      <w:lvlText w:val="(%2)"/>
      <w:numFmt w:val="lowerRoman"/>
      <w:start w:val="1"/>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2"/>
    </w:lvl>
  </w:abstractNum>
  <w:abstractNum w:abstractNumId="14">
    <w:nsid w:val="2443A858"/>
    <w:multiLevelType w:val="hybridMultilevel"/>
    <w:lvl w:ilvl="0">
      <w:lvlJc w:val="left"/>
      <w:lvlText w:val="(%1)"/>
      <w:numFmt w:val="lowerRoman"/>
      <w:start w:val="2"/>
    </w:lvl>
  </w:abstractNum>
  <w:abstractNum w:abstractNumId="15">
    <w:nsid w:val="2D1D5AE9"/>
    <w:multiLevelType w:val="hybridMultilevel"/>
    <w:lvl w:ilvl="0">
      <w:lvlJc w:val="left"/>
      <w:lvlText w:val="(%1)"/>
      <w:numFmt w:val="lowerLetter"/>
      <w:start w:val="3"/>
    </w:lvl>
    <w:lvl w:ilvl="1">
      <w:lvlJc w:val="left"/>
      <w:lvlText w:val="(%2)"/>
      <w:numFmt w:val="lowerLetter"/>
      <w:start w:val="9"/>
    </w:lvl>
  </w:abstractNum>
  <w:abstractNum w:abstractNumId="16">
    <w:nsid w:val="6763845E"/>
    <w:multiLevelType w:val="hybridMultilevel"/>
    <w:lvl w:ilvl="0">
      <w:lvlJc w:val="left"/>
      <w:lvlText w:val="(%1)"/>
      <w:numFmt w:val="lowerRoman"/>
      <w:start w:val="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
    <w:nsid w:val="79838CB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2"/>
    </w:lvl>
    <w:lvl w:ilvl="1">
      <w:lvlJc w:val="left"/>
      <w:lvlText w:val="(%2)"/>
      <w:numFmt w:val="lowerRoman"/>
      <w:start w:val="1"/>
    </w:lvl>
  </w:abstractNum>
  <w:abstractNum w:abstractNumId="22">
    <w:nsid w:val="189A769B"/>
    <w:multiLevelType w:val="hybridMultilevel"/>
    <w:lvl w:ilvl="0">
      <w:lvlJc w:val="left"/>
      <w:lvlText w:val="(%1)"/>
      <w:numFmt w:val="lowerLetter"/>
      <w:start w:val="3"/>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6"/>
    </w:lvl>
  </w:abstractNum>
  <w:abstractNum w:abstractNumId="25">
    <w:nsid w:val="2CA88611"/>
    <w:multiLevelType w:val="hybridMultilevel"/>
    <w:lvl w:ilvl="0">
      <w:lvlJc w:val="left"/>
      <w:lvlText w:val="%1."/>
      <w:numFmt w:val="decimal"/>
      <w:start w:val="13"/>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4"/>
    </w:lvl>
    <w:lvl w:ilvl="1">
      <w:lvlJc w:val="left"/>
      <w:lvlText w:val="%2"/>
      <w:numFmt w:val="lowerLetter"/>
      <w:start w:val="1"/>
    </w:lvl>
  </w:abstractNum>
  <w:abstractNum w:abstractNumId="29">
    <w:nsid w:val="813864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2023-03-02T15:25:04Z</dcterms:created>
  <dcterms:modified xsi:type="dcterms:W3CDTF">2023-03-02T15:25:04Z</dcterms:modified>
</cp:coreProperties>
</file>