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10-Q</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(Mark One)</w:t>
      </w:r>
    </w:p>
    <w:p>
      <w:pPr>
        <w:spacing w:after="0" w:line="82" w:lineRule="exact"/>
        <w:rPr>
          <w:sz w:val="24"/>
          <w:szCs w:val="24"/>
          <w:color w:val="auto"/>
        </w:rPr>
      </w:pPr>
    </w:p>
    <w:p>
      <w:pPr>
        <w:jc w:val="center"/>
        <w:ind w:left="3520" w:right="1480" w:hanging="2041"/>
        <w:spacing w:after="0" w:line="465" w:lineRule="auto"/>
        <w:tabs>
          <w:tab w:leader="none" w:pos="1655" w:val="left"/>
        </w:tabs>
        <w:numPr>
          <w:ilvl w:val="1"/>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UNDER SECTION 13 OR 15(d) OF THE SECURITIES EXCHANGE ACT OF 1934 For the quarterly period ended March 31, 2022</w:t>
      </w:r>
    </w:p>
    <w:p>
      <w:pPr>
        <w:spacing w:after="0" w:line="24" w:lineRule="exact"/>
        <w:rPr>
          <w:rFonts w:ascii="MS PGothic" w:cs="MS PGothic" w:eastAsia="MS PGothic" w:hAnsi="MS PGothic"/>
          <w:sz w:val="14"/>
          <w:szCs w:val="14"/>
          <w:color w:val="auto"/>
        </w:rPr>
      </w:pPr>
    </w:p>
    <w:p>
      <w:pPr>
        <w:ind w:left="1380" w:hanging="163"/>
        <w:spacing w:after="0"/>
        <w:tabs>
          <w:tab w:leader="none" w:pos="13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63" w:lineRule="exact"/>
        <w:rPr>
          <w:sz w:val="24"/>
          <w:szCs w:val="24"/>
          <w:color w:val="auto"/>
        </w:rPr>
      </w:pPr>
    </w:p>
    <w:p>
      <w:pPr>
        <w:ind w:left="3280"/>
        <w:spacing w:after="0"/>
        <w:tabs>
          <w:tab w:leader="none" w:pos="58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3281680</wp:posOffset>
            </wp:positionH>
            <wp:positionV relativeFrom="paragraph">
              <wp:posOffset>-1270</wp:posOffset>
            </wp:positionV>
            <wp:extent cx="9436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001-40730</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CHARDAN NEXTECH ACQUISITION 2 CORP.</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jc w:val="center"/>
              <w:ind w:left="1428"/>
              <w:spacing w:after="0"/>
              <w:rPr>
                <w:sz w:val="20"/>
                <w:szCs w:val="20"/>
                <w:color w:val="auto"/>
              </w:rPr>
            </w:pPr>
            <w:r>
              <w:rPr>
                <w:rFonts w:ascii="Arial" w:cs="Arial" w:eastAsia="Arial" w:hAnsi="Arial"/>
                <w:sz w:val="14"/>
                <w:szCs w:val="14"/>
                <w:b w:val="1"/>
                <w:bCs w:val="1"/>
                <w:color w:val="auto"/>
                <w:w w:val="94"/>
              </w:rPr>
              <w:t>Delaware</w:t>
            </w:r>
          </w:p>
        </w:tc>
        <w:tc>
          <w:tcPr>
            <w:tcW w:w="6560" w:type="dxa"/>
            <w:vAlign w:val="bottom"/>
            <w:gridSpan w:val="3"/>
          </w:tcPr>
          <w:p>
            <w:pPr>
              <w:jc w:val="right"/>
              <w:ind w:right="2008"/>
              <w:spacing w:after="0"/>
              <w:rPr>
                <w:sz w:val="20"/>
                <w:szCs w:val="20"/>
                <w:color w:val="auto"/>
              </w:rPr>
            </w:pPr>
            <w:r>
              <w:rPr>
                <w:rFonts w:ascii="Arial" w:cs="Arial" w:eastAsia="Arial" w:hAnsi="Arial"/>
                <w:sz w:val="14"/>
                <w:szCs w:val="14"/>
                <w:b w:val="1"/>
                <w:bCs w:val="1"/>
                <w:color w:val="auto"/>
              </w:rPr>
              <w:t>85-1873463</w:t>
            </w:r>
          </w:p>
        </w:tc>
      </w:tr>
      <w:tr>
        <w:trPr>
          <w:trHeight w:val="123"/>
        </w:trPr>
        <w:tc>
          <w:tcPr>
            <w:tcW w:w="3360" w:type="dxa"/>
            <w:vAlign w:val="bottom"/>
            <w:tcBorders>
              <w:top w:val="single" w:sz="8" w:color="auto"/>
            </w:tcBorders>
          </w:tcPr>
          <w:p>
            <w:pPr>
              <w:jc w:val="center"/>
              <w:ind w:left="1428"/>
              <w:spacing w:after="0" w:line="123" w:lineRule="exact"/>
              <w:rPr>
                <w:sz w:val="20"/>
                <w:szCs w:val="20"/>
                <w:color w:val="auto"/>
              </w:rPr>
            </w:pPr>
            <w:r>
              <w:rPr>
                <w:rFonts w:ascii="Arial" w:cs="Arial" w:eastAsia="Arial" w:hAnsi="Arial"/>
                <w:sz w:val="14"/>
                <w:szCs w:val="14"/>
                <w:color w:val="auto"/>
                <w:w w:val="94"/>
              </w:rPr>
              <w:t>(State or other jurisdiction of</w:t>
            </w:r>
          </w:p>
        </w:tc>
        <w:tc>
          <w:tcPr>
            <w:tcW w:w="15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8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(IRS Employer</w:t>
            </w:r>
          </w:p>
        </w:tc>
      </w:tr>
      <w:tr>
        <w:trPr>
          <w:trHeight w:val="182"/>
        </w:trPr>
        <w:tc>
          <w:tcPr>
            <w:tcW w:w="3360" w:type="dxa"/>
            <w:vAlign w:val="bottom"/>
          </w:tcPr>
          <w:p>
            <w:pPr>
              <w:jc w:val="center"/>
              <w:ind w:left="1428"/>
              <w:spacing w:after="0"/>
              <w:rPr>
                <w:sz w:val="20"/>
                <w:szCs w:val="20"/>
                <w:color w:val="auto"/>
              </w:rPr>
            </w:pPr>
            <w:r>
              <w:rPr>
                <w:rFonts w:ascii="Arial" w:cs="Arial" w:eastAsia="Arial" w:hAnsi="Arial"/>
                <w:sz w:val="14"/>
                <w:szCs w:val="14"/>
                <w:color w:val="auto"/>
                <w:w w:val="95"/>
              </w:rPr>
              <w:t>incorporation or organization)</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60" w:type="dxa"/>
            <w:vAlign w:val="bottom"/>
          </w:tcPr>
          <w:p>
            <w:pPr>
              <w:ind w:left="1880"/>
              <w:spacing w:after="0"/>
              <w:rPr>
                <w:sz w:val="20"/>
                <w:szCs w:val="20"/>
                <w:color w:val="auto"/>
              </w:rPr>
            </w:pPr>
            <w:r>
              <w:rPr>
                <w:rFonts w:ascii="Arial" w:cs="Arial" w:eastAsia="Arial" w:hAnsi="Arial"/>
                <w:sz w:val="14"/>
                <w:szCs w:val="14"/>
                <w:color w:val="auto"/>
              </w:rPr>
              <w:t>Identification No.)</w:t>
            </w:r>
          </w:p>
        </w:tc>
      </w:tr>
      <w:tr>
        <w:trPr>
          <w:trHeight w:val="223"/>
        </w:trPr>
        <w:tc>
          <w:tcPr>
            <w:tcW w:w="3360" w:type="dxa"/>
            <w:vAlign w:val="bottom"/>
          </w:tcPr>
          <w:p>
            <w:pPr>
              <w:spacing w:after="0"/>
              <w:rPr>
                <w:sz w:val="19"/>
                <w:szCs w:val="19"/>
                <w:color w:val="auto"/>
              </w:rPr>
            </w:pPr>
          </w:p>
        </w:tc>
        <w:tc>
          <w:tcPr>
            <w:tcW w:w="6560" w:type="dxa"/>
            <w:vAlign w:val="bottom"/>
            <w:gridSpan w:val="3"/>
          </w:tcPr>
          <w:p>
            <w:pPr>
              <w:jc w:val="center"/>
              <w:ind w:right="3268"/>
              <w:spacing w:after="0"/>
              <w:rPr>
                <w:sz w:val="20"/>
                <w:szCs w:val="20"/>
                <w:color w:val="auto"/>
              </w:rPr>
            </w:pPr>
            <w:r>
              <w:rPr>
                <w:rFonts w:ascii="Arial" w:cs="Arial" w:eastAsia="Arial" w:hAnsi="Arial"/>
                <w:sz w:val="14"/>
                <w:szCs w:val="14"/>
                <w:b w:val="1"/>
                <w:bCs w:val="1"/>
                <w:color w:val="auto"/>
                <w:w w:val="91"/>
              </w:rPr>
              <w:t>17 State Street, 21st Floor</w:t>
            </w:r>
          </w:p>
        </w:tc>
      </w:tr>
      <w:tr>
        <w:trPr>
          <w:trHeight w:val="216"/>
        </w:trPr>
        <w:tc>
          <w:tcPr>
            <w:tcW w:w="3360" w:type="dxa"/>
            <w:vAlign w:val="bottom"/>
          </w:tcPr>
          <w:p>
            <w:pPr>
              <w:spacing w:after="0"/>
              <w:rPr>
                <w:sz w:val="18"/>
                <w:szCs w:val="18"/>
                <w:color w:val="auto"/>
              </w:rPr>
            </w:pPr>
          </w:p>
        </w:tc>
        <w:tc>
          <w:tcPr>
            <w:tcW w:w="6560" w:type="dxa"/>
            <w:vAlign w:val="bottom"/>
            <w:gridSpan w:val="3"/>
          </w:tcPr>
          <w:p>
            <w:pPr>
              <w:jc w:val="center"/>
              <w:ind w:right="3268"/>
              <w:spacing w:after="0"/>
              <w:rPr>
                <w:sz w:val="20"/>
                <w:szCs w:val="20"/>
                <w:color w:val="auto"/>
              </w:rPr>
            </w:pPr>
            <w:r>
              <w:rPr>
                <w:rFonts w:ascii="Arial" w:cs="Arial" w:eastAsia="Arial" w:hAnsi="Arial"/>
                <w:sz w:val="14"/>
                <w:szCs w:val="14"/>
                <w:b w:val="1"/>
                <w:bCs w:val="1"/>
                <w:color w:val="auto"/>
                <w:w w:val="97"/>
              </w:rPr>
              <w:t xml:space="preserve">New York, NY </w:t>
            </w:r>
            <w:r>
              <w:rPr>
                <w:rFonts w:ascii="Arial" w:cs="Arial" w:eastAsia="Arial" w:hAnsi="Arial"/>
                <w:sz w:val="17"/>
                <w:szCs w:val="17"/>
                <w:b w:val="1"/>
                <w:bCs w:val="1"/>
                <w:color w:val="auto"/>
                <w:w w:val="97"/>
              </w:rPr>
              <w:t>10004</w:t>
            </w:r>
          </w:p>
        </w:tc>
      </w:tr>
      <w:tr>
        <w:trPr>
          <w:trHeight w:val="182"/>
        </w:trPr>
        <w:tc>
          <w:tcPr>
            <w:tcW w:w="3360" w:type="dxa"/>
            <w:vAlign w:val="bottom"/>
          </w:tcPr>
          <w:p>
            <w:pPr>
              <w:spacing w:after="0"/>
              <w:rPr>
                <w:sz w:val="15"/>
                <w:szCs w:val="15"/>
                <w:color w:val="auto"/>
              </w:rPr>
            </w:pPr>
          </w:p>
        </w:tc>
        <w:tc>
          <w:tcPr>
            <w:tcW w:w="6560" w:type="dxa"/>
            <w:vAlign w:val="bottom"/>
            <w:gridSpan w:val="3"/>
          </w:tcPr>
          <w:p>
            <w:pPr>
              <w:jc w:val="center"/>
              <w:ind w:right="3288"/>
              <w:spacing w:after="0"/>
              <w:rPr>
                <w:sz w:val="20"/>
                <w:szCs w:val="20"/>
                <w:color w:val="auto"/>
              </w:rPr>
            </w:pPr>
            <w:r>
              <w:rPr>
                <w:rFonts w:ascii="Arial" w:cs="Arial" w:eastAsia="Arial" w:hAnsi="Arial"/>
                <w:sz w:val="14"/>
                <w:szCs w:val="14"/>
                <w:color w:val="auto"/>
                <w:w w:val="94"/>
              </w:rPr>
              <w:t>(Address of principal executive offices and zip code)</w:t>
            </w:r>
          </w:p>
        </w:tc>
      </w:tr>
      <w:tr>
        <w:trPr>
          <w:trHeight w:val="223"/>
        </w:trPr>
        <w:tc>
          <w:tcPr>
            <w:tcW w:w="3360" w:type="dxa"/>
            <w:vAlign w:val="bottom"/>
          </w:tcPr>
          <w:p>
            <w:pPr>
              <w:spacing w:after="0"/>
              <w:rPr>
                <w:sz w:val="19"/>
                <w:szCs w:val="19"/>
                <w:color w:val="auto"/>
              </w:rPr>
            </w:pPr>
          </w:p>
        </w:tc>
        <w:tc>
          <w:tcPr>
            <w:tcW w:w="6560" w:type="dxa"/>
            <w:vAlign w:val="bottom"/>
            <w:gridSpan w:val="3"/>
          </w:tcPr>
          <w:p>
            <w:pPr>
              <w:jc w:val="center"/>
              <w:ind w:right="3268"/>
              <w:spacing w:after="0"/>
              <w:rPr>
                <w:sz w:val="20"/>
                <w:szCs w:val="20"/>
                <w:color w:val="auto"/>
              </w:rPr>
            </w:pPr>
            <w:r>
              <w:rPr>
                <w:rFonts w:ascii="Arial" w:cs="Arial" w:eastAsia="Arial" w:hAnsi="Arial"/>
                <w:sz w:val="14"/>
                <w:szCs w:val="14"/>
                <w:b w:val="1"/>
                <w:bCs w:val="1"/>
                <w:color w:val="auto"/>
                <w:w w:val="93"/>
              </w:rPr>
              <w:t>(646) 465-9000</w:t>
            </w:r>
          </w:p>
        </w:tc>
      </w:tr>
      <w:tr>
        <w:trPr>
          <w:trHeight w:val="182"/>
        </w:trPr>
        <w:tc>
          <w:tcPr>
            <w:tcW w:w="3360" w:type="dxa"/>
            <w:vAlign w:val="bottom"/>
          </w:tcPr>
          <w:p>
            <w:pPr>
              <w:spacing w:after="0"/>
              <w:rPr>
                <w:sz w:val="15"/>
                <w:szCs w:val="15"/>
                <w:color w:val="auto"/>
              </w:rPr>
            </w:pPr>
          </w:p>
        </w:tc>
        <w:tc>
          <w:tcPr>
            <w:tcW w:w="6560" w:type="dxa"/>
            <w:vAlign w:val="bottom"/>
            <w:gridSpan w:val="3"/>
          </w:tcPr>
          <w:p>
            <w:pPr>
              <w:jc w:val="center"/>
              <w:ind w:right="3288"/>
              <w:spacing w:after="0"/>
              <w:rPr>
                <w:sz w:val="20"/>
                <w:szCs w:val="20"/>
                <w:color w:val="auto"/>
              </w:rPr>
            </w:pPr>
            <w:r>
              <w:rPr>
                <w:rFonts w:ascii="Arial" w:cs="Arial" w:eastAsia="Arial" w:hAnsi="Arial"/>
                <w:sz w:val="14"/>
                <w:szCs w:val="14"/>
                <w:color w:val="auto"/>
                <w:w w:val="92"/>
              </w:rPr>
              <w:t>(Registrant’s telephone number, including area code)</w:t>
            </w:r>
          </w:p>
        </w:tc>
      </w:tr>
    </w:tbl>
    <w:p>
      <w:pPr>
        <w:spacing w:after="0" w:line="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ind w:left="260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43"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Title of each class</w:t>
            </w:r>
          </w:p>
        </w:tc>
        <w:tc>
          <w:tcPr>
            <w:tcW w:w="2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Trading Symbol(s)</w:t>
            </w:r>
          </w:p>
        </w:tc>
        <w:tc>
          <w:tcPr>
            <w:tcW w:w="34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23"/>
        </w:trPr>
        <w:tc>
          <w:tcPr>
            <w:tcW w:w="40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Units, consisting of one share of Common Stock, par value $0.0001</w:t>
            </w:r>
          </w:p>
        </w:tc>
        <w:tc>
          <w:tcPr>
            <w:tcW w:w="260" w:type="dxa"/>
            <w:vAlign w:val="bottom"/>
          </w:tcPr>
          <w:p>
            <w:pPr>
              <w:spacing w:after="0"/>
              <w:rPr>
                <w:sz w:val="10"/>
                <w:szCs w:val="10"/>
                <w:color w:val="auto"/>
              </w:rPr>
            </w:pPr>
          </w:p>
        </w:tc>
        <w:tc>
          <w:tcPr>
            <w:tcW w:w="18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CNTQU</w:t>
            </w:r>
          </w:p>
        </w:tc>
        <w:tc>
          <w:tcPr>
            <w:tcW w:w="280" w:type="dxa"/>
            <w:vAlign w:val="bottom"/>
          </w:tcPr>
          <w:p>
            <w:pPr>
              <w:spacing w:after="0"/>
              <w:rPr>
                <w:sz w:val="10"/>
                <w:szCs w:val="10"/>
                <w:color w:val="auto"/>
              </w:rPr>
            </w:pPr>
          </w:p>
        </w:tc>
        <w:tc>
          <w:tcPr>
            <w:tcW w:w="34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The Nasdaq Stock Market LLC</w:t>
            </w:r>
          </w:p>
        </w:tc>
      </w:tr>
      <w:tr>
        <w:trPr>
          <w:trHeight w:val="148"/>
        </w:trPr>
        <w:tc>
          <w:tcPr>
            <w:tcW w:w="4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per share, and three-quarters of one Redeemable Warrant</w:t>
            </w: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80" w:type="dxa"/>
            <w:vAlign w:val="bottom"/>
          </w:tcPr>
          <w:p>
            <w:pPr>
              <w:spacing w:after="0"/>
              <w:rPr>
                <w:sz w:val="12"/>
                <w:szCs w:val="12"/>
                <w:color w:val="auto"/>
              </w:rPr>
            </w:pPr>
          </w:p>
        </w:tc>
      </w:tr>
      <w:tr>
        <w:trPr>
          <w:trHeight w:val="148"/>
        </w:trPr>
        <w:tc>
          <w:tcPr>
            <w:tcW w:w="4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Common Stock, par value $0.0001 per share, included as part of the</w:t>
            </w:r>
          </w:p>
        </w:tc>
        <w:tc>
          <w:tcPr>
            <w:tcW w:w="21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CNTQ</w:t>
            </w:r>
          </w:p>
        </w:tc>
        <w:tc>
          <w:tcPr>
            <w:tcW w:w="3480" w:type="dxa"/>
            <w:vAlign w:val="bottom"/>
          </w:tcPr>
          <w:p>
            <w:pPr>
              <w:jc w:val="center"/>
              <w:spacing w:after="0" w:line="149" w:lineRule="exact"/>
              <w:rPr>
                <w:sz w:val="20"/>
                <w:szCs w:val="20"/>
                <w:color w:val="auto"/>
              </w:rPr>
            </w:pPr>
            <w:r>
              <w:rPr>
                <w:rFonts w:ascii="Arial" w:cs="Arial" w:eastAsia="Arial" w:hAnsi="Arial"/>
                <w:sz w:val="14"/>
                <w:szCs w:val="14"/>
                <w:color w:val="auto"/>
                <w:w w:val="94"/>
              </w:rPr>
              <w:t>The Nasdaq Stock Market LLC</w:t>
            </w:r>
          </w:p>
        </w:tc>
      </w:tr>
      <w:tr>
        <w:trPr>
          <w:trHeight w:val="149"/>
        </w:trPr>
        <w:tc>
          <w:tcPr>
            <w:tcW w:w="4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Units</w:t>
            </w: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80" w:type="dxa"/>
            <w:vAlign w:val="bottom"/>
          </w:tcPr>
          <w:p>
            <w:pPr>
              <w:spacing w:after="0"/>
              <w:rPr>
                <w:sz w:val="12"/>
                <w:szCs w:val="12"/>
                <w:color w:val="auto"/>
              </w:rPr>
            </w:pPr>
          </w:p>
        </w:tc>
      </w:tr>
      <w:tr>
        <w:trPr>
          <w:trHeight w:val="148"/>
        </w:trPr>
        <w:tc>
          <w:tcPr>
            <w:tcW w:w="43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Redeemable Warrants included as part of the Units, each exercisable</w:t>
            </w:r>
          </w:p>
        </w:tc>
        <w:tc>
          <w:tcPr>
            <w:tcW w:w="21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CNTQW</w:t>
            </w:r>
          </w:p>
        </w:tc>
        <w:tc>
          <w:tcPr>
            <w:tcW w:w="3480" w:type="dxa"/>
            <w:vAlign w:val="bottom"/>
          </w:tcPr>
          <w:p>
            <w:pPr>
              <w:jc w:val="center"/>
              <w:spacing w:after="0" w:line="149" w:lineRule="exact"/>
              <w:rPr>
                <w:sz w:val="20"/>
                <w:szCs w:val="20"/>
                <w:color w:val="auto"/>
              </w:rPr>
            </w:pPr>
            <w:r>
              <w:rPr>
                <w:rFonts w:ascii="Arial" w:cs="Arial" w:eastAsia="Arial" w:hAnsi="Arial"/>
                <w:sz w:val="14"/>
                <w:szCs w:val="14"/>
                <w:color w:val="auto"/>
                <w:w w:val="94"/>
              </w:rPr>
              <w:t>The Nasdaq Stock Market LLC</w:t>
            </w:r>
          </w:p>
        </w:tc>
      </w:tr>
      <w:tr>
        <w:trPr>
          <w:trHeight w:val="182"/>
        </w:trPr>
        <w:tc>
          <w:tcPr>
            <w:tcW w:w="432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for one share of Common Stock for $11.50 per share</w:t>
            </w: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tcPr>
          <w:p>
            <w:pPr>
              <w:spacing w:after="0"/>
              <w:rPr>
                <w:sz w:val="15"/>
                <w:szCs w:val="15"/>
                <w:color w:val="auto"/>
              </w:rPr>
            </w:pPr>
          </w:p>
        </w:tc>
      </w:tr>
    </w:tbl>
    <w:p>
      <w:pPr>
        <w:spacing w:after="0" w:line="47" w:lineRule="exact"/>
        <w:rPr>
          <w:sz w:val="24"/>
          <w:szCs w:val="24"/>
          <w:color w:val="auto"/>
        </w:rPr>
      </w:pPr>
    </w:p>
    <w:p>
      <w:pPr>
        <w:jc w:val="both"/>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jc w:val="both"/>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jc w:val="both"/>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4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3760" w:space="720"/>
            <w:col w:w="5440"/>
          </w:cols>
          <w:pgMar w:left="980" w:top="665" w:right="99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sectPr>
          <w:pgSz w:w="11900" w:h="16838" w:orient="portrait"/>
          <w:cols w:equalWidth="0" w:num="2">
            <w:col w:w="3760" w:space="720"/>
            <w:col w:w="5440"/>
          </w:cols>
          <w:pgMar w:left="980" w:top="665" w:right="999" w:bottom="1440" w:gutter="0" w:footer="0" w:header="0"/>
          <w:type w:val="continuous"/>
        </w:sectPr>
      </w:pPr>
    </w:p>
    <w:p>
      <w:pPr>
        <w:ind w:right="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As of May 16, 2022, there were 15,812,500 shares of the registrant’s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483870</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55245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98425</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020" w:type="dxa"/>
            <w:vAlign w:val="bottom"/>
            <w:gridSpan w:val="2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80" w:type="dxa"/>
            <w:vAlign w:val="bottom"/>
            <w:gridSpan w:val="14"/>
          </w:tcPr>
          <w:p>
            <w:pPr>
              <w:jc w:val="center"/>
              <w:ind w:right="1940"/>
              <w:spacing w:after="0"/>
              <w:rPr>
                <w:sz w:val="20"/>
                <w:szCs w:val="20"/>
                <w:color w:val="auto"/>
              </w:rPr>
            </w:pPr>
            <w:r>
              <w:rPr>
                <w:rFonts w:ascii="Arial" w:cs="Arial" w:eastAsia="Arial" w:hAnsi="Arial"/>
                <w:sz w:val="18"/>
                <w:szCs w:val="18"/>
                <w:b w:val="1"/>
                <w:bCs w:val="1"/>
                <w:color w:val="auto"/>
              </w:rPr>
              <w:t>CHARDAN NEXTECH ACQUISITION 2 CORP.</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80" w:type="dxa"/>
            <w:vAlign w:val="bottom"/>
            <w:gridSpan w:val="11"/>
          </w:tcPr>
          <w:p>
            <w:pPr>
              <w:jc w:val="center"/>
              <w:ind w:right="254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0" w:type="dxa"/>
            <w:vAlign w:val="bottom"/>
            <w:tcBorders>
              <w:top w:val="single" w:sz="8" w:color="CCEEFF"/>
            </w:tcBorders>
            <w:gridSpan w:val="28"/>
            <w:shd w:val="clear" w:color="auto" w:fill="CCEEFF"/>
          </w:tcPr>
          <w:p>
            <w:pPr>
              <w:spacing w:after="0" w:line="16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1 - FINANCIAL INFORMATION</w:t>
              </w:r>
            </w:hyperlink>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280" w:type="dxa"/>
            <w:vAlign w:val="bottom"/>
            <w:gridSpan w:val="25"/>
            <w:shd w:val="clear" w:color="auto" w:fill="CCEEFF"/>
          </w:tcPr>
          <w:p>
            <w:pPr>
              <w:ind w:lef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FINANCIAL STATEMENTS (UNAUDITED)</w:t>
              </w:r>
            </w:hyperlink>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80" w:type="dxa"/>
            <w:vAlign w:val="bottom"/>
            <w:gridSpan w:val="25"/>
            <w:shd w:val="clear" w:color="auto" w:fill="CCEEFF"/>
          </w:tcPr>
          <w:p>
            <w:pPr>
              <w:ind w:lef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March 31, 2022 (unaudited) and December 31, 2021</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80" w:type="dxa"/>
            <w:vAlign w:val="bottom"/>
            <w:gridSpan w:val="25"/>
            <w:shd w:val="clear" w:color="auto" w:fill="CCEEFF"/>
          </w:tcPr>
          <w:p>
            <w:pPr>
              <w:ind w:left="100"/>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Unaudited Condensed Statements of Operations for the three months ended March 31, 2022 and 2021</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6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Condensed Statements of Changes in Stockholders' (Deficit) Equity for the three months ended</w:t>
              </w:r>
            </w:hyperlink>
          </w:p>
        </w:tc>
        <w:tc>
          <w:tcPr>
            <w:tcW w:w="520" w:type="dxa"/>
            <w:vAlign w:val="bottom"/>
            <w:tcBorders>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180" w:type="dxa"/>
            <w:vAlign w:val="bottom"/>
            <w:gridSpan w:val="24"/>
            <w:shd w:val="clear" w:color="auto" w:fill="CCEEFF"/>
          </w:tcPr>
          <w:p>
            <w:pPr>
              <w:ind w:left="14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March 31, 2022 and 2021</w:t>
              </w:r>
            </w:hyperlink>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80" w:type="dxa"/>
            <w:vAlign w:val="bottom"/>
            <w:gridSpan w:val="25"/>
            <w:shd w:val="clear" w:color="auto" w:fill="CCEEFF"/>
          </w:tcPr>
          <w:p>
            <w:pPr>
              <w:ind w:left="100"/>
              <w:spacing w:after="0" w:line="17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Unaudited Condensed Statements of Cash Flows for the three months ended March 31, 2022 and 2021</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80" w:type="dxa"/>
            <w:vAlign w:val="bottom"/>
            <w:gridSpan w:val="25"/>
            <w:shd w:val="clear" w:color="auto" w:fill="CCEEFF"/>
          </w:tcPr>
          <w:p>
            <w:pPr>
              <w:ind w:left="10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Financial Statements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Item 2.</w:t>
              </w:r>
            </w:hyperlink>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78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7"/>
              </w:rPr>
            </w:pPr>
            <w:hyperlink w:anchor="page20">
              <w:r>
                <w:rPr>
                  <w:rFonts w:ascii="Arial" w:cs="Arial" w:eastAsia="Arial" w:hAnsi="Arial"/>
                  <w:sz w:val="18"/>
                  <w:szCs w:val="18"/>
                  <w:color w:val="0000EE"/>
                  <w:w w:val="97"/>
                </w:rPr>
                <w:t>MANAGEMENT’S DISCUSSION AND ANALYSIS OF FINANCIAL CONDITION AND RESULTS OF</w:t>
              </w:r>
            </w:hyperlink>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180" w:type="dxa"/>
            <w:vAlign w:val="bottom"/>
            <w:gridSpan w:val="24"/>
            <w:shd w:val="clear" w:color="auto" w:fill="CCEEFF"/>
          </w:tcPr>
          <w:p>
            <w:pPr>
              <w:ind w:left="140"/>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OPERATIONS</w:t>
              </w:r>
            </w:hyperlink>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8280" w:type="dxa"/>
            <w:vAlign w:val="bottom"/>
            <w:gridSpan w:val="25"/>
            <w:shd w:val="clear" w:color="auto" w:fill="CCEEFF"/>
          </w:tcPr>
          <w:p>
            <w:pPr>
              <w:ind w:left="10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8280" w:type="dxa"/>
            <w:vAlign w:val="bottom"/>
            <w:gridSpan w:val="25"/>
            <w:shd w:val="clear" w:color="auto" w:fill="CCEEFF"/>
          </w:tcPr>
          <w:p>
            <w:pPr>
              <w:ind w:left="10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0" w:type="dxa"/>
            <w:vAlign w:val="bottom"/>
            <w:gridSpan w:val="28"/>
            <w:shd w:val="clear" w:color="auto" w:fill="CCEEFF"/>
          </w:tcPr>
          <w:p>
            <w:pPr>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 OTHER INFORMATION</w:t>
              </w:r>
            </w:hyperlink>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1.</w:t>
              </w:r>
            </w:hyperlink>
          </w:p>
        </w:tc>
        <w:tc>
          <w:tcPr>
            <w:tcW w:w="8280" w:type="dxa"/>
            <w:vAlign w:val="bottom"/>
            <w:gridSpan w:val="25"/>
            <w:shd w:val="clear" w:color="auto" w:fill="CCEEFF"/>
          </w:tcPr>
          <w:p>
            <w:pPr>
              <w:ind w:left="1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8280" w:type="dxa"/>
            <w:vAlign w:val="bottom"/>
            <w:gridSpan w:val="25"/>
            <w:shd w:val="clear" w:color="auto" w:fill="CCEEFF"/>
          </w:tcPr>
          <w:p>
            <w:pPr>
              <w:ind w:left="1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8280" w:type="dxa"/>
            <w:vAlign w:val="bottom"/>
            <w:gridSpan w:val="25"/>
            <w:shd w:val="clear" w:color="auto" w:fill="CCEEFF"/>
          </w:tcPr>
          <w:p>
            <w:pPr>
              <w:ind w:left="1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8280" w:type="dxa"/>
            <w:vAlign w:val="bottom"/>
            <w:gridSpan w:val="25"/>
            <w:shd w:val="clear" w:color="auto" w:fill="CCEEFF"/>
          </w:tcPr>
          <w:p>
            <w:pPr>
              <w:ind w:left="1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8280" w:type="dxa"/>
            <w:vAlign w:val="bottom"/>
            <w:gridSpan w:val="25"/>
            <w:shd w:val="clear" w:color="auto" w:fill="CCEEFF"/>
          </w:tcPr>
          <w:p>
            <w:pPr>
              <w:ind w:left="1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8280" w:type="dxa"/>
            <w:vAlign w:val="bottom"/>
            <w:gridSpan w:val="25"/>
            <w:shd w:val="clear" w:color="auto" w:fill="CCEEFF"/>
          </w:tcPr>
          <w:p>
            <w:pPr>
              <w:ind w:left="1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6.</w:t>
              </w:r>
            </w:hyperlink>
          </w:p>
        </w:tc>
        <w:tc>
          <w:tcPr>
            <w:tcW w:w="8280" w:type="dxa"/>
            <w:vAlign w:val="bottom"/>
            <w:gridSpan w:val="25"/>
            <w:shd w:val="clear" w:color="auto" w:fill="CCEEFF"/>
          </w:tcPr>
          <w:p>
            <w:pPr>
              <w:ind w:left="10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0" w:type="dxa"/>
            <w:vAlign w:val="bottom"/>
            <w:gridSpan w:val="28"/>
            <w:shd w:val="clear" w:color="auto" w:fill="CCEEFF"/>
          </w:tcPr>
          <w:p>
            <w:pPr>
              <w:spacing w:after="0" w:line="17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SIGNATURES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2"/>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48"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 (UNAUDITED)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3"/>
              <w:spacing w:after="0" w:line="142" w:lineRule="exact"/>
              <w:rPr>
                <w:sz w:val="20"/>
                <w:szCs w:val="20"/>
                <w:color w:val="auto"/>
              </w:rPr>
            </w:pPr>
            <w:r>
              <w:rPr>
                <w:rFonts w:ascii="Arial" w:cs="Arial" w:eastAsia="Arial" w:hAnsi="Arial"/>
                <w:sz w:val="14"/>
                <w:szCs w:val="14"/>
                <w:color w:val="auto"/>
                <w:w w:val="95"/>
              </w:rPr>
              <w:t>(Unaudited)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Cash</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647,178</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799,808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296,082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943,260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1,102,398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128,437,281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128,421,215</w:t>
            </w:r>
          </w:p>
        </w:tc>
        <w:tc>
          <w:tcPr>
            <w:tcW w:w="0" w:type="dxa"/>
            <w:vAlign w:val="bottom"/>
          </w:tcPr>
          <w:p>
            <w:pPr>
              <w:spacing w:after="0"/>
              <w:rPr>
                <w:sz w:val="1"/>
                <w:szCs w:val="1"/>
                <w:color w:val="auto"/>
              </w:rPr>
            </w:pPr>
          </w:p>
        </w:tc>
      </w:tr>
      <w:tr>
        <w:trPr>
          <w:trHeight w:val="249"/>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129,380,541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129,523,613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10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COMMON STOCK SUBJECT TO POSSIBLE REDEMPTION AND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tcPr>
          <w:p>
            <w:pPr>
              <w:ind w:left="120"/>
              <w:spacing w:after="0"/>
              <w:rPr>
                <w:sz w:val="20"/>
                <w:szCs w:val="20"/>
                <w:color w:val="auto"/>
              </w:rPr>
            </w:pPr>
            <w:r>
              <w:rPr>
                <w:rFonts w:ascii="Arial" w:cs="Arial" w:eastAsia="Arial" w:hAnsi="Arial"/>
                <w:sz w:val="18"/>
                <w:szCs w:val="18"/>
                <w:b w:val="1"/>
                <w:bCs w:val="1"/>
                <w:color w:val="auto"/>
              </w:rPr>
              <w:t>STOCKHOLDERS' EQUITY (DEFICIT)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42,351</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Franchise tax payable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213,935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 liabilities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601,622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2,036,258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815,557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2,150,469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spacing w:after="0" w:line="201" w:lineRule="exact"/>
              <w:rPr>
                <w:sz w:val="20"/>
                <w:szCs w:val="20"/>
                <w:color w:val="auto"/>
              </w:rPr>
            </w:pPr>
            <w:r>
              <w:rPr>
                <w:rFonts w:ascii="Arial" w:cs="Arial" w:eastAsia="Arial" w:hAnsi="Arial"/>
                <w:sz w:val="18"/>
                <w:szCs w:val="18"/>
                <w:color w:val="auto"/>
                <w:w w:val="94"/>
              </w:rPr>
              <w:t>Common stock, $0.0001 par value; 12,650,000 and 0 shares at redemption value of $10.15 at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120"/>
              <w:spacing w:after="0"/>
              <w:rPr>
                <w:sz w:val="20"/>
                <w:szCs w:val="20"/>
                <w:color w:val="auto"/>
              </w:rPr>
            </w:pPr>
            <w:r>
              <w:rPr>
                <w:rFonts w:ascii="Arial" w:cs="Arial" w:eastAsia="Arial" w:hAnsi="Arial"/>
                <w:sz w:val="18"/>
                <w:szCs w:val="18"/>
                <w:color w:val="auto"/>
              </w:rPr>
              <w:t>March 31, 2022 and December 31, 2021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128,397,500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w w:val="91"/>
              </w:rPr>
              <w:t>128,397,500.00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Preferred stock, $0.0001 par value; 1,000,000 shares authorized; none issued or outstanding at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March 31, 2022 and December 31, 2021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ind w:left="100"/>
              <w:spacing w:after="0" w:line="201" w:lineRule="exact"/>
              <w:rPr>
                <w:sz w:val="20"/>
                <w:szCs w:val="20"/>
                <w:color w:val="auto"/>
              </w:rPr>
            </w:pPr>
            <w:r>
              <w:rPr>
                <w:rFonts w:ascii="Arial" w:cs="Arial" w:eastAsia="Arial" w:hAnsi="Arial"/>
                <w:sz w:val="18"/>
                <w:szCs w:val="18"/>
                <w:color w:val="auto"/>
                <w:w w:val="91"/>
              </w:rPr>
              <w:t>Common stock, $0.0001 par value; 50,000,000 shares authorized; 3,162,500 shares issued and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20"/>
              <w:spacing w:after="0"/>
              <w:rPr>
                <w:sz w:val="20"/>
                <w:szCs w:val="20"/>
                <w:color w:val="auto"/>
              </w:rPr>
            </w:pPr>
            <w:r>
              <w:rPr>
                <w:rFonts w:ascii="Arial" w:cs="Arial" w:eastAsia="Arial" w:hAnsi="Arial"/>
                <w:sz w:val="18"/>
                <w:szCs w:val="18"/>
                <w:color w:val="auto"/>
                <w:w w:val="92"/>
              </w:rPr>
              <w:t>outstanding (excluding 12,650,000 and 0 shares subject to possible redemption) at March 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220"/>
              <w:spacing w:after="0"/>
              <w:rPr>
                <w:sz w:val="20"/>
                <w:szCs w:val="20"/>
                <w:color w:val="auto"/>
              </w:rPr>
            </w:pPr>
            <w:r>
              <w:rPr>
                <w:rFonts w:ascii="Arial" w:cs="Arial" w:eastAsia="Arial" w:hAnsi="Arial"/>
                <w:sz w:val="18"/>
                <w:szCs w:val="18"/>
                <w:color w:val="auto"/>
              </w:rPr>
              <w:t>2022 and December 31, 2021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167,167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(1,024,673)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167,484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(1,024,356)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100" w:type="dxa"/>
            <w:vAlign w:val="bottom"/>
          </w:tcPr>
          <w:p>
            <w:pPr>
              <w:spacing w:after="0" w:line="177" w:lineRule="exact"/>
              <w:rPr>
                <w:sz w:val="20"/>
                <w:szCs w:val="20"/>
                <w:color w:val="auto"/>
              </w:rPr>
            </w:pPr>
            <w:r>
              <w:rPr>
                <w:rFonts w:ascii="Arial" w:cs="Arial" w:eastAsia="Arial" w:hAnsi="Arial"/>
                <w:sz w:val="18"/>
                <w:szCs w:val="18"/>
                <w:b w:val="1"/>
                <w:bCs w:val="1"/>
                <w:color w:val="auto"/>
                <w:w w:val="91"/>
              </w:rPr>
              <w:t>Total Liabilities, Common Stock Subject to Possible Redemption and Stockholders' Equity</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9"/>
              </w:rPr>
              <w:t>129,380,541</w:t>
            </w:r>
          </w:p>
        </w:tc>
        <w:tc>
          <w:tcPr>
            <w:tcW w:w="180" w:type="dxa"/>
            <w:vAlign w:val="bottom"/>
          </w:tcPr>
          <w:p>
            <w:pPr>
              <w:spacing w:after="0"/>
              <w:rPr>
                <w:sz w:val="15"/>
                <w:szCs w:val="15"/>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129,523,613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00" w:type="dxa"/>
            <w:vAlign w:val="bottom"/>
          </w:tcPr>
          <w:p>
            <w:pPr>
              <w:ind w:left="120"/>
              <w:spacing w:after="0"/>
              <w:rPr>
                <w:sz w:val="20"/>
                <w:szCs w:val="20"/>
                <w:color w:val="auto"/>
              </w:rPr>
            </w:pPr>
            <w:r>
              <w:rPr>
                <w:rFonts w:ascii="Arial" w:cs="Arial" w:eastAsia="Arial" w:hAnsi="Arial"/>
                <w:sz w:val="18"/>
                <w:szCs w:val="18"/>
                <w:b w:val="1"/>
                <w:bCs w:val="1"/>
                <w:color w:val="auto"/>
              </w:rPr>
              <w:t>(Deficit)</w:t>
            </w:r>
          </w:p>
        </w:tc>
        <w:tc>
          <w:tcPr>
            <w:tcW w:w="28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39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Franchise tax expense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(258,862)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gain on investments held in Trust Account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1,434,636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6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1,191,840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15,812,500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common share</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gridSpan w:val="2"/>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15,812,500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2,750,000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 net income per common share</w:t>
            </w: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CHANGES IN STOCKHOLDERS' EQUITY (DEFICIT)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640" w:type="dxa"/>
            <w:vAlign w:val="bottom"/>
            <w:gridSpan w:val="4"/>
            <w:vMerge w:val="restart"/>
          </w:tcPr>
          <w:p>
            <w:pPr>
              <w:jc w:val="right"/>
              <w:ind w:right="281"/>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Additional Paid-in</w:t>
            </w:r>
          </w:p>
        </w:tc>
        <w:tc>
          <w:tcPr>
            <w:tcW w:w="14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Retained Earnings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14"/>
                <w:szCs w:val="14"/>
                <w:color w:val="auto"/>
              </w:rPr>
            </w:pPr>
          </w:p>
        </w:tc>
        <w:tc>
          <w:tcPr>
            <w:tcW w:w="164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(Accumulated</w:t>
            </w:r>
          </w:p>
        </w:tc>
        <w:tc>
          <w:tcPr>
            <w:tcW w:w="2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820" w:type="dxa"/>
            <w:vAlign w:val="bottom"/>
          </w:tcPr>
          <w:p>
            <w:pPr>
              <w:jc w:val="right"/>
              <w:ind w:right="123"/>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281"/>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6"/>
              </w:rPr>
              <w:t>Deficit)</w:t>
            </w:r>
          </w:p>
        </w:tc>
        <w:tc>
          <w:tcPr>
            <w:tcW w:w="20" w:type="dxa"/>
            <w:vAlign w:val="bottom"/>
          </w:tcPr>
          <w:p>
            <w:pPr>
              <w:spacing w:after="0"/>
              <w:rPr>
                <w:sz w:val="12"/>
                <w:szCs w:val="12"/>
                <w:color w:val="auto"/>
              </w:rPr>
            </w:pPr>
          </w:p>
        </w:tc>
        <w:tc>
          <w:tcPr>
            <w:tcW w:w="9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3,162,500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317</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(1,024,673)</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(1,024,356)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1,191,840</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1,191,840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March 31, 2022 (unaudited)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3,162,500</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317</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167,167</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167,484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center"/>
              <w:ind w:right="81"/>
              <w:spacing w:after="0" w:line="149" w:lineRule="exact"/>
              <w:rPr>
                <w:sz w:val="20"/>
                <w:szCs w:val="20"/>
                <w:color w:val="auto"/>
              </w:rPr>
            </w:pPr>
            <w:r>
              <w:rPr>
                <w:rFonts w:ascii="Arial" w:cs="Arial" w:eastAsia="Arial" w:hAnsi="Arial"/>
                <w:sz w:val="14"/>
                <w:szCs w:val="14"/>
                <w:b w:val="1"/>
                <w:bCs w:val="1"/>
                <w:color w:val="auto"/>
                <w:w w:val="89"/>
              </w:rPr>
              <w:t>Total</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640" w:type="dxa"/>
            <w:vAlign w:val="bottom"/>
            <w:tcBorders>
              <w:bottom w:val="single" w:sz="8" w:color="auto"/>
            </w:tcBorders>
            <w:gridSpan w:val="4"/>
          </w:tcPr>
          <w:p>
            <w:pPr>
              <w:jc w:val="right"/>
              <w:ind w:right="281"/>
              <w:spacing w:after="0" w:line="149" w:lineRule="exact"/>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Additional Paid-in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2020</w:t>
            </w:r>
          </w:p>
        </w:tc>
        <w:tc>
          <w:tcPr>
            <w:tcW w:w="820" w:type="dxa"/>
            <w:vAlign w:val="bottom"/>
          </w:tcPr>
          <w:p>
            <w:pPr>
              <w:jc w:val="right"/>
              <w:ind w:right="123"/>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281"/>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9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186"/>
        </w:trPr>
        <w:tc>
          <w:tcPr>
            <w:tcW w:w="4540" w:type="dxa"/>
            <w:vAlign w:val="bottom"/>
            <w:vMerge w:val="continue"/>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3,162,500</w:t>
            </w:r>
          </w:p>
        </w:tc>
        <w:tc>
          <w:tcPr>
            <w:tcW w:w="16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317</w:t>
            </w: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24,683</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(1,000)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4540" w:type="dxa"/>
            <w:vAlign w:val="bottom"/>
          </w:tcPr>
          <w:p>
            <w:pPr>
              <w:spacing w:after="0"/>
              <w:rPr>
                <w:sz w:val="20"/>
                <w:szCs w:val="20"/>
                <w:color w:val="auto"/>
              </w:rPr>
            </w:pPr>
            <w:r>
              <w:rPr>
                <w:rFonts w:ascii="Arial" w:cs="Arial" w:eastAsia="Arial" w:hAnsi="Arial"/>
                <w:sz w:val="16"/>
                <w:szCs w:val="16"/>
                <w:b w:val="1"/>
                <w:bCs w:val="1"/>
                <w:color w:val="auto"/>
              </w:rPr>
              <w:t>Balance at March 31, 2021 (unaudited)</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$ 3,162,500</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317</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24,683</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211"/>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42"/>
        </w:trPr>
        <w:tc>
          <w:tcPr>
            <w:tcW w:w="7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5"/>
        </w:trPr>
        <w:tc>
          <w:tcPr>
            <w:tcW w:w="73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1,191,840</w:t>
            </w:r>
          </w:p>
        </w:tc>
        <w:tc>
          <w:tcPr>
            <w:tcW w:w="220" w:type="dxa"/>
            <w:vAlign w:val="bottom"/>
          </w:tcPr>
          <w:p>
            <w:pPr>
              <w:spacing w:after="0"/>
              <w:rPr>
                <w:sz w:val="18"/>
                <w:szCs w:val="18"/>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used in operations: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Net gain on investments held in Trust Account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(16,066)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 liability</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(1,434,636)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89,835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Deferred offering costs</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Franchise tax payable</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Net cash used in operating activities</w:t>
            </w: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(152,630)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Net cash provided by financing activities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ind w:right="129"/>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(152,630)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47,882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799,808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0"/>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Cash - End of Period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647,178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Chardan NexTech Acquisition 2 Corp (the “Company”) is a blank check company incorporated in Delaware on June 23, 2020.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March 31, 2022, the Company had not yet commenced any operations. All activity for the period from June 23, 2020 (Inception) through March 31, 2022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generates non-operating income in the form of interest income from the proceeds derived from the Initial Public Offering.</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registration statement on Form S-1 (the “Registration Statement”) for the Company’s Initial Public Offering was declared effective on August 10, 2021. On August 13, 2021, the Company consummated the Initial Public Offering of 11,000,000 units (the “Units” and, with respect to the common stock, par value $0.0001 per share, of the Company included in the Units sold, the “Public Shares”, and with respect to the warrants of the Company included in the Units sold, the “Public Warrants”), at $10.00 per Unit, generating gross proceeds of $110,000,000, which is discussed in Note 3.</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4,361,456 warrants (the “Private Warrants”, together with the Public Warrants, the “Warrants”) at a price of $0.93 per Private Warrant in a private placement to Chardan NexTech 2 Warrant Holdings LLC, a Delaware limited liability company (“Warrant Holdings" or "Holdings”), an affiliate of Chardan NexTech Investments 2 LLC, a Delaware limited liability company (the “Sponsor”), generating gross proceeds of $4,052,000, which is described in Note 4.</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granted the underwriters in the Initial Public Offering a 45-day option to purchase up to 1,650,000 Units to cover over-allotments, if any (see Note 6). On August 16, 2021, the underwriters fully exercised the over-allotment option and, on August 18, 2021, purchased an additional 1,650,000 Units (the “Over-Allotment Units”) at a purchase price of $10.00 per Over-Allotment Unit, generating gross proceeds of $16,500,000.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exercise of the over-allotment option, the Company consummated the sale of 266,402 warrants (the “Over-Allotment Private Warrants”) at a purchase price of $0.93 per Over-Allotment Private Warrant in a private placement to the Holdings, generating gross proceeds of $247,500.</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the closing of the Initial Public Offering and underwriters’ over-allotment option, an amount of $128,397,500 from the net proceeds of the sale of the Units and Over-Allotment Units and a portion of the proceeds from the sale of the Private Warrants and Over-Allotment Private Warrants was placed in a trust account (the “Trust Account”) and was invested only in U.S. government securities, within the meaning set forth in Section 2(a)(16) of the Investment Company Act of 1940, as amended (the “Investment Company Act”), with a maturity of 185 days or in money market funds meeting certain conditions under Rule 2a-7 promulgated under the Investment Company Act which invest only in direct U.S. government treasury obligations, until the earlier of: (i) the completion of a Business Combination and (ii) the distribution of the funds held in the Trust Account, as described below.</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costs related to the issuances described above amounted to $1,080,140, consisting of $500,000 of cash underwriting fees and $580,140 of other offering costs.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($10.15 per Public Share, plus any pro rata interest earned on the funds held in the Trust Account and not previously released to the Company to pay its tax obligations). The Public Shares subject to redemption was recorded at redemption value and classified as temporary equity upon the completion of the Initial Public Offering in accordance with the Financial Accounting Standards Board’s (“FASB”) Accounting Standards Codification (“ASC”) Topic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(“ASC 480”).</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w:t>
      </w:r>
    </w:p>
    <w:p>
      <w:pPr>
        <w:spacing w:after="0" w:line="6" w:lineRule="exact"/>
        <w:rPr>
          <w:sz w:val="20"/>
          <w:szCs w:val="20"/>
          <w:color w:val="auto"/>
        </w:rPr>
      </w:pPr>
    </w:p>
    <w:p>
      <w:pPr>
        <w:jc w:val="both"/>
        <w:ind w:firstLine="8"/>
        <w:spacing w:after="0" w:line="255" w:lineRule="auto"/>
        <w:tabs>
          <w:tab w:leader="none" w:pos="244"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will have 12 months, or August 13, 2022, from the closing of the Initial Public Offering to consummate an initial Business Combination. However, if the Company anticipates that it may not be able to consummate an initial Business Combination within 12 months, the Company’s insiders or their affiliates may, but are not obligated to, extend the period of time to consummate a Business Combination up to two times by an additional three months each time (for a total of up to 18 months, or February 13, 2023, to complete a Business Combination), subject to the Sponsor or its affiliates or designees, upon five days advance notice prior to the applicable deadline, depositing $1,265,000 (or $0.10 per share) into the Trust Account for each of the available three months extensions (totaling $2,530,000 in aggregate)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Consideration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March 31, 2022, the Company had $647,178 in cash held outside of the Trust Account and working capital surplus of $729,325. The Company has incurred and expects to continue to incur significant costs in pursuit of its acquisition plans. These conditions raise substantial doubt about the Company’s ability to continue as a going concern through February 13, 2021, the date at which the Company must consummate a business combination after taking into the effect of both extensions being filed, as described below. Management plans to address the uncertainty through a Business Combination, which is not guaranteed.</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Company's assessment of going concern considerations in accordance with FASB ASC Topic 205-40, “Presentation of Financial Statements - Going Concern,” the Company will have 12 months, or August 13, 2022, from the closing of the Initial Public Offering to consummate an initial Business Combination. However, if the Company anticipates that it may not be able to consummate an initial Business Combination within 12 months, the Company’s Sponsor or their affiliates or designees may, but are not obligated to, extend the period of time to consummate a Business Combination up to two times by an additional three months each time (for a total of up to 18 months, or February 13, 2023, to complete a Business Combination), by depositing into the Trust Account $1,265,000 for each extension ($0.10 per share or $2,530,000 in aggregate), on or prior to date of applicable deadline. If a Business Combination is not consummated by this date, there will be a mandatory liquidation and subsequent dissolution of the Company. Although the Company plans to complete a Business Combination before the date of liquidation, the Company has determined that the liquidity condition and mandatory liquidation, should a Business Combination not occur, and potential subsequent dissolution raises substantial doubt about its ability to continue as a going concern. No adjustments have been made to the carrying amounts of assets or liabilities should the Company be required to liquidate after February 13, 2023.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condensed financial statements. The condensed financial statements do not include any adjustments that might result from the outcome of this uncertainty.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condensed financial statements. The specific impact on the Company's financial condition, results of operations, and cash flows is also not determinable as of the date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accompanying condensed financial statements of the Company are presented in conformity with accounting principles generally accepted in the United States of America (“GAAP”)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condensed financial statements include all adjustments, consisting of a normal recurring nature, which are necessary for a fair presentation of the financial position, operating results and cash flows for the periods presented. The accompanying condensed financial statements should be read in conjunction with the Company’s annual report on Form 10-K as filed with the SEC on March 29, 2022. The interim results for the three months ended March 31, 2022 are not necessarily indicative of the results to be expected for the year ending December 31, 2022 or for any future periods.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expenses during the reporting periods.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condensed financial statements, which management considered in formulating its estimate, could change in the near term due to one or more future confirming events. Accordingly, the actual results could differ significantly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2022 and December 31, 2021.</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Held in Trust Account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Net income from investments held in Trust Account in the accompanying statement of operations. The estimated fair values of investments held in the Trust Account are determined using available market information. At March 31, 2022 and December 31, 2021, the assets held in the Trust Account were $128,437,281 and $128,421,215,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as of March 31, 2022 and December 31, 2021, 12,650,000 shares of common stock subject to possible redemption is presented as temporary equity, outside of the stockholders’ equity section of the Company’s condensed balance sheets. Effective with the closing of the Initial Public Offering, the Company recognized the accretion from the initial book value to redemption amount, which resulted in charges against additional paid-in capital (to the extent available) and retained earnings (accumulated deficit).</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retained earnings (accumulated deficit).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and December 31, 2021, the common stock reflected in the condensed balance sheets are reconciled in the following table:</w:t>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126,500,000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Less: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allocated to Public Warrants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(15,180,000)</w:t>
            </w:r>
          </w:p>
        </w:tc>
      </w:tr>
      <w:tr>
        <w:trPr>
          <w:trHeight w:val="216"/>
        </w:trPr>
        <w:tc>
          <w:tcPr>
            <w:tcW w:w="5100" w:type="dxa"/>
            <w:vAlign w:val="bottom"/>
          </w:tcPr>
          <w:p>
            <w:pPr>
              <w:ind w:left="100"/>
              <w:spacing w:after="0"/>
              <w:rPr>
                <w:sz w:val="20"/>
                <w:szCs w:val="20"/>
                <w:color w:val="auto"/>
              </w:rPr>
            </w:pPr>
            <w:r>
              <w:rPr>
                <w:rFonts w:ascii="Arial" w:cs="Arial" w:eastAsia="Arial" w:hAnsi="Arial"/>
                <w:sz w:val="18"/>
                <w:szCs w:val="18"/>
                <w:color w:val="auto"/>
              </w:rPr>
              <w:t>Issuance costs allocated to common stock</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(933,989)</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Accretion of carrying value to redemption value</w:t>
            </w:r>
          </w:p>
        </w:tc>
        <w:tc>
          <w:tcPr>
            <w:tcW w:w="15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18,011,489</w:t>
            </w:r>
          </w:p>
        </w:tc>
      </w:tr>
      <w:tr>
        <w:trPr>
          <w:trHeight w:val="210"/>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Common stock subject to possible redemption</w:t>
            </w:r>
          </w:p>
        </w:tc>
        <w:tc>
          <w:tcPr>
            <w:tcW w:w="1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128,397,500</w:t>
            </w:r>
          </w:p>
        </w:tc>
      </w:tr>
      <w:tr>
        <w:trPr>
          <w:trHeight w:val="20"/>
        </w:trPr>
        <w:tc>
          <w:tcPr>
            <w:tcW w:w="5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 associated with the Initial Public Offering</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complies with the requirements of ASC 340-10-S99-1 and SEC Staff Accounting Bulletin Topic 5A - Expenses of Offering. Offering costs consist principally of professional and registration fees incurred through the balance sheet date that are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$1,080,140, consisting of $500,000 of cash underwriting fees and $580,140 of other offering costs. The Company recorded $933,989 of offering costs as a reduction of temporary equity in connection with the redeemable</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common stock included in the Units. The Company recorded $127,354 as a reduction of permanent equity in connection with the Public Warrants included in the Units and immediately expensed $18,797 of offering costs in connection with the Private Warrants that were classified as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Liabilities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condensed statements of operations.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Fair Value Measurement (“ASC 820”), with changes in fair value recognized in the condensed statements of operations in the period of change.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Public Warrants are not precluded from equity classification, and are accounted for as such on the date of issuance, and each balance sheet date thereafter.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 complies with the accounting and reporting requirements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which requires an asset and liability approach to financial accounting and reporting for income taxes. Deferred income tax assets and liabilities are computed for differences between the condensed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ASC 740 prescribes a recognition threshold and a measurement attribute for the condensed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2022 and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was deemed to be de minimis for the three months ended March 31, 2022 and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 of Common Stock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income per common share is computed by dividing net earnings by the weighted-average number of shares of common stock outstanding during the period. The Company has not considered the effect of the Warrants sold in the Initial Public Offering and private</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placement to purchase an aggregate of 14,115,358 shares in the calculation of diluted income per share, since the exercise of the Warrants are contingent upon the occurrence of future events.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net income per common share (in dollars, except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Numerator:</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1,191,840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Denominator:</w:t>
            </w:r>
          </w:p>
        </w:tc>
        <w:tc>
          <w:tcPr>
            <w:tcW w:w="1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15,812,500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2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15,812,500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Diluted net income per common share</w:t>
            </w:r>
          </w:p>
        </w:tc>
        <w:tc>
          <w:tcPr>
            <w:tcW w:w="2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20"/>
                <w:szCs w:val="20"/>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a cash account in a financial institution, which, at times, may exceed the Federal Depository Insurance Corporation coverage limit of $250,000. The Company has not experienced losses on this account and management believes the Company is not exposed to significant risks on such account.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reflected in the condensed balance sheet for current assets and current liabilities approximate fair value due to their short-term nature.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Inputs to the fair value measurement are unobservable inputs, such as estimates, assumptions, and valuation techniques when little or no market data exists for the assets or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9 for additional information on assets and liabilities measured at fair value.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Registration Statement for the Company’s Initial Public Offering was declared effective on August 10, 2021. On August 13, 2021, the Company completed its Initial Public Offering of 11,000,000 Units, at $10.00 per Unit, generating gross proceeds of $110,000,000. Each Unit consisted of one Public Share, and three-quarters of one Public Warrant. Each Public Warrant entitles the holder to purchase one share of common stock at an exercise price of $11.50 per whole share (see Note 7).</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granted the underwriters in the Initial Public Offering a 45-day option to purchase up to 1,650,000 additional Units to cover over-allotments, if any (see Note 6). On August 18, 2021, the underwriters fully exercised the over-allotment option and purchased an additional 1,650,000 Over-Allotment Units, generating gross proceeds of $16,500,000.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Simultaneously with the closing of the Initial Public Offering, Holdings purchased an aggregate of 4,361,456 Private Warrants at a price of $0.93 per Private Warrant ($4,052,000 in the aggregate). Each Private Warrant entitles the holder to purchase one share of common stock at an exercise price of $11.50 per share (see Note 7).</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proceeds from the Private Warrants were added to the proceeds from the Initial Public Offering to be held in the Trust Account. If the Company does not complete a Business Combination within 12 months (or up to 18 months if the Company’s time to complete a Business Combination is extended), the proceeds of the sale of the Private Warrants will be used to fund the redemption of the Public Shares (subject to the requirements of applicable law) and the Private Warrants will expire worthless. The Company classifies the outstanding Private Warrants as warrant liabilities on the condensed balance sheet in accordance with the guidance contained in ASC 815-40.</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exercise of the over-allotment option (see Note 6), the Company consummated the sale of 266,402 Over-Allotment Private Warrants at a purchase price of $0.93 per Over-Allotment Private Warrant in a private placement to Holdings, generating gross proceeds of $247,500.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On August 10, 2021, the Company effectuated a 1.1-for-1 stock split, resulting in an aggregate of 3,162,500 shares of common stock outstanding. Shares and the associated amounts have been retroactively restated in these condensed financial statements to reflect the two stock splits. The Founder Shares include an aggregated of up to 412,500 shares of common stock subject to forfeiture by the initial stockholders to the extent that the underwriters’ over-allotment is not exercised in full or in part, so that the initial stockholders would collectively own, on an as-converted basis, 20% of the Company’s issued and outstanding shares after the Initial Public Offering.</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18, 2021, the underwriters’ exercised the over-allotment option in full, thus these shares are no longer subject to forfeiture (see Note 6).</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 certain limited exceptions, 50% of the Founder Shares will not be transferred, assigned, sold or released from escrow until the earlier of (i) six months after the date of the consummation of a Business Combination (the “Escrow Period”) or (ii) the date on which the closing price of the Company's shares of common stock equals or exceeds $12.50 per share (as adjusted for stock splits, stock dividends, reorganizations and recapitalizations) for any ten trading days within any 30-trading day period commencing after the consummation of a Business Combination. The remaining 50% of the Founder Shares will not be transferred, assigned, sold or released from escrow until the expiration of the Escrow Period.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 and either (1) before the expiration of the Escrow Period, then the Founder Shares will be canceled, or (2) after the expiration of the Escrow Period, release the Founder Shares to the initial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23, 2020, the Sponsor agreed to loan the Company an aggregate of up to $250,000 to cover expenses related to the Initial Public Offering pursuant to a promissory note (the "Promissory Note"). The promissory note was non-interest bearing, unsecured and was repaid at August 19, 2021. As of March 31, 2022 and December 31, 2021, there was no outstanding balance under the note. The Company cannot make any additional draws under this promissory note.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an agreement, commencing on the effective date of the Initial Public Offering, to pay an affiliate of the Sponsor a total of $10,000 per month for office space, administrative and support services. Upon completion of a Business Combination or liquidation, the Company will cease paying these monthly fees. As of March 31, 2022, the Company has not exercised its option to use such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March 31, 2022 and December 31, 2021, the Company had no working capital loans 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Extension Loans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discussed in Note 1, the Company may extend the period of time to consummate an initial Business Combination two times, for an additional three months each time (for a total of up to 18 months to complete a Business Combination). In order to extend the time available for the Company to consummate a Business Combination, the initial stockholders or their affiliates or designees must deposit into the Trust Account $1,265,000 ($0.10 per share, or an aggregate of $2,530,000) if extended for each of the full three months), on or prior to the date of the applicable deadline. Any such payments would be made in the form of a loan. The terms of the promissory note to be issued in connection with any such loans have not yet been negotiated. If the Company completes an initial Business Combination, the Company would repay such loaned amounts out of the proceeds of the Trust Account released to the Company. If the Company does not complete an initial Business Combination, the Company will not repay such loans. The initial stockholders and their affiliates or designees are not obligated to fund the Trust Account to extend the time for the Company to complete an initial Business Combination.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WARRANTS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March 31, 2022 and December 31, 2021 there was 9,847,500 Public Warrants and 4,627,858 Private Warrants outstanding, respectively. Each whole Public Warrant will entitle the holder to purchase one share of common stock at an exercise price of $11.50 per whole share. Each of the Private Warrants is exercisable to purchase one share of common stock at a price of $11.50 per share, subject to adjustment. The proceeds from the sale of the Private Warrants were added to the net proceeds from the Initial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w:t>
      </w:r>
    </w:p>
    <w:p>
      <w:pPr>
        <w:spacing w:after="0" w:line="1" w:lineRule="exact"/>
        <w:rPr>
          <w:sz w:val="20"/>
          <w:szCs w:val="20"/>
          <w:color w:val="auto"/>
        </w:rPr>
      </w:pPr>
    </w:p>
    <w:p>
      <w:pPr>
        <w:jc w:val="both"/>
        <w:ind w:firstLine="8"/>
        <w:spacing w:after="0" w:line="292" w:lineRule="auto"/>
        <w:tabs>
          <w:tab w:leader="none" w:pos="3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 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 (DEFICIT)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The Company is authorized to issue 1,000,000 shares of preferred stock, par value $0.0001 per share, with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designations, voting and other rights and preferences as may be determined from time to time by the Company’s board of directors. As of March 31, 2022 and December 31, 2021, the Company had no issued or outstanding shares of preferred stock.</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Common stock </w:t>
      </w:r>
      <w:r>
        <w:rPr>
          <w:rFonts w:ascii="Arial" w:cs="Arial" w:eastAsia="Arial" w:hAnsi="Arial"/>
          <w:sz w:val="17"/>
          <w:szCs w:val="17"/>
          <w:color w:val="auto"/>
        </w:rPr>
        <w:t>—The Company is authorized to issue 50,000,000 shares of common stock with a par value of $0.0001 per share.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2022 and December 31, 2022, there were 15,812,500 shares of common stock issued and outstanding, including 12,650,000 shares of common stock subject to possible redemption. Of the 15,812,500 shares of common stock outstanding, up to 412,500 shares were subject to forfeiture to the Company by the initial stockholders for no consideration to the extent that the underwriters’ over-allotment option was not exercised in full or in part, so that the initial stockholders would collectively own 20% of the Company’s issued and outstanding common stock after the Initial Public Offering. On August 16, 2021, the underwriters’ exercised the over-allotment option in full (see Note 6), thus these shares are no longer subject to forfeiture.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information about the Company’s financial liabilities that are measured at fair value on a recurring basis as of March 31, 2022 and December 31, 2021, and indicates the fair value hierarchy of the valuation inputs the Company utilized to determine such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980" w:type="dxa"/>
            <w:vAlign w:val="bottom"/>
          </w:tcPr>
          <w:p>
            <w:pPr>
              <w:jc w:val="right"/>
              <w:ind w:right="139"/>
              <w:spacing w:after="0"/>
              <w:rPr>
                <w:sz w:val="20"/>
                <w:szCs w:val="20"/>
                <w:color w:val="auto"/>
              </w:rPr>
            </w:pPr>
            <w:r>
              <w:rPr>
                <w:rFonts w:ascii="Arial" w:cs="Arial" w:eastAsia="Arial" w:hAnsi="Arial"/>
                <w:sz w:val="14"/>
                <w:szCs w:val="14"/>
                <w:b w:val="1"/>
                <w:bCs w:val="1"/>
                <w:color w:val="auto"/>
              </w:rPr>
              <w:t>Amount at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19"/>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March 31, 2022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tcPr>
          <w:p>
            <w:pPr>
              <w:ind w:left="1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tcPr>
          <w:p>
            <w:pPr>
              <w:ind w:left="340"/>
              <w:spacing w:after="0"/>
              <w:rPr>
                <w:sz w:val="20"/>
                <w:szCs w:val="20"/>
                <w:color w:val="auto"/>
              </w:rPr>
            </w:pPr>
            <w:r>
              <w:rPr>
                <w:rFonts w:ascii="Arial" w:cs="Arial" w:eastAsia="Arial" w:hAnsi="Arial"/>
                <w:sz w:val="18"/>
                <w:szCs w:val="18"/>
                <w:color w:val="auto"/>
              </w:rPr>
              <w:t>Money Market investments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1"/>
              </w:rPr>
              <w:t>128,437,281</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1"/>
              </w:rPr>
              <w:t>128,437,281</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3"/>
          </w:tcPr>
          <w:p>
            <w:pPr>
              <w:ind w:left="220"/>
              <w:spacing w:after="0"/>
              <w:rPr>
                <w:sz w:val="20"/>
                <w:szCs w:val="20"/>
                <w:color w:val="auto"/>
              </w:rPr>
            </w:pPr>
            <w:r>
              <w:rPr>
                <w:rFonts w:ascii="Arial" w:cs="Arial" w:eastAsia="Arial" w:hAnsi="Arial"/>
                <w:sz w:val="18"/>
                <w:szCs w:val="18"/>
                <w:color w:val="auto"/>
              </w:rPr>
              <w:t>Warrant liabilities – Private Warrants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601,622</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601,622</w:t>
            </w:r>
          </w:p>
        </w:tc>
        <w:tc>
          <w:tcPr>
            <w:tcW w:w="0" w:type="dxa"/>
            <w:vAlign w:val="bottom"/>
          </w:tcPr>
          <w:p>
            <w:pPr>
              <w:spacing w:after="0"/>
              <w:rPr>
                <w:sz w:val="1"/>
                <w:szCs w:val="1"/>
                <w:color w:val="auto"/>
              </w:rPr>
            </w:pPr>
          </w:p>
        </w:tc>
      </w:tr>
      <w:tr>
        <w:trPr>
          <w:trHeight w:val="341"/>
        </w:trPr>
        <w:tc>
          <w:tcPr>
            <w:tcW w:w="5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Arial" w:cs="Arial" w:eastAsia="Arial" w:hAnsi="Arial"/>
                <w:sz w:val="14"/>
                <w:szCs w:val="14"/>
                <w:b w:val="1"/>
                <w:bCs w:val="1"/>
                <w:color w:val="auto"/>
              </w:rPr>
              <w:t>Amount at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19"/>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tcPr>
          <w:p>
            <w:pPr>
              <w:ind w:left="1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tcPr>
          <w:p>
            <w:pPr>
              <w:ind w:left="340"/>
              <w:spacing w:after="0"/>
              <w:rPr>
                <w:sz w:val="20"/>
                <w:szCs w:val="20"/>
                <w:color w:val="auto"/>
              </w:rPr>
            </w:pPr>
            <w:r>
              <w:rPr>
                <w:rFonts w:ascii="Arial" w:cs="Arial" w:eastAsia="Arial" w:hAnsi="Arial"/>
                <w:sz w:val="18"/>
                <w:szCs w:val="18"/>
                <w:color w:val="auto"/>
              </w:rPr>
              <w:t>Money Market investments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1"/>
              </w:rPr>
              <w:t>128,421,215</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1"/>
              </w:rPr>
              <w:t>128,421,215</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3"/>
          </w:tcPr>
          <w:p>
            <w:pPr>
              <w:ind w:left="220"/>
              <w:spacing w:after="0"/>
              <w:rPr>
                <w:sz w:val="20"/>
                <w:szCs w:val="20"/>
                <w:color w:val="auto"/>
              </w:rPr>
            </w:pPr>
            <w:r>
              <w:rPr>
                <w:rFonts w:ascii="Arial" w:cs="Arial" w:eastAsia="Arial" w:hAnsi="Arial"/>
                <w:sz w:val="18"/>
                <w:szCs w:val="18"/>
                <w:color w:val="auto"/>
              </w:rPr>
              <w:t>Warrant liability – Private Placement Warrants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2,036,258</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2,036,258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utilizes a Black-Scholes method to value the Private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Private Warrants is assumed to be equivalent to their remaining contractual term. The dividend rate is based on the historical rate, which the Company anticipates to remain at zero.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significant inputs to the Black-Scholes method for the fair value of the Private Warrants: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As of December</w:t>
            </w:r>
          </w:p>
        </w:tc>
        <w:tc>
          <w:tcPr>
            <w:tcW w:w="260" w:type="dxa"/>
            <w:vAlign w:val="bottom"/>
          </w:tcPr>
          <w:p>
            <w:pPr>
              <w:spacing w:after="0"/>
              <w:rPr>
                <w:sz w:val="16"/>
                <w:szCs w:val="16"/>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 March</w:t>
            </w:r>
          </w:p>
        </w:tc>
      </w:tr>
      <w:tr>
        <w:trPr>
          <w:trHeight w:val="201"/>
        </w:trPr>
        <w:tc>
          <w:tcPr>
            <w:tcW w:w="6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31, 2021</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31, 2022</w:t>
            </w:r>
          </w:p>
        </w:tc>
        <w:tc>
          <w:tcPr>
            <w:tcW w:w="160" w:type="dxa"/>
            <w:vAlign w:val="bottom"/>
            <w:tcBorders>
              <w:bottom w:val="single" w:sz="8" w:color="CCEEFF"/>
            </w:tcBorders>
          </w:tcPr>
          <w:p>
            <w:pPr>
              <w:spacing w:after="0"/>
              <w:rPr>
                <w:sz w:val="17"/>
                <w:szCs w:val="17"/>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6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Exercise price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Term to Business Combination (years)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4.36</w:t>
            </w:r>
          </w:p>
        </w:tc>
        <w:tc>
          <w:tcPr>
            <w:tcW w:w="16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9.1 %</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2.9 %</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Risk-free rate</w:t>
            </w:r>
          </w:p>
        </w:tc>
        <w:tc>
          <w:tcPr>
            <w:tcW w:w="20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1.20 %</w:t>
            </w:r>
          </w:p>
        </w:tc>
        <w:tc>
          <w:tcPr>
            <w:tcW w:w="2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2.43 %</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summary of the changes in the fair value of the Company’s Level 3 financial instruments that are measured at fair value on a recurring basis: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June 23, 2020 (inception)</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Initial measurement</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5,553,429</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(3,517,171)</w:t>
            </w:r>
          </w:p>
        </w:tc>
      </w:tr>
      <w:tr>
        <w:trPr>
          <w:trHeight w:val="250"/>
        </w:trPr>
        <w:tc>
          <w:tcPr>
            <w:tcW w:w="7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at December 31, 2021</w:t>
            </w:r>
          </w:p>
        </w:tc>
        <w:tc>
          <w:tcPr>
            <w:tcW w:w="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2,036,258</w:t>
            </w:r>
          </w:p>
        </w:tc>
      </w:tr>
      <w:tr>
        <w:trPr>
          <w:trHeight w:val="196"/>
        </w:trPr>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Change in valuation inputs or other assumptions</w:t>
            </w:r>
          </w:p>
        </w:tc>
        <w:tc>
          <w:tcPr>
            <w:tcW w:w="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1,434,636</w:t>
            </w: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Fair value at March 31, 2022</w:t>
            </w: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601,622</w:t>
            </w: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gains in connection with changes in the fair value of warrant liabilities of $1,434,636 and $0 within change in fair value of warrant liabilities in the condensed statements of operations for the three months ended March 31, 2022 and for the three months ended March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evaluated subsequent events and transactions that occurred after the balance sheet date up to the date that the unaudited condensed financial statements were issued. Based upon this review, other than those items disclosed below, the Company did not identify any subsequent events that would have required adjustment or disclosure in the unaudited condensed financial statements.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16, 2022, the Company and Dragonfly Energy Corp., a Nevada corporation (“Dragonfly”) announced the execution of an Agreement and Plan of Merger, dated as of May 15, 2022, by and among the Company, Dragonfly and Bronco Merger Sub, Inc., a Nevada corporation and a direct, wholly owned subsidiary of the Company (“Merger Sub”).</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112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References in this report (the “Quarterly Report”) to “we,” “us” or the “Company” refer to Chardan NexTech Acquisition 2 Corp References to our “management” or our “management team” refer to our officers and directors, and references to the “Sponsor” refer to Chardan NexTech Investments 2 LLC The following discussion and analysis of the Company’s financial condition and results of operations should be read in conjunction with the condensed financial statements and the notes thereto contained elsewhere in this Quarterly Report. Certain information contained in the discussion and analysis set forth below includes forward-looking statements that involve risks and uncertainties.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includes “forward-looking statements”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final prospectus for its Initial Public Offering (as defined below)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blank check company incorporated on June 23, 2020 in Delaware and formed for the purpose of effectuating an initial business combination. We intend to effectuate our initial business combination using cash from the proceeds of the Initial Public Offering and the private placement of the Private Warrants, the proceeds of the sale of our securities in connection with our initial business combination (pursuant to forward purchase agreements or backstop agreements we may enter into following the consummation of the Initial Public Offering or otherwise), shares issued to the owners of the target, debt issued to bank or other lenders or the owners of the target, or a combination of the foregoing.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neither engaged in any operations nor generated any revenues to date. Our only activities for the period from June 23, 2020 (Inception) through March 31, 2022 were organizational activities, those necessary to prepare for the Initial Public Offering, described below. We do not expect to generate any operating revenues until after the completion of our initial business combination. We generate non-operating income in the form of interest income on investments held after the Initial Public Offering. We incur expenses as a result of being a public company (for legal, financial reporting, accounting and auditing compliance), as well as due diligence expenses.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2022, we had net income of $1,191,840, which resulted from by the change in fair value of warrant liabilities of $1,434,636 and a net gain on marketable securities held in Trust Account in the amount of $16,066, which was partially offset by operating and formation costs of 208,206, and franchise tax expense of $50,656.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 we had no income or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and December 31, 2021, the Company had $647,178 and $799,808 in cash held outside of the Trust Account, respectively, and a working capital surplus of $729,325 and $988,187, respectively.</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liquidity needs prior to the consummation of the Initial Public Offering were satisfied through the proceeds of $25,000 from the sale of the founder shares, and a loan of up to $250,000 under an unsecured and non-interest bearing promissory note. Subsequent to the consummation of the Initial Public Offering, the Company’s liquidity will be satisfied through the net proceeds from the private placement held outside of the Trust Account.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in order to finance transaction costs in connection with a business combination, the Sponsor or an affiliate of the Sponsor, or certain of our officers and directors may, but are not obligated to, loan us funds as may be required. As of March 31, 2022 and December 31, 2021, there were no amounts outstanding under any such loans.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2022, net cash used in operating activities was $152,630, which was due to the change in fair value of warrants of $1,434,636, changes in operating assets and liabilities of $106,232, and net gain on investments in the Trust Account of $16,066, partially offset by our net income of $1,191,840.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2021, net cash used in operating activities was solely a result of payment of deferred offering costs of $77,118.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2021, net cash provided by financing activities was solely a result of proceeds from a promissory note of $125,000.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13, 2021, we consummated the Initial Public Offering of 11,000,000 Units, at $10.00 per Unit, generating gross proceeds of $110,000,000. Each Unit consisted of one public share and three-quarters of one Public Warrant. Each Public Warrant entitles the holder to purchase one share of common stock at an exercise price of $11.50 per whole share.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Warrant Holdings purchased an aggregate of 4,361,456 Private Warrants at a price of $0.93 per Private Warrant ($4,052,000 in the aggregate). Each Private Warrant entitles the holder to purchase three-fourths of one share of common stock at an exercise price of $11.50 per share.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18, 2021, the underwriters fully exercised the over-allotment option and, purchased an additional 1,650,000 Units at a purchase price of $10.00 per Unit, generating gross proceeds of $16,500,000.</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Simultaneously with the closing of the exercise of the over-allotment option, we consummated the sale of 266,402 Private Warrants at a purchase price of $0.93 per Private Warrant in a private placement to Warrant Holdings, generating gross proceeds of $247,500.</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portion of the proceeds from the Private Warrants was added to the proceeds from the Initial Public Offering to be held in the Trust Account. If we do not complete our initial business combination by August 13, 2022 (or November 13, 2022 or February 13, 2023, as applicable, if the time period is extended), the proceeds of the sale of the Private Warrants will be used to fund the redemption of the public shares (subject to the requirements of applicable law) and the Private Warrants and all underlying securities will be worthless. There will be no redemption rights or liquidating distributions from the Trust Account with respect to the Private Warrants.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intend to use substantially all of the net proceeds from the Initial Public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that we incur prior to the completion of our initial business combination, if the funds available to us outside of the Trust Account were insufficient to cover such expenses.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believe we will need to raise additional funds following our Initial Public Offering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completion of our initial business combination, in which case we may issue additional securities or incur debt in connection with such business combination.</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March 31, 2022 or December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2022 and December 31, 2021, we did not have any long-term debt, capital or operating lease obligations. We entered into an administrative services agreement pursuant to which we pay the Sponsor for office space and secretarial and administrative services provided to members of our management team, in an amount not to exceed $10,000 per month.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Stockholder Rights Agreement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Marketing Agreement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We have identified the following critical accounting policies: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accounts for warrants as either equity-classified or liability-classified instruments based on an assessment of the warrant’s specific terms and applicable authoritative guidance in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condensed statements of operations.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Fair Value Measurement (“ASC 820”), with changes in fair value recognized in the condensed statements of operations in the period of change.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Public Warrants are not precluded from equity classification, and are accounted for as such on the date of issuance, and each balance sheet date thereafter.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as of March 31, 2022 and December 31, 2021, 12,650,000 shares of common stock subject to possible redemption is presented as temporary equity, outside of the stockholders’ equity section of the Company’s condensed balance sheets. Effective with the closing of the Initial Public Offering, the Company recognized the accretion from the initial book value to redemption amount, which resulted in charges against additional paid-in capital (to the extent available) and retained earnings (accumulated deficit).</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retained earnings (accumulated deficit).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 of 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per common share is computed by dividing net earnings by the weighted-average number of shares of common stock outstanding during the period. The Company has not considered the effect of the Warrants sold in the Initial Public Offering and private placement to purchase an aggregate of 14,115,358 shares in the calculation of diluted income per share, since the exercise of the Warrants are contingent upon the occurrence of future events.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and December 31, 2021, we were not subject to any market or interest rate risk.</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required by Rules 13a-15 and 15d-15 under the Exchange Act, our Chief Executive Officer and Chief Financial Officer carried out an evaluation of the effectiveness of the design and operation of our disclosure controls and procedures as of December 31, 2021. Based upon their evaluation, our Chief Executive Officer and Chief Financial Officer concluded that our disclosure controls and procedures (as defined in Rules 13a-15 (e) and 15d-15 (e) under the Exchange Act) were not effective as of March 31, 2022, due to the revision of the Balance Sheet as of August 13, 2021 that was included in a Form 8-K, Item 8.01, filed on August 19, 2021, regarding the classification of redeemable common stock, as described below, which constitutes a material weakness in our internal control over financial reporting. The revision was included as part of the September 30, 2021 Form 10-Q, as filed with the SEC on November 15, 2021.</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concluded that a material weakness in internal control over financial reporting existed relating to the accounting treatment for complex financial instruments.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than the implementation of the remediation activities regarding the Company’s Balance Sheet on the Form 8-K filed on August 13, 2021, there has been no change in our internal control over financial reporting (as defined in Rules 13a-15(f) and 15d-15(f) under the Exchange Act) that has materially affected, or is reasonably likely to materially affect, our internal control over financial reporting. Management has enhanced our processes to identify and appropriately apply applicable accounting requirements to better evaluate and understand the nuances of the complex accounting standards that apply to our condensed financial statements. Our updated processes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Factors that could cause our actual results to differ materially from those in this Quarterly Report are any of the risks described in the Company’s annual report on Form 10-K as filed with the SEC on March 29, 2022.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the Company’s annual report on Form 10-K as filed with the SEC on March 29,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8700" w:type="dxa"/>
            <w:vAlign w:val="bottom"/>
            <w:gridSpan w:val="8"/>
          </w:tcPr>
          <w:p>
            <w:pPr>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20" w:type="dxa"/>
            <w:vAlign w:val="bottom"/>
          </w:tcPr>
          <w:p>
            <w:pPr>
              <w:spacing w:after="0"/>
              <w:rPr>
                <w:sz w:val="14"/>
                <w:szCs w:val="14"/>
                <w:color w:val="auto"/>
              </w:rPr>
            </w:pPr>
          </w:p>
        </w:tc>
        <w:tc>
          <w:tcPr>
            <w:tcW w:w="9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00" w:type="dxa"/>
            <w:vAlign w:val="bottom"/>
            <w:tcBorders>
              <w:top w:val="single" w:sz="8" w:color="auto"/>
            </w:tcBorders>
            <w:gridSpan w:val="8"/>
          </w:tcPr>
          <w:p>
            <w:pPr>
              <w:spacing w:after="0" w:line="169"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Certification of Principal Executive Officer Pursuant to Securities Exchange Act Rules 13a-14(a) and 15(d)-14(a), as</w:t>
              </w:r>
            </w:hyperlink>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0000EE"/>
              <w:bottom w:val="single" w:sz="8" w:color="0000EE"/>
            </w:tcBorders>
          </w:tcPr>
          <w:p>
            <w:pPr>
              <w:spacing w:after="0"/>
              <w:rPr>
                <w:sz w:val="17"/>
                <w:szCs w:val="17"/>
                <w:color w:val="auto"/>
              </w:rPr>
            </w:pPr>
          </w:p>
        </w:tc>
        <w:tc>
          <w:tcPr>
            <w:tcW w:w="4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adopted Pursuant to Section 302 of the Sarbanes-Oxley Act of 2002</w:t>
              </w:r>
            </w:hyperlink>
          </w:p>
        </w:tc>
        <w:tc>
          <w:tcPr>
            <w:tcW w:w="3520" w:type="dxa"/>
            <w:vAlign w:val="bottom"/>
            <w:tcBorders>
              <w:top w:val="single" w:sz="8" w:color="0000EE"/>
            </w:tcBorders>
            <w:gridSpan w:val="2"/>
          </w:tcPr>
          <w:p>
            <w:pPr>
              <w:spacing w:after="0"/>
              <w:rPr>
                <w:sz w:val="17"/>
                <w:szCs w:val="17"/>
                <w:color w:val="auto"/>
              </w:rPr>
            </w:pPr>
          </w:p>
        </w:tc>
        <w:tc>
          <w:tcPr>
            <w:tcW w:w="300" w:type="dxa"/>
            <w:vAlign w:val="bottom"/>
            <w:gridSpan w:val="3"/>
          </w:tcPr>
          <w:p>
            <w:pPr>
              <w:spacing w:after="0"/>
              <w:rPr>
                <w:sz w:val="17"/>
                <w:szCs w:val="17"/>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31.2*</w:t>
            </w:r>
          </w:p>
        </w:tc>
        <w:tc>
          <w:tcPr>
            <w:tcW w:w="20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83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of Principal Financial Officer Pursuant to Securities Exchange Act Rules 13a-14(a) and 15(d)-14(a), as</w:t>
              </w:r>
            </w:hyperlink>
          </w:p>
        </w:tc>
        <w:tc>
          <w:tcPr>
            <w:tcW w:w="34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4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adopted Pursuant to Section 302 of the Sarbanes-Oxley Act of 2002</w:t>
              </w:r>
            </w:hyperlink>
          </w:p>
        </w:tc>
        <w:tc>
          <w:tcPr>
            <w:tcW w:w="3820" w:type="dxa"/>
            <w:vAlign w:val="bottom"/>
            <w:gridSpan w:val="5"/>
          </w:tcPr>
          <w:p>
            <w:pPr>
              <w:spacing w:after="0"/>
              <w:rPr>
                <w:sz w:val="17"/>
                <w:szCs w:val="17"/>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00" w:type="dxa"/>
            <w:vAlign w:val="bottom"/>
            <w:gridSpan w:val="8"/>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Certification of Principal Executive Officer Pursuant to 18 U.S.C. Section 1350, as adopted Pursuant to Section 906 of</w:t>
              </w:r>
            </w:hyperlink>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0000EE"/>
              <w:bottom w:val="single" w:sz="8" w:color="0000EE"/>
            </w:tcBorders>
          </w:tcPr>
          <w:p>
            <w:pPr>
              <w:spacing w:after="0"/>
              <w:rPr>
                <w:sz w:val="17"/>
                <w:szCs w:val="17"/>
                <w:color w:val="auto"/>
              </w:rPr>
            </w:pPr>
          </w:p>
        </w:tc>
        <w:tc>
          <w:tcPr>
            <w:tcW w:w="2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the Sarbanes-Oxley Act of 2002</w:t>
              </w:r>
            </w:hyperlink>
          </w:p>
        </w:tc>
        <w:tc>
          <w:tcPr>
            <w:tcW w:w="6200" w:type="dxa"/>
            <w:vAlign w:val="bottom"/>
            <w:tcBorders>
              <w:top w:val="single" w:sz="8" w:color="0000EE"/>
            </w:tcBorders>
            <w:gridSpan w:val="5"/>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32.2**</w:t>
            </w:r>
          </w:p>
        </w:tc>
        <w:tc>
          <w:tcPr>
            <w:tcW w:w="20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84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Certification of Principal Financial Officer Pursuant to 18 U.S.C. Section 1350, as adopted Pursuant to Section 906 of</w:t>
              </w:r>
            </w:hyperlink>
          </w:p>
        </w:tc>
        <w:tc>
          <w:tcPr>
            <w:tcW w:w="22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00" w:type="dxa"/>
            <w:vAlign w:val="bottom"/>
            <w:gridSpan w:val="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the Sarbanes-Oxley Act of 2002</w:t>
              </w:r>
            </w:hyperlink>
          </w:p>
        </w:tc>
      </w:tr>
      <w:tr>
        <w:trPr>
          <w:trHeight w:val="222"/>
        </w:trPr>
        <w:tc>
          <w:tcPr>
            <w:tcW w:w="12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20" w:type="dxa"/>
            <w:vAlign w:val="bottom"/>
            <w:tcBorders>
              <w:top w:val="single" w:sz="8" w:color="0000EE"/>
            </w:tcBorders>
          </w:tcPr>
          <w:p>
            <w:pPr>
              <w:spacing w:after="0"/>
              <w:rPr>
                <w:sz w:val="19"/>
                <w:szCs w:val="19"/>
                <w:color w:val="auto"/>
              </w:rPr>
            </w:pPr>
          </w:p>
        </w:tc>
        <w:tc>
          <w:tcPr>
            <w:tcW w:w="23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6400" w:type="dxa"/>
            <w:vAlign w:val="bottom"/>
            <w:gridSpan w:val="7"/>
          </w:tcPr>
          <w:p>
            <w:pPr>
              <w:spacing w:after="0"/>
              <w:rPr>
                <w:sz w:val="19"/>
                <w:szCs w:val="19"/>
                <w:color w:val="auto"/>
              </w:rPr>
            </w:pP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rPr>
              <w:t>101.CAL*</w:t>
            </w:r>
          </w:p>
        </w:tc>
        <w:tc>
          <w:tcPr>
            <w:tcW w:w="87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rPr>
              <w:t>101.SCH*</w:t>
            </w:r>
          </w:p>
        </w:tc>
        <w:tc>
          <w:tcPr>
            <w:tcW w:w="870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rPr>
              <w:t>101.DEF*</w:t>
            </w:r>
          </w:p>
        </w:tc>
        <w:tc>
          <w:tcPr>
            <w:tcW w:w="87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rPr>
              <w:t>101.LAB*</w:t>
            </w:r>
          </w:p>
        </w:tc>
        <w:tc>
          <w:tcPr>
            <w:tcW w:w="8700" w:type="dxa"/>
            <w:vAlign w:val="bottom"/>
            <w:gridSpan w:val="8"/>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1220" w:type="dxa"/>
            <w:vAlign w:val="bottom"/>
            <w:gridSpan w:val="4"/>
          </w:tcPr>
          <w:p>
            <w:pPr>
              <w:spacing w:after="0"/>
              <w:rPr>
                <w:sz w:val="20"/>
                <w:szCs w:val="20"/>
                <w:color w:val="auto"/>
              </w:rPr>
            </w:pPr>
            <w:r>
              <w:rPr>
                <w:rFonts w:ascii="Arial" w:cs="Arial" w:eastAsia="Arial" w:hAnsi="Arial"/>
                <w:sz w:val="18"/>
                <w:szCs w:val="18"/>
                <w:color w:val="auto"/>
              </w:rPr>
              <w:t>101.PRE*</w:t>
            </w:r>
          </w:p>
        </w:tc>
        <w:tc>
          <w:tcPr>
            <w:tcW w:w="87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ind w:left="1200" w:hanging="1192"/>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included as Exhibit 101)</w:t>
      </w:r>
    </w:p>
    <w:p>
      <w:pPr>
        <w:spacing w:after="0" w:line="210" w:lineRule="exact"/>
        <w:rPr>
          <w:rFonts w:ascii="Arial" w:cs="Arial" w:eastAsia="Arial" w:hAnsi="Arial"/>
          <w:sz w:val="18"/>
          <w:szCs w:val="18"/>
          <w:color w:val="auto"/>
        </w:rPr>
      </w:pPr>
    </w:p>
    <w:p>
      <w:pPr>
        <w:ind w:right="8740"/>
        <w:spacing w:after="0" w:line="573" w:lineRule="auto"/>
        <w:rPr>
          <w:rFonts w:ascii="Arial" w:cs="Arial" w:eastAsia="Arial" w:hAnsi="Arial"/>
          <w:sz w:val="18"/>
          <w:szCs w:val="18"/>
          <w:color w:val="auto"/>
        </w:rPr>
      </w:pPr>
      <w:r>
        <w:rPr>
          <w:rFonts w:ascii="Arial" w:cs="Arial" w:eastAsia="Arial" w:hAnsi="Arial"/>
          <w:sz w:val="17"/>
          <w:szCs w:val="17"/>
          <w:color w:val="auto"/>
        </w:rPr>
        <w:t>*Filed herewith. **Furnished.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6700" w:type="dxa"/>
            <w:vAlign w:val="bottom"/>
            <w:gridSpan w:val="2"/>
          </w:tcPr>
          <w:p>
            <w:pPr>
              <w:ind w:left="1760"/>
              <w:spacing w:after="0"/>
              <w:rPr>
                <w:sz w:val="20"/>
                <w:szCs w:val="20"/>
                <w:color w:val="auto"/>
              </w:rPr>
            </w:pPr>
            <w:r>
              <w:rPr>
                <w:rFonts w:ascii="Arial" w:cs="Arial" w:eastAsia="Arial" w:hAnsi="Arial"/>
                <w:sz w:val="18"/>
                <w:szCs w:val="18"/>
                <w:b w:val="1"/>
                <w:bCs w:val="1"/>
                <w:color w:val="auto"/>
              </w:rPr>
              <w:t>Chardan NexTech Acquisition 2 Corp</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Date: May 16, 2022</w:t>
            </w:r>
          </w:p>
        </w:tc>
        <w:tc>
          <w:tcPr>
            <w:tcW w:w="6700" w:type="dxa"/>
            <w:vAlign w:val="bottom"/>
            <w:gridSpan w:val="2"/>
          </w:tcPr>
          <w:p>
            <w:pPr>
              <w:ind w:left="1760"/>
              <w:spacing w:after="0"/>
              <w:rPr>
                <w:sz w:val="20"/>
                <w:szCs w:val="20"/>
                <w:color w:val="auto"/>
              </w:rPr>
            </w:pPr>
            <w:r>
              <w:rPr>
                <w:rFonts w:ascii="Arial" w:cs="Arial" w:eastAsia="Arial" w:hAnsi="Arial"/>
                <w:sz w:val="18"/>
                <w:szCs w:val="18"/>
                <w:color w:val="auto"/>
              </w:rPr>
              <w:t>By: /s/ Jonas Grossman</w:t>
            </w:r>
          </w:p>
        </w:tc>
      </w:tr>
      <w:tr>
        <w:trPr>
          <w:trHeight w:val="195"/>
        </w:trPr>
        <w:tc>
          <w:tcPr>
            <w:tcW w:w="3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Jonas Grossman</w:t>
            </w: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President, Secretary, Treasurer and Director</w:t>
            </w:r>
          </w:p>
        </w:tc>
      </w:tr>
      <w:tr>
        <w:trPr>
          <w:trHeight w:val="230"/>
        </w:trPr>
        <w:tc>
          <w:tcPr>
            <w:tcW w:w="3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6700" w:type="dxa"/>
            <w:vAlign w:val="bottom"/>
            <w:gridSpan w:val="2"/>
          </w:tcPr>
          <w:p>
            <w:pPr>
              <w:ind w:left="1760"/>
              <w:spacing w:after="0"/>
              <w:rPr>
                <w:sz w:val="20"/>
                <w:szCs w:val="20"/>
                <w:color w:val="auto"/>
              </w:rPr>
            </w:pPr>
            <w:r>
              <w:rPr>
                <w:rFonts w:ascii="Arial" w:cs="Arial" w:eastAsia="Arial" w:hAnsi="Arial"/>
                <w:sz w:val="18"/>
                <w:szCs w:val="18"/>
                <w:b w:val="1"/>
                <w:bCs w:val="1"/>
                <w:color w:val="auto"/>
              </w:rPr>
              <w:t>Chardan NexTech Acquisition 2 Corp</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Date: May 16, 2022</w:t>
            </w:r>
          </w:p>
        </w:tc>
        <w:tc>
          <w:tcPr>
            <w:tcW w:w="6700" w:type="dxa"/>
            <w:vAlign w:val="bottom"/>
            <w:gridSpan w:val="2"/>
          </w:tcPr>
          <w:p>
            <w:pPr>
              <w:ind w:left="1760"/>
              <w:spacing w:after="0"/>
              <w:rPr>
                <w:sz w:val="20"/>
                <w:szCs w:val="20"/>
                <w:color w:val="auto"/>
              </w:rPr>
            </w:pPr>
            <w:r>
              <w:rPr>
                <w:rFonts w:ascii="Arial" w:cs="Arial" w:eastAsia="Arial" w:hAnsi="Arial"/>
                <w:sz w:val="18"/>
                <w:szCs w:val="18"/>
                <w:color w:val="auto"/>
              </w:rPr>
              <w:t>By: /s/ Alex Weil</w:t>
            </w:r>
          </w:p>
        </w:tc>
      </w:tr>
      <w:tr>
        <w:trPr>
          <w:trHeight w:val="195"/>
        </w:trPr>
        <w:tc>
          <w:tcPr>
            <w:tcW w:w="3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Alex Weil</w:t>
            </w: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Jonas Grossman, certify that:</w:t>
      </w:r>
    </w:p>
    <w:p>
      <w:pPr>
        <w:spacing w:after="0" w:line="225"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Chardan NexTech Acquisition 2 Corp;</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firstLine="8"/>
        <w:spacing w:after="0" w:line="277" w:lineRule="auto"/>
        <w:tabs>
          <w:tab w:leader="none" w:pos="18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3" w:lineRule="auto"/>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895" w:val="left"/>
        </w:tabs>
        <w:numPr>
          <w:ilvl w:val="1"/>
          <w:numId w:val="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65" w:lineRule="exact"/>
        <w:rPr>
          <w:rFonts w:ascii="Arial" w:cs="Arial" w:eastAsia="Arial" w:hAnsi="Arial"/>
          <w:sz w:val="17"/>
          <w:szCs w:val="17"/>
          <w:color w:val="auto"/>
        </w:rPr>
      </w:pPr>
    </w:p>
    <w:p>
      <w:pPr>
        <w:jc w:val="both"/>
        <w:ind w:left="660" w:hanging="4"/>
        <w:spacing w:after="0" w:line="263" w:lineRule="auto"/>
        <w:tabs>
          <w:tab w:leader="none" w:pos="85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886" w:val="left"/>
        </w:tabs>
        <w:numPr>
          <w:ilvl w:val="1"/>
          <w:numId w:val="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firstLine="8"/>
        <w:spacing w:after="0" w:line="263" w:lineRule="auto"/>
        <w:tabs>
          <w:tab w:leader="none" w:pos="18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4"/>
        <w:spacing w:after="0" w:line="277" w:lineRule="auto"/>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16, 2022</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5715</wp:posOffset>
            </wp:positionV>
            <wp:extent cx="23399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ind w:left="6240"/>
        <w:spacing w:after="0"/>
        <w:rPr>
          <w:sz w:val="20"/>
          <w:szCs w:val="20"/>
          <w:color w:val="auto"/>
        </w:rPr>
      </w:pPr>
      <w:r>
        <w:rPr>
          <w:rFonts w:ascii="Arial" w:cs="Arial" w:eastAsia="Arial" w:hAnsi="Arial"/>
          <w:sz w:val="18"/>
          <w:szCs w:val="18"/>
          <w:color w:val="auto"/>
        </w:rPr>
        <w:t>Jonas Grossman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Chief Executive Officer, President,</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Secretary, Treasurer and Director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Alex Weil, certify that:</w:t>
      </w:r>
    </w:p>
    <w:p>
      <w:pPr>
        <w:spacing w:after="0" w:line="22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Chardan NexTech Acquisition 2 Corp;</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firstLine="8"/>
        <w:spacing w:after="0" w:line="277" w:lineRule="auto"/>
        <w:tabs>
          <w:tab w:leader="none" w:pos="18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3" w:lineRule="auto"/>
        <w:tabs>
          <w:tab w:leader="none" w:pos="8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895"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65" w:lineRule="exact"/>
        <w:rPr>
          <w:rFonts w:ascii="Arial" w:cs="Arial" w:eastAsia="Arial" w:hAnsi="Arial"/>
          <w:sz w:val="17"/>
          <w:szCs w:val="17"/>
          <w:color w:val="auto"/>
        </w:rPr>
      </w:pPr>
    </w:p>
    <w:p>
      <w:pPr>
        <w:jc w:val="both"/>
        <w:ind w:left="660" w:hanging="4"/>
        <w:spacing w:after="0" w:line="263" w:lineRule="auto"/>
        <w:tabs>
          <w:tab w:leader="none" w:pos="85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886" w:val="left"/>
        </w:tabs>
        <w:numPr>
          <w:ilvl w:val="1"/>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firstLine="8"/>
        <w:spacing w:after="0" w:line="263" w:lineRule="auto"/>
        <w:tabs>
          <w:tab w:leader="none" w:pos="18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6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4"/>
        <w:spacing w:after="0" w:line="277" w:lineRule="auto"/>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16, 2022</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5715</wp:posOffset>
            </wp:positionV>
            <wp:extent cx="23399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ind w:left="6240"/>
        <w:spacing w:after="0"/>
        <w:rPr>
          <w:sz w:val="20"/>
          <w:szCs w:val="20"/>
          <w:color w:val="auto"/>
        </w:rPr>
      </w:pPr>
      <w:r>
        <w:rPr>
          <w:rFonts w:ascii="Arial" w:cs="Arial" w:eastAsia="Arial" w:hAnsi="Arial"/>
          <w:sz w:val="18"/>
          <w:szCs w:val="18"/>
          <w:color w:val="auto"/>
        </w:rPr>
        <w:t>Alex Weil</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Chardan NexTech Acquisition 2 Corp (the “Company”) on Form 10-Q for the quarterly period ended March 31, 2022, as filed with the Securities and Exchange Commission (the “Report”), I, Jonas Grossman, Chief Executive Officer of the Company, certify, pursuant to 18 U.S.C. §1350, as added by §906 of the Sarbanes-Oxley Act of 2002, that:</w:t>
      </w:r>
    </w:p>
    <w:p>
      <w:pPr>
        <w:spacing w:after="0" w:line="165" w:lineRule="exact"/>
        <w:rPr>
          <w:sz w:val="20"/>
          <w:szCs w:val="20"/>
          <w:color w:val="auto"/>
        </w:rPr>
      </w:pPr>
    </w:p>
    <w:p>
      <w:pPr>
        <w:ind w:left="840" w:hanging="184"/>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hanging="4"/>
        <w:spacing w:after="0" w:line="277" w:lineRule="auto"/>
        <w:tabs>
          <w:tab w:leader="none" w:pos="8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16, 2022</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5715</wp:posOffset>
            </wp:positionV>
            <wp:extent cx="234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color w:val="auto"/>
        </w:rPr>
        <w:t>Jonas Grossman</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Chief Executive Officer, President,</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Secretary, Treasurer and Director</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Chardan NexTech Acquisition 2 Corp (the “Company”) on Form 10-Q for the quarterly period ended March 31, 2022, as filed with the Securities and Exchange Commission (the “Report”), I, Alex Weil, Chief Financial Officer of the Company, certify, pursuant to 18 U.S.C. §1350, as added by §906 of the Sarbanes-Oxley Act of 2002, that:</w:t>
      </w:r>
    </w:p>
    <w:p>
      <w:pPr>
        <w:spacing w:after="0" w:line="165" w:lineRule="exact"/>
        <w:rPr>
          <w:sz w:val="20"/>
          <w:szCs w:val="20"/>
          <w:color w:val="auto"/>
        </w:rPr>
      </w:pPr>
    </w:p>
    <w:p>
      <w:pPr>
        <w:ind w:left="840" w:hanging="184"/>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hanging="4"/>
        <w:spacing w:after="0" w:line="277" w:lineRule="auto"/>
        <w:tabs>
          <w:tab w:leader="none" w:pos="843"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16, 2022</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5715</wp:posOffset>
            </wp:positionV>
            <wp:extent cx="23399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ind w:left="6240"/>
        <w:spacing w:after="0"/>
        <w:rPr>
          <w:sz w:val="20"/>
          <w:szCs w:val="20"/>
          <w:color w:val="auto"/>
        </w:rPr>
      </w:pPr>
      <w:r>
        <w:rPr>
          <w:rFonts w:ascii="Arial" w:cs="Arial" w:eastAsia="Arial" w:hAnsi="Arial"/>
          <w:sz w:val="18"/>
          <w:szCs w:val="18"/>
          <w:color w:val="auto"/>
        </w:rPr>
        <w:t>Alex Weil</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1)"/>
      <w:numFmt w:val="decimal"/>
      <w:start w:val="10"/>
    </w:lvl>
  </w:abstractNum>
  <w:abstractNum w:abstractNumId="3">
    <w:nsid w:val="507ED7AB"/>
    <w:multiLevelType w:val="hybridMultilevel"/>
    <w:lvl w:ilvl="0">
      <w:lvlJc w:val="left"/>
      <w:lvlText w:val="%1"/>
      <w:numFmt w:val="decimal"/>
      <w:start w:val="104"/>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2022-05-16T17:24:10Z</dcterms:created>
  <dcterms:modified xsi:type="dcterms:W3CDTF">2022-05-16T17:24:10Z</dcterms:modified>
</cp:coreProperties>
</file>