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26145B 106</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Nicole Harvey</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 Dragonfly Energy Holdings Corp.</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1190 Trademark Dr. #108</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Reno, Nevada 89521</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Telephone: (775) 622-3448</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October 7, 2022</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right="38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4"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2" w:lineRule="exact"/>
        <w:rPr>
          <w:sz w:val="24"/>
          <w:szCs w:val="24"/>
          <w:color w:val="auto"/>
        </w:rPr>
      </w:pPr>
    </w:p>
    <w:p>
      <w:pPr>
        <w:ind w:left="460" w:right="240" w:hanging="452"/>
        <w:spacing w:after="0" w:line="282"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 w:name="page2"/>
    <w:bookmarkEnd w:id="1"/>
    <w:p>
      <w:pPr>
        <w:ind w:right="18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66262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r>
    </w:p>
    <w:p>
      <w:pPr>
        <w:spacing w:after="0" w:line="223" w:lineRule="exact"/>
        <w:rPr>
          <w:sz w:val="20"/>
          <w:szCs w:val="20"/>
          <w:color w:val="auto"/>
        </w:rPr>
      </w:pPr>
    </w:p>
    <w:p>
      <w:pPr>
        <w:ind w:left="640" w:hanging="387"/>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Li Gong</w:t>
      </w:r>
    </w:p>
    <w:p>
      <w:pPr>
        <w:spacing w:after="0" w:line="131" w:lineRule="exact"/>
        <w:rPr>
          <w:sz w:val="20"/>
          <w:szCs w:val="20"/>
          <w:color w:val="auto"/>
        </w:rPr>
      </w:pPr>
    </w:p>
    <w:p>
      <w:pPr>
        <w:ind w:left="640" w:hanging="38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64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328" w:lineRule="exact"/>
        <w:rPr>
          <w:sz w:val="20"/>
          <w:szCs w:val="20"/>
          <w:color w:val="auto"/>
        </w:rPr>
      </w:pPr>
    </w:p>
    <w:p>
      <w:pPr>
        <w:ind w:left="640" w:hanging="38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7" w:lineRule="exact"/>
        <w:rPr>
          <w:sz w:val="20"/>
          <w:szCs w:val="20"/>
          <w:color w:val="auto"/>
        </w:rPr>
      </w:pPr>
    </w:p>
    <w:p>
      <w:pPr>
        <w:ind w:left="640" w:hanging="387"/>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PF</w:t>
      </w:r>
    </w:p>
    <w:p>
      <w:pPr>
        <w:spacing w:after="0" w:line="131" w:lineRule="exact"/>
        <w:rPr>
          <w:sz w:val="20"/>
          <w:szCs w:val="20"/>
          <w:color w:val="auto"/>
        </w:rPr>
      </w:pPr>
    </w:p>
    <w:p>
      <w:pPr>
        <w:ind w:left="640" w:hanging="387"/>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 2(d) or 2(e)</w:t>
      </w:r>
    </w:p>
    <w:p>
      <w:pPr>
        <w:spacing w:after="0" w:line="22" w:lineRule="exact"/>
        <w:rPr>
          <w:rFonts w:ascii="Times New Roman" w:cs="Times New Roman" w:eastAsia="Times New Roman" w:hAnsi="Times New Roman"/>
          <w:sz w:val="18"/>
          <w:szCs w:val="18"/>
          <w:color w:val="auto"/>
        </w:rPr>
      </w:pPr>
    </w:p>
    <w:p>
      <w:pPr>
        <w:ind w:left="6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44" w:lineRule="exact"/>
        <w:rPr>
          <w:sz w:val="20"/>
          <w:szCs w:val="20"/>
          <w:color w:val="auto"/>
        </w:rPr>
      </w:pPr>
    </w:p>
    <w:p>
      <w:pPr>
        <w:ind w:left="640" w:hanging="387"/>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130" w:lineRule="exact"/>
        <w:rPr>
          <w:rFonts w:ascii="Times New Roman" w:cs="Times New Roman" w:eastAsia="Times New Roman" w:hAnsi="Times New Roman"/>
          <w:sz w:val="18"/>
          <w:szCs w:val="18"/>
          <w:color w:val="auto"/>
        </w:rPr>
      </w:pPr>
    </w:p>
    <w:p>
      <w:pPr>
        <w:ind w:left="1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333"/>
        </w:trPr>
        <w:tc>
          <w:tcPr>
            <w:tcW w:w="15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709,253</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10"/>
        </w:trPr>
        <w:tc>
          <w:tcPr>
            <w:tcW w:w="15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NUMBER OF</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98"/>
        </w:trPr>
        <w:tc>
          <w:tcPr>
            <w:tcW w:w="1500" w:type="dxa"/>
            <w:vAlign w:val="bottom"/>
          </w:tcPr>
          <w:p>
            <w:pPr>
              <w:jc w:val="center"/>
              <w:ind w:right="130"/>
              <w:spacing w:after="0" w:line="198" w:lineRule="exact"/>
              <w:rPr>
                <w:sz w:val="20"/>
                <w:szCs w:val="20"/>
                <w:color w:val="auto"/>
              </w:rPr>
            </w:pPr>
            <w:r>
              <w:rPr>
                <w:rFonts w:ascii="Times New Roman" w:cs="Times New Roman" w:eastAsia="Times New Roman" w:hAnsi="Times New Roman"/>
                <w:sz w:val="18"/>
                <w:szCs w:val="18"/>
                <w:color w:val="auto"/>
                <w:w w:val="98"/>
              </w:rPr>
              <w:t>SHARES</w:t>
            </w:r>
          </w:p>
        </w:tc>
        <w:tc>
          <w:tcPr>
            <w:tcW w:w="500" w:type="dxa"/>
            <w:vAlign w:val="bottom"/>
          </w:tcPr>
          <w:p>
            <w:pPr>
              <w:spacing w:after="0"/>
              <w:rPr>
                <w:sz w:val="17"/>
                <w:szCs w:val="17"/>
                <w:color w:val="auto"/>
              </w:rPr>
            </w:pPr>
          </w:p>
        </w:tc>
        <w:tc>
          <w:tcPr>
            <w:tcW w:w="9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500" w:type="dxa"/>
            <w:vAlign w:val="bottom"/>
          </w:tcPr>
          <w:p>
            <w:pPr>
              <w:spacing w:after="0"/>
              <w:rPr>
                <w:sz w:val="20"/>
                <w:szCs w:val="20"/>
                <w:color w:val="auto"/>
              </w:rPr>
            </w:pP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2,364,180</w:t>
            </w:r>
          </w:p>
        </w:tc>
        <w:tc>
          <w:tcPr>
            <w:tcW w:w="0" w:type="dxa"/>
            <w:vAlign w:val="bottom"/>
          </w:tcPr>
          <w:p>
            <w:pPr>
              <w:spacing w:after="0"/>
              <w:rPr>
                <w:sz w:val="1"/>
                <w:szCs w:val="1"/>
                <w:color w:val="auto"/>
              </w:rPr>
            </w:pPr>
          </w:p>
        </w:tc>
      </w:tr>
      <w:tr>
        <w:trPr>
          <w:trHeight w:val="108"/>
        </w:trPr>
        <w:tc>
          <w:tcPr>
            <w:tcW w:w="1500" w:type="dxa"/>
            <w:vAlign w:val="bottom"/>
            <w:vMerge w:val="restart"/>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9"/>
              </w:rPr>
              <w:t>OWNED BY</w:t>
            </w:r>
          </w:p>
        </w:tc>
        <w:tc>
          <w:tcPr>
            <w:tcW w:w="500" w:type="dxa"/>
            <w:vAlign w:val="bottom"/>
            <w:tcBorders>
              <w:bottom w:val="single" w:sz="8" w:color="auto"/>
            </w:tcBorders>
          </w:tcPr>
          <w:p>
            <w:pPr>
              <w:spacing w:after="0"/>
              <w:rPr>
                <w:sz w:val="9"/>
                <w:szCs w:val="9"/>
                <w:color w:val="auto"/>
              </w:rPr>
            </w:pPr>
          </w:p>
        </w:tc>
        <w:tc>
          <w:tcPr>
            <w:tcW w:w="9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500" w:type="dxa"/>
            <w:vAlign w:val="bottom"/>
            <w:vMerge w:val="continue"/>
          </w:tcPr>
          <w:p>
            <w:pPr>
              <w:spacing w:after="0"/>
              <w:rPr>
                <w:sz w:val="6"/>
                <w:szCs w:val="6"/>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90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EACH</w:t>
            </w:r>
          </w:p>
        </w:tc>
        <w:tc>
          <w:tcPr>
            <w:tcW w:w="500" w:type="dxa"/>
            <w:vAlign w:val="bottom"/>
            <w:vMerge w:val="continue"/>
          </w:tcPr>
          <w:p>
            <w:pPr>
              <w:spacing w:after="0"/>
              <w:rPr>
                <w:sz w:val="18"/>
                <w:szCs w:val="18"/>
                <w:color w:val="auto"/>
              </w:rPr>
            </w:pPr>
          </w:p>
        </w:tc>
        <w:tc>
          <w:tcPr>
            <w:tcW w:w="9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REPORTING</w:t>
            </w:r>
          </w:p>
        </w:tc>
        <w:tc>
          <w:tcPr>
            <w:tcW w:w="500" w:type="dxa"/>
            <w:vAlign w:val="bottom"/>
          </w:tcPr>
          <w:p>
            <w:pPr>
              <w:spacing w:after="0"/>
              <w:rPr>
                <w:sz w:val="18"/>
                <w:szCs w:val="18"/>
                <w:color w:val="auto"/>
              </w:rPr>
            </w:pPr>
          </w:p>
        </w:tc>
        <w:tc>
          <w:tcPr>
            <w:tcW w:w="90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709,253</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88"/>
        </w:trPr>
        <w:tc>
          <w:tcPr>
            <w:tcW w:w="15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PERSON WITH</w:t>
            </w:r>
          </w:p>
        </w:tc>
        <w:tc>
          <w:tcPr>
            <w:tcW w:w="50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2,364,180</w:t>
      </w:r>
    </w:p>
    <w:p>
      <w:pPr>
        <w:spacing w:after="0" w:line="131" w:lineRule="exact"/>
        <w:rPr>
          <w:sz w:val="20"/>
          <w:szCs w:val="20"/>
          <w:color w:val="auto"/>
        </w:rPr>
      </w:pPr>
    </w:p>
    <w:p>
      <w:pPr>
        <w:ind w:left="640" w:right="4040" w:hanging="428"/>
        <w:spacing w:after="0" w:line="446" w:lineRule="auto"/>
        <w:tabs>
          <w:tab w:leader="none" w:pos="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3,073,433</w:t>
      </w:r>
    </w:p>
    <w:p>
      <w:pPr>
        <w:ind w:left="640" w:hanging="432"/>
        <w:spacing w:after="0"/>
        <w:tabs>
          <w:tab w:leader="none" w:pos="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w:t>
      </w:r>
    </w:p>
    <w:p>
      <w:pPr>
        <w:spacing w:after="0" w:line="196" w:lineRule="exact"/>
        <w:rPr>
          <w:rFonts w:ascii="Times New Roman" w:cs="Times New Roman" w:eastAsia="Times New Roman" w:hAnsi="Times New Roman"/>
          <w:sz w:val="18"/>
          <w:szCs w:val="18"/>
          <w:color w:val="auto"/>
        </w:rPr>
      </w:pPr>
    </w:p>
    <w:p>
      <w:pPr>
        <w:ind w:left="6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86" w:lineRule="exact"/>
        <w:rPr>
          <w:rFonts w:ascii="Times New Roman" w:cs="Times New Roman" w:eastAsia="Times New Roman" w:hAnsi="Times New Roman"/>
          <w:sz w:val="18"/>
          <w:szCs w:val="18"/>
          <w:color w:val="auto"/>
        </w:rPr>
      </w:pPr>
    </w:p>
    <w:p>
      <w:pPr>
        <w:ind w:left="640" w:hanging="432"/>
        <w:spacing w:after="0"/>
        <w:tabs>
          <w:tab w:leader="none" w:pos="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6.85%</w:t>
      </w:r>
    </w:p>
    <w:p>
      <w:pPr>
        <w:spacing w:after="0" w:line="130" w:lineRule="exact"/>
        <w:rPr>
          <w:rFonts w:ascii="Times New Roman" w:cs="Times New Roman" w:eastAsia="Times New Roman" w:hAnsi="Times New Roman"/>
          <w:sz w:val="18"/>
          <w:szCs w:val="18"/>
          <w:color w:val="auto"/>
        </w:rPr>
      </w:pPr>
    </w:p>
    <w:p>
      <w:pPr>
        <w:ind w:left="640" w:right="8100" w:hanging="432"/>
        <w:spacing w:after="0" w:line="532" w:lineRule="auto"/>
        <w:tabs>
          <w:tab w:leader="none" w:pos="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w:t>
      </w:r>
    </w:p>
    <w:p>
      <w:pPr>
        <w:spacing w:after="0" w:line="12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132,985 options granted to the Reporting Person (as defined below) that will vest more than 60 days from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Security and Issuer</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This Schedule 13D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relates to shares of common stock, par value $0.0001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Dragonfly Energy Holdings Corp., a Delaware corporation, formerly known as Chardan NexTech Acquisition 2 Corp.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principal executive offices of the Issuer are located at 1190 Trademark Dr. #108, Reno, Nevada 89521.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Identity and Background</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Schedule 13D is being filed by Li Gong (the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a citizen of the United States. The reporting person’s present principal occupation is consultant. The Reporting Person’s business address is 930 Tahoe Blvd. Suite 802, PMB 860, Incline Village, Nevada 89451.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last five years, the Reporting Person was not (i) convicted in a criminal proceeding (excluding traffic violations or similar misdemeanors) or</w:t>
      </w:r>
    </w:p>
    <w:p>
      <w:pPr>
        <w:spacing w:after="0" w:line="27" w:lineRule="exact"/>
        <w:rPr>
          <w:sz w:val="20"/>
          <w:szCs w:val="20"/>
          <w:color w:val="auto"/>
        </w:rPr>
      </w:pPr>
    </w:p>
    <w:p>
      <w:pPr>
        <w:ind w:firstLine="8"/>
        <w:spacing w:after="0" w:line="255" w:lineRule="auto"/>
        <w:tabs>
          <w:tab w:leader="none" w:pos="2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Source and Amount of Funds or Other Consideration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Initial Acquisition of Securities from Legacy Dragonfly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Reporting Person initially acquired shares of common stock, par value $0.0001 per share (the “</w:t>
      </w:r>
      <w:r>
        <w:rPr>
          <w:rFonts w:ascii="Times New Roman" w:cs="Times New Roman" w:eastAsia="Times New Roman" w:hAnsi="Times New Roman"/>
          <w:sz w:val="18"/>
          <w:szCs w:val="18"/>
          <w:u w:val="single" w:color="auto"/>
          <w:color w:val="auto"/>
        </w:rPr>
        <w:t>Legacy Dragonfly Common Stock</w:t>
      </w:r>
      <w:r>
        <w:rPr>
          <w:rFonts w:ascii="Times New Roman" w:cs="Times New Roman" w:eastAsia="Times New Roman" w:hAnsi="Times New Roman"/>
          <w:sz w:val="18"/>
          <w:szCs w:val="18"/>
          <w:color w:val="auto"/>
        </w:rPr>
        <w:t>”), of Dragonfly Energy Corp., a Nevada corporation (“</w:t>
      </w:r>
      <w:r>
        <w:rPr>
          <w:rFonts w:ascii="Times New Roman" w:cs="Times New Roman" w:eastAsia="Times New Roman" w:hAnsi="Times New Roman"/>
          <w:sz w:val="18"/>
          <w:szCs w:val="18"/>
          <w:u w:val="single" w:color="auto"/>
          <w:color w:val="auto"/>
        </w:rPr>
        <w:t>Legacy Dragonfly</w:t>
      </w:r>
      <w:r>
        <w:rPr>
          <w:rFonts w:ascii="Times New Roman" w:cs="Times New Roman" w:eastAsia="Times New Roman" w:hAnsi="Times New Roman"/>
          <w:sz w:val="18"/>
          <w:szCs w:val="18"/>
          <w:color w:val="auto"/>
        </w:rPr>
        <w:t>”), for aggregate consideration of approximately $500, in 2016. These shares were purchased using available cash of the Reporting Person.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 of Securities in SPAC Transaction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Chardan NexTech Acquisition 2 Corp. (“</w:t>
      </w:r>
      <w:r>
        <w:rPr>
          <w:rFonts w:ascii="Times New Roman" w:cs="Times New Roman" w:eastAsia="Times New Roman" w:hAnsi="Times New Roman"/>
          <w:sz w:val="18"/>
          <w:szCs w:val="18"/>
          <w:u w:val="single" w:color="auto"/>
          <w:color w:val="auto"/>
        </w:rPr>
        <w:t>Chardan</w:t>
      </w:r>
      <w:r>
        <w:rPr>
          <w:rFonts w:ascii="Times New Roman" w:cs="Times New Roman" w:eastAsia="Times New Roman" w:hAnsi="Times New Roman"/>
          <w:sz w:val="18"/>
          <w:szCs w:val="18"/>
          <w:color w:val="auto"/>
        </w:rPr>
        <w:t>”), Legacy Dragonfly, and Bronco Merger Sub, Inc.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entered into that certain Business Combination Agreement, dated May 15, 2022, and as amended by the Amendment to the Business Combination Agreement, dated July 12, 2022 (as so amended,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pursuant to which Merger Sub merged with and into Legacy Dragonfly effective October 7, 2022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Legacy Dragonfly continuing as the surviving corporation in the Merger and a wholly owned subsidiary of Chardan upon the closing of the transactions contemplated therein. In connection with the closing of the Merger on October 7, 2022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Chardan filed a Third Amended and Restated Certificate of Incorporation with the Delaware Secretary of State pursuant to which, among other things, the name of Chardan was changed to Dragonfly Energy Holdings Corp.</w:t>
      </w:r>
    </w:p>
    <w:p>
      <w:pPr>
        <w:spacing w:after="0" w:line="18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At the Closing, by virtue of the Merger and without any action on the part of Chardan, Merger Sub, Legacy Dragonfly or the holders of any of the following securities:</w:t>
      </w:r>
    </w:p>
    <w:p>
      <w:pPr>
        <w:spacing w:after="0" w:line="162" w:lineRule="exact"/>
        <w:rPr>
          <w:sz w:val="20"/>
          <w:szCs w:val="20"/>
          <w:color w:val="auto"/>
        </w:rPr>
      </w:pPr>
    </w:p>
    <w:p>
      <w:pPr>
        <w:ind w:left="980" w:right="40" w:hanging="324"/>
        <w:spacing w:after="0" w:line="26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Legacy Dragonfly Common Stock converted into (i) a certain number of shares of Common Stock, totaling 41,500,000 shares (including the conversion and assumption of the options to purchase shares of Legacy Dragonfly Common Stock described below), which is equal to (x) $415,000,000 divided by (y) $10.00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and (ii) the contingent right to receive Earnout Shares (as defined below) (which may be zero) following the Closing.</w:t>
      </w:r>
    </w:p>
    <w:p>
      <w:pPr>
        <w:spacing w:after="0" w:line="179" w:lineRule="exact"/>
        <w:rPr>
          <w:rFonts w:ascii="Times New Roman" w:cs="Times New Roman" w:eastAsia="Times New Roman" w:hAnsi="Times New Roman"/>
          <w:sz w:val="18"/>
          <w:szCs w:val="18"/>
          <w:color w:val="auto"/>
        </w:rPr>
      </w:pPr>
    </w:p>
    <w:p>
      <w:pPr>
        <w:ind w:left="980" w:hanging="324"/>
        <w:spacing w:after="0" w:line="255"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purchase shares of Legacy Dragonfly Common Stock, was assumed and converted into an option to acquire shares of Common Stock. The portion of the Merger Consideration reflecting the conversion of the Legacy Dragonfly options was calculated assuming that all the Issuer’s options are net-settled. With respect to the Issuer’s options received in respect of Legacy Dragonfly options that are outstanding immediately prior to the Closing and cash exercised after the Closing, up to 627,498 additional shares of the Common Stock may be issued. At the Closing, approximately 38,576,648 shares of the Merger Consideration was allocated to holders of outstanding shares of Legacy Dragonfly Common Stock and 3,664,975 shares of the Merger Consideration was allocated to holders of the assumed Legacy Dragonfly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to the Merger Consideration set forth above, additional contingent shares (“</w:t>
      </w:r>
      <w:r>
        <w:rPr>
          <w:rFonts w:ascii="Times New Roman" w:cs="Times New Roman" w:eastAsia="Times New Roman" w:hAnsi="Times New Roman"/>
          <w:sz w:val="18"/>
          <w:szCs w:val="18"/>
          <w:u w:val="single" w:color="auto"/>
          <w:color w:val="auto"/>
        </w:rPr>
        <w:t>Earnout Shares</w:t>
      </w:r>
      <w:r>
        <w:rPr>
          <w:rFonts w:ascii="Times New Roman" w:cs="Times New Roman" w:eastAsia="Times New Roman" w:hAnsi="Times New Roman"/>
          <w:sz w:val="18"/>
          <w:szCs w:val="18"/>
          <w:color w:val="auto"/>
        </w:rPr>
        <w:t>”) may be payable to each holder of shares of Legacy Dragonfly Common Stock in the Merger, subject to achieving specified milestones, up to an aggregate of 40,000,000 additional shares of the Common Stock in three tranches.</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first tranche of 15,000,000 shares is issuable if the Issuer’s 2023 total audited revenue is equal to or greater than $250 million and the Issuer’s 2023 audited operating income is equal to or greater than $35 million. The second tranche of 12,500,000 shares is issuable upon achieving a volume-weighted average trading price threshold of the Common Stock of at least $22.50 on or prior to December 31, 2026, and the third tranche of 12,500,000 shares is issuable upon achieving a volume-weighted average trading price threshold of the Common Stock of at least $32.50 on or prior to December 31, 2028. To the extent not previously earned, the second tranche is issuable if the $32.50 price target is achieved by December 31, 2028.</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Upon the consummation of a change of control transaction during either the second milestone earnout period or the third milestone earnout period, any earnout milestone with respect to such earnout period that has not yet been achieved shall automatically be deemed to have been achieved if a change of control transaction is announced with an imputed share price of the Common Stock of at least $22.50 on or prior to the second earnout period or $32.50 on prior to the third earnout period.</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Business Combination Agreement is not intended to be complete and is qualified in its entirety by reference to the full text of the Business Combination Agreement and the amendment thereto, copies of which are filed as Exhibits 99.1 and 99.3 hereto and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Items 3 and 6 of this Schedule 13D is hereby incorporated by reference into this Item 4.</w:t>
      </w:r>
    </w:p>
    <w:p>
      <w:pPr>
        <w:spacing w:after="0" w:line="22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Reporting Person acquired the securities reported herein for investment purposes. The Reporting Person intends to evaluate this investment in the Issuer and options with respect to such investment on an ongoing basis. The Reporting Person may acquire additional shares of Common Stock and/or other securities of the Issuer from time to time, and may dispose of any or all of such shares of Common Stock or other securities held or beneficially owned by the Reporting Person at any time, subject to the lock-up provisions set forth in the Amended and Restated Bylaws of the Issuer and the Registration Rights Agreement (as defined below). From time to time, the Reporting Person may engage in discussions with the Board and/or members of the Issuer’s management team concerning, without limitation, potential strategic alternatives, the business, operations, capital structure, governance, management, strategy of the Issuer and other matters concerning the Issuer.</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Reporting Person reserves the right to change its purpose and to formulate and implement plans or proposals with respect to the Issuer at any time and from time to time. Any such action may be made alone or in conjunction with other shareholders, potential acquirers, financing sources and/or other third parties and could include one or more purposes, plans or proposals that relate to or would result in actions required to be reported herein in accordance with Item 4 of Schedule 13D.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Interest in Securities of the Issuer</w:t>
      </w:r>
    </w:p>
    <w:p>
      <w:pPr>
        <w:spacing w:after="0" w:line="229" w:lineRule="exact"/>
        <w:rPr>
          <w:sz w:val="20"/>
          <w:szCs w:val="20"/>
          <w:color w:val="auto"/>
        </w:rPr>
      </w:pPr>
    </w:p>
    <w:p>
      <w:pPr>
        <w:ind w:left="460" w:hanging="452"/>
        <w:spacing w:after="0" w:line="272" w:lineRule="auto"/>
        <w:tabs>
          <w:tab w:leader="none" w:pos="4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Reporting Person indirectly owns 147,138 shares of Common Stock through the SAKURA GRAT, dated February 11, 2021, of which the Reporting Person is a trustee and 2,217,042 shares of Common Stock through the LML Family Trust, dated January 14, 2019, of which the Reporting Person is a trustee. The Reporting person has also been granted 576,268 options that have vested or will vest within 60 days of this filing and</w:t>
      </w:r>
    </w:p>
    <w:p>
      <w:pPr>
        <w:spacing w:after="0" w:line="1" w:lineRule="exact"/>
        <w:rPr>
          <w:rFonts w:ascii="Times New Roman" w:cs="Times New Roman" w:eastAsia="Times New Roman" w:hAnsi="Times New Roman"/>
          <w:sz w:val="17"/>
          <w:szCs w:val="17"/>
          <w:color w:val="auto"/>
        </w:rPr>
      </w:pPr>
    </w:p>
    <w:p>
      <w:pPr>
        <w:ind w:left="460" w:right="220"/>
        <w:spacing w:after="0" w:line="27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132,985 options granted to the Reporting Person that will vest more than 60 days from the date of this filing. The Reporting Person’s holdings represent an aggregate of approximately 6.85% of the Issuer’s issued and outstanding shares of Common Stock (based on 44,848,686 shares of Common Stock outstanding as of October 7, 2022, as reported in the Issuer’s Current Report on Form 8-K filed with the SEC on October 7, 2022).</w:t>
      </w:r>
    </w:p>
    <w:p>
      <w:pPr>
        <w:spacing w:after="0" w:line="168" w:lineRule="exact"/>
        <w:rPr>
          <w:rFonts w:ascii="Times New Roman" w:cs="Times New Roman" w:eastAsia="Times New Roman" w:hAnsi="Times New Roman"/>
          <w:sz w:val="17"/>
          <w:szCs w:val="17"/>
          <w:color w:val="auto"/>
        </w:rPr>
      </w:pPr>
    </w:p>
    <w:p>
      <w:pPr>
        <w:ind w:left="460" w:right="800"/>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information set forth in Item 3 of this Schedule 13D regarding certain contingent rights to receive additional Common Stock is hereby incorporated by reference into this Item 5(a).</w:t>
      </w:r>
    </w:p>
    <w:p>
      <w:pPr>
        <w:spacing w:after="0" w:line="161" w:lineRule="exact"/>
        <w:rPr>
          <w:rFonts w:ascii="Times New Roman" w:cs="Times New Roman" w:eastAsia="Times New Roman" w:hAnsi="Times New Roman"/>
          <w:sz w:val="17"/>
          <w:szCs w:val="17"/>
          <w:color w:val="auto"/>
        </w:rPr>
      </w:pPr>
    </w:p>
    <w:p>
      <w:pPr>
        <w:ind w:left="460" w:right="300" w:hanging="452"/>
        <w:spacing w:after="0" w:line="282"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has the sole power to vote and dispose of 709,253 shares of Common Stock. The Reporting Person has the shared power to vote or dispose of 2,364,180 shares of Common Stock.</w:t>
      </w:r>
    </w:p>
    <w:p>
      <w:pPr>
        <w:spacing w:after="0" w:line="161" w:lineRule="exact"/>
        <w:rPr>
          <w:rFonts w:ascii="Times New Roman" w:cs="Times New Roman" w:eastAsia="Times New Roman" w:hAnsi="Times New Roman"/>
          <w:sz w:val="18"/>
          <w:szCs w:val="18"/>
          <w:color w:val="auto"/>
        </w:rPr>
      </w:pPr>
    </w:p>
    <w:p>
      <w:pPr>
        <w:ind w:left="460" w:right="220" w:hanging="452"/>
        <w:spacing w:after="0" w:line="282"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this Schedule 13D, there have been no transactions in the shares of Common Stock effected by the Reporting Person during the past sixty days.</w:t>
      </w:r>
    </w:p>
    <w:p>
      <w:pPr>
        <w:spacing w:after="0" w:line="16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Contracts, Arrangements, Understandings or Relationships with Respect to Securities of the Issuer</w:t>
      </w:r>
    </w:p>
    <w:p>
      <w:pPr>
        <w:spacing w:after="0" w:line="229"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Contemporaneously with the execution and delivery of the Business Combination Agreement, the Issuer and certain of the Legacy Dragonfly stockholders, including the Reporting Person, entered into the Registration Rights Agreement (the “</w:t>
      </w:r>
      <w:r>
        <w:rPr>
          <w:rFonts w:ascii="Times New Roman" w:cs="Times New Roman" w:eastAsia="Times New Roman" w:hAnsi="Times New Roman"/>
          <w:sz w:val="17"/>
          <w:szCs w:val="17"/>
          <w:u w:val="single" w:color="auto"/>
          <w:color w:val="auto"/>
        </w:rPr>
        <w:t>Registration Rights Agreement</w:t>
      </w:r>
      <w:r>
        <w:rPr>
          <w:rFonts w:ascii="Times New Roman" w:cs="Times New Roman" w:eastAsia="Times New Roman" w:hAnsi="Times New Roman"/>
          <w:sz w:val="17"/>
          <w:szCs w:val="17"/>
          <w:color w:val="auto"/>
        </w:rPr>
        <w:t>”), pursuant to which, among other things, (a) such stockholders agreed not to effect any sale or distribution of any shares held by any of them during the 180-day lock-up period, subject to</w:t>
      </w:r>
    </w:p>
    <w:p>
      <w:pPr>
        <w:spacing w:after="0" w:line="2" w:lineRule="exact"/>
        <w:rPr>
          <w:sz w:val="20"/>
          <w:szCs w:val="20"/>
          <w:color w:val="auto"/>
        </w:rPr>
      </w:pPr>
    </w:p>
    <w:p>
      <w:pPr>
        <w:ind w:firstLine="8"/>
        <w:spacing w:after="0" w:line="255" w:lineRule="auto"/>
        <w:tabs>
          <w:tab w:leader="none" w:pos="2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release upon certain corporate transactions and (ii) certain limited permitted transfers where the recipient takes the shares subject to the restrictions in the Registration Rights Agreement and (b) certain parties are provided the right to demand registrations, piggy-back registrations and shelf registrations with respect to certain registrable securities. The Reporting Person is a party to the Registration Rights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Reporting Person beneficially owns 709,253 options with a conversion price of $0.32 per option, which expire on May 13, 2032.</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Except as disclosed in this Schedule 13D, there are no contracts, arrangements, understandings or relationships (legal or otherwise) between the Reporting Person and any other person with respect to any securities of the Issuer.</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is not intended to be complete and is qualified in its entirety by reference to the full text of the Registration Rights Agreement, a copy of which is filed as Exhibit 99.3 hereto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u w:val="single" w:color="auto"/>
          <w:color w:val="auto"/>
        </w:rPr>
        <w:t>Materials to Be Filed as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Exhibit Number</w:t>
            </w:r>
          </w:p>
        </w:tc>
        <w:tc>
          <w:tcPr>
            <w:tcW w:w="968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414"/>
        </w:trPr>
        <w:tc>
          <w:tcPr>
            <w:tcW w:w="15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w w:val="95"/>
              </w:rPr>
              <w:t>99.1</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Agreement and Plan of Merger, dated as of May 15, 2022, by and among Chardan NexTech Acquisition 2 Corp., Bronco Merger</w:t>
            </w:r>
          </w:p>
        </w:tc>
      </w:tr>
      <w:tr>
        <w:trPr>
          <w:trHeight w:val="216"/>
        </w:trPr>
        <w:tc>
          <w:tcPr>
            <w:tcW w:w="1560" w:type="dxa"/>
            <w:vAlign w:val="bottom"/>
          </w:tcPr>
          <w:p>
            <w:pPr>
              <w:spacing w:after="0"/>
              <w:rPr>
                <w:sz w:val="18"/>
                <w:szCs w:val="18"/>
                <w:color w:val="auto"/>
              </w:rPr>
            </w:pP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 Inc. and Dragonfly Energy Corp. (filed as Exhibit 2.1 to the Issuer’s Current Report on Form 8-K filed with the SEC on</w:t>
            </w:r>
          </w:p>
        </w:tc>
      </w:tr>
      <w:tr>
        <w:trPr>
          <w:trHeight w:val="234"/>
        </w:trPr>
        <w:tc>
          <w:tcPr>
            <w:tcW w:w="1560" w:type="dxa"/>
            <w:vAlign w:val="bottom"/>
          </w:tcPr>
          <w:p>
            <w:pPr>
              <w:spacing w:after="0"/>
              <w:rPr>
                <w:sz w:val="20"/>
                <w:szCs w:val="20"/>
                <w:color w:val="auto"/>
              </w:rPr>
            </w:pP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16, 2022, and incorporated herein by reference).</w:t>
            </w:r>
          </w:p>
        </w:tc>
      </w:tr>
      <w:tr>
        <w:trPr>
          <w:trHeight w:val="414"/>
        </w:trPr>
        <w:tc>
          <w:tcPr>
            <w:tcW w:w="15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w w:val="95"/>
              </w:rPr>
              <w:t>99.2</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 to the Agreement and Plan of Merger, dated as of July 12, 2022, by and among Chardan NexTech Acquisition 2 Corp.,</w:t>
            </w:r>
          </w:p>
        </w:tc>
      </w:tr>
      <w:tr>
        <w:trPr>
          <w:trHeight w:val="216"/>
        </w:trPr>
        <w:tc>
          <w:tcPr>
            <w:tcW w:w="1560" w:type="dxa"/>
            <w:vAlign w:val="bottom"/>
          </w:tcPr>
          <w:p>
            <w:pPr>
              <w:spacing w:after="0"/>
              <w:rPr>
                <w:sz w:val="18"/>
                <w:szCs w:val="18"/>
                <w:color w:val="auto"/>
              </w:rPr>
            </w:pP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Bronco Merger Sub, Inc. and Dragonfly Energy Corp. (filed as Exhibit 2.1 to the Issuer’s Current Report on Form 8-K filed with the</w:t>
            </w:r>
          </w:p>
        </w:tc>
      </w:tr>
      <w:tr>
        <w:trPr>
          <w:trHeight w:val="234"/>
        </w:trPr>
        <w:tc>
          <w:tcPr>
            <w:tcW w:w="1560" w:type="dxa"/>
            <w:vAlign w:val="bottom"/>
          </w:tcPr>
          <w:p>
            <w:pPr>
              <w:spacing w:after="0"/>
              <w:rPr>
                <w:sz w:val="20"/>
                <w:szCs w:val="20"/>
                <w:color w:val="auto"/>
              </w:rPr>
            </w:pP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 on July 12, 2022, and incorporated herein by reference).</w:t>
            </w:r>
          </w:p>
        </w:tc>
      </w:tr>
      <w:tr>
        <w:trPr>
          <w:trHeight w:val="414"/>
        </w:trPr>
        <w:tc>
          <w:tcPr>
            <w:tcW w:w="15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w w:val="95"/>
              </w:rPr>
              <w:t>99.3</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of Amended and Restated Registration Rights Agreement (filed as Exhibit 2.1 to the Issuer’s Current Report on Form 8-K</w:t>
            </w:r>
          </w:p>
        </w:tc>
      </w:tr>
      <w:tr>
        <w:trPr>
          <w:trHeight w:val="234"/>
        </w:trPr>
        <w:tc>
          <w:tcPr>
            <w:tcW w:w="1560" w:type="dxa"/>
            <w:vAlign w:val="bottom"/>
          </w:tcPr>
          <w:p>
            <w:pPr>
              <w:spacing w:after="0"/>
              <w:rPr>
                <w:sz w:val="20"/>
                <w:szCs w:val="20"/>
                <w:color w:val="auto"/>
              </w:rPr>
            </w:pP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filed with the SEC on May 16, 2022, and incorporated herein by reference).</w:t>
            </w:r>
          </w:p>
        </w:tc>
      </w:tr>
      <w:tr>
        <w:trPr>
          <w:trHeight w:val="675"/>
        </w:trPr>
        <w:tc>
          <w:tcPr>
            <w:tcW w:w="1560" w:type="dxa"/>
            <w:vAlign w:val="bottom"/>
            <w:tcBorders>
              <w:bottom w:val="single" w:sz="8" w:color="auto"/>
            </w:tcBorders>
          </w:tcPr>
          <w:p>
            <w:pPr>
              <w:spacing w:after="0"/>
              <w:rPr>
                <w:sz w:val="24"/>
                <w:szCs w:val="24"/>
                <w:color w:val="auto"/>
              </w:rPr>
            </w:pPr>
          </w:p>
        </w:tc>
        <w:tc>
          <w:tcPr>
            <w:tcW w:w="9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11, 2022</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Li Gong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Li Gong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60"/>
      </w:cols>
      <w:pgMar w:left="320" w:top="90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5"/>
      <w:numFmt w:val="bullet"/>
      <w:start w:val="1"/>
    </w:lvl>
  </w:abstractNum>
  <w:abstractNum w:abstractNumId="6">
    <w:nsid w:val="4DB127F8"/>
    <w:multiLevelType w:val="hybridMultilevel"/>
    <w:lvl w:ilvl="0">
      <w:lvlJc w:val="left"/>
      <w:lvlText w:val="6"/>
      <w:numFmt w:val="bullet"/>
      <w:start w:val="1"/>
    </w:lvl>
  </w:abstractNum>
  <w:abstractNum w:abstractNumId="7">
    <w:nsid w:val="216231B"/>
    <w:multiLevelType w:val="hybridMultilevel"/>
    <w:lvl w:ilvl="0">
      <w:lvlJc w:val="left"/>
      <w:lvlText w:val="%1"/>
      <w:numFmt w:val="decimal"/>
      <w:start w:val="1"/>
    </w:lvl>
    <w:lvl w:ilvl="1">
      <w:lvlJc w:val="left"/>
      <w:lvlText w:val="%2"/>
      <w:numFmt w:val="decimal"/>
      <w:start w:val="11"/>
    </w:lvl>
  </w:abstractNum>
  <w:abstractNum w:abstractNumId="8">
    <w:nsid w:val="1F16E9E8"/>
    <w:multiLevelType w:val="hybridMultilevel"/>
    <w:lvl w:ilvl="0">
      <w:lvlJc w:val="left"/>
      <w:lvlText w:val="(%1)"/>
      <w:numFmt w:val="decimal"/>
      <w:start w:val="1"/>
    </w:lvl>
    <w:lvl w:ilvl="1">
      <w:lvlJc w:val="left"/>
      <w:lvlText w:val="%2"/>
      <w:numFmt w:val="decimal"/>
      <w:start w:val="1"/>
    </w:lvl>
  </w:abstractNum>
  <w:abstractNum w:abstractNumId="9">
    <w:nsid w:val="1190CDE7"/>
    <w:multiLevelType w:val="hybridMultilevel"/>
    <w:lvl w:ilvl="0">
      <w:lvlJc w:val="left"/>
      <w:lvlText w:val="(%1)"/>
      <w:numFmt w:val="lowerRoman"/>
      <w:start w:val="2"/>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2022-10-12T05:15:04Z</dcterms:created>
  <dcterms:modified xsi:type="dcterms:W3CDTF">2022-10-12T05:15:04Z</dcterms:modified>
</cp:coreProperties>
</file>