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08405"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8405" cy="82296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142875</wp:posOffset>
            </wp:positionV>
            <wp:extent cx="1346200"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620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Dragonfly Energy to Host Virtual Analyst &amp; Investor Day</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On August 5, 2022</w:t>
      </w:r>
    </w:p>
    <w:p>
      <w:pPr>
        <w:spacing w:after="0" w:line="19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RENO, NEVADA – (July 15,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Dragonfly Energy Corp</w:t>
      </w:r>
      <w:r>
        <w:rPr>
          <w:rFonts w:ascii="Times New Roman" w:cs="Times New Roman" w:eastAsia="Times New Roman" w:hAnsi="Times New Roman"/>
          <w:sz w:val="18"/>
          <w:szCs w:val="18"/>
          <w:color w:val="0000CC"/>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(“Dragonfly”), a leading manufacturer of deep cycle lithium-ion batteries, and Chardan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NexTech Acquisition 2 Corp. (“CNTQ”) (Nasdaq: CNTQ), a publicly-traded special purpose acquisition company, today announced Dragonfly will be hosting a Virtual Analyst &amp; Investor Day on Friday, August 5, 2022 at 11:00 am EDT.</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two-hour virtual event, members of the Dragonfly and CNTQ executive teams will provide an overview of the Company, whose cutting-edge technology is enabling the replacement of lead-acid batteries and the creation of next generation solid state batteries to address tomorrow’s energy storage needs. In addition, the formal presentation will be followed by a live question and answer session hosted by Dragonfly and CNTQ management.</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Registration is required for this virtual event. To register, please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The presentation materials, as well as a replay of the webcast, will be available following the event on the Investor page of the Dragonfly website at </w:t>
      </w:r>
      <w:r>
        <w:rPr>
          <w:rFonts w:ascii="Times New Roman" w:cs="Times New Roman" w:eastAsia="Times New Roman" w:hAnsi="Times New Roman"/>
          <w:sz w:val="18"/>
          <w:szCs w:val="18"/>
          <w:u w:val="single" w:color="auto"/>
          <w:color w:val="auto"/>
        </w:rPr>
        <w:t>www.dragonfly.com/investors/</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2022, CNTQ entered into a merger agreement with Dragonfly. The combined company is expected to be listed on the Nasdaq upon completion of the transaction, which is expected to occur in the second half of 2022, subject to approval by CNTQ’s shareholders, the Registration Statement being declared effective by the SEC, and other customary closing conditions.</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8"/>
          <w:szCs w:val="18"/>
          <w:u w:val="single" w:color="auto"/>
          <w:color w:val="auto"/>
        </w:rPr>
        <w:t>www.dragonflyenergy.com/investors</w:t>
      </w:r>
      <w:r>
        <w:rPr>
          <w:rFonts w:ascii="Times New Roman" w:cs="Times New Roman" w:eastAsia="Times New Roman" w:hAnsi="Times New Roman"/>
          <w:sz w:val="18"/>
          <w:szCs w:val="18"/>
          <w:color w:val="auto"/>
        </w:rPr>
        <w:t>.</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CNTQ, which is expected to result in Dragonfly becoming a public company listed on the Nasdaq Stock Exchange under the new ticker symbol “DFLI” in the second half of 2022, subject to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8"/>
          <w:szCs w:val="18"/>
          <w:u w:val="single" w:color="auto"/>
          <w:color w:val="auto"/>
        </w:rPr>
        <w:t>https://www.cnaq.com/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our failure to timely achieve the anticipated benefits of our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with the SEC (File No. 333-265713), as amended on July 11,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CNTQ and Dragonfly. CNTQ has filed a registration statement on Form S-4 with the SEC,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and security holders are able to obtain free copies of the registration statement, the proxy statement/prospectus and all other relevant documents filed or that will be filed with the SEC by CNTQ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2022-07-15T07:02:34Z</dcterms:created>
  <dcterms:modified xsi:type="dcterms:W3CDTF">2022-07-15T07:02:34Z</dcterms:modified>
</cp:coreProperties>
</file>