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269875</wp:posOffset>
            </wp:positionV>
            <wp:extent cx="2134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Dragonfly Energy Holdings Corp.</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$0.0001</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26145B106</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2022</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8" w:lineRule="exact"/>
        <w:tabs>
          <w:tab w:leader="none" w:pos="83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40" w:type="dxa"/>
            <w:vAlign w:val="bottom"/>
            <w:tcBorders>
              <w:top w:val="single" w:sz="8" w:color="auto"/>
              <w:left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26145B106</w:t>
            </w:r>
          </w:p>
        </w:tc>
        <w:tc>
          <w:tcPr>
            <w:tcW w:w="6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spacing w:after="0"/>
              <w:rPr>
                <w:sz w:val="19"/>
                <w:szCs w:val="19"/>
                <w:color w:val="auto"/>
              </w:rPr>
            </w:pPr>
          </w:p>
        </w:tc>
        <w:tc>
          <w:tcPr>
            <w:tcW w:w="232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Page 2 of 7 Pages</w:t>
            </w: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gridSpan w:val="5"/>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tcPr>
          <w:p>
            <w:pPr>
              <w:jc w:val="center"/>
              <w:ind w:left="171"/>
              <w:spacing w:after="0" w:line="238" w:lineRule="exact"/>
              <w:rPr>
                <w:sz w:val="20"/>
                <w:szCs w:val="20"/>
                <w:color w:val="auto"/>
              </w:rPr>
            </w:pPr>
            <w:r>
              <w:rPr>
                <w:rFonts w:ascii="Times New Roman" w:cs="Times New Roman" w:eastAsia="Times New Roman" w:hAnsi="Times New Roman"/>
                <w:sz w:val="25"/>
                <w:szCs w:val="25"/>
                <w:b w:val="1"/>
                <w:bCs w:val="1"/>
                <w:color w:val="auto"/>
                <w:w w:val="95"/>
              </w:rPr>
              <w:t>1</w:t>
            </w:r>
          </w:p>
        </w:tc>
        <w:tc>
          <w:tcPr>
            <w:tcW w:w="300" w:type="dxa"/>
            <w:vAlign w:val="bottom"/>
            <w:tcBorders>
              <w:right w:val="single" w:sz="8" w:color="auto"/>
            </w:tcBorders>
          </w:tcPr>
          <w:p>
            <w:pPr>
              <w:spacing w:after="0"/>
              <w:rPr>
                <w:sz w:val="20"/>
                <w:szCs w:val="20"/>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tc>
        <w:tc>
          <w:tcPr>
            <w:tcW w:w="2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tcBorders>
          </w:tcPr>
          <w:p>
            <w:pPr>
              <w:jc w:val="center"/>
              <w:ind w:left="171"/>
              <w:spacing w:after="0" w:line="232" w:lineRule="exact"/>
              <w:rPr>
                <w:sz w:val="20"/>
                <w:szCs w:val="20"/>
                <w:color w:val="auto"/>
              </w:rPr>
            </w:pPr>
            <w:r>
              <w:rPr>
                <w:rFonts w:ascii="Times New Roman" w:cs="Times New Roman" w:eastAsia="Times New Roman" w:hAnsi="Times New Roman"/>
                <w:sz w:val="25"/>
                <w:szCs w:val="25"/>
                <w:b w:val="1"/>
                <w:bCs w:val="1"/>
                <w:color w:val="auto"/>
                <w:w w:val="95"/>
              </w:rPr>
              <w:t>2</w:t>
            </w:r>
          </w:p>
        </w:tc>
        <w:tc>
          <w:tcPr>
            <w:tcW w:w="300" w:type="dxa"/>
            <w:vAlign w:val="bottom"/>
            <w:tcBorders>
              <w:right w:val="single" w:sz="8" w:color="auto"/>
            </w:tcBorders>
          </w:tcPr>
          <w:p>
            <w:pPr>
              <w:spacing w:after="0"/>
              <w:rPr>
                <w:sz w:val="20"/>
                <w:szCs w:val="20"/>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20" w:type="dxa"/>
            <w:vAlign w:val="bottom"/>
            <w:tcBorders>
              <w:right w:val="single" w:sz="8" w:color="auto"/>
            </w:tcBorders>
          </w:tcPr>
          <w:p>
            <w:pPr>
              <w:jc w:val="right"/>
              <w:ind w:right="3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320" w:type="dxa"/>
            <w:vAlign w:val="bottom"/>
            <w:tcBorders>
              <w:right w:val="single" w:sz="8" w:color="auto"/>
            </w:tcBorders>
          </w:tcPr>
          <w:p>
            <w:pPr>
              <w:jc w:val="right"/>
              <w:ind w:right="3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5"/>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3</w:t>
            </w:r>
          </w:p>
        </w:tc>
        <w:tc>
          <w:tcPr>
            <w:tcW w:w="300" w:type="dxa"/>
            <w:vAlign w:val="bottom"/>
            <w:tcBorders>
              <w:right w:val="single" w:sz="8" w:color="auto"/>
            </w:tcBorders>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4</w:t>
            </w:r>
          </w:p>
        </w:tc>
        <w:tc>
          <w:tcPr>
            <w:tcW w:w="300" w:type="dxa"/>
            <w:vAlign w:val="bottom"/>
            <w:tcBorders>
              <w:right w:val="single" w:sz="8" w:color="auto"/>
            </w:tcBorders>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25"/>
                <w:szCs w:val="25"/>
                <w:b w:val="1"/>
                <w:bCs w:val="1"/>
                <w:color w:val="auto"/>
              </w:rPr>
              <w:t>5</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176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right w:val="single" w:sz="8" w:color="auto"/>
            </w:tcBorders>
            <w:vMerge w:val="restart"/>
          </w:tcPr>
          <w:p>
            <w:pPr>
              <w:jc w:val="right"/>
              <w:ind w:right="234"/>
              <w:spacing w:after="0" w:line="272" w:lineRule="exact"/>
              <w:rPr>
                <w:sz w:val="20"/>
                <w:szCs w:val="20"/>
                <w:color w:val="auto"/>
              </w:rPr>
            </w:pPr>
            <w:r>
              <w:rPr>
                <w:rFonts w:ascii="Times New Roman" w:cs="Times New Roman" w:eastAsia="Times New Roman" w:hAnsi="Times New Roman"/>
                <w:sz w:val="25"/>
                <w:szCs w:val="25"/>
                <w:b w:val="1"/>
                <w:bCs w:val="1"/>
                <w:color w:val="auto"/>
              </w:rPr>
              <w:t>6</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320" w:type="dxa"/>
            <w:vAlign w:val="bottom"/>
            <w:gridSpan w:val="2"/>
            <w:vMerge w:val="continue"/>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6320" w:type="dxa"/>
            <w:vAlign w:val="bottom"/>
            <w:gridSpan w:val="2"/>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6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right w:val="single" w:sz="8" w:color="auto"/>
            </w:tcBorders>
            <w:vMerge w:val="restart"/>
          </w:tcPr>
          <w:p>
            <w:pPr>
              <w:jc w:val="right"/>
              <w:ind w:right="234"/>
              <w:spacing w:after="0" w:line="286" w:lineRule="exact"/>
              <w:rPr>
                <w:sz w:val="20"/>
                <w:szCs w:val="20"/>
                <w:color w:val="auto"/>
              </w:rPr>
            </w:pPr>
            <w:r>
              <w:rPr>
                <w:rFonts w:ascii="Times New Roman" w:cs="Times New Roman" w:eastAsia="Times New Roman" w:hAnsi="Times New Roman"/>
                <w:sz w:val="25"/>
                <w:szCs w:val="25"/>
                <w:b w:val="1"/>
                <w:bCs w:val="1"/>
                <w:color w:val="auto"/>
              </w:rPr>
              <w:t>7</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EACH</w:t>
            </w:r>
          </w:p>
        </w:tc>
        <w:tc>
          <w:tcPr>
            <w:tcW w:w="18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320" w:type="dxa"/>
            <w:vAlign w:val="bottom"/>
            <w:gridSpan w:val="2"/>
            <w:vMerge w:val="continue"/>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right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5"/>
                <w:szCs w:val="25"/>
                <w:b w:val="1"/>
                <w:bCs w:val="1"/>
                <w:color w:val="auto"/>
              </w:rPr>
              <w:t>8</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right w:val="single" w:sz="8" w:color="auto"/>
            </w:tcBorders>
            <w:vMerge w:val="continue"/>
          </w:tcPr>
          <w:p>
            <w:pPr>
              <w:spacing w:after="0"/>
              <w:rPr>
                <w:sz w:val="19"/>
                <w:szCs w:val="19"/>
                <w:color w:val="auto"/>
              </w:rPr>
            </w:pPr>
          </w:p>
        </w:tc>
        <w:tc>
          <w:tcPr>
            <w:tcW w:w="6320" w:type="dxa"/>
            <w:vAlign w:val="bottom"/>
            <w:gridSpan w:val="2"/>
            <w:vMerge w:val="continue"/>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6320" w:type="dxa"/>
            <w:vAlign w:val="bottom"/>
            <w:tcBorders>
              <w:bottom w:val="single" w:sz="8" w:color="auto"/>
            </w:tcBorders>
            <w:gridSpan w:val="2"/>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300" w:type="dxa"/>
            <w:vAlign w:val="bottom"/>
            <w:tcBorders>
              <w:right w:val="single" w:sz="8" w:color="auto"/>
            </w:tcBorders>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2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91"/>
              <w:spacing w:after="0"/>
              <w:rPr>
                <w:sz w:val="20"/>
                <w:szCs w:val="20"/>
                <w:color w:val="auto"/>
              </w:rPr>
            </w:pPr>
            <w:r>
              <w:rPr>
                <w:rFonts w:ascii="Times New Roman" w:cs="Times New Roman" w:eastAsia="Times New Roman" w:hAnsi="Times New Roman"/>
                <w:sz w:val="25"/>
                <w:szCs w:val="25"/>
                <w:b w:val="1"/>
                <w:bCs w:val="1"/>
                <w:color w:val="auto"/>
              </w:rPr>
              <w:t>10</w:t>
            </w:r>
          </w:p>
        </w:tc>
        <w:tc>
          <w:tcPr>
            <w:tcW w:w="300" w:type="dxa"/>
            <w:vAlign w:val="bottom"/>
            <w:tcBorders>
              <w:right w:val="single" w:sz="8" w:color="auto"/>
            </w:tcBorders>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2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2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300" w:type="dxa"/>
            <w:vAlign w:val="bottom"/>
            <w:tcBorders>
              <w:right w:val="single" w:sz="8" w:color="auto"/>
            </w:tcBorders>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2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91"/>
              <w:spacing w:after="0"/>
              <w:rPr>
                <w:sz w:val="20"/>
                <w:szCs w:val="20"/>
                <w:color w:val="auto"/>
              </w:rPr>
            </w:pPr>
            <w:r>
              <w:rPr>
                <w:rFonts w:ascii="Times New Roman" w:cs="Times New Roman" w:eastAsia="Times New Roman" w:hAnsi="Times New Roman"/>
                <w:sz w:val="25"/>
                <w:szCs w:val="25"/>
                <w:b w:val="1"/>
                <w:bCs w:val="1"/>
                <w:color w:val="auto"/>
              </w:rPr>
              <w:t>12</w:t>
            </w:r>
          </w:p>
        </w:tc>
        <w:tc>
          <w:tcPr>
            <w:tcW w:w="300" w:type="dxa"/>
            <w:vAlign w:val="bottom"/>
            <w:tcBorders>
              <w:right w:val="single" w:sz="8" w:color="auto"/>
            </w:tcBorders>
          </w:tcPr>
          <w:p>
            <w:pPr>
              <w:spacing w:after="0"/>
              <w:rPr>
                <w:sz w:val="24"/>
                <w:szCs w:val="24"/>
                <w:color w:val="auto"/>
              </w:rPr>
            </w:pPr>
          </w:p>
        </w:tc>
        <w:tc>
          <w:tcPr>
            <w:tcW w:w="8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Consist of warrants to acquire 675,000 shares of the Issuer’s common stock.</w:t>
      </w:r>
    </w:p>
    <w:p>
      <w:pPr>
        <w:spacing w:after="0" w:line="18" w:lineRule="exact"/>
        <w:rPr>
          <w:sz w:val="20"/>
          <w:szCs w:val="20"/>
          <w:color w:val="auto"/>
        </w:rPr>
      </w:pPr>
    </w:p>
    <w:p>
      <w:pPr>
        <w:jc w:val="both"/>
        <w:ind w:firstLine="8"/>
        <w:spacing w:after="0" w:line="234" w:lineRule="auto"/>
        <w:tabs>
          <w:tab w:leader="none" w:pos="283"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percentages used herein are calculated based on 43,272,728 shares of common stock outstanding as of November 14, 2022, as reported in the prospectus on Form 424(b)(3) filed by the Issuer on December 30, 2022, plus 675,000 shares underlying warrants which are beneficially owned by the reporting persons and included pursuant to Rule 13d-3(d)(1)(i)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960" w:type="dxa"/>
            <w:vAlign w:val="bottom"/>
            <w:tcBorders>
              <w:top w:val="single" w:sz="8" w:color="auto"/>
              <w:left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26145B106</w:t>
            </w:r>
          </w:p>
        </w:tc>
        <w:tc>
          <w:tcPr>
            <w:tcW w:w="6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230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Page 3 of 7 Pages</w:t>
            </w: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gridSpan w:val="5"/>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tcPr>
          <w:p>
            <w:pPr>
              <w:jc w:val="center"/>
              <w:ind w:left="171"/>
              <w:spacing w:after="0" w:line="238" w:lineRule="exact"/>
              <w:rPr>
                <w:sz w:val="20"/>
                <w:szCs w:val="20"/>
                <w:color w:val="auto"/>
              </w:rPr>
            </w:pPr>
            <w:r>
              <w:rPr>
                <w:rFonts w:ascii="Times New Roman" w:cs="Times New Roman" w:eastAsia="Times New Roman" w:hAnsi="Times New Roman"/>
                <w:sz w:val="25"/>
                <w:szCs w:val="25"/>
                <w:b w:val="1"/>
                <w:bCs w:val="1"/>
                <w:color w:val="auto"/>
                <w:w w:val="95"/>
              </w:rPr>
              <w:t>1</w:t>
            </w:r>
          </w:p>
        </w:tc>
        <w:tc>
          <w:tcPr>
            <w:tcW w:w="300" w:type="dxa"/>
            <w:vAlign w:val="bottom"/>
            <w:tcBorders>
              <w:right w:val="single" w:sz="8" w:color="auto"/>
            </w:tcBorders>
          </w:tcPr>
          <w:p>
            <w:pPr>
              <w:spacing w:after="0"/>
              <w:rPr>
                <w:sz w:val="20"/>
                <w:szCs w:val="20"/>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MM Asset Management Inc.</w:t>
            </w:r>
          </w:p>
        </w:tc>
        <w:tc>
          <w:tcPr>
            <w:tcW w:w="2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40" w:type="dxa"/>
            <w:vAlign w:val="bottom"/>
            <w:tcBorders>
              <w:bottom w:val="single" w:sz="8" w:color="auto"/>
            </w:tcBorders>
            <w:gridSpan w:val="5"/>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tcBorders>
          </w:tcPr>
          <w:p>
            <w:pPr>
              <w:jc w:val="center"/>
              <w:ind w:left="171"/>
              <w:spacing w:after="0" w:line="232" w:lineRule="exact"/>
              <w:rPr>
                <w:sz w:val="20"/>
                <w:szCs w:val="20"/>
                <w:color w:val="auto"/>
              </w:rPr>
            </w:pPr>
            <w:r>
              <w:rPr>
                <w:rFonts w:ascii="Times New Roman" w:cs="Times New Roman" w:eastAsia="Times New Roman" w:hAnsi="Times New Roman"/>
                <w:sz w:val="25"/>
                <w:szCs w:val="25"/>
                <w:b w:val="1"/>
                <w:bCs w:val="1"/>
                <w:color w:val="auto"/>
                <w:w w:val="95"/>
              </w:rPr>
              <w:t>2</w:t>
            </w:r>
          </w:p>
        </w:tc>
        <w:tc>
          <w:tcPr>
            <w:tcW w:w="300" w:type="dxa"/>
            <w:vAlign w:val="bottom"/>
            <w:tcBorders>
              <w:right w:val="single" w:sz="8" w:color="auto"/>
            </w:tcBorders>
          </w:tcPr>
          <w:p>
            <w:pPr>
              <w:spacing w:after="0"/>
              <w:rPr>
                <w:sz w:val="20"/>
                <w:szCs w:val="20"/>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00" w:type="dxa"/>
            <w:vAlign w:val="bottom"/>
            <w:tcBorders>
              <w:right w:val="single" w:sz="8" w:color="auto"/>
            </w:tcBorders>
          </w:tcPr>
          <w:p>
            <w:pPr>
              <w:jc w:val="right"/>
              <w:ind w:right="3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300" w:type="dxa"/>
            <w:vAlign w:val="bottom"/>
            <w:tcBorders>
              <w:right w:val="single" w:sz="8" w:color="auto"/>
            </w:tcBorders>
          </w:tcPr>
          <w:p>
            <w:pPr>
              <w:jc w:val="right"/>
              <w:ind w:right="3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5"/>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3</w:t>
            </w:r>
          </w:p>
        </w:tc>
        <w:tc>
          <w:tcPr>
            <w:tcW w:w="300" w:type="dxa"/>
            <w:vAlign w:val="bottom"/>
            <w:tcBorders>
              <w:right w:val="single" w:sz="8" w:color="auto"/>
            </w:tcBorders>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040" w:type="dxa"/>
            <w:vAlign w:val="bottom"/>
            <w:tcBorders>
              <w:bottom w:val="single" w:sz="8" w:color="auto"/>
            </w:tcBorders>
            <w:gridSpan w:val="5"/>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4</w:t>
            </w:r>
          </w:p>
        </w:tc>
        <w:tc>
          <w:tcPr>
            <w:tcW w:w="300" w:type="dxa"/>
            <w:vAlign w:val="bottom"/>
            <w:tcBorders>
              <w:right w:val="single" w:sz="8" w:color="auto"/>
            </w:tcBorders>
          </w:tcPr>
          <w:p>
            <w:pPr>
              <w:spacing w:after="0"/>
              <w:rPr>
                <w:sz w:val="24"/>
                <w:szCs w:val="24"/>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Ontario, Canada</w:t>
            </w:r>
          </w:p>
        </w:tc>
        <w:tc>
          <w:tcPr>
            <w:tcW w:w="2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right w:val="single" w:sz="8" w:color="auto"/>
            </w:tcBorders>
          </w:tcPr>
          <w:p>
            <w:pPr>
              <w:jc w:val="right"/>
              <w:ind w:right="234"/>
              <w:spacing w:after="0"/>
              <w:rPr>
                <w:sz w:val="20"/>
                <w:szCs w:val="20"/>
                <w:color w:val="auto"/>
              </w:rPr>
            </w:pPr>
            <w:r>
              <w:rPr>
                <w:rFonts w:ascii="Times New Roman" w:cs="Times New Roman" w:eastAsia="Times New Roman" w:hAnsi="Times New Roman"/>
                <w:sz w:val="25"/>
                <w:szCs w:val="25"/>
                <w:b w:val="1"/>
                <w:bCs w:val="1"/>
                <w:color w:val="auto"/>
              </w:rPr>
              <w:t>5</w:t>
            </w: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6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176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Borders>
              <w:right w:val="single" w:sz="8" w:color="auto"/>
            </w:tcBorders>
            <w:vMerge w:val="restart"/>
          </w:tcPr>
          <w:p>
            <w:pPr>
              <w:jc w:val="right"/>
              <w:ind w:right="234"/>
              <w:spacing w:after="0" w:line="272" w:lineRule="exact"/>
              <w:rPr>
                <w:sz w:val="20"/>
                <w:szCs w:val="20"/>
                <w:color w:val="auto"/>
              </w:rPr>
            </w:pPr>
            <w:r>
              <w:rPr>
                <w:rFonts w:ascii="Times New Roman" w:cs="Times New Roman" w:eastAsia="Times New Roman" w:hAnsi="Times New Roman"/>
                <w:sz w:val="25"/>
                <w:szCs w:val="25"/>
                <w:b w:val="1"/>
                <w:bCs w:val="1"/>
                <w:color w:val="auto"/>
              </w:rPr>
              <w:t>6</w:t>
            </w:r>
          </w:p>
        </w:tc>
        <w:tc>
          <w:tcPr>
            <w:tcW w:w="6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340" w:type="dxa"/>
            <w:vAlign w:val="bottom"/>
            <w:gridSpan w:val="2"/>
            <w:vMerge w:val="continue"/>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6340" w:type="dxa"/>
            <w:vAlign w:val="bottom"/>
            <w:gridSpan w:val="2"/>
            <w:vMerge w:val="continue"/>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76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vMerge w:val="restart"/>
          </w:tcPr>
          <w:p>
            <w:pPr>
              <w:jc w:val="right"/>
              <w:ind w:right="234"/>
              <w:spacing w:after="0" w:line="286" w:lineRule="exact"/>
              <w:rPr>
                <w:sz w:val="20"/>
                <w:szCs w:val="20"/>
                <w:color w:val="auto"/>
              </w:rPr>
            </w:pPr>
            <w:r>
              <w:rPr>
                <w:rFonts w:ascii="Times New Roman" w:cs="Times New Roman" w:eastAsia="Times New Roman" w:hAnsi="Times New Roman"/>
                <w:sz w:val="25"/>
                <w:szCs w:val="25"/>
                <w:b w:val="1"/>
                <w:bCs w:val="1"/>
                <w:color w:val="auto"/>
              </w:rPr>
              <w:t>7</w:t>
            </w:r>
          </w:p>
        </w:tc>
        <w:tc>
          <w:tcPr>
            <w:tcW w:w="6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340" w:type="dxa"/>
            <w:vAlign w:val="bottom"/>
            <w:gridSpan w:val="2"/>
            <w:vMerge w:val="continue"/>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6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6060" w:type="dxa"/>
            <w:vAlign w:val="bottom"/>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right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5"/>
                <w:szCs w:val="25"/>
                <w:b w:val="1"/>
                <w:bCs w:val="1"/>
                <w:color w:val="auto"/>
              </w:rPr>
              <w:t>8</w:t>
            </w:r>
          </w:p>
        </w:tc>
        <w:tc>
          <w:tcPr>
            <w:tcW w:w="6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6340" w:type="dxa"/>
            <w:vAlign w:val="bottom"/>
            <w:gridSpan w:val="2"/>
            <w:vMerge w:val="continue"/>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634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300" w:type="dxa"/>
            <w:vAlign w:val="bottom"/>
            <w:tcBorders>
              <w:right w:val="single" w:sz="8" w:color="auto"/>
            </w:tcBorders>
          </w:tcPr>
          <w:p>
            <w:pPr>
              <w:spacing w:after="0"/>
              <w:rPr>
                <w:sz w:val="24"/>
                <w:szCs w:val="24"/>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4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91"/>
              <w:spacing w:after="0"/>
              <w:rPr>
                <w:sz w:val="20"/>
                <w:szCs w:val="20"/>
                <w:color w:val="auto"/>
              </w:rPr>
            </w:pPr>
            <w:r>
              <w:rPr>
                <w:rFonts w:ascii="Times New Roman" w:cs="Times New Roman" w:eastAsia="Times New Roman" w:hAnsi="Times New Roman"/>
                <w:sz w:val="25"/>
                <w:szCs w:val="25"/>
                <w:b w:val="1"/>
                <w:bCs w:val="1"/>
                <w:color w:val="auto"/>
              </w:rPr>
              <w:t>10</w:t>
            </w:r>
          </w:p>
        </w:tc>
        <w:tc>
          <w:tcPr>
            <w:tcW w:w="300" w:type="dxa"/>
            <w:vAlign w:val="bottom"/>
            <w:tcBorders>
              <w:right w:val="single" w:sz="8" w:color="auto"/>
            </w:tcBorders>
          </w:tcPr>
          <w:p>
            <w:pPr>
              <w:spacing w:after="0"/>
              <w:rPr>
                <w:sz w:val="24"/>
                <w:szCs w:val="24"/>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0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4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71"/>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300" w:type="dxa"/>
            <w:vAlign w:val="bottom"/>
            <w:tcBorders>
              <w:right w:val="single" w:sz="8" w:color="auto"/>
            </w:tcBorders>
          </w:tcPr>
          <w:p>
            <w:pPr>
              <w:spacing w:after="0"/>
              <w:rPr>
                <w:sz w:val="24"/>
                <w:szCs w:val="24"/>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1.54%**</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634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00" w:type="dxa"/>
            <w:vAlign w:val="bottom"/>
            <w:tcBorders>
              <w:left w:val="single" w:sz="8" w:color="auto"/>
            </w:tcBorders>
          </w:tcPr>
          <w:p>
            <w:pPr>
              <w:jc w:val="center"/>
              <w:ind w:left="191"/>
              <w:spacing w:after="0"/>
              <w:rPr>
                <w:sz w:val="20"/>
                <w:szCs w:val="20"/>
                <w:color w:val="auto"/>
              </w:rPr>
            </w:pPr>
            <w:r>
              <w:rPr>
                <w:rFonts w:ascii="Times New Roman" w:cs="Times New Roman" w:eastAsia="Times New Roman" w:hAnsi="Times New Roman"/>
                <w:sz w:val="25"/>
                <w:szCs w:val="25"/>
                <w:b w:val="1"/>
                <w:bCs w:val="1"/>
                <w:color w:val="auto"/>
              </w:rPr>
              <w:t>12</w:t>
            </w:r>
          </w:p>
        </w:tc>
        <w:tc>
          <w:tcPr>
            <w:tcW w:w="300" w:type="dxa"/>
            <w:vAlign w:val="bottom"/>
            <w:tcBorders>
              <w:right w:val="single" w:sz="8" w:color="auto"/>
            </w:tcBorders>
          </w:tcPr>
          <w:p>
            <w:pPr>
              <w:spacing w:after="0"/>
              <w:rPr>
                <w:sz w:val="24"/>
                <w:szCs w:val="24"/>
                <w:color w:val="auto"/>
              </w:rPr>
            </w:pPr>
          </w:p>
        </w:tc>
        <w:tc>
          <w:tcPr>
            <w:tcW w:w="8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Consist of warrants to acquire 675,000 shares of the Issuer’s common stock.</w:t>
      </w:r>
    </w:p>
    <w:p>
      <w:pPr>
        <w:spacing w:after="0" w:line="18" w:lineRule="exact"/>
        <w:rPr>
          <w:sz w:val="20"/>
          <w:szCs w:val="20"/>
          <w:color w:val="auto"/>
        </w:rPr>
      </w:pPr>
    </w:p>
    <w:p>
      <w:pPr>
        <w:jc w:val="both"/>
        <w:ind w:firstLine="8"/>
        <w:spacing w:after="0" w:line="234" w:lineRule="auto"/>
        <w:tabs>
          <w:tab w:leader="none" w:pos="283"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percentages used herein are calculated based on 43,272,728 shares of common stock outstanding as of November 14, 2022, as reported in the prospectus on Form 424(b)(3) filed by the Issuer on December 30, 2022, plus 675,000 shares underlying warrants which are beneficially owned by the reporting persons and included pursuant to Rule 13d-3(d)(1)(i)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ind w:left="10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26145B106            </w:t>
      </w:r>
      <w:r>
        <w:rPr>
          <w:sz w:val="1"/>
          <w:szCs w:val="1"/>
          <w:color w:val="auto"/>
        </w:rPr>
        <w:drawing>
          <wp:inline distT="0" distB="0" distL="0" distR="0">
            <wp:extent cx="8890" cy="154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drawing>
          <wp:inline distT="0" distB="0" distL="0" distR="0">
            <wp:extent cx="8255" cy="15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-153670</wp:posOffset>
            </wp:positionV>
            <wp:extent cx="144843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5166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1660" cy="154305"/>
                    </a:xfrm>
                    <a:prstGeom prst="rect">
                      <a:avLst/>
                    </a:prstGeom>
                    <a:noFill/>
                  </pic:spPr>
                </pic:pic>
              </a:graphicData>
            </a:graphic>
          </wp:anchor>
        </w:drawing>
      </w:r>
    </w:p>
    <w:p>
      <w:pPr>
        <w:sectPr>
          <w:pgSz w:w="11900" w:h="16838" w:orient="portrait"/>
          <w:cols w:equalWidth="0" w:num="1">
            <w:col w:w="10900"/>
          </w:cols>
          <w:pgMar w:left="320" w:top="101" w:right="679" w:bottom="1440" w:gutter="0" w:footer="0" w:header="0"/>
        </w:sectPr>
      </w:pPr>
    </w:p>
    <w:p>
      <w:pPr>
        <w:spacing w:after="0" w:line="18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Item 1  (a).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 Address of Issuer's Principal Executive Offices: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529"/>
        </w:rPr>
        <w:t>1190 Trademark Drive #108, Reno, Nevada 89521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(a).  Name of Person Filing:</w:t>
      </w:r>
    </w:p>
    <w:p>
      <w:pPr>
        <w:spacing w:after="0" w:line="210"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MMCAP International Inc. SPC</w:t>
      </w:r>
    </w:p>
    <w:p>
      <w:pPr>
        <w:spacing w:after="0" w:line="206"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 Asset Management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(b). Address of Principal Business Office or, if None, Residence:</w:t>
      </w:r>
    </w:p>
    <w:p>
      <w:pPr>
        <w:spacing w:after="0" w:line="210" w:lineRule="exact"/>
        <w:rPr>
          <w:sz w:val="20"/>
          <w:szCs w:val="20"/>
          <w:color w:val="auto"/>
        </w:rPr>
      </w:pPr>
    </w:p>
    <w:p>
      <w:pPr>
        <w:ind w:left="660" w:right="5620" w:hanging="652"/>
        <w:spacing w:after="0" w:line="241" w:lineRule="auto"/>
        <w:tabs>
          <w:tab w:leader="none" w:pos="68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Mourant Governance Services (Cayman) Limited 94 Solaris Avenue</w:t>
      </w:r>
    </w:p>
    <w:p>
      <w:pPr>
        <w:spacing w:after="0" w:line="1" w:lineRule="exact"/>
        <w:rPr>
          <w:rFonts w:ascii="Times New Roman" w:cs="Times New Roman" w:eastAsia="Times New Roman" w:hAnsi="Times New Roman"/>
          <w:sz w:val="22"/>
          <w:szCs w:val="22"/>
          <w:color w:val="auto"/>
        </w:rPr>
      </w:pP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Camana Bay, P.O. Box 1348</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Grand Cayman, KY1-1108, Cayman Islands</w:t>
      </w:r>
    </w:p>
    <w:p>
      <w:pPr>
        <w:spacing w:after="0" w:line="182"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161 Bay Street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TD Canada Trust Tower, Suite 2240</w:t>
      </w:r>
    </w:p>
    <w:p>
      <w:pPr>
        <w:ind w:left="660"/>
        <w:spacing w:after="0"/>
        <w:rPr>
          <w:sz w:val="20"/>
          <w:szCs w:val="20"/>
          <w:color w:val="auto"/>
        </w:rPr>
      </w:pPr>
      <w:r>
        <w:rPr>
          <w:rFonts w:ascii="Times New Roman" w:cs="Times New Roman" w:eastAsia="Times New Roman" w:hAnsi="Times New Roman"/>
          <w:sz w:val="22"/>
          <w:szCs w:val="22"/>
          <w:color w:val="auto"/>
        </w:rPr>
        <w:t>Toronto, ON M5J 2S1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(c).  Citizenship:</w:t>
      </w:r>
    </w:p>
    <w:p>
      <w:pPr>
        <w:spacing w:after="0" w:line="210"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Islands</w:t>
      </w:r>
    </w:p>
    <w:p>
      <w:pPr>
        <w:spacing w:after="0" w:line="14"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Ontario,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(d). Title of Class of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(e).  CUSIP Number: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26145B106</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Rules 13d-1(b), or 13d-2(b) or (c), check whether the person filing is a:</w:t>
      </w:r>
    </w:p>
    <w:p>
      <w:pPr>
        <w:spacing w:after="0" w:line="190" w:lineRule="exact"/>
        <w:rPr>
          <w:sz w:val="20"/>
          <w:szCs w:val="20"/>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adviser in accordance with Rule 13d-1(b)(1)(ii)(E);</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benefit plan or endowment plan in accordance with Rule 13d-1(b)(1)(ii)(F);</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Parent holding company or control person, in accordance with Rule 13d-1(b)(1)(ii)(G);</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7"/>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101" w:right="679" w:bottom="1440" w:gutter="0" w:footer="0" w:header="0"/>
          <w:type w:val="continuous"/>
        </w:sectPr>
      </w:pPr>
    </w:p>
    <w:bookmarkStart w:id="4" w:name="page5"/>
    <w:bookmarkEnd w:id="4"/>
    <w:p>
      <w:pPr>
        <w:ind w:left="10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26145B106            </w:t>
      </w:r>
      <w:r>
        <w:rPr>
          <w:sz w:val="1"/>
          <w:szCs w:val="1"/>
          <w:color w:val="auto"/>
        </w:rPr>
        <w:drawing>
          <wp:inline distT="0" distB="0" distL="0" distR="0">
            <wp:extent cx="8890"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drawing>
          <wp:inline distT="0" distB="0" distL="0" distR="0">
            <wp:extent cx="8255"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-153670</wp:posOffset>
            </wp:positionV>
            <wp:extent cx="14484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516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15430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168" w:lineRule="exact"/>
        <w:rPr>
          <w:sz w:val="20"/>
          <w:szCs w:val="20"/>
          <w:color w:val="auto"/>
        </w:rPr>
      </w:pPr>
    </w:p>
    <w:p>
      <w:pPr>
        <w:ind w:left="1780" w:hanging="800"/>
        <w:spacing w:after="0" w:line="280" w:lineRule="exact"/>
        <w:tabs>
          <w:tab w:leader="none" w:pos="1346"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w:t>
      </w:r>
    </w:p>
    <w:p>
      <w:pPr>
        <w:spacing w:after="0" w:line="156"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Rule 13d-1(b)(1)(ii)(j).</w:t>
      </w:r>
    </w:p>
    <w:p>
      <w:pPr>
        <w:spacing w:after="0" w:line="254" w:lineRule="exact"/>
        <w:rPr>
          <w:sz w:val="20"/>
          <w:szCs w:val="20"/>
          <w:color w:val="auto"/>
        </w:rPr>
      </w:pPr>
    </w:p>
    <w:p>
      <w:pPr>
        <w:ind w:left="1820" w:hanging="516"/>
        <w:spacing w:after="0"/>
        <w:tabs>
          <w:tab w:leader="none" w:pos="1820"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If this statement is filed pursuant to Rule 13d-1(c), check this box.</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identified in Item 1.</w:t>
      </w:r>
    </w:p>
    <w:p>
      <w:pPr>
        <w:spacing w:after="0" w:line="154" w:lineRule="exact"/>
        <w:rPr>
          <w:sz w:val="20"/>
          <w:szCs w:val="20"/>
          <w:color w:val="auto"/>
        </w:rPr>
      </w:pPr>
    </w:p>
    <w:p>
      <w:pPr>
        <w:ind w:left="1340" w:hanging="360"/>
        <w:spacing w:after="0"/>
        <w:tabs>
          <w:tab w:leader="none" w:pos="13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 beneficially owned: </w:t>
      </w:r>
      <w:r>
        <w:rPr>
          <w:rFonts w:ascii="Times New Roman" w:cs="Times New Roman" w:eastAsia="Times New Roman" w:hAnsi="Times New Roman"/>
          <w:sz w:val="22"/>
          <w:szCs w:val="22"/>
          <w:b w:val="1"/>
          <w:bCs w:val="1"/>
          <w:color w:val="auto"/>
        </w:rPr>
        <w:t>675,000*</w:t>
      </w:r>
    </w:p>
    <w:p>
      <w:pPr>
        <w:spacing w:after="0" w:line="206"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Percent of class: </w:t>
      </w:r>
      <w:r>
        <w:rPr>
          <w:rFonts w:ascii="Times New Roman" w:cs="Times New Roman" w:eastAsia="Times New Roman" w:hAnsi="Times New Roman"/>
          <w:sz w:val="22"/>
          <w:szCs w:val="22"/>
          <w:b w:val="1"/>
          <w:bCs w:val="1"/>
          <w:color w:val="auto"/>
        </w:rPr>
        <w:t>1.54%**</w:t>
      </w:r>
    </w:p>
    <w:p>
      <w:pPr>
        <w:spacing w:after="0" w:line="210"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02" w:lineRule="exact"/>
        <w:rPr>
          <w:rFonts w:ascii="Times New Roman" w:cs="Times New Roman" w:eastAsia="Times New Roman" w:hAnsi="Times New Roman"/>
          <w:sz w:val="22"/>
          <w:szCs w:val="22"/>
          <w:color w:val="auto"/>
        </w:rPr>
      </w:pPr>
    </w:p>
    <w:p>
      <w:pPr>
        <w:ind w:left="1980" w:hanging="540"/>
        <w:spacing w:after="0"/>
        <w:tabs>
          <w:tab w:leader="none" w:pos="198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vote or to direct the vote: </w:t>
      </w:r>
      <w:r>
        <w:rPr>
          <w:rFonts w:ascii="Times New Roman" w:cs="Times New Roman" w:eastAsia="Times New Roman" w:hAnsi="Times New Roman"/>
          <w:sz w:val="22"/>
          <w:szCs w:val="22"/>
          <w:b w:val="1"/>
          <w:bCs w:val="1"/>
          <w:color w:val="auto"/>
        </w:rPr>
        <w:t>0</w:t>
      </w:r>
    </w:p>
    <w:p>
      <w:pPr>
        <w:spacing w:after="0" w:line="206" w:lineRule="exact"/>
        <w:rPr>
          <w:rFonts w:ascii="Times New Roman" w:cs="Times New Roman" w:eastAsia="Times New Roman" w:hAnsi="Times New Roman"/>
          <w:sz w:val="22"/>
          <w:szCs w:val="22"/>
          <w:color w:val="auto"/>
        </w:rPr>
      </w:pPr>
    </w:p>
    <w:p>
      <w:pPr>
        <w:ind w:left="2000" w:hanging="556"/>
        <w:spacing w:after="0"/>
        <w:tabs>
          <w:tab w:leader="none" w:pos="200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Shared power to vote or to direct the vote: </w:t>
      </w:r>
      <w:r>
        <w:rPr>
          <w:rFonts w:ascii="Times New Roman" w:cs="Times New Roman" w:eastAsia="Times New Roman" w:hAnsi="Times New Roman"/>
          <w:sz w:val="22"/>
          <w:szCs w:val="22"/>
          <w:b w:val="1"/>
          <w:bCs w:val="1"/>
          <w:color w:val="auto"/>
        </w:rPr>
        <w:t>675,000*</w:t>
      </w:r>
    </w:p>
    <w:p>
      <w:pPr>
        <w:spacing w:after="0" w:line="206" w:lineRule="exact"/>
        <w:rPr>
          <w:rFonts w:ascii="Times New Roman" w:cs="Times New Roman" w:eastAsia="Times New Roman" w:hAnsi="Times New Roman"/>
          <w:sz w:val="22"/>
          <w:szCs w:val="22"/>
          <w:color w:val="auto"/>
        </w:rPr>
      </w:pPr>
    </w:p>
    <w:p>
      <w:pPr>
        <w:ind w:left="2000" w:hanging="561"/>
        <w:spacing w:after="0"/>
        <w:tabs>
          <w:tab w:leader="none" w:pos="200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dispose or to direct the disposition of: </w:t>
      </w:r>
      <w:r>
        <w:rPr>
          <w:rFonts w:ascii="Times New Roman" w:cs="Times New Roman" w:eastAsia="Times New Roman" w:hAnsi="Times New Roman"/>
          <w:sz w:val="22"/>
          <w:szCs w:val="22"/>
          <w:b w:val="1"/>
          <w:bCs w:val="1"/>
          <w:color w:val="auto"/>
        </w:rPr>
        <w:t>0</w:t>
      </w:r>
    </w:p>
    <w:p>
      <w:pPr>
        <w:spacing w:after="0" w:line="206" w:lineRule="exact"/>
        <w:rPr>
          <w:rFonts w:ascii="Times New Roman" w:cs="Times New Roman" w:eastAsia="Times New Roman" w:hAnsi="Times New Roman"/>
          <w:sz w:val="22"/>
          <w:szCs w:val="22"/>
          <w:color w:val="auto"/>
        </w:rPr>
      </w:pPr>
    </w:p>
    <w:p>
      <w:pPr>
        <w:ind w:right="3640" w:firstLine="1440"/>
        <w:spacing w:after="0" w:line="456" w:lineRule="auto"/>
        <w:tabs>
          <w:tab w:leader="none" w:pos="1996"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Shared power to dispose or to direct the disposition of: </w:t>
      </w:r>
      <w:r>
        <w:rPr>
          <w:rFonts w:ascii="Times New Roman" w:cs="Times New Roman" w:eastAsia="Times New Roman" w:hAnsi="Times New Roman"/>
          <w:sz w:val="21"/>
          <w:szCs w:val="21"/>
          <w:b w:val="1"/>
          <w:bCs w:val="1"/>
          <w:color w:val="auto"/>
        </w:rPr>
        <w:t>675,000*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Consist of warrants to acquire 675,000 shares of the Issuer's common stock.</w:t>
      </w:r>
    </w:p>
    <w:p>
      <w:pPr>
        <w:jc w:val="both"/>
        <w:ind w:firstLine="8"/>
        <w:spacing w:after="0" w:line="241" w:lineRule="auto"/>
        <w:tabs>
          <w:tab w:leader="none" w:pos="283"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percentages used herein are calculated based on 43,272,728 shares of common stock outstanding as of November 14, 2022, as reported in the prospectus on Form 424(b)(3) filed by the Issuer on December 30, 2022, plus 675,000 shares underlying warrants which are beneficially owned by the reporting persons and included pursuant to Rule 13d-3(d)(1)(i) of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Instruction. </w:t>
      </w:r>
      <w:r>
        <w:rPr>
          <w:rFonts w:ascii="Times New Roman" w:cs="Times New Roman" w:eastAsia="Times New Roman" w:hAnsi="Times New Roman"/>
          <w:sz w:val="22"/>
          <w:szCs w:val="22"/>
          <w:color w:val="auto"/>
        </w:rPr>
        <w:t>For computations regarding securities which represent a right to acquire an underlying security, see Rule 13d-3(d)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1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If the statement is being filed to report the fact that as of the date hereof the reporting person has ceased to be the beneficial owner of more than five percent of the class of securities, check the following [ X ].</w:t>
      </w:r>
    </w:p>
    <w:p>
      <w:pPr>
        <w:spacing w:after="0" w:line="15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5" w:name="page6"/>
    <w:bookmarkEnd w:id="5"/>
    <w:p>
      <w:pPr>
        <w:ind w:left="10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26145B106            </w:t>
      </w:r>
      <w:r>
        <w:rPr>
          <w:sz w:val="1"/>
          <w:szCs w:val="1"/>
          <w:color w:val="auto"/>
        </w:rPr>
        <w:drawing>
          <wp:inline distT="0" distB="0" distL="0" distR="0">
            <wp:extent cx="8890" cy="154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drawing>
          <wp:inline distT="0" distB="0" distL="0" distR="0">
            <wp:extent cx="8255" cy="1543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-153670</wp:posOffset>
            </wp:positionV>
            <wp:extent cx="14484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84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516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154305"/>
                    </a:xfrm>
                    <a:prstGeom prst="rect">
                      <a:avLst/>
                    </a:prstGeom>
                    <a:noFill/>
                  </pic:spPr>
                </pic:pic>
              </a:graphicData>
            </a:graphic>
          </wp:anchor>
        </w:drawing>
      </w:r>
    </w:p>
    <w:p>
      <w:pPr>
        <w:sectPr>
          <w:pgSz w:w="11900" w:h="16838" w:orient="portrait"/>
          <w:cols w:equalWidth="0" w:num="1">
            <w:col w:w="11280"/>
          </w:cols>
          <w:pgMar w:left="320" w:top="101" w:right="299" w:bottom="1440" w:gutter="0" w:footer="0" w:header="0"/>
        </w:sectPr>
      </w:pPr>
    </w:p>
    <w:p>
      <w:pPr>
        <w:spacing w:after="0" w:line="185"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Item 10. Certification. </w:t>
      </w:r>
      <w:r>
        <w:rPr>
          <w:rFonts w:ascii="Times New Roman" w:cs="Times New Roman" w:eastAsia="Times New Roman" w:hAnsi="Times New Roman"/>
          <w:sz w:val="22"/>
          <w:szCs w:val="22"/>
          <w:color w:val="auto"/>
        </w:rPr>
        <w:t>By signing below I certify that, to the best of my knowledge and belief, the securities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76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tc>
      </w:tr>
      <w:tr>
        <w:trPr>
          <w:trHeight w:val="39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4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w w:val="98"/>
              </w:rPr>
              <w:t>By: /s/ Ulla Vestergaard ____________</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8"/>
        </w:trPr>
        <w:tc>
          <w:tcPr>
            <w:tcW w:w="3700" w:type="dxa"/>
            <w:vAlign w:val="bottom"/>
          </w:tcPr>
          <w:p>
            <w:pPr>
              <w:spacing w:after="0"/>
              <w:rPr>
                <w:sz w:val="18"/>
                <w:szCs w:val="18"/>
                <w:color w:val="auto"/>
              </w:rPr>
            </w:pPr>
          </w:p>
        </w:tc>
        <w:tc>
          <w:tcPr>
            <w:tcW w:w="476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Name: Ulla Vestergaard</w:t>
            </w:r>
          </w:p>
        </w:tc>
      </w:tr>
      <w:tr>
        <w:trPr>
          <w:trHeight w:val="234"/>
        </w:trPr>
        <w:tc>
          <w:tcPr>
            <w:tcW w:w="3700" w:type="dxa"/>
            <w:vAlign w:val="bottom"/>
          </w:tcPr>
          <w:p>
            <w:pPr>
              <w:spacing w:after="0"/>
              <w:rPr>
                <w:sz w:val="20"/>
                <w:szCs w:val="20"/>
                <w:color w:val="auto"/>
              </w:rPr>
            </w:pPr>
          </w:p>
        </w:tc>
        <w:tc>
          <w:tcPr>
            <w:tcW w:w="476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8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MM Asset Management Inc.</w:t>
            </w:r>
          </w:p>
        </w:tc>
      </w:tr>
      <w:tr>
        <w:trPr>
          <w:trHeight w:val="39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2023</w:t>
            </w:r>
          </w:p>
        </w:tc>
        <w:tc>
          <w:tcPr>
            <w:tcW w:w="758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Hillel Meltz___________________</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8"/>
        </w:trPr>
        <w:tc>
          <w:tcPr>
            <w:tcW w:w="3700" w:type="dxa"/>
            <w:vAlign w:val="bottom"/>
          </w:tcPr>
          <w:p>
            <w:pPr>
              <w:spacing w:after="0"/>
              <w:rPr>
                <w:sz w:val="18"/>
                <w:szCs w:val="18"/>
                <w:color w:val="auto"/>
              </w:rPr>
            </w:pPr>
          </w:p>
        </w:tc>
        <w:tc>
          <w:tcPr>
            <w:tcW w:w="758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Name: Hillel Meltz</w:t>
            </w:r>
          </w:p>
        </w:tc>
      </w:tr>
      <w:tr>
        <w:trPr>
          <w:trHeight w:val="234"/>
        </w:trPr>
        <w:tc>
          <w:tcPr>
            <w:tcW w:w="3700" w:type="dxa"/>
            <w:vAlign w:val="bottom"/>
          </w:tcPr>
          <w:p>
            <w:pPr>
              <w:spacing w:after="0"/>
              <w:rPr>
                <w:sz w:val="20"/>
                <w:szCs w:val="20"/>
                <w:color w:val="auto"/>
              </w:rPr>
            </w:pPr>
          </w:p>
        </w:tc>
        <w:tc>
          <w:tcPr>
            <w:tcW w:w="758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348"/>
        </w:trPr>
        <w:tc>
          <w:tcPr>
            <w:tcW w:w="3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74"/>
        </w:trPr>
        <w:tc>
          <w:tcPr>
            <w:tcW w:w="3700" w:type="dxa"/>
            <w:vAlign w:val="bottom"/>
            <w:shd w:val="clear" w:color="auto" w:fill="000000"/>
          </w:tcPr>
          <w:p>
            <w:pPr>
              <w:spacing w:after="0"/>
              <w:rPr>
                <w:sz w:val="6"/>
                <w:szCs w:val="6"/>
                <w:color w:val="auto"/>
              </w:rPr>
            </w:pPr>
          </w:p>
        </w:tc>
        <w:tc>
          <w:tcPr>
            <w:tcW w:w="22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426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1" w:right="299" w:bottom="1440" w:gutter="0" w:footer="0" w:header="0"/>
          <w:type w:val="continuous"/>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26145B106            </w:t>
      </w:r>
      <w:r>
        <w:rPr>
          <w:sz w:val="1"/>
          <w:szCs w:val="1"/>
          <w:color w:val="auto"/>
        </w:rPr>
        <w:drawing>
          <wp:inline distT="0" distB="0" distL="0" distR="0">
            <wp:extent cx="8890"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drawing>
          <wp:inline distT="0" distB="0" distL="0" distR="0">
            <wp:extent cx="8255" cy="154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-153670</wp:posOffset>
            </wp:positionV>
            <wp:extent cx="144843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84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5166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15430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Ulla Vestergaard</w:t>
      </w:r>
      <w:r>
        <w:rPr>
          <w:rFonts w:ascii="Times New Roman" w:cs="Times New Roman" w:eastAsia="Times New Roman" w:hAnsi="Times New Roman"/>
          <w:sz w:val="18"/>
          <w:szCs w:val="18"/>
          <w:color w:val="auto"/>
        </w:rPr>
        <w:t xml:space="preserve"> ____________</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Ulla Vestergaard</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 Asset Management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Hillel Meltz</w:t>
      </w: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Hillel Meltz</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9"/>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0">
    <w:nsid w:val="1F16E9E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2023-02-14T11:59:20Z</dcterms:created>
  <dcterms:modified xsi:type="dcterms:W3CDTF">2023-02-14T11:59:20Z</dcterms:modified>
</cp:coreProperties>
</file>