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4022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February 27,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4"/>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40227"/>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1190 Trademark Drive #108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Reno, </w:t>
            </w:r>
            <w:bookmarkStart w:id="10" w:name="xdx_901_edei--EntityAddressStateOrProvin"/>
            <w:bookmarkEnd w:id="10"/>
            <w:r>
              <w:rPr>
                <w:rFonts w:ascii="Times New Roman;Times;Serif" w:hAnsi="Times New Roman;Times;Serif"/>
                <w:b/>
                <w:i w:val="false"/>
                <w:caps w:val="false"/>
                <w:smallCaps w:val="false"/>
                <w:sz w:val="20"/>
              </w:rPr>
              <w:t xml:space="preserve">Nevada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C_edei--EntityAddressPostalZipCode"/>
            <w:bookmarkEnd w:id="11"/>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2_edei--CityAreaCode_c20240227__20"/>
      <w:bookmarkEnd w:id="12"/>
      <w:r>
        <w:rPr>
          <w:rFonts w:ascii="Times New Roman;Times;Serif" w:hAnsi="Times New Roman;Times;Serif"/>
          <w:b/>
          <w:i w:val="false"/>
          <w:caps w:val="false"/>
          <w:smallCaps w:val="false"/>
          <w:sz w:val="20"/>
          <w:u w:val="single"/>
        </w:rPr>
        <w:t xml:space="preserve">(775) </w:t>
      </w:r>
      <w:bookmarkStart w:id="13" w:name="xdx_902_edei--LocalPhoneNumber_c20240227"/>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5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0_edei--SolicitingMaterial_c2024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F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8"/>
        <w:gridCol w:w="60"/>
        <w:gridCol w:w="1233"/>
        <w:gridCol w:w="60"/>
        <w:gridCol w:w="2584"/>
      </w:tblGrid>
      <w:tr>
        <w:trPr/>
        <w:tc>
          <w:tcPr>
            <w:tcW w:w="6268"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8_edei--Security12bTitle_c20240227"/>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40227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6_edei--SecurityExchangeName_c2024"/>
            <w:bookmarkEnd w:id="20"/>
            <w:r>
              <w:rPr>
                <w:rFonts w:ascii="Times New Roman;Times;Serif" w:hAnsi="Times New Roman;Times;Serif"/>
                <w:b w:val="false"/>
                <w:i w:val="false"/>
                <w:caps w:val="false"/>
                <w:smallCaps w:val="false"/>
                <w:sz w:val="20"/>
              </w:rPr>
              <w:t>Nasdaq Global Market</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12bTitle_c20240227"/>
            <w:bookmarkEnd w:id="21"/>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TradingSymbol_c20240227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F_edei--SecurityExchangeName_c2024"/>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2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1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an unsecured convertible promissory note (the “</w:t>
      </w:r>
      <w:r>
        <w:rPr>
          <w:rFonts w:ascii="Times New Roman;Times;Serif" w:hAnsi="Times New Roman;Times;Serif"/>
          <w:b w:val="false"/>
          <w:i w:val="false"/>
          <w:caps w:val="false"/>
          <w:smallCaps w:val="false"/>
          <w:sz w:val="20"/>
          <w:u w:val="single"/>
        </w:rPr>
        <w:t>February Note</w:t>
      </w:r>
      <w:r>
        <w:rPr>
          <w:rFonts w:ascii="Times New Roman;Times;Serif" w:hAnsi="Times New Roman;Times;Serif"/>
          <w:b w:val="false"/>
          <w:i w:val="false"/>
          <w:caps w:val="false"/>
          <w:smallCaps w:val="false"/>
          <w:sz w:val="20"/>
        </w:rPr>
        <w:t>”) in the principal amount of $1,700,000 (the “</w:t>
      </w:r>
      <w:r>
        <w:rPr>
          <w:rFonts w:ascii="Times New Roman;Times;Serif" w:hAnsi="Times New Roman;Times;Serif"/>
          <w:b w:val="false"/>
          <w:i w:val="false"/>
          <w:caps w:val="false"/>
          <w:smallCaps w:val="false"/>
          <w:sz w:val="20"/>
          <w:u w:val="single"/>
        </w:rPr>
        <w:t>February Principal Amount</w:t>
      </w:r>
      <w:r>
        <w:rPr>
          <w:rFonts w:ascii="Times New Roman;Times;Serif" w:hAnsi="Times New Roman;Times;Serif"/>
          <w:b w:val="false"/>
          <w:i w:val="false"/>
          <w:caps w:val="false"/>
          <w:smallCaps w:val="false"/>
          <w:sz w:val="20"/>
        </w:rPr>
        <w:t>”) to Brian Nelson, a director of the Company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in a private placement in exchange for cash in an equal amount (the “</w:t>
      </w:r>
      <w:r>
        <w:rPr>
          <w:rFonts w:ascii="Times New Roman;Times;Serif" w:hAnsi="Times New Roman;Times;Serif"/>
          <w:b w:val="false"/>
          <w:i w:val="false"/>
          <w:caps w:val="false"/>
          <w:smallCaps w:val="false"/>
          <w:sz w:val="20"/>
          <w:u w:val="single"/>
        </w:rPr>
        <w:t>February Private Placement</w:t>
      </w:r>
      <w:r>
        <w:rPr>
          <w:rFonts w:ascii="Times New Roman;Times;Serif" w:hAnsi="Times New Roman;Times;Serif"/>
          <w:b w:val="false"/>
          <w:i w:val="false"/>
          <w:caps w:val="false"/>
          <w:smallCaps w:val="false"/>
          <w:sz w:val="20"/>
        </w:rPr>
        <w:t>”). The Company used the proceeds of the February Private Placement for working capital and general corporate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became due and payable in full on March 1, 2024. The Company was obligated to pay $85,000 (the “</w:t>
      </w:r>
      <w:r>
        <w:rPr>
          <w:rFonts w:ascii="Times New Roman;Times;Serif" w:hAnsi="Times New Roman;Times;Serif"/>
          <w:b w:val="false"/>
          <w:i w:val="false"/>
          <w:caps w:val="false"/>
          <w:smallCaps w:val="false"/>
          <w:sz w:val="20"/>
          <w:u w:val="single"/>
        </w:rPr>
        <w:t>February Loan Fee</w:t>
      </w:r>
      <w:r>
        <w:rPr>
          <w:rFonts w:ascii="Times New Roman;Times;Serif" w:hAnsi="Times New Roman;Times;Serif"/>
          <w:b w:val="false"/>
          <w:i w:val="false"/>
          <w:caps w:val="false"/>
          <w:smallCaps w:val="false"/>
          <w:sz w:val="20"/>
        </w:rPr>
        <w:t>”) to the Holder on March 1, 2024. The Company paid the February Note and the February Loan Fee on March 1, 2024. Subject to certain conditions, the Company had the option to repay the balance of the February Note with any combination of cash and shares of Common Stock at a price not less than $0.55 per share.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contained customary events of default, including nonpayment of any amounts under the February Note when due, upon which the payment of the February Principal Amount, the February Loan Fee and any other unpaid fees, penalties, expenses or other charges were subject to acceleration. The Company had the option, at any time, to prepay the amount due under the February Note without premium or penalty.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has represented to the Company that it is an “accredited investor” as that term is defined in Rule 501(a) of Regulation D promulgated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Company relied on the exemption from registration afforded by Section 4(2) of the Securities Act in connection with the issuance of the February Note.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text of the form of February Note, which is attached hereto as Exhibit 4.1 and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response to Item 1.01 of this Current Report is incorporated by reference into this Item 2.03.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response to Item 1.01 of this Current Report is incorporated by reference into this Item 3.02.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Form of February Note.</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1805"/>
        <w:gridCol w:w="590"/>
        <w:gridCol w:w="567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4,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Denis Phares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 w:name="ex4-1.htm"/>
      <w:bookmarkStart w:id="27" w:name="ksex4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THIS </w:t>
      </w:r>
      <w:r>
        <w:rPr>
          <w:rFonts w:ascii="Times New Roman;Times;Serif" w:hAnsi="Times New Roman;Times;Serif"/>
          <w:b w:val="false"/>
          <w:i w:val="false"/>
          <w:caps/>
          <w:spacing w:val="-1"/>
          <w:sz w:val="20"/>
        </w:rPr>
        <w:t>N</w:t>
      </w:r>
      <w:r>
        <w:rPr>
          <w:rFonts w:ascii="Times New Roman;Times;Serif" w:hAnsi="Times New Roman;Times;Serif"/>
          <w:b w:val="false"/>
          <w:i w:val="false"/>
          <w:caps/>
          <w:sz w:val="20"/>
        </w:rPr>
        <w:t xml:space="preserve">OTE AND ANY SECURITIES INTO WHICH THIS NOTE IS CONVERTIBLE HAVE </w:t>
      </w:r>
      <w:r>
        <w:rPr>
          <w:rFonts w:ascii="Times New Roman;Times;Serif" w:hAnsi="Times New Roman;Times;Serif"/>
          <w:b w:val="false"/>
          <w:i w:val="false"/>
          <w:caps/>
          <w:spacing w:val="-1"/>
          <w:sz w:val="20"/>
        </w:rPr>
        <w:t>N</w:t>
      </w:r>
      <w:r>
        <w:rPr>
          <w:rFonts w:ascii="Times New Roman;Times;Serif" w:hAnsi="Times New Roman;Times;Serif"/>
          <w:b w:val="false"/>
          <w:i w:val="false"/>
          <w:caps/>
          <w:sz w:val="20"/>
        </w:rPr>
        <w:t xml:space="preserve">OT BEEN </w:t>
      </w:r>
      <w:r>
        <w:rPr>
          <w:rFonts w:ascii="Times New Roman;Times;Serif" w:hAnsi="Times New Roman;Times;Serif"/>
          <w:b w:val="false"/>
          <w:i w:val="false"/>
          <w:caps/>
          <w:spacing w:val="-1"/>
          <w:sz w:val="20"/>
        </w:rPr>
        <w:t>R</w:t>
      </w:r>
      <w:r>
        <w:rPr>
          <w:rFonts w:ascii="Times New Roman;Times;Serif" w:hAnsi="Times New Roman;Times;Serif"/>
          <w:b w:val="false"/>
          <w:i w:val="false"/>
          <w:caps/>
          <w:sz w:val="20"/>
        </w:rPr>
        <w:t>E</w:t>
      </w:r>
      <w:r>
        <w:rPr>
          <w:rFonts w:ascii="Times New Roman;Times;Serif" w:hAnsi="Times New Roman;Times;Serif"/>
          <w:b w:val="false"/>
          <w:i w:val="false"/>
          <w:caps/>
          <w:spacing w:val="-2"/>
          <w:sz w:val="20"/>
        </w:rPr>
        <w:t>G</w:t>
      </w:r>
      <w:r>
        <w:rPr>
          <w:rFonts w:ascii="Times New Roman;Times;Serif" w:hAnsi="Times New Roman;Times;Serif"/>
          <w:b w:val="false"/>
          <w:i w:val="false"/>
          <w:caps/>
          <w:sz w:val="20"/>
        </w:rPr>
        <w:t>I</w:t>
      </w:r>
      <w:r>
        <w:rPr>
          <w:rFonts w:ascii="Times New Roman;Times;Serif" w:hAnsi="Times New Roman;Times;Serif"/>
          <w:b w:val="false"/>
          <w:i w:val="false"/>
          <w:caps/>
          <w:spacing w:val="1"/>
          <w:sz w:val="20"/>
        </w:rPr>
        <w:t>S</w:t>
      </w:r>
      <w:r>
        <w:rPr>
          <w:rFonts w:ascii="Times New Roman;Times;Serif" w:hAnsi="Times New Roman;Times;Serif"/>
          <w:b w:val="false"/>
          <w:i w:val="false"/>
          <w:caps/>
          <w:sz w:val="20"/>
        </w:rPr>
        <w:t>TE</w:t>
      </w:r>
      <w:r>
        <w:rPr>
          <w:rFonts w:ascii="Times New Roman;Times;Serif" w:hAnsi="Times New Roman;Times;Serif"/>
          <w:b w:val="false"/>
          <w:i w:val="false"/>
          <w:caps/>
          <w:spacing w:val="-1"/>
          <w:sz w:val="20"/>
        </w:rPr>
        <w:t>R</w:t>
      </w:r>
      <w:r>
        <w:rPr>
          <w:rFonts w:ascii="Times New Roman;Times;Serif" w:hAnsi="Times New Roman;Times;Serif"/>
          <w:b w:val="false"/>
          <w:i w:val="false"/>
          <w:caps/>
          <w:sz w:val="20"/>
        </w:rPr>
        <w:t xml:space="preserve">ED </w:t>
      </w:r>
      <w:r>
        <w:rPr>
          <w:rFonts w:ascii="Times New Roman;Times;Serif" w:hAnsi="Times New Roman;Times;Serif"/>
          <w:b w:val="false"/>
          <w:i w:val="false"/>
          <w:caps/>
          <w:spacing w:val="-1"/>
          <w:sz w:val="20"/>
        </w:rPr>
        <w:t>UND</w:t>
      </w:r>
      <w:r>
        <w:rPr>
          <w:rFonts w:ascii="Times New Roman;Times;Serif" w:hAnsi="Times New Roman;Times;Serif"/>
          <w:b w:val="false"/>
          <w:i w:val="false"/>
          <w:caps/>
          <w:sz w:val="20"/>
        </w:rPr>
        <w:t>ER THE SE</w:t>
      </w:r>
      <w:r>
        <w:rPr>
          <w:rFonts w:ascii="Times New Roman;Times;Serif" w:hAnsi="Times New Roman;Times;Serif"/>
          <w:b w:val="false"/>
          <w:i w:val="false"/>
          <w:caps/>
          <w:spacing w:val="-1"/>
          <w:sz w:val="20"/>
        </w:rPr>
        <w:t>CUR</w:t>
      </w:r>
      <w:r>
        <w:rPr>
          <w:rFonts w:ascii="Times New Roman;Times;Serif" w:hAnsi="Times New Roman;Times;Serif"/>
          <w:b w:val="false"/>
          <w:i w:val="false"/>
          <w:caps/>
          <w:spacing w:val="2"/>
          <w:sz w:val="20"/>
        </w:rPr>
        <w:t>I</w:t>
      </w:r>
      <w:r>
        <w:rPr>
          <w:rFonts w:ascii="Times New Roman;Times;Serif" w:hAnsi="Times New Roman;Times;Serif"/>
          <w:b w:val="false"/>
          <w:i w:val="false"/>
          <w:caps/>
          <w:sz w:val="20"/>
        </w:rPr>
        <w:t xml:space="preserve">TIES </w:t>
      </w:r>
      <w:r>
        <w:rPr>
          <w:rFonts w:ascii="Times New Roman;Times;Serif" w:hAnsi="Times New Roman;Times;Serif"/>
          <w:b w:val="false"/>
          <w:i w:val="false"/>
          <w:caps/>
          <w:spacing w:val="-1"/>
          <w:sz w:val="20"/>
        </w:rPr>
        <w:t>AC</w:t>
      </w:r>
      <w:r>
        <w:rPr>
          <w:rFonts w:ascii="Times New Roman;Times;Serif" w:hAnsi="Times New Roman;Times;Serif"/>
          <w:b w:val="false"/>
          <w:i w:val="false"/>
          <w:caps/>
          <w:sz w:val="20"/>
        </w:rPr>
        <w:t xml:space="preserve">T OF 1933, </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 xml:space="preserve">S </w:t>
      </w:r>
      <w:r>
        <w:rPr>
          <w:rFonts w:ascii="Times New Roman;Times;Serif" w:hAnsi="Times New Roman;Times;Serif"/>
          <w:b w:val="false"/>
          <w:i w:val="false"/>
          <w:caps/>
          <w:spacing w:val="-1"/>
          <w:sz w:val="20"/>
        </w:rPr>
        <w:t>AM</w:t>
      </w:r>
      <w:r>
        <w:rPr>
          <w:rFonts w:ascii="Times New Roman;Times;Serif" w:hAnsi="Times New Roman;Times;Serif"/>
          <w:b w:val="false"/>
          <w:i w:val="false"/>
          <w:caps/>
          <w:sz w:val="20"/>
        </w:rPr>
        <w:t>E</w:t>
      </w:r>
      <w:r>
        <w:rPr>
          <w:rFonts w:ascii="Times New Roman;Times;Serif" w:hAnsi="Times New Roman;Times;Serif"/>
          <w:b w:val="false"/>
          <w:i w:val="false"/>
          <w:caps/>
          <w:spacing w:val="-1"/>
          <w:sz w:val="20"/>
        </w:rPr>
        <w:t>ND</w:t>
      </w:r>
      <w:r>
        <w:rPr>
          <w:rFonts w:ascii="Times New Roman;Times;Serif" w:hAnsi="Times New Roman;Times;Serif"/>
          <w:b w:val="false"/>
          <w:i w:val="false"/>
          <w:caps/>
          <w:sz w:val="20"/>
        </w:rPr>
        <w:t>E</w:t>
      </w:r>
      <w:r>
        <w:rPr>
          <w:rFonts w:ascii="Times New Roman;Times;Serif" w:hAnsi="Times New Roman;Times;Serif"/>
          <w:b w:val="false"/>
          <w:i w:val="false"/>
          <w:caps/>
          <w:spacing w:val="-1"/>
          <w:sz w:val="20"/>
        </w:rPr>
        <w:t>D</w:t>
      </w:r>
      <w:r>
        <w:rPr>
          <w:rFonts w:ascii="Times New Roman;Times;Serif" w:hAnsi="Times New Roman;Times;Serif"/>
          <w:b w:val="false"/>
          <w:i w:val="false"/>
          <w:caps/>
          <w:sz w:val="20"/>
        </w:rPr>
        <w:t xml:space="preserve">, OR </w:t>
      </w:r>
      <w:r>
        <w:rPr>
          <w:rFonts w:ascii="Times New Roman;Times;Serif" w:hAnsi="Times New Roman;Times;Serif"/>
          <w:b w:val="false"/>
          <w:i w:val="false"/>
          <w:caps/>
          <w:spacing w:val="-1"/>
          <w:sz w:val="20"/>
        </w:rPr>
        <w:t>AN</w:t>
      </w:r>
      <w:r>
        <w:rPr>
          <w:rFonts w:ascii="Times New Roman;Times;Serif" w:hAnsi="Times New Roman;Times;Serif"/>
          <w:b w:val="false"/>
          <w:i w:val="false"/>
          <w:caps/>
          <w:sz w:val="20"/>
        </w:rPr>
        <w:t>Y ST</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TE SE</w:t>
      </w:r>
      <w:r>
        <w:rPr>
          <w:rFonts w:ascii="Times New Roman;Times;Serif" w:hAnsi="Times New Roman;Times;Serif"/>
          <w:b w:val="false"/>
          <w:i w:val="false"/>
          <w:caps/>
          <w:spacing w:val="-1"/>
          <w:sz w:val="20"/>
        </w:rPr>
        <w:t>CUR</w:t>
      </w:r>
      <w:r>
        <w:rPr>
          <w:rFonts w:ascii="Times New Roman;Times;Serif" w:hAnsi="Times New Roman;Times;Serif"/>
          <w:b w:val="false"/>
          <w:i w:val="false"/>
          <w:caps/>
          <w:sz w:val="20"/>
        </w:rPr>
        <w:t>ITIES L</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 xml:space="preserve">WS. IT </w:t>
      </w:r>
      <w:r>
        <w:rPr>
          <w:rFonts w:ascii="Times New Roman;Times;Serif" w:hAnsi="Times New Roman;Times;Serif"/>
          <w:b w:val="false"/>
          <w:i w:val="false"/>
          <w:caps/>
          <w:spacing w:val="-1"/>
          <w:sz w:val="20"/>
        </w:rPr>
        <w:t>MA</w:t>
      </w:r>
      <w:r>
        <w:rPr>
          <w:rFonts w:ascii="Times New Roman;Times;Serif" w:hAnsi="Times New Roman;Times;Serif"/>
          <w:b w:val="false"/>
          <w:i w:val="false"/>
          <w:caps/>
          <w:sz w:val="20"/>
        </w:rPr>
        <w:t xml:space="preserve">Y </w:t>
      </w:r>
      <w:r>
        <w:rPr>
          <w:rFonts w:ascii="Times New Roman;Times;Serif" w:hAnsi="Times New Roman;Times;Serif"/>
          <w:b w:val="false"/>
          <w:i w:val="false"/>
          <w:caps/>
          <w:spacing w:val="-1"/>
          <w:sz w:val="20"/>
        </w:rPr>
        <w:t>N</w:t>
      </w:r>
      <w:r>
        <w:rPr>
          <w:rFonts w:ascii="Times New Roman;Times;Serif" w:hAnsi="Times New Roman;Times;Serif"/>
          <w:b w:val="false"/>
          <w:i w:val="false"/>
          <w:caps/>
          <w:sz w:val="20"/>
        </w:rPr>
        <w:t>OT BE S</w:t>
      </w:r>
      <w:r>
        <w:rPr>
          <w:rFonts w:ascii="Times New Roman;Times;Serif" w:hAnsi="Times New Roman;Times;Serif"/>
          <w:b w:val="false"/>
          <w:i w:val="false"/>
          <w:caps/>
          <w:spacing w:val="-2"/>
          <w:sz w:val="20"/>
        </w:rPr>
        <w:t>O</w:t>
      </w:r>
      <w:r>
        <w:rPr>
          <w:rFonts w:ascii="Times New Roman;Times;Serif" w:hAnsi="Times New Roman;Times;Serif"/>
          <w:b w:val="false"/>
          <w:i w:val="false"/>
          <w:caps/>
          <w:sz w:val="20"/>
        </w:rPr>
        <w:t>L</w:t>
      </w:r>
      <w:r>
        <w:rPr>
          <w:rFonts w:ascii="Times New Roman;Times;Serif" w:hAnsi="Times New Roman;Times;Serif"/>
          <w:b w:val="false"/>
          <w:i w:val="false"/>
          <w:caps/>
          <w:spacing w:val="-1"/>
          <w:sz w:val="20"/>
        </w:rPr>
        <w:t>D</w:t>
      </w:r>
      <w:r>
        <w:rPr>
          <w:rFonts w:ascii="Times New Roman;Times;Serif" w:hAnsi="Times New Roman;Times;Serif"/>
          <w:b w:val="false"/>
          <w:i w:val="false"/>
          <w:caps/>
          <w:sz w:val="20"/>
        </w:rPr>
        <w:t>, OF</w:t>
      </w:r>
      <w:r>
        <w:rPr>
          <w:rFonts w:ascii="Times New Roman;Times;Serif" w:hAnsi="Times New Roman;Times;Serif"/>
          <w:b w:val="false"/>
          <w:i w:val="false"/>
          <w:caps/>
          <w:spacing w:val="-3"/>
          <w:sz w:val="20"/>
        </w:rPr>
        <w:t>F</w:t>
      </w:r>
      <w:r>
        <w:rPr>
          <w:rFonts w:ascii="Times New Roman;Times;Serif" w:hAnsi="Times New Roman;Times;Serif"/>
          <w:b w:val="false"/>
          <w:i w:val="false"/>
          <w:caps/>
          <w:sz w:val="20"/>
        </w:rPr>
        <w:t>E</w:t>
      </w:r>
      <w:r>
        <w:rPr>
          <w:rFonts w:ascii="Times New Roman;Times;Serif" w:hAnsi="Times New Roman;Times;Serif"/>
          <w:b w:val="false"/>
          <w:i w:val="false"/>
          <w:caps/>
          <w:spacing w:val="-1"/>
          <w:sz w:val="20"/>
        </w:rPr>
        <w:t>R</w:t>
      </w:r>
      <w:r>
        <w:rPr>
          <w:rFonts w:ascii="Times New Roman;Times;Serif" w:hAnsi="Times New Roman;Times;Serif"/>
          <w:b w:val="false"/>
          <w:i w:val="false"/>
          <w:caps/>
          <w:sz w:val="20"/>
        </w:rPr>
        <w:t xml:space="preserve">ED </w:t>
      </w:r>
      <w:r>
        <w:rPr>
          <w:rFonts w:ascii="Times New Roman;Times;Serif" w:hAnsi="Times New Roman;Times;Serif"/>
          <w:b w:val="false"/>
          <w:i w:val="false"/>
          <w:caps/>
          <w:spacing w:val="-3"/>
          <w:sz w:val="20"/>
        </w:rPr>
        <w:t>F</w:t>
      </w:r>
      <w:r>
        <w:rPr>
          <w:rFonts w:ascii="Times New Roman;Times;Serif" w:hAnsi="Times New Roman;Times;Serif"/>
          <w:b w:val="false"/>
          <w:i w:val="false"/>
          <w:caps/>
          <w:sz w:val="20"/>
        </w:rPr>
        <w:t>OR S</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 xml:space="preserve">LE, </w:t>
      </w:r>
      <w:r>
        <w:rPr>
          <w:rFonts w:ascii="Times New Roman;Times;Serif" w:hAnsi="Times New Roman;Times;Serif"/>
          <w:b w:val="false"/>
          <w:i w:val="false"/>
          <w:caps/>
          <w:spacing w:val="-3"/>
          <w:sz w:val="20"/>
        </w:rPr>
        <w:t>P</w:t>
      </w:r>
      <w:r>
        <w:rPr>
          <w:rFonts w:ascii="Times New Roman;Times;Serif" w:hAnsi="Times New Roman;Times;Serif"/>
          <w:b w:val="false"/>
          <w:i w:val="false"/>
          <w:caps/>
          <w:sz w:val="20"/>
        </w:rPr>
        <w:t>LE</w:t>
      </w:r>
      <w:r>
        <w:rPr>
          <w:rFonts w:ascii="Times New Roman;Times;Serif" w:hAnsi="Times New Roman;Times;Serif"/>
          <w:b w:val="false"/>
          <w:i w:val="false"/>
          <w:caps/>
          <w:spacing w:val="1"/>
          <w:sz w:val="20"/>
        </w:rPr>
        <w:t>D</w:t>
      </w:r>
      <w:r>
        <w:rPr>
          <w:rFonts w:ascii="Times New Roman;Times;Serif" w:hAnsi="Times New Roman;Times;Serif"/>
          <w:b w:val="false"/>
          <w:i w:val="false"/>
          <w:caps/>
          <w:spacing w:val="-2"/>
          <w:sz w:val="20"/>
        </w:rPr>
        <w:t>G</w:t>
      </w:r>
      <w:r>
        <w:rPr>
          <w:rFonts w:ascii="Times New Roman;Times;Serif" w:hAnsi="Times New Roman;Times;Serif"/>
          <w:b w:val="false"/>
          <w:i w:val="false"/>
          <w:caps/>
          <w:sz w:val="20"/>
        </w:rPr>
        <w:t xml:space="preserve">ED </w:t>
      </w:r>
      <w:r>
        <w:rPr>
          <w:rFonts w:ascii="Times New Roman;Times;Serif" w:hAnsi="Times New Roman;Times;Serif"/>
          <w:b w:val="false"/>
          <w:i w:val="false"/>
          <w:caps/>
          <w:spacing w:val="25"/>
          <w:sz w:val="20"/>
        </w:rPr>
        <w:t xml:space="preserve">OR </w:t>
      </w:r>
      <w:r>
        <w:rPr>
          <w:rFonts w:ascii="Times New Roman;Times;Serif" w:hAnsi="Times New Roman;Times;Serif"/>
          <w:b w:val="false"/>
          <w:i w:val="false"/>
          <w:caps/>
          <w:sz w:val="20"/>
        </w:rPr>
        <w:t>H</w:t>
      </w:r>
      <w:r>
        <w:rPr>
          <w:rFonts w:ascii="Times New Roman;Times;Serif" w:hAnsi="Times New Roman;Times;Serif"/>
          <w:b w:val="false"/>
          <w:i w:val="false"/>
          <w:caps/>
          <w:spacing w:val="1"/>
          <w:sz w:val="20"/>
        </w:rPr>
        <w:t>Y</w:t>
      </w:r>
      <w:r>
        <w:rPr>
          <w:rFonts w:ascii="Times New Roman;Times;Serif" w:hAnsi="Times New Roman;Times;Serif"/>
          <w:b w:val="false"/>
          <w:i w:val="false"/>
          <w:caps/>
          <w:spacing w:val="2"/>
          <w:sz w:val="20"/>
        </w:rPr>
        <w:t>P</w:t>
      </w:r>
      <w:r>
        <w:rPr>
          <w:rFonts w:ascii="Times New Roman;Times;Serif" w:hAnsi="Times New Roman;Times;Serif"/>
          <w:b w:val="false"/>
          <w:i w:val="false"/>
          <w:caps/>
          <w:sz w:val="20"/>
        </w:rPr>
        <w:t>OTHE</w:t>
      </w:r>
      <w:r>
        <w:rPr>
          <w:rFonts w:ascii="Times New Roman;Times;Serif" w:hAnsi="Times New Roman;Times;Serif"/>
          <w:b w:val="false"/>
          <w:i w:val="false"/>
          <w:caps/>
          <w:spacing w:val="-1"/>
          <w:sz w:val="20"/>
        </w:rPr>
        <w:t>CA</w:t>
      </w:r>
      <w:r>
        <w:rPr>
          <w:rFonts w:ascii="Times New Roman;Times;Serif" w:hAnsi="Times New Roman;Times;Serif"/>
          <w:b w:val="false"/>
          <w:i w:val="false"/>
          <w:caps/>
          <w:sz w:val="20"/>
        </w:rPr>
        <w:t>TED IN T</w:t>
      </w:r>
      <w:r>
        <w:rPr>
          <w:rFonts w:ascii="Times New Roman;Times;Serif" w:hAnsi="Times New Roman;Times;Serif"/>
          <w:b w:val="false"/>
          <w:i w:val="false"/>
          <w:caps/>
          <w:spacing w:val="-2"/>
          <w:sz w:val="20"/>
        </w:rPr>
        <w:t>H</w:t>
      </w:r>
      <w:r>
        <w:rPr>
          <w:rFonts w:ascii="Times New Roman;Times;Serif" w:hAnsi="Times New Roman;Times;Serif"/>
          <w:b w:val="false"/>
          <w:i w:val="false"/>
          <w:caps/>
          <w:sz w:val="20"/>
        </w:rPr>
        <w:t xml:space="preserve">E </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BSE</w:t>
      </w:r>
      <w:r>
        <w:rPr>
          <w:rFonts w:ascii="Times New Roman;Times;Serif" w:hAnsi="Times New Roman;Times;Serif"/>
          <w:b w:val="false"/>
          <w:i w:val="false"/>
          <w:caps/>
          <w:spacing w:val="-1"/>
          <w:sz w:val="20"/>
        </w:rPr>
        <w:t>NC</w:t>
      </w:r>
      <w:r>
        <w:rPr>
          <w:rFonts w:ascii="Times New Roman;Times;Serif" w:hAnsi="Times New Roman;Times;Serif"/>
          <w:b w:val="false"/>
          <w:i w:val="false"/>
          <w:caps/>
          <w:sz w:val="20"/>
        </w:rPr>
        <w:t xml:space="preserve">E OF </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N EF</w:t>
      </w:r>
      <w:r>
        <w:rPr>
          <w:rFonts w:ascii="Times New Roman;Times;Serif" w:hAnsi="Times New Roman;Times;Serif"/>
          <w:b w:val="false"/>
          <w:i w:val="false"/>
          <w:caps/>
          <w:spacing w:val="-3"/>
          <w:sz w:val="20"/>
        </w:rPr>
        <w:t>F</w:t>
      </w:r>
      <w:r>
        <w:rPr>
          <w:rFonts w:ascii="Times New Roman;Times;Serif" w:hAnsi="Times New Roman;Times;Serif"/>
          <w:b w:val="false"/>
          <w:i w:val="false"/>
          <w:caps/>
          <w:sz w:val="20"/>
        </w:rPr>
        <w:t>E</w:t>
      </w:r>
      <w:r>
        <w:rPr>
          <w:rFonts w:ascii="Times New Roman;Times;Serif" w:hAnsi="Times New Roman;Times;Serif"/>
          <w:b w:val="false"/>
          <w:i w:val="false"/>
          <w:caps/>
          <w:spacing w:val="-1"/>
          <w:sz w:val="20"/>
        </w:rPr>
        <w:t>C</w:t>
      </w:r>
      <w:r>
        <w:rPr>
          <w:rFonts w:ascii="Times New Roman;Times;Serif" w:hAnsi="Times New Roman;Times;Serif"/>
          <w:b w:val="false"/>
          <w:i w:val="false"/>
          <w:caps/>
          <w:sz w:val="20"/>
        </w:rPr>
        <w:t xml:space="preserve">TIVE </w:t>
      </w:r>
      <w:r>
        <w:rPr>
          <w:rFonts w:ascii="Times New Roman;Times;Serif" w:hAnsi="Times New Roman;Times;Serif"/>
          <w:b w:val="false"/>
          <w:i w:val="false"/>
          <w:caps/>
          <w:spacing w:val="-1"/>
          <w:sz w:val="20"/>
        </w:rPr>
        <w:t>R</w:t>
      </w:r>
      <w:r>
        <w:rPr>
          <w:rFonts w:ascii="Times New Roman;Times;Serif" w:hAnsi="Times New Roman;Times;Serif"/>
          <w:b w:val="false"/>
          <w:i w:val="false"/>
          <w:caps/>
          <w:sz w:val="20"/>
        </w:rPr>
        <w:t>E</w:t>
      </w:r>
      <w:r>
        <w:rPr>
          <w:rFonts w:ascii="Times New Roman;Times;Serif" w:hAnsi="Times New Roman;Times;Serif"/>
          <w:b w:val="false"/>
          <w:i w:val="false"/>
          <w:caps/>
          <w:spacing w:val="-2"/>
          <w:sz w:val="20"/>
        </w:rPr>
        <w:t>G</w:t>
      </w:r>
      <w:r>
        <w:rPr>
          <w:rFonts w:ascii="Times New Roman;Times;Serif" w:hAnsi="Times New Roman;Times;Serif"/>
          <w:b w:val="false"/>
          <w:i w:val="false"/>
          <w:caps/>
          <w:sz w:val="20"/>
        </w:rPr>
        <w:t>I</w:t>
      </w:r>
      <w:r>
        <w:rPr>
          <w:rFonts w:ascii="Times New Roman;Times;Serif" w:hAnsi="Times New Roman;Times;Serif"/>
          <w:b w:val="false"/>
          <w:i w:val="false"/>
          <w:caps/>
          <w:spacing w:val="1"/>
          <w:sz w:val="20"/>
        </w:rPr>
        <w:t>S</w:t>
      </w:r>
      <w:r>
        <w:rPr>
          <w:rFonts w:ascii="Times New Roman;Times;Serif" w:hAnsi="Times New Roman;Times;Serif"/>
          <w:b w:val="false"/>
          <w:i w:val="false"/>
          <w:caps/>
          <w:sz w:val="20"/>
        </w:rPr>
        <w:t>T</w:t>
      </w:r>
      <w:r>
        <w:rPr>
          <w:rFonts w:ascii="Times New Roman;Times;Serif" w:hAnsi="Times New Roman;Times;Serif"/>
          <w:b w:val="false"/>
          <w:i w:val="false"/>
          <w:caps/>
          <w:spacing w:val="-1"/>
          <w:sz w:val="20"/>
        </w:rPr>
        <w:t>RA</w:t>
      </w:r>
      <w:r>
        <w:rPr>
          <w:rFonts w:ascii="Times New Roman;Times;Serif" w:hAnsi="Times New Roman;Times;Serif"/>
          <w:b w:val="false"/>
          <w:i w:val="false"/>
          <w:caps/>
          <w:sz w:val="20"/>
        </w:rPr>
        <w:t>TION ST</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TE</w:t>
      </w:r>
      <w:r>
        <w:rPr>
          <w:rFonts w:ascii="Times New Roman;Times;Serif" w:hAnsi="Times New Roman;Times;Serif"/>
          <w:b w:val="false"/>
          <w:i w:val="false"/>
          <w:caps/>
          <w:spacing w:val="-1"/>
          <w:sz w:val="20"/>
        </w:rPr>
        <w:t>M</w:t>
      </w:r>
      <w:r>
        <w:rPr>
          <w:rFonts w:ascii="Times New Roman;Times;Serif" w:hAnsi="Times New Roman;Times;Serif"/>
          <w:b w:val="false"/>
          <w:i w:val="false"/>
          <w:caps/>
          <w:sz w:val="20"/>
        </w:rPr>
        <w:t>E</w:t>
      </w:r>
      <w:r>
        <w:rPr>
          <w:rFonts w:ascii="Times New Roman;Times;Serif" w:hAnsi="Times New Roman;Times;Serif"/>
          <w:b w:val="false"/>
          <w:i w:val="false"/>
          <w:caps/>
          <w:spacing w:val="-3"/>
          <w:sz w:val="20"/>
        </w:rPr>
        <w:t>N</w:t>
      </w:r>
      <w:r>
        <w:rPr>
          <w:rFonts w:ascii="Times New Roman;Times;Serif" w:hAnsi="Times New Roman;Times;Serif"/>
          <w:b w:val="false"/>
          <w:i w:val="false"/>
          <w:caps/>
          <w:sz w:val="20"/>
        </w:rPr>
        <w:t xml:space="preserve">T </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S TO T</w:t>
      </w:r>
      <w:r>
        <w:rPr>
          <w:rFonts w:ascii="Times New Roman;Times;Serif" w:hAnsi="Times New Roman;Times;Serif"/>
          <w:b w:val="false"/>
          <w:i w:val="false"/>
          <w:caps/>
          <w:spacing w:val="-2"/>
          <w:sz w:val="20"/>
        </w:rPr>
        <w:t>H</w:t>
      </w:r>
      <w:r>
        <w:rPr>
          <w:rFonts w:ascii="Times New Roman;Times;Serif" w:hAnsi="Times New Roman;Times;Serif"/>
          <w:b w:val="false"/>
          <w:i w:val="false"/>
          <w:caps/>
          <w:sz w:val="20"/>
        </w:rPr>
        <w:t>E SE</w:t>
      </w:r>
      <w:r>
        <w:rPr>
          <w:rFonts w:ascii="Times New Roman;Times;Serif" w:hAnsi="Times New Roman;Times;Serif"/>
          <w:b w:val="false"/>
          <w:i w:val="false"/>
          <w:caps/>
          <w:spacing w:val="-1"/>
          <w:sz w:val="20"/>
        </w:rPr>
        <w:t>CU</w:t>
      </w:r>
      <w:r>
        <w:rPr>
          <w:rFonts w:ascii="Times New Roman;Times;Serif" w:hAnsi="Times New Roman;Times;Serif"/>
          <w:b w:val="false"/>
          <w:i w:val="false"/>
          <w:caps/>
          <w:spacing w:val="-3"/>
          <w:sz w:val="20"/>
        </w:rPr>
        <w:t>R</w:t>
      </w:r>
      <w:r>
        <w:rPr>
          <w:rFonts w:ascii="Times New Roman;Times;Serif" w:hAnsi="Times New Roman;Times;Serif"/>
          <w:b w:val="false"/>
          <w:i w:val="false"/>
          <w:caps/>
          <w:sz w:val="20"/>
        </w:rPr>
        <w:t xml:space="preserve">ITIES </w:t>
      </w:r>
      <w:r>
        <w:rPr>
          <w:rFonts w:ascii="Times New Roman;Times;Serif" w:hAnsi="Times New Roman;Times;Serif"/>
          <w:b w:val="false"/>
          <w:i w:val="false"/>
          <w:caps/>
          <w:spacing w:val="-1"/>
          <w:sz w:val="20"/>
        </w:rPr>
        <w:t>UND</w:t>
      </w:r>
      <w:r>
        <w:rPr>
          <w:rFonts w:ascii="Times New Roman;Times;Serif" w:hAnsi="Times New Roman;Times;Serif"/>
          <w:b w:val="false"/>
          <w:i w:val="false"/>
          <w:caps/>
          <w:sz w:val="20"/>
        </w:rPr>
        <w:t>ER S</w:t>
      </w:r>
      <w:r>
        <w:rPr>
          <w:rFonts w:ascii="Times New Roman;Times;Serif" w:hAnsi="Times New Roman;Times;Serif"/>
          <w:b w:val="false"/>
          <w:i w:val="false"/>
          <w:caps/>
          <w:spacing w:val="-1"/>
          <w:sz w:val="20"/>
        </w:rPr>
        <w:t>UCH AC</w:t>
      </w:r>
      <w:r>
        <w:rPr>
          <w:rFonts w:ascii="Times New Roman;Times;Serif" w:hAnsi="Times New Roman;Times;Serif"/>
          <w:b w:val="false"/>
          <w:i w:val="false"/>
          <w:caps/>
          <w:sz w:val="20"/>
        </w:rPr>
        <w:t xml:space="preserve">T AND </w:t>
      </w:r>
      <w:r>
        <w:rPr>
          <w:rFonts w:ascii="Times New Roman;Times;Serif" w:hAnsi="Times New Roman;Times;Serif"/>
          <w:b w:val="false"/>
          <w:i w:val="false"/>
          <w:caps/>
          <w:spacing w:val="-1"/>
          <w:sz w:val="20"/>
        </w:rPr>
        <w:t>AN</w:t>
      </w:r>
      <w:r>
        <w:rPr>
          <w:rFonts w:ascii="Times New Roman;Times;Serif" w:hAnsi="Times New Roman;Times;Serif"/>
          <w:b w:val="false"/>
          <w:i w:val="false"/>
          <w:caps/>
          <w:sz w:val="20"/>
        </w:rPr>
        <w:t xml:space="preserve">Y </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P</w:t>
      </w:r>
      <w:r>
        <w:rPr>
          <w:rFonts w:ascii="Times New Roman;Times;Serif" w:hAnsi="Times New Roman;Times;Serif"/>
          <w:b w:val="false"/>
          <w:i w:val="false"/>
          <w:caps/>
          <w:spacing w:val="-3"/>
          <w:sz w:val="20"/>
        </w:rPr>
        <w:t>P</w:t>
      </w:r>
      <w:r>
        <w:rPr>
          <w:rFonts w:ascii="Times New Roman;Times;Serif" w:hAnsi="Times New Roman;Times;Serif"/>
          <w:b w:val="false"/>
          <w:i w:val="false"/>
          <w:caps/>
          <w:spacing w:val="3"/>
          <w:sz w:val="20"/>
        </w:rPr>
        <w:t>L</w:t>
      </w:r>
      <w:r>
        <w:rPr>
          <w:rFonts w:ascii="Times New Roman;Times;Serif" w:hAnsi="Times New Roman;Times;Serif"/>
          <w:b w:val="false"/>
          <w:i w:val="false"/>
          <w:caps/>
          <w:sz w:val="20"/>
        </w:rPr>
        <w:t>IC</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BLE ST</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 xml:space="preserve">TE </w:t>
      </w:r>
      <w:r>
        <w:rPr>
          <w:rFonts w:ascii="Times New Roman;Times;Serif" w:hAnsi="Times New Roman;Times;Serif"/>
          <w:b w:val="false"/>
          <w:i w:val="false"/>
          <w:caps/>
          <w:spacing w:val="-2"/>
          <w:sz w:val="20"/>
        </w:rPr>
        <w:t>S</w:t>
      </w:r>
      <w:r>
        <w:rPr>
          <w:rFonts w:ascii="Times New Roman;Times;Serif" w:hAnsi="Times New Roman;Times;Serif"/>
          <w:b w:val="false"/>
          <w:i w:val="false"/>
          <w:caps/>
          <w:sz w:val="20"/>
        </w:rPr>
        <w:t>E</w:t>
      </w:r>
      <w:r>
        <w:rPr>
          <w:rFonts w:ascii="Times New Roman;Times;Serif" w:hAnsi="Times New Roman;Times;Serif"/>
          <w:b w:val="false"/>
          <w:i w:val="false"/>
          <w:caps/>
          <w:spacing w:val="-3"/>
          <w:sz w:val="20"/>
        </w:rPr>
        <w:t>C</w:t>
      </w:r>
      <w:r>
        <w:rPr>
          <w:rFonts w:ascii="Times New Roman;Times;Serif" w:hAnsi="Times New Roman;Times;Serif"/>
          <w:b w:val="false"/>
          <w:i w:val="false"/>
          <w:caps/>
          <w:spacing w:val="-1"/>
          <w:sz w:val="20"/>
        </w:rPr>
        <w:t>UR</w:t>
      </w:r>
      <w:r>
        <w:rPr>
          <w:rFonts w:ascii="Times New Roman;Times;Serif" w:hAnsi="Times New Roman;Times;Serif"/>
          <w:b w:val="false"/>
          <w:i w:val="false"/>
          <w:caps/>
          <w:sz w:val="20"/>
        </w:rPr>
        <w:t>ITIES L</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 xml:space="preserve">WS, OR </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 xml:space="preserve">N </w:t>
      </w:r>
      <w:r>
        <w:rPr>
          <w:rFonts w:ascii="Times New Roman;Times;Serif" w:hAnsi="Times New Roman;Times;Serif"/>
          <w:b w:val="false"/>
          <w:i w:val="false"/>
          <w:caps/>
          <w:spacing w:val="2"/>
          <w:sz w:val="20"/>
        </w:rPr>
        <w:t>O</w:t>
      </w:r>
      <w:r>
        <w:rPr>
          <w:rFonts w:ascii="Times New Roman;Times;Serif" w:hAnsi="Times New Roman;Times;Serif"/>
          <w:b w:val="false"/>
          <w:i w:val="false"/>
          <w:caps/>
          <w:spacing w:val="-3"/>
          <w:sz w:val="20"/>
        </w:rPr>
        <w:t>P</w:t>
      </w:r>
      <w:r>
        <w:rPr>
          <w:rFonts w:ascii="Times New Roman;Times;Serif" w:hAnsi="Times New Roman;Times;Serif"/>
          <w:b w:val="false"/>
          <w:i w:val="false"/>
          <w:caps/>
          <w:sz w:val="20"/>
        </w:rPr>
        <w:t xml:space="preserve">INION </w:t>
      </w:r>
      <w:r>
        <w:rPr>
          <w:rFonts w:ascii="Times New Roman;Times;Serif" w:hAnsi="Times New Roman;Times;Serif"/>
          <w:b w:val="false"/>
          <w:i w:val="false"/>
          <w:caps/>
          <w:spacing w:val="2"/>
          <w:sz w:val="20"/>
        </w:rPr>
        <w:t>O</w:t>
      </w:r>
      <w:r>
        <w:rPr>
          <w:rFonts w:ascii="Times New Roman;Times;Serif" w:hAnsi="Times New Roman;Times;Serif"/>
          <w:b w:val="false"/>
          <w:i w:val="false"/>
          <w:caps/>
          <w:sz w:val="20"/>
        </w:rPr>
        <w:t xml:space="preserve">F </w:t>
      </w:r>
      <w:r>
        <w:rPr>
          <w:rFonts w:ascii="Times New Roman;Times;Serif" w:hAnsi="Times New Roman;Times;Serif"/>
          <w:b w:val="false"/>
          <w:i w:val="false"/>
          <w:caps/>
          <w:spacing w:val="-1"/>
          <w:sz w:val="20"/>
        </w:rPr>
        <w:t>C</w:t>
      </w:r>
      <w:r>
        <w:rPr>
          <w:rFonts w:ascii="Times New Roman;Times;Serif" w:hAnsi="Times New Roman;Times;Serif"/>
          <w:b w:val="false"/>
          <w:i w:val="false"/>
          <w:caps/>
          <w:sz w:val="20"/>
        </w:rPr>
        <w:t>O</w:t>
      </w:r>
      <w:r>
        <w:rPr>
          <w:rFonts w:ascii="Times New Roman;Times;Serif" w:hAnsi="Times New Roman;Times;Serif"/>
          <w:b w:val="false"/>
          <w:i w:val="false"/>
          <w:caps/>
          <w:spacing w:val="-1"/>
          <w:sz w:val="20"/>
        </w:rPr>
        <w:t>UN</w:t>
      </w:r>
      <w:r>
        <w:rPr>
          <w:rFonts w:ascii="Times New Roman;Times;Serif" w:hAnsi="Times New Roman;Times;Serif"/>
          <w:b w:val="false"/>
          <w:i w:val="false"/>
          <w:caps/>
          <w:sz w:val="20"/>
        </w:rPr>
        <w:t>SEL S</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TI</w:t>
      </w:r>
      <w:r>
        <w:rPr>
          <w:rFonts w:ascii="Times New Roman;Times;Serif" w:hAnsi="Times New Roman;Times;Serif"/>
          <w:b w:val="false"/>
          <w:i w:val="false"/>
          <w:caps/>
          <w:spacing w:val="1"/>
          <w:sz w:val="20"/>
        </w:rPr>
        <w:t>S</w:t>
      </w:r>
      <w:r>
        <w:rPr>
          <w:rFonts w:ascii="Times New Roman;Times;Serif" w:hAnsi="Times New Roman;Times;Serif"/>
          <w:b w:val="false"/>
          <w:i w:val="false"/>
          <w:caps/>
          <w:spacing w:val="-3"/>
          <w:sz w:val="20"/>
        </w:rPr>
        <w:t>F</w:t>
      </w:r>
      <w:r>
        <w:rPr>
          <w:rFonts w:ascii="Times New Roman;Times;Serif" w:hAnsi="Times New Roman;Times;Serif"/>
          <w:b w:val="false"/>
          <w:i w:val="false"/>
          <w:caps/>
          <w:spacing w:val="-1"/>
          <w:sz w:val="20"/>
        </w:rPr>
        <w:t>AC</w:t>
      </w:r>
      <w:r>
        <w:rPr>
          <w:rFonts w:ascii="Times New Roman;Times;Serif" w:hAnsi="Times New Roman;Times;Serif"/>
          <w:b w:val="false"/>
          <w:i w:val="false"/>
          <w:caps/>
          <w:sz w:val="20"/>
        </w:rPr>
        <w:t>TO</w:t>
      </w:r>
      <w:r>
        <w:rPr>
          <w:rFonts w:ascii="Times New Roman;Times;Serif" w:hAnsi="Times New Roman;Times;Serif"/>
          <w:b w:val="false"/>
          <w:i w:val="false"/>
          <w:caps/>
          <w:spacing w:val="-1"/>
          <w:sz w:val="20"/>
        </w:rPr>
        <w:t>R</w:t>
      </w:r>
      <w:r>
        <w:rPr>
          <w:rFonts w:ascii="Times New Roman;Times;Serif" w:hAnsi="Times New Roman;Times;Serif"/>
          <w:b w:val="false"/>
          <w:i w:val="false"/>
          <w:caps/>
          <w:sz w:val="20"/>
        </w:rPr>
        <w:t xml:space="preserve">Y TO THE </w:t>
      </w:r>
      <w:r>
        <w:rPr>
          <w:rFonts w:ascii="Times New Roman;Times;Serif" w:hAnsi="Times New Roman;Times;Serif"/>
          <w:b w:val="false"/>
          <w:i w:val="false"/>
          <w:caps/>
          <w:spacing w:val="-1"/>
          <w:sz w:val="20"/>
        </w:rPr>
        <w:t xml:space="preserve">COMPANY </w:t>
      </w:r>
      <w:r>
        <w:rPr>
          <w:rFonts w:ascii="Times New Roman;Times;Serif" w:hAnsi="Times New Roman;Times;Serif"/>
          <w:b w:val="false"/>
          <w:i w:val="false"/>
          <w:caps/>
          <w:sz w:val="20"/>
        </w:rPr>
        <w:t>TH</w:t>
      </w:r>
      <w:r>
        <w:rPr>
          <w:rFonts w:ascii="Times New Roman;Times;Serif" w:hAnsi="Times New Roman;Times;Serif"/>
          <w:b w:val="false"/>
          <w:i w:val="false"/>
          <w:caps/>
          <w:spacing w:val="-1"/>
          <w:sz w:val="20"/>
        </w:rPr>
        <w:t>A</w:t>
      </w:r>
      <w:r>
        <w:rPr>
          <w:rFonts w:ascii="Times New Roman;Times;Serif" w:hAnsi="Times New Roman;Times;Serif"/>
          <w:b w:val="false"/>
          <w:i w:val="false"/>
          <w:caps/>
          <w:sz w:val="20"/>
        </w:rPr>
        <w:t>T S</w:t>
      </w:r>
      <w:r>
        <w:rPr>
          <w:rFonts w:ascii="Times New Roman;Times;Serif" w:hAnsi="Times New Roman;Times;Serif"/>
          <w:b w:val="false"/>
          <w:i w:val="false"/>
          <w:caps/>
          <w:spacing w:val="-1"/>
          <w:sz w:val="20"/>
        </w:rPr>
        <w:t>UC</w:t>
      </w:r>
      <w:r>
        <w:rPr>
          <w:rFonts w:ascii="Times New Roman;Times;Serif" w:hAnsi="Times New Roman;Times;Serif"/>
          <w:b w:val="false"/>
          <w:i w:val="false"/>
          <w:caps/>
          <w:sz w:val="20"/>
        </w:rPr>
        <w:t xml:space="preserve">H </w:t>
      </w:r>
      <w:r>
        <w:rPr>
          <w:rFonts w:ascii="Times New Roman;Times;Serif" w:hAnsi="Times New Roman;Times;Serif"/>
          <w:b w:val="false"/>
          <w:i w:val="false"/>
          <w:caps/>
          <w:spacing w:val="-1"/>
          <w:sz w:val="20"/>
        </w:rPr>
        <w:t>R</w:t>
      </w:r>
      <w:r>
        <w:rPr>
          <w:rFonts w:ascii="Times New Roman;Times;Serif" w:hAnsi="Times New Roman;Times;Serif"/>
          <w:b w:val="false"/>
          <w:i w:val="false"/>
          <w:caps/>
          <w:sz w:val="20"/>
        </w:rPr>
        <w:t>E</w:t>
      </w:r>
      <w:r>
        <w:rPr>
          <w:rFonts w:ascii="Times New Roman;Times;Serif" w:hAnsi="Times New Roman;Times;Serif"/>
          <w:b w:val="false"/>
          <w:i w:val="false"/>
          <w:caps/>
          <w:spacing w:val="-2"/>
          <w:sz w:val="20"/>
        </w:rPr>
        <w:t>G</w:t>
      </w:r>
      <w:r>
        <w:rPr>
          <w:rFonts w:ascii="Times New Roman;Times;Serif" w:hAnsi="Times New Roman;Times;Serif"/>
          <w:b w:val="false"/>
          <w:i w:val="false"/>
          <w:caps/>
          <w:sz w:val="20"/>
        </w:rPr>
        <w:t>I</w:t>
      </w:r>
      <w:r>
        <w:rPr>
          <w:rFonts w:ascii="Times New Roman;Times;Serif" w:hAnsi="Times New Roman;Times;Serif"/>
          <w:b w:val="false"/>
          <w:i w:val="false"/>
          <w:caps/>
          <w:spacing w:val="1"/>
          <w:sz w:val="20"/>
        </w:rPr>
        <w:t>S</w:t>
      </w:r>
      <w:r>
        <w:rPr>
          <w:rFonts w:ascii="Times New Roman;Times;Serif" w:hAnsi="Times New Roman;Times;Serif"/>
          <w:b w:val="false"/>
          <w:i w:val="false"/>
          <w:caps/>
          <w:sz w:val="20"/>
        </w:rPr>
        <w:t>T</w:t>
      </w:r>
      <w:r>
        <w:rPr>
          <w:rFonts w:ascii="Times New Roman;Times;Serif" w:hAnsi="Times New Roman;Times;Serif"/>
          <w:b w:val="false"/>
          <w:i w:val="false"/>
          <w:caps/>
          <w:spacing w:val="-1"/>
          <w:sz w:val="20"/>
        </w:rPr>
        <w:t>RA</w:t>
      </w:r>
      <w:r>
        <w:rPr>
          <w:rFonts w:ascii="Times New Roman;Times;Serif" w:hAnsi="Times New Roman;Times;Serif"/>
          <w:b w:val="false"/>
          <w:i w:val="false"/>
          <w:caps/>
          <w:sz w:val="20"/>
        </w:rPr>
        <w:t xml:space="preserve">TION IS </w:t>
      </w:r>
      <w:r>
        <w:rPr>
          <w:rFonts w:ascii="Times New Roman;Times;Serif" w:hAnsi="Times New Roman;Times;Serif"/>
          <w:b w:val="false"/>
          <w:i w:val="false"/>
          <w:caps/>
          <w:spacing w:val="-1"/>
          <w:sz w:val="20"/>
        </w:rPr>
        <w:t>N</w:t>
      </w:r>
      <w:r>
        <w:rPr>
          <w:rFonts w:ascii="Times New Roman;Times;Serif" w:hAnsi="Times New Roman;Times;Serif"/>
          <w:b w:val="false"/>
          <w:i w:val="false"/>
          <w:caps/>
          <w:sz w:val="20"/>
        </w:rPr>
        <w:t xml:space="preserve">OT </w:t>
      </w:r>
      <w:r>
        <w:rPr>
          <w:rFonts w:ascii="Times New Roman;Times;Serif" w:hAnsi="Times New Roman;Times;Serif"/>
          <w:b w:val="false"/>
          <w:i w:val="false"/>
          <w:caps/>
          <w:spacing w:val="-1"/>
          <w:sz w:val="20"/>
        </w:rPr>
        <w:t>R</w:t>
      </w:r>
      <w:r>
        <w:rPr>
          <w:rFonts w:ascii="Times New Roman;Times;Serif" w:hAnsi="Times New Roman;Times;Serif"/>
          <w:b w:val="false"/>
          <w:i w:val="false"/>
          <w:caps/>
          <w:sz w:val="20"/>
        </w:rPr>
        <w:t>EQ</w:t>
      </w:r>
      <w:r>
        <w:rPr>
          <w:rFonts w:ascii="Times New Roman;Times;Serif" w:hAnsi="Times New Roman;Times;Serif"/>
          <w:b w:val="false"/>
          <w:i w:val="false"/>
          <w:caps/>
          <w:spacing w:val="-1"/>
          <w:sz w:val="20"/>
        </w:rPr>
        <w:t>U</w:t>
      </w:r>
      <w:r>
        <w:rPr>
          <w:rFonts w:ascii="Times New Roman;Times;Serif" w:hAnsi="Times New Roman;Times;Serif"/>
          <w:b w:val="false"/>
          <w:i w:val="false"/>
          <w:caps/>
          <w:sz w:val="20"/>
        </w:rPr>
        <w:t>IRE</w:t>
      </w:r>
      <w:r>
        <w:rPr>
          <w:rFonts w:ascii="Times New Roman;Times;Serif" w:hAnsi="Times New Roman;Times;Serif"/>
          <w:b w:val="false"/>
          <w:i w:val="false"/>
          <w:caps/>
          <w:spacing w:val="-1"/>
          <w:sz w:val="20"/>
        </w:rPr>
        <w:t>D</w:t>
      </w:r>
      <w:r>
        <w:rPr>
          <w:rFonts w:ascii="Times New Roman;Times;Serif" w:hAnsi="Times New Roman;Times;Serif"/>
          <w:b w:val="false"/>
          <w:i w:val="false"/>
          <w:caps/>
          <w:sz w:val="20"/>
        </w:rPr>
        <w:t>.</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DRAGONFLY ENERGY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205"/>
        <w:gridCol w:w="1505"/>
      </w:tblGrid>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$1,700,000.00</w:t>
            </w:r>
          </w:p>
        </w:tc>
        <w:tc>
          <w:tcPr>
            <w:tcW w:w="15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February 27, 2024</w:t>
            </w:r>
          </w:p>
        </w:tc>
      </w:tr>
      <w:tr>
        <w:trPr/>
        <w:tc>
          <w:tcPr>
            <w:tcW w:w="120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Reno,Nevada</w:t>
            </w:r>
          </w:p>
        </w:tc>
      </w:tr>
    </w:tbl>
    <w:p>
      <w:pPr>
        <w:pStyle w:val="TextBody"/>
        <w:bidi w:val="0"/>
        <w:spacing w:before="0" w:after="0"/>
        <w:ind w:left="0" w:right="0" w:hanging="0"/>
        <w:jc w:val="left"/>
        <w:rPr>
          <w:caps w:val="false"/>
          <w:smallCaps w:val="false"/>
        </w:rPr>
      </w:pPr>
      <w:r>
        <w:rPr>
          <w:caps w:val="false"/>
          <w:smallCaps w:val="false"/>
        </w:rPr>
        <w:t> </w:t>
      </w:r>
    </w:p>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DRAGONFLY ENERGY HOLDINGS CORP.,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unconditionally promises to pay to Brian Nelson, an individual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the principal sum of One Million Seven Hundred Dollars ($1,700,000.00), or such lesser amount as shall then equal the outstanding principal amount hereunder, together with all other fees, charges or expenses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Maturity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outstanding principal and all accrued but unpaid fees, charges and expenses under this Note (collectively, the “</w:t>
      </w:r>
      <w:r>
        <w:rPr>
          <w:rFonts w:ascii="Times New Roman;Times;Serif" w:hAnsi="Times New Roman;Times;Serif"/>
          <w:b/>
          <w:i/>
          <w:caps w:val="false"/>
          <w:smallCaps w:val="false"/>
          <w:sz w:val="20"/>
        </w:rPr>
        <w:t>Note Balance</w:t>
      </w:r>
      <w:r>
        <w:rPr>
          <w:rFonts w:ascii="Times New Roman;Times;Serif" w:hAnsi="Times New Roman;Times;Serif"/>
          <w:b w:val="false"/>
          <w:i w:val="false"/>
          <w:caps w:val="false"/>
          <w:smallCaps w:val="false"/>
          <w:sz w:val="20"/>
        </w:rPr>
        <w:t>”) shall be due and payable in full in cash on March 1, 2024 (the “</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 xml:space="preserve">”) or, if earlier, the date of acceleration of the obligations hereunder pursuant to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Loan Fee Payment and Interest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execution of this Note and funding of the original principal sum, a payment of Eighty Five Thousand Dollars ($85,000.00) (the “</w:t>
      </w:r>
      <w:r>
        <w:rPr>
          <w:rFonts w:ascii="Times New Roman;Times;Serif" w:hAnsi="Times New Roman;Times;Serif"/>
          <w:b/>
          <w:i/>
          <w:caps w:val="false"/>
          <w:smallCaps w:val="false"/>
          <w:sz w:val="20"/>
        </w:rPr>
        <w:t>Loan Fee</w:t>
      </w:r>
      <w:r>
        <w:rPr>
          <w:rFonts w:ascii="Times New Roman;Times;Serif" w:hAnsi="Times New Roman;Times;Serif"/>
          <w:b w:val="false"/>
          <w:i w:val="false"/>
          <w:caps w:val="false"/>
          <w:smallCaps w:val="false"/>
          <w:sz w:val="20"/>
        </w:rPr>
        <w:t xml:space="preserve">”) shall be fully earned as of the date hereof but due and payable in full in cash on March 1, 2024, or, if earlier, the date of acceleration of the obligations hereunder pursuant to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Loan Fee Payment Date</w:t>
      </w:r>
      <w:r>
        <w:rPr>
          <w:rFonts w:ascii="Times New Roman;Times;Serif" w:hAnsi="Times New Roman;Times;Serif"/>
          <w:b w:val="false"/>
          <w:i w:val="false"/>
          <w:caps w:val="false"/>
          <w:smallCaps w:val="false"/>
          <w:sz w:val="20"/>
        </w:rPr>
        <w:t>”). If the Loan Fee is not received in full by the Loan Fee Payment Date, a penalty of an additional Fifty Thousand Dollars ($50,000.00) (the “</w:t>
      </w:r>
      <w:r>
        <w:rPr>
          <w:rFonts w:ascii="Times New Roman;Times;Serif" w:hAnsi="Times New Roman;Times;Serif"/>
          <w:b/>
          <w:i/>
          <w:caps w:val="false"/>
          <w:smallCaps w:val="false"/>
          <w:sz w:val="20"/>
        </w:rPr>
        <w:t>First Penalty Fee</w:t>
      </w:r>
      <w:r>
        <w:rPr>
          <w:rFonts w:ascii="Times New Roman;Times;Serif" w:hAnsi="Times New Roman;Times;Serif"/>
          <w:b w:val="false"/>
          <w:i w:val="false"/>
          <w:caps w:val="false"/>
          <w:smallCaps w:val="false"/>
          <w:sz w:val="20"/>
        </w:rPr>
        <w:t>”) shall immediately accrue in full as of March 5, 2024, and so long as the principal, Loan Fee and First Penalty Fee remain unpaid thereafter, an additional Fifty Thousand Dollars ($50,000.00) shall immediately accrue in full as of April 5, 2024. If the Note Balance has not been fully repaid by May 1, 2024, the Company will repay the Note Balance with any combination of (i) cash, and (ii) the granting of common stock of the Company to the Investor, in an amount equal to the Note Balance as of the date thereof; provided, however, if the Company opts to pay in whole or in part pursuant to clause (ii) herein, the amount payable shall be at a price per share equal to the Consolidated Closing Bid Price of the common stock as reported by Nasdaq on the date immediately prior to payment; provided, however that such price shall not be less than $0.55.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Payments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Payments Generally</w:t>
      </w:r>
      <w:r>
        <w:rPr>
          <w:rFonts w:ascii="Times New Roman;Times;Serif" w:hAnsi="Times New Roman;Times;Serif"/>
          <w:b w:val="false"/>
          <w:i w:val="false"/>
          <w:caps w:val="false"/>
          <w:smallCaps w:val="false"/>
          <w:sz w:val="20"/>
        </w:rPr>
        <w:t>. All payments shall be made in lawful money of the United States of America at such place as the Investor hereof may from time to time designate in writing to the Company. Any amount that is repaid or prepaid may not be re-borrowed. Any amounts due and payable hereunder will be sent by wire transfer in accordance with instructions delivered to the Company by the Investor. If any payment to be made by Borrower hereunder becomes due on a day which is not a Business Day (as defined below), such payment must be made on the next succeeding Business Day.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Optional Prepayments</w:t>
      </w:r>
      <w:r>
        <w:rPr>
          <w:rFonts w:ascii="Times New Roman;Times;Serif" w:hAnsi="Times New Roman;Times;Serif"/>
          <w:b w:val="false"/>
          <w:i w:val="false"/>
          <w:caps w:val="false"/>
          <w:smallCaps w:val="false"/>
          <w:sz w:val="20"/>
        </w:rPr>
        <w:t>. The Company may prepay all or any portion of the outstanding principal of the Note at any time without premium or penalty.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Mandatory Prepayment</w:t>
      </w:r>
      <w:r>
        <w:rPr>
          <w:rFonts w:ascii="Times New Roman;Times;Serif" w:hAnsi="Times New Roman;Times;Serif"/>
          <w:b w:val="false"/>
          <w:i w:val="false"/>
          <w:caps w:val="false"/>
          <w:smallCaps w:val="false"/>
          <w:sz w:val="20"/>
        </w:rPr>
        <w:t>. Within one Business Day after the occurrence of a Change of Control (as defined below), the Company shall repay all outstanding obligations under the Note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Interest Rate Limitation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to the contrary contained in this Note, the interest paid or agreed to be paid under this Note shall not exceed the maximum rate of non-usurious interest permitted by applicable law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If the Investor shall receive interest in an amount that exceeds the Maximum Rate, the excess interest shall be applied to the principal remaining owed under this Note or, if it exceeds such unpaid principal, refunded to the Company. In determining whether the interest contracted for, charged, or received by the Investor exceeds the Maximum Rate, the Investor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Events of Default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of the following shall constitute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under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fail to observe or perform any other material covenant, obligation, condition or agreement contained in this Note, including the failure to pay any amounts under this Note when due;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involuntary petition is filed against the Company (unless such petition is dismissed or discharged within 45 days under any bankruptcy statute now or hereafter in effect, or a custodian, receiver, trustee, assignee for the benefit of creditors (or other similar official) is appointed to take possession, custody or control of any property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promptly notify the Investor upon the occurrence of an Event of Default or if the Company has knowledge of or becomes aware of a pending or potential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there shall be any Event of Default hereunder, automatically upon the occurrence and during the continuation of an Event of Default under </w:t>
      </w:r>
      <w:r>
        <w:rPr>
          <w:rFonts w:ascii="Times New Roman;Times;Serif" w:hAnsi="Times New Roman;Times;Serif"/>
          <w:b w:val="false"/>
          <w:i w:val="false"/>
          <w:caps w:val="false"/>
          <w:smallCaps w:val="false"/>
          <w:sz w:val="20"/>
          <w:u w:val="single"/>
        </w:rPr>
        <w:t>Section 5(a)(ii)</w:t>
      </w:r>
      <w:r>
        <w:rPr>
          <w:rFonts w:ascii="Times New Roman;Times;Serif" w:hAnsi="Times New Roman;Times;Serif"/>
          <w:b w:val="false"/>
          <w:i w:val="false"/>
          <w:caps w:val="false"/>
          <w:smallCaps w:val="false"/>
          <w:sz w:val="20"/>
        </w:rPr>
        <w:t xml:space="preserve"> or 5</w:t>
      </w:r>
      <w:r>
        <w:rPr>
          <w:rFonts w:ascii="Times New Roman;Times;Serif" w:hAnsi="Times New Roman;Times;Serif"/>
          <w:b w:val="false"/>
          <w:i w:val="false"/>
          <w:caps w:val="false"/>
          <w:smallCaps w:val="false"/>
          <w:sz w:val="20"/>
          <w:u w:val="single"/>
        </w:rPr>
        <w:t>(a)(iii)</w:t>
      </w:r>
      <w:r>
        <w:rPr>
          <w:rFonts w:ascii="Times New Roman;Times;Serif" w:hAnsi="Times New Roman;Times;Serif"/>
          <w:b w:val="false"/>
          <w:i w:val="false"/>
          <w:caps w:val="false"/>
          <w:smallCaps w:val="false"/>
          <w:sz w:val="20"/>
        </w:rPr>
        <w:t xml:space="preserve"> and at the option of the Investor and upon written notice to the Company upon the occurrence and during the continuation of any other Event of Default, this Note shall accelerate and all principal and unpaid fees, expenses and other charges shall become promptly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Representations of the Company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represents and warrants to the Investor, as of the date hereof, that (a) the Company is duly organized and validly existing, with all the requisite power and authority to execute, deliver and perform all of its obligations under this Note, (b) the Company’s obligations under this Note have been duly authorized and approved by all necessary actions, (c) this Note constitutes a valid and binding obligation of the Company, enforceable against the Company in accordance with its terms, except as such enforceability may be limited by bankruptcy, insolvency, reorganization, moratorium or other similar laws relating to or affecting the rights and remedies of creditors or by general equitable principles, and (d) the Company has total assets of at least two million dollars ($2,000,000) according to its most recent financial statements, which are dated not more than 90 days before the date hereof.</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Representations of the Investor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Investor represents and warrants to the Company, as of the date hereof, that (a) the Note will be acquired for investment for the Investor’s own account, not as a nominee or agent, and not with a view to the public resale or distribution thereof within the meaning of the Securities Act, and the Investor has no present intention of selling, granting any participation in, or otherwise distributing the same, (b) the Investor has not directly or indirectly, including through a broker or finder (i) engaged in any general solicitation with respect to the offer and sale of the Note, or (ii) published any advertisement in connection with the offer and sale of the Note, (c) the Investor has received or has had full access to all the information the Investor considers necessary or appropriate to make an informed investment decision with respect to the Note, (d) the Investor further has had an opportunity to ask questions and receive answers from the Company regarding the terms and conditions of the offering of the Note and to obtain additional information (to the extent the Company possessed such information or could acquire it without unreasonable effort or expense) necessary to verify any information furnished to the Investor or to which the Investor had access (it being understood that the foregoing, however, does not in any way limit or modify the representations and warranties made by the Company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(e) the Investor understands that the purchase of the Note involves substantial risk and the Investor has experience as an investor in securities of companies in the development stage and acknowledges that the Investor is able to fend for itself, can bear the economic risk of the Investor’s investment in the Note(s), (f) the Investor either (i) has such knowledge and experience in financial or business matters that the Investor is capable of evaluating the merits and risks of this investment in the Note and protecting the Investor’s own interests in connection with this investment in the Note or (ii) has a preexisting personal or business relationship with the Company and certain of its officers, directors or controlling persons of a nature and duration that enables the Investor to be aware of the character, business acumen and financial circumstances of such persons, (g) the Investor is familiar with the definition of, and qualifies as, an “accredited investor” within the meaning of Regulation D promulgated under the Securities Act, and (h) the Investor understands and agrees that the Note will bear a legend that may be required by applicable law, the Company’s Charter or Bylaws or any other agreement between the Company and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Transfer; 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terms and conditions of this Note shall inure to the benefit of and be binding upon the respective successors and assigns of the parties. Notwithstanding the foregoing, the Investor may not assign, pledge, or otherwise transfer this Note without the prior written consent of the Company, except for transfers to affiliates. Subject to the preceding sentence, this Note may be transferred only upon surrender of the original Note for registration of transfer, duly endorsed, or accompanied by a duly executed written instrument of transfer in form satisfactory to the Company. Thereupon, a new note for the same principal amount and interest will be issued to, and registered in the name of, the transferee. Fees, charges, expenses and principal are payable only to the registered holder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and all acts and transactions pursuant hereto and the rights and obligations of the parties hereto shall be governed, construed and interpreted in accordance with the laws of the State of Nevada, without giving effect to principles of conflicts of law. All disputes and controversies arising out of or in connection with this Note shall be resolved exclusively by the applicable state court for the city of Reno in the State of Nevada or any court of the United States located in the State of Nevada, and each party hereto agrees to submit to the jurisdiction of said courts and agrees that venue shall lie exclusively with such courts.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notice, demand or request required or permitted to be given under this Note shall be given in writing and shall be 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term of this Note may be amended only with the written consent of the Company and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Loss of Note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receipt by the Company of evidence satisfactory to it of the loss, theft, destruction or mutilation of this Note or any Note exchanged for it, and indemnity satisfactory to the Company (in case of loss, theft or destruction) or surrender and cancellation of this Note (in the case of mutilation), the Company will make and deliver in lieu of this Note a new Note of like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Stockholders, Officers and Directors Not Liable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no event shall any stockholder, officer or director of the Company be liable for any amounts due or payable pursuant to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Action to Collect on Note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action is instituted to collect on this Note, the Company promises to pay all costs and expenses, including reasonable attorney’s fees, incurred in connection with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No Right of Set-Off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Company’s obligations under this Note shall be the absolute and unconditional duty and obligation of the Company and shall be independent of any rights of set-off, recoupment or counterclaim that the Company might otherwise have against the Investor. The Company shall pay absolutely the payments of principal, the Final Payment, fees and expenses as and when required hereunder, free of any deductions and without abatement, diminution or set-off.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Defined Terms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addition to those terms defined elsewhere in this Note, as used in this Note,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that (i) the Company leases, licenses, sells or otherwise disposes of all or substantially all of its assets; (ii) any “person” or “group” (within the meaning of Sections 13(d) and 14(d) of the Exchange Act) becomes the beneficial owner (as defined in Rule 13d-3 under the Exchange Act), directly or indirectly, of 50%, or more, of the capital stock of the Company, other than the majority holders of the Company’s capital stock as of the date hereof; or (iii) following a merger or consolidation, the holders of the capital stock of the Company as of the date hereof and any holders permitted under clause (ii)(B) above shall cease to own, on a fully diluted basis, more than 50% of the capital stock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 weekday on which banks are open for general banking business in Reno, Nevada.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the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executed this Note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838"/>
        <w:gridCol w:w="30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caps w:val="false"/>
                <w:smallCaps w:val="false"/>
              </w:rPr>
            </w:pPr>
            <w:r>
              <w:rPr>
                <w:caps w:val="false"/>
                <w:smallCaps w:val="false"/>
              </w:rPr>
              <w:t> </w:t>
            </w:r>
          </w:p>
        </w:tc>
        <w:tc>
          <w:tcPr>
            <w:tcW w:w="300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caps w:val="false"/>
                <w:smallCaps w:val="false"/>
              </w:rPr>
            </w:pPr>
            <w:r>
              <w:rPr>
                <w:caps w:val="false"/>
                <w:smallCaps w:val="false"/>
              </w:rPr>
              <w:t> </w:t>
            </w:r>
          </w:p>
        </w:tc>
        <w:tc>
          <w:tcPr>
            <w:tcW w:w="300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0" w:type="dxa"/>
          <w:right w:w="0" w:type="dxa"/>
        </w:tblCellMar>
      </w:tblPr>
      <w:tblGrid>
        <w:gridCol w:w="75"/>
        <w:gridCol w:w="3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Notice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John Marchetti and Dominic Sinnott</w:t>
            </w:r>
          </w:p>
        </w:tc>
      </w:tr>
    </w:tbl>
    <w:p>
      <w:pPr>
        <w:pStyle w:val="TextBody"/>
        <w:bidi w:val="0"/>
        <w:spacing w:before="0" w:after="0"/>
        <w:ind w:left="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537"/>
        <w:gridCol w:w="2272"/>
        <w:gridCol w:w="75"/>
      </w:tblGrid>
      <w:tr>
        <w:trPr/>
        <w:tc>
          <w:tcPr>
            <w:tcW w:w="2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TO AND ACCEPTED: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227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7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22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227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Notice Information: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PROMISSORY NOTE OF DRAGONFLY ENERGY HOLDINGS CORP.</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3350</Words>
  <Characters>17197</Characters>
  <CharactersWithSpaces>20580</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