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760" w:type="dxa"/>
            <w:vAlign w:val="bottom"/>
            <w:gridSpan w:val="3"/>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200" w:type="dxa"/>
            <w:vAlign w:val="bottom"/>
          </w:tcPr>
          <w:p>
            <w:pPr>
              <w:spacing w:after="0"/>
              <w:rPr>
                <w:sz w:val="21"/>
                <w:szCs w:val="21"/>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4"/>
        </w:trPr>
        <w:tc>
          <w:tcPr>
            <w:tcW w:w="36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2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760" w:type="dxa"/>
            <w:vAlign w:val="bottom"/>
            <w:tcBorders>
              <w:top w:val="single" w:sz="8" w:color="auto"/>
            </w:tcBorders>
            <w:gridSpan w:val="3"/>
          </w:tcPr>
          <w:p>
            <w:pPr>
              <w:jc w:val="center"/>
              <w:ind w:right="8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68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960" w:type="dxa"/>
            <w:vAlign w:val="bottom"/>
            <w:gridSpan w:val="4"/>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6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680" w:type="dxa"/>
            <w:vAlign w:val="bottom"/>
            <w:tcBorders>
              <w:bottom w:val="single" w:sz="8" w:color="auto"/>
            </w:tcBorders>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8"/>
        </w:trPr>
        <w:tc>
          <w:tcPr>
            <w:tcW w:w="46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(775) 622 – 3448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19685</wp:posOffset>
            </wp:positionV>
            <wp:extent cx="3566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45"/>
        </w:trPr>
        <w:tc>
          <w:tcPr>
            <w:tcW w:w="4740" w:type="dxa"/>
            <w:vAlign w:val="bottom"/>
            <w:gridSpan w:val="2"/>
          </w:tcPr>
          <w:p>
            <w:pPr>
              <w:ind w:left="15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4"/>
        </w:trPr>
        <w:tc>
          <w:tcPr>
            <w:tcW w:w="4500" w:type="dxa"/>
            <w:vAlign w:val="bottom"/>
            <w:tcBorders>
              <w:top w:val="single" w:sz="8" w:color="auto"/>
            </w:tcBorders>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par value $0.0001</w:t>
            </w:r>
          </w:p>
        </w:tc>
        <w:tc>
          <w:tcPr>
            <w:tcW w:w="240" w:type="dxa"/>
            <w:vAlign w:val="bottom"/>
          </w:tcPr>
          <w:p>
            <w:pPr>
              <w:spacing w:after="0"/>
              <w:rPr>
                <w:sz w:val="16"/>
                <w:szCs w:val="16"/>
                <w:color w:val="auto"/>
              </w:rPr>
            </w:pPr>
          </w:p>
        </w:tc>
        <w:tc>
          <w:tcPr>
            <w:tcW w:w="22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DFLI</w:t>
            </w:r>
          </w:p>
        </w:tc>
        <w:tc>
          <w:tcPr>
            <w:tcW w:w="220" w:type="dxa"/>
            <w:vAlign w:val="bottom"/>
          </w:tcPr>
          <w:p>
            <w:pPr>
              <w:spacing w:after="0"/>
              <w:rPr>
                <w:sz w:val="16"/>
                <w:szCs w:val="16"/>
                <w:color w:val="auto"/>
              </w:rPr>
            </w:pPr>
          </w:p>
        </w:tc>
        <w:tc>
          <w:tcPr>
            <w:tcW w:w="40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The Nasdaq Global Market</w:t>
            </w: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Redeemable warrants, exercisable for common stock at an</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DFLIW</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Capital Market</w:t>
            </w:r>
          </w:p>
        </w:tc>
      </w:t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 of $11.50 per share, subject to adjustment</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Changes in Fiscal Year.</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described under Proposal 2 of Item 5.07 of this Current Report, on November 29, 2023, the stockholders of Dragonfly Energy Holdings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voted at the Company’s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to approve an amendment to the Company’s articles of incorporation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to increase the number of authorized shares of common stock, par value of $0.0001 per share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from 170,000,000 shares to 250,000,000 shares. The Articles of Incorporation were amended by deleting Article 4 thereof in its entirety and inserting the following: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NUMBER OF SHARES WITH PAR VALUE: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250,000,000 COMMON - $0.0001 PAR VALUE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5,000,000 PREFERRED - $0.0001 PAR VALUE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Certificate of Amendment to the Articles of Incorporation as filed with the Secretary of State of the State of Nevada on November 29, 2023 is attached to this Current Report as Exhibit 3.1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On November 29, 2023, the Company held its Annual Meeting. The matters voted on at the Annual Meeting were: (i) the election of two Class A directors to hold office until the 2026 annual meeting of stockholders; (ii) the adoption of an amendment to the Articles of Incorporation to increase the number of shares of the Company’s Common Stock authorized for issuance thereunder from 170,000,000 shares to 250,000,000 shares (“</w:t>
      </w:r>
      <w:r>
        <w:rPr>
          <w:rFonts w:ascii="Times New Roman" w:cs="Times New Roman" w:eastAsia="Times New Roman" w:hAnsi="Times New Roman"/>
          <w:sz w:val="18"/>
          <w:szCs w:val="18"/>
          <w:b w:val="1"/>
          <w:bCs w:val="1"/>
          <w:color w:val="auto"/>
        </w:rPr>
        <w:t>Proposal 2</w:t>
      </w:r>
      <w:r>
        <w:rPr>
          <w:rFonts w:ascii="Times New Roman" w:cs="Times New Roman" w:eastAsia="Times New Roman" w:hAnsi="Times New Roman"/>
          <w:sz w:val="18"/>
          <w:szCs w:val="18"/>
          <w:color w:val="auto"/>
        </w:rPr>
        <w:t>”); and</w:t>
      </w:r>
    </w:p>
    <w:p>
      <w:pPr>
        <w:spacing w:after="0" w:line="1" w:lineRule="exact"/>
        <w:rPr>
          <w:sz w:val="20"/>
          <w:szCs w:val="20"/>
          <w:color w:val="auto"/>
        </w:rPr>
      </w:pPr>
    </w:p>
    <w:p>
      <w:pPr>
        <w:ind w:firstLine="8"/>
        <w:spacing w:after="0" w:line="260" w:lineRule="auto"/>
        <w:tabs>
          <w:tab w:leader="none" w:pos="33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adjournment of the Annual Meeting in the event that the number of shares of Common Stock present or represented by proxy at the Annual Meeting and voting “FOR” the adoption of Proposal 2 were insufficient.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for each item of business voted upon at the Annual Meeting were as follows:</w:t>
      </w:r>
    </w:p>
    <w:p>
      <w:pPr>
        <w:spacing w:after="0" w:line="225"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with respect to the proposal to elect the following Class A directors, Rick Parod and Karina Montilla Edmonds, as directors of the Company to hold office until the 2026 annual meeting and until his or her successor has been duly elected and qualified, or, if sooner, until the director’s death, resignation or removal, were as follows:</w:t>
      </w:r>
    </w:p>
    <w:p>
      <w:pPr>
        <w:spacing w:after="0" w:line="17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BROKER</w:t>
            </w:r>
          </w:p>
        </w:tc>
      </w:tr>
      <w:tr>
        <w:trPr>
          <w:trHeight w:val="245"/>
        </w:trPr>
        <w:tc>
          <w:tcPr>
            <w:tcW w:w="4320" w:type="dxa"/>
            <w:vAlign w:val="bottom"/>
          </w:tcPr>
          <w:p>
            <w:pPr>
              <w:spacing w:after="0"/>
              <w:rPr>
                <w:sz w:val="21"/>
                <w:szCs w:val="21"/>
                <w:color w:val="auto"/>
              </w:rPr>
            </w:pP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NON-VOTES</w:t>
            </w: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Rick Parod</w:t>
            </w: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40,918,637</w:t>
            </w: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608,452</w:t>
            </w:r>
          </w:p>
        </w:tc>
        <w:tc>
          <w:tcPr>
            <w:tcW w:w="1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6,791,062</w:t>
            </w: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Karina Montilla Edmonds</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40,272,566</w:t>
            </w:r>
          </w:p>
        </w:tc>
        <w:tc>
          <w:tcPr>
            <w:tcW w:w="180" w:type="dxa"/>
            <w:vAlign w:val="bottom"/>
          </w:tcPr>
          <w:p>
            <w:pPr>
              <w:spacing w:after="0"/>
              <w:rPr>
                <w:sz w:val="20"/>
                <w:szCs w:val="20"/>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1,317,523</w:t>
            </w:r>
          </w:p>
        </w:tc>
        <w:tc>
          <w:tcPr>
            <w:tcW w:w="1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6,791,062</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elected each nominee to serve as a Class A director of the Company.</w:t>
      </w:r>
    </w:p>
    <w:p>
      <w:pPr>
        <w:spacing w:after="0" w:line="225" w:lineRule="exact"/>
        <w:rPr>
          <w:sz w:val="20"/>
          <w:szCs w:val="20"/>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with respect to the proposal to adopt an amendment to the Articles of Incorporation to increase the number of shares of Common Stock authorized for issuance thereunder from 170,000,000 shares to 250,000,000 shares were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28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42,863,626</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5,400,169</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117,356</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stockholders approved the proposal to adopt the amendment to the Articles of Incorporation.</w:t>
      </w:r>
    </w:p>
    <w:p>
      <w:pPr>
        <w:spacing w:after="0" w:line="225"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votes cast with respect to the proposal to adjourn the Annual Meeting in the event that the number of shares of Common Stock present or represented by proxy at the Annual Meeting and voting “FOR” the adoption of Proposal 2 were insufficient were as follows:</w:t>
      </w:r>
    </w:p>
    <w:p>
      <w:pPr>
        <w:spacing w:after="0" w:line="171" w:lineRule="exact"/>
        <w:rPr>
          <w:sz w:val="20"/>
          <w:szCs w:val="20"/>
          <w:color w:val="auto"/>
        </w:rPr>
      </w:pPr>
    </w:p>
    <w:tbl>
      <w:tblPr>
        <w:tblLayout w:type="fixed"/>
        <w:tblInd w:w="1140" w:type="dxa"/>
        <w:tblCellMar>
          <w:top w:w="0" w:type="dxa"/>
          <w:left w:w="0" w:type="dxa"/>
          <w:bottom w:w="0" w:type="dxa"/>
          <w:right w:w="0" w:type="dxa"/>
        </w:tblCellMar>
      </w:tblPr>
      <w:tr>
        <w:trPr>
          <w:trHeight w:val="245"/>
        </w:trPr>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ABSTAIN</w:t>
            </w:r>
          </w:p>
        </w:tc>
      </w:tr>
      <w:tr>
        <w:trPr>
          <w:trHeight w:val="216"/>
        </w:trPr>
        <w:tc>
          <w:tcPr>
            <w:tcW w:w="2880" w:type="dxa"/>
            <w:vAlign w:val="bottom"/>
            <w:tcBorders>
              <w:top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43,433,652</w:t>
            </w:r>
          </w:p>
        </w:tc>
        <w:tc>
          <w:tcPr>
            <w:tcW w:w="180" w:type="dxa"/>
            <w:vAlign w:val="bottom"/>
            <w:tcBorders>
              <w:top w:val="single" w:sz="8" w:color="CCEEFF"/>
            </w:tcBorders>
            <w:shd w:val="clear" w:color="auto" w:fill="CCEEFF"/>
          </w:tcPr>
          <w:p>
            <w:pPr>
              <w:spacing w:after="0"/>
              <w:rPr>
                <w:sz w:val="18"/>
                <w:szCs w:val="18"/>
                <w:color w:val="auto"/>
              </w:rPr>
            </w:pPr>
          </w:p>
        </w:tc>
        <w:tc>
          <w:tcPr>
            <w:tcW w:w="2880" w:type="dxa"/>
            <w:vAlign w:val="bottom"/>
            <w:tcBorders>
              <w:top w:val="single" w:sz="8" w:color="auto"/>
            </w:tcBorders>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color w:val="auto"/>
              </w:rPr>
              <w:t>4,625,573</w:t>
            </w:r>
          </w:p>
        </w:tc>
        <w:tc>
          <w:tcPr>
            <w:tcW w:w="180" w:type="dxa"/>
            <w:vAlign w:val="bottom"/>
            <w:tcBorders>
              <w:top w:val="single" w:sz="8" w:color="CCEEFF"/>
            </w:tcBorders>
            <w:shd w:val="clear" w:color="auto" w:fill="CCEEFF"/>
          </w:tcPr>
          <w:p>
            <w:pPr>
              <w:spacing w:after="0"/>
              <w:rPr>
                <w:sz w:val="18"/>
                <w:szCs w:val="18"/>
                <w:color w:val="auto"/>
              </w:rPr>
            </w:pPr>
          </w:p>
        </w:tc>
        <w:tc>
          <w:tcPr>
            <w:tcW w:w="2860" w:type="dxa"/>
            <w:vAlign w:val="bottom"/>
            <w:tcBorders>
              <w:top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321,926</w:t>
            </w:r>
          </w:p>
        </w:tc>
      </w:tr>
    </w:tbl>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stockholders approved the adjournment of the Annual Meeting based on the votes set forth above; however, an adjournment was not needed as Proposal 2 received a sufficient number of votes for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88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453"/>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8880" w:type="dxa"/>
            <w:vAlign w:val="bottom"/>
            <w:tcBorders>
              <w:top w:val="single" w:sz="8" w:color="auto"/>
              <w:bottom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Certificate of Amendment to the Articles of Incorporation of Dragonfly Energy Holdings Corp., dated November 29, 2023.</w:t>
            </w:r>
          </w:p>
        </w:tc>
        <w:tc>
          <w:tcPr>
            <w:tcW w:w="1260" w:type="dxa"/>
            <w:vAlign w:val="bottom"/>
            <w:tcBorders>
              <w:top w:val="single" w:sz="8" w:color="auto"/>
            </w:tcBorders>
          </w:tcPr>
          <w:p>
            <w:pPr>
              <w:spacing w:after="0"/>
              <w:rPr>
                <w:sz w:val="15"/>
                <w:szCs w:val="15"/>
                <w:color w:val="auto"/>
              </w:rPr>
            </w:pPr>
          </w:p>
        </w:tc>
      </w:t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XRBL document).</w:t>
            </w:r>
          </w:p>
        </w:tc>
      </w:tr>
      <w:tr>
        <w:trPr>
          <w:trHeight w:val="439"/>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November 29,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Denis Phares</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ind w:left="9120"/>
        <w:spacing w:after="0"/>
        <w:rPr>
          <w:sz w:val="20"/>
          <w:szCs w:val="20"/>
          <w:color w:val="auto"/>
        </w:rPr>
      </w:pPr>
      <w:r>
        <w:rPr>
          <w:rFonts w:ascii="Times New Roman" w:cs="Times New Roman" w:eastAsia="Times New Roman" w:hAnsi="Times New Roman"/>
          <w:sz w:val="21"/>
          <w:szCs w:val="21"/>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175260</wp:posOffset>
            </wp:positionV>
            <wp:extent cx="7132320" cy="77235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7723505"/>
                    </a:xfrm>
                    <a:prstGeom prst="rect">
                      <a:avLst/>
                    </a:prstGeom>
                    <a:noFill/>
                  </pic:spPr>
                </pic:pic>
              </a:graphicData>
            </a:graphic>
          </wp:anchor>
        </w:drawing>
      </w:r>
    </w:p>
    <w:p>
      <w:pPr>
        <w:sectPr>
          <w:pgSz w:w="11900" w:h="16838" w:orient="portrait"/>
          <w:cols w:equalWidth="0" w:num="1">
            <w:col w:w="10120"/>
          </w:cols>
          <w:pgMar w:left="1440" w:top="351" w:right="3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77235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7723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ind w:left="9840"/>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24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of Amendment to Articles of Incorporation (Pursuant to NRS 78.385 and 78.390 - After Issuance of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vote by which the stockholders holding shares in the corporation entitling them to exercise at least a majority of the voting power, or such greater proportion of the voting power as may be required in the case of a vote by classes or series, or as may be required by the provisions of the articles of incorporation* have voted in favor of the amendment is: in excess of a majority.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FOURTH of the Articles of Incorporation of Dragonfly Energy Holdings Corp. is amended in its entirety to read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WITH PAR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250,000,000 COMMON - $0.0001 PAR VALUE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 PREFERRED - $0.0001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291465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580"/>
      </w:cols>
      <w:pgMar w:left="98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Roman"/>
      <w:start w:val="3"/>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2"/>
    </w:lvl>
  </w:abstractNum>
  <w:abstractNum w:abstractNumId="4">
    <w:nsid w:val="46E87CCD"/>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2023-11-30T05:15:39Z</dcterms:created>
  <dcterms:modified xsi:type="dcterms:W3CDTF">2023-11-30T05:15:39Z</dcterms:modified>
</cp:coreProperties>
</file>