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8_edei--DocumentQuarterlyReport_db"/>
      <w:bookmarkEnd w:id="3"/>
      <w:r>
        <w:rPr>
          <w:caps w:val="false"/>
          <w:smallCaps w:val="false"/>
        </w:rPr>
        <w:t xml:space="preserve">☒ </w:t>
      </w:r>
      <w:r>
        <w:rPr>
          <w:rFonts w:ascii="Times New Roman;Times;Serif" w:hAnsi="Times New Roman;Times;Serif"/>
          <w:b/>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9_edei--DocumentPeriodEndDate_c202"/>
      <w:bookmarkEnd w:id="4"/>
      <w:r>
        <w:rPr>
          <w:rFonts w:ascii="Times New Roman;Times;Serif" w:hAnsi="Times New Roman;Times;Serif"/>
          <w:b/>
          <w:i w:val="false"/>
          <w:caps w:val="false"/>
          <w:smallCaps w:val="false"/>
          <w:sz w:val="20"/>
        </w:rPr>
        <w:t xml:space="preserve">September 30, </w:t>
      </w:r>
      <w:bookmarkStart w:id="5" w:name="xdx_90D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xdx_90F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_________________ to 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F_edei--EntityFileNumber_c20240101"/>
      <w:bookmarkEnd w:id="7"/>
      <w:r>
        <w:rPr>
          <w:rFonts w:ascii="Times New Roman;Times;Serif" w:hAnsi="Times New Roman;Times;Serif"/>
          <w:b/>
          <w:i w:val="false"/>
          <w:caps w:val="false"/>
          <w:smallCaps w:val="false"/>
          <w:sz w:val="20"/>
          <w:u w:val="single"/>
        </w:rPr>
        <w:t>001-40730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A_edei--EntityRegistrantName_c2024"/>
      <w:bookmarkEnd w:id="8"/>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D_edei--EntityIncorporationStateCo"/>
            <w:bookmarkEnd w:id="9"/>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TaxIdentificationNum"/>
            <w:bookmarkEnd w:id="10"/>
            <w:r>
              <w:rPr>
                <w:rFonts w:ascii="Times New Roman;Times;Serif" w:hAnsi="Times New Roman;Times;Serif"/>
                <w:b/>
                <w:i w:val="false"/>
                <w:caps w:val="false"/>
                <w:smallCaps w:val="false"/>
                <w:sz w:val="20"/>
              </w:rPr>
              <w:t>85-1873463</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1190 Trademark Drive #108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D_edei--EntityAddressCityOrTown_c2"/>
            <w:bookmarkEnd w:id="12"/>
            <w:r>
              <w:rPr>
                <w:rFonts w:ascii="Times New Roman;Times;Serif" w:hAnsi="Times New Roman;Times;Serif"/>
                <w:b/>
                <w:i w:val="false"/>
                <w:caps w:val="false"/>
                <w:smallCaps w:val="false"/>
                <w:sz w:val="20"/>
              </w:rPr>
              <w:t xml:space="preserve">Reno, </w:t>
            </w:r>
            <w:bookmarkStart w:id="13" w:name="xdx_90E_edei--EntityAddressStateOrProvin"/>
            <w:bookmarkEnd w:id="13"/>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B_edei--EntityAddressPostalZipCode"/>
            <w:bookmarkEnd w:id="14"/>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xdx_902_edei--CityAreaCode_c20240101__20"/>
      <w:bookmarkEnd w:id="15"/>
      <w:r>
        <w:rPr>
          <w:rFonts w:ascii="Times New Roman;Times;Serif" w:hAnsi="Times New Roman;Times;Serif"/>
          <w:b/>
          <w:i w:val="false"/>
          <w:caps w:val="false"/>
          <w:smallCaps w:val="false"/>
          <w:sz w:val="20"/>
          <w:u w:val="single"/>
        </w:rPr>
        <w:t xml:space="preserve">(775) </w:t>
      </w:r>
      <w:bookmarkStart w:id="16" w:name="xdx_90A_edei--LocalPhoneNumber_c20240101"/>
      <w:bookmarkEnd w:id="16"/>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73"/>
        <w:gridCol w:w="60"/>
        <w:gridCol w:w="1273"/>
        <w:gridCol w:w="60"/>
        <w:gridCol w:w="2639"/>
      </w:tblGrid>
      <w:tr>
        <w:trPr/>
        <w:tc>
          <w:tcPr>
            <w:tcW w:w="617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2_edei--Security12bTitle_c20240101"/>
            <w:bookmarkEnd w:id="17"/>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TradingSymbol_c20240101__2"/>
            <w:bookmarkEnd w:id="18"/>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1_edei--SecurityExchangeName_c2024"/>
            <w:bookmarkEnd w:id="19"/>
            <w:r>
              <w:rPr>
                <w:rFonts w:ascii="Times New Roman;Times;Serif" w:hAnsi="Times New Roman;Times;Serif"/>
                <w:b w:val="false"/>
                <w:i w:val="false"/>
                <w:caps w:val="false"/>
                <w:smallCaps w:val="false"/>
                <w:sz w:val="20"/>
              </w:rPr>
              <w:t>Nasdaq Capital Market</w:t>
            </w:r>
          </w:p>
        </w:tc>
      </w:tr>
      <w:tr>
        <w:trPr/>
        <w:tc>
          <w:tcPr>
            <w:tcW w:w="61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Security12bTitle_c20240101"/>
            <w:bookmarkEnd w:id="20"/>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TradingSymbol_c20240101__2"/>
            <w:bookmarkEnd w:id="21"/>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7_edei--SecurityExchangeName_c2024"/>
            <w:bookmarkEnd w:id="22"/>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8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w:t>
      </w:r>
      <w:bookmarkStart w:id="24" w:name="xdx_908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 w:name="xdx_90F_edei--EntityFilerCategory_c20240"/>
            <w:bookmarkEnd w:id="25"/>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6" w:name="xdx_90A_edei--EntitySmallBusiness_c20240"/>
            <w:bookmarkEnd w:id="26"/>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B_edei--EntityEmergingGrowthCompan"/>
            <w:bookmarkEnd w:id="27"/>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B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9" w:name="xdx_909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November 12, 2024, there were </w:t>
      </w:r>
      <w:bookmarkStart w:id="30" w:name="xdx_90C_edei--EntityCommonStockSharesOut"/>
      <w:bookmarkEnd w:id="30"/>
      <w:r>
        <w:rPr>
          <w:rFonts w:ascii="Times New Roman;Times;Serif" w:hAnsi="Times New Roman;Times;Serif"/>
          <w:b w:val="false"/>
          <w:i w:val="false"/>
          <w:caps w:val="false"/>
          <w:smallCaps w:val="false"/>
          <w:sz w:val="20"/>
        </w:rPr>
        <w:t>63,128,135 shares of the registrant’s common stock, par value $</w:t>
      </w:r>
      <w:bookmarkStart w:id="31" w:name="xdx_908_edei--EntityListingParValuePerSh"/>
      <w:bookmarkEnd w:id="31"/>
      <w:r>
        <w:rPr>
          <w:rFonts w:ascii="Times New Roman;Times;Serif" w:hAnsi="Times New Roman;Times;Serif"/>
          <w:b w:val="false"/>
          <w:i w:val="false"/>
          <w:caps w:val="false"/>
          <w:smallCaps w:val="false"/>
          <w:sz w:val="20"/>
        </w:rPr>
        <w:t>0.0001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8613"/>
        <w:gridCol w:w="702"/>
      </w:tblGrid>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8613" w:type="dxa"/>
            <w:tcBorders/>
            <w:vAlign w:val="center"/>
          </w:tcPr>
          <w:p>
            <w:pPr>
              <w:pStyle w:val="TableContents"/>
              <w:bidi w:val="0"/>
              <w:spacing w:before="0" w:after="283"/>
              <w:jc w:val="both"/>
              <w:rPr>
                <w:caps w:val="false"/>
                <w:smallCaps w:val="false"/>
              </w:rPr>
            </w:pPr>
            <w:r>
              <w:rPr>
                <w:caps w:val="false"/>
                <w:smallCaps w:val="false"/>
              </w:rPr>
              <w:t> </w:t>
            </w:r>
          </w:p>
        </w:tc>
        <w:tc>
          <w:tcPr>
            <w:tcW w:w="7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9503"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tc>
        <w:tc>
          <w:tcPr>
            <w:tcW w:w="70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6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(Unaudited)</w:t>
            </w:r>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3"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Condensed Consolidated Balance Sheets as of September 30, 2024 and December 31, 2023</w:t>
              </w:r>
            </w:hyperlink>
          </w:p>
        </w:tc>
        <w:tc>
          <w:tcPr>
            <w:tcW w:w="7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3"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Condensed Consolidated Statements of Operations for the three and nine months ended September 30, 2024 and 2023</w:t>
              </w:r>
            </w:hyperlink>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3"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Statements of Stockholders’ (Deficit) Equity for the three and nine months ended September 30, 2024 and 2023</w:t>
              </w:r>
            </w:hyperlink>
          </w:p>
        </w:tc>
        <w:tc>
          <w:tcPr>
            <w:tcW w:w="7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3"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Cash Flows for the nine months ended September 30, 2024 and 2023</w:t>
              </w:r>
            </w:hyperlink>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3"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7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613"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613"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613"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Controls and Procedures</w:t>
              </w:r>
            </w:hyperlink>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9503" w:type="dxa"/>
            <w:gridSpan w:val="2"/>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PART II. OTHER INFORMATION</w:t>
              </w:r>
            </w:hyperlink>
          </w:p>
        </w:tc>
        <w:tc>
          <w:tcPr>
            <w:tcW w:w="70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613"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Legal Proceedings</w:t>
              </w:r>
            </w:hyperlink>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613"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Risk Factors</w:t>
              </w:r>
            </w:hyperlink>
          </w:p>
        </w:tc>
        <w:tc>
          <w:tcPr>
            <w:tcW w:w="7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613"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613"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Defaults Upon Senior Securities</w:t>
              </w:r>
            </w:hyperlink>
          </w:p>
        </w:tc>
        <w:tc>
          <w:tcPr>
            <w:tcW w:w="7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613"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Mine Safety Disclosures</w:t>
              </w:r>
            </w:hyperlink>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613"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Other Information</w:t>
              </w:r>
            </w:hyperlink>
          </w:p>
        </w:tc>
        <w:tc>
          <w:tcPr>
            <w:tcW w:w="7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613"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Exhibits</w:t>
              </w:r>
            </w:hyperlink>
          </w:p>
        </w:tc>
        <w:tc>
          <w:tcPr>
            <w:tcW w:w="70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Signatures</w:t>
              </w:r>
            </w:hyperlink>
          </w:p>
        </w:tc>
        <w:tc>
          <w:tcPr>
            <w:tcW w:w="8613"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a_001"/>
      <w:bookmarkEnd w:id="32"/>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Condensed Consolidated Balance Sheets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33" w:name="xdx_306_111_pn3n3_zy3DPC85xop9"/>
      <w:bookmarkStart w:id="34" w:name="xdx_306_111_pn3n3_zy3DPC85xop9"/>
      <w:bookmarkEnd w:id="34"/>
    </w:p>
    <w:tbl>
      <w:tblPr>
        <w:tblW w:w="10205" w:type="dxa"/>
        <w:jc w:val="left"/>
        <w:tblInd w:w="0" w:type="dxa"/>
        <w:tblLayout w:type="fixed"/>
        <w:tblCellMar>
          <w:top w:w="0" w:type="dxa"/>
          <w:left w:w="0" w:type="dxa"/>
          <w:bottom w:w="0" w:type="dxa"/>
          <w:right w:w="0" w:type="dxa"/>
        </w:tblCellMar>
      </w:tblPr>
      <w:tblGrid>
        <w:gridCol w:w="7101"/>
        <w:gridCol w:w="60"/>
        <w:gridCol w:w="194"/>
        <w:gridCol w:w="1224"/>
        <w:gridCol w:w="95"/>
        <w:gridCol w:w="60"/>
        <w:gridCol w:w="212"/>
        <w:gridCol w:w="1146"/>
        <w:gridCol w:w="113"/>
      </w:tblGrid>
      <w:tr>
        <w:trPr/>
        <w:tc>
          <w:tcPr>
            <w:tcW w:w="7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A_20240930_zJ3Pw3fxQ8sf"/>
            <w:bookmarkEnd w:id="35"/>
          </w:p>
        </w:tc>
        <w:tc>
          <w:tcPr>
            <w:tcW w:w="14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B_20231231_zkb3PwrRMXrg"/>
            <w:bookmarkEnd w:id="36"/>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3" w:type="dxa"/>
            <w:tcBorders/>
            <w:vAlign w:val="center"/>
          </w:tcPr>
          <w:p>
            <w:pPr>
              <w:pStyle w:val="TableContents"/>
              <w:bidi w:val="0"/>
              <w:spacing w:before="0" w:after="283"/>
              <w:jc w:val="left"/>
              <w:rPr/>
            </w:pPr>
            <w:r>
              <w:rPr/>
              <w:t> </w:t>
            </w:r>
            <w:bookmarkStart w:id="37" w:name="xdx_40D_eus-gaap--AssetsCurrentAbstract_"/>
            <w:bookmarkEnd w:id="37"/>
          </w:p>
        </w:tc>
      </w:tr>
      <w:tr>
        <w:trPr/>
        <w:tc>
          <w:tcPr>
            <w:tcW w:w="7101"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Unaudited</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8" w:name="xdx_40D_eus-gaap--CashAndCashEquivalents"/>
            <w:bookmarkEnd w:id="38"/>
          </w:p>
        </w:tc>
      </w:tr>
      <w:tr>
        <w:trPr/>
        <w:tc>
          <w:tcPr>
            <w:tcW w:w="7101"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224" w:type="dxa"/>
            <w:tcBorders/>
            <w:shd w:fill="FFFFFF" w:val="clear"/>
            <w:vAlign w:val="center"/>
          </w:tcPr>
          <w:p>
            <w:pPr>
              <w:pStyle w:val="TableContents"/>
              <w:bidi w:val="0"/>
              <w:spacing w:before="0" w:after="283"/>
              <w:jc w:val="right"/>
              <w:rPr/>
            </w:pPr>
            <w:r>
              <w:rPr/>
              <w:t>8,019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1146" w:type="dxa"/>
            <w:tcBorders/>
            <w:shd w:fill="FFFFFF" w:val="clear"/>
            <w:vAlign w:val="center"/>
          </w:tcPr>
          <w:p>
            <w:pPr>
              <w:pStyle w:val="TableContents"/>
              <w:bidi w:val="0"/>
              <w:spacing w:before="0" w:after="283"/>
              <w:jc w:val="right"/>
              <w:rPr/>
            </w:pPr>
            <w:r>
              <w:rPr/>
              <w:t>12,713</w:t>
            </w:r>
          </w:p>
        </w:tc>
        <w:tc>
          <w:tcPr>
            <w:tcW w:w="113" w:type="dxa"/>
            <w:tcBorders/>
            <w:shd w:fill="FFFFFF" w:val="clear"/>
            <w:vAlign w:val="center"/>
          </w:tcPr>
          <w:p>
            <w:pPr>
              <w:pStyle w:val="TableContents"/>
              <w:bidi w:val="0"/>
              <w:spacing w:before="0" w:after="283"/>
              <w:jc w:val="left"/>
              <w:rPr/>
            </w:pPr>
            <w:r>
              <w:rPr/>
              <w:t> </w:t>
            </w:r>
            <w:bookmarkStart w:id="39" w:name="xdx_40D_eus-gaap--AccountsReceivableNetC"/>
            <w:bookmarkEnd w:id="39"/>
          </w:p>
        </w:tc>
      </w:tr>
      <w:tr>
        <w:trPr/>
        <w:tc>
          <w:tcPr>
            <w:tcW w:w="7101"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1,639</w:t>
            </w:r>
          </w:p>
        </w:tc>
        <w:tc>
          <w:tcPr>
            <w:tcW w:w="113" w:type="dxa"/>
            <w:tcBorders/>
            <w:shd w:fill="CCEEFF" w:val="clear"/>
            <w:vAlign w:val="center"/>
          </w:tcPr>
          <w:p>
            <w:pPr>
              <w:pStyle w:val="TableContents"/>
              <w:bidi w:val="0"/>
              <w:spacing w:before="0" w:after="283"/>
              <w:jc w:val="left"/>
              <w:rPr/>
            </w:pPr>
            <w:r>
              <w:rPr/>
              <w:t> </w:t>
            </w:r>
            <w:bookmarkStart w:id="40" w:name="xdx_408_eus-gaap--InventoryNet_i01I_maAC"/>
            <w:bookmarkEnd w:id="40"/>
          </w:p>
        </w:tc>
      </w:tr>
      <w:tr>
        <w:trPr/>
        <w:tc>
          <w:tcPr>
            <w:tcW w:w="7101"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24,013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38,778</w:t>
            </w:r>
          </w:p>
        </w:tc>
        <w:tc>
          <w:tcPr>
            <w:tcW w:w="113" w:type="dxa"/>
            <w:tcBorders/>
            <w:shd w:fill="FFFFFF" w:val="clear"/>
            <w:vAlign w:val="center"/>
          </w:tcPr>
          <w:p>
            <w:pPr>
              <w:pStyle w:val="TableContents"/>
              <w:bidi w:val="0"/>
              <w:spacing w:before="0" w:after="283"/>
              <w:jc w:val="left"/>
              <w:rPr/>
            </w:pPr>
            <w:r>
              <w:rPr/>
              <w:t> </w:t>
            </w:r>
            <w:bookmarkStart w:id="41" w:name="xdx_40C_ecustom--PrepaidExpenseOtherThan"/>
            <w:bookmarkEnd w:id="41"/>
          </w:p>
        </w:tc>
      </w:tr>
      <w:tr>
        <w:trPr/>
        <w:tc>
          <w:tcPr>
            <w:tcW w:w="7101"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772</w:t>
            </w:r>
          </w:p>
        </w:tc>
        <w:tc>
          <w:tcPr>
            <w:tcW w:w="113" w:type="dxa"/>
            <w:tcBorders/>
            <w:shd w:fill="CCEEFF" w:val="clear"/>
            <w:vAlign w:val="center"/>
          </w:tcPr>
          <w:p>
            <w:pPr>
              <w:pStyle w:val="TableContents"/>
              <w:bidi w:val="0"/>
              <w:spacing w:before="0" w:after="283"/>
              <w:jc w:val="left"/>
              <w:rPr/>
            </w:pPr>
            <w:r>
              <w:rPr/>
              <w:t> </w:t>
            </w:r>
            <w:bookmarkStart w:id="42" w:name="xdx_400_eus-gaap--Supplies_i01I_maACzdsP"/>
            <w:bookmarkEnd w:id="42"/>
          </w:p>
        </w:tc>
      </w:tr>
      <w:tr>
        <w:trPr/>
        <w:tc>
          <w:tcPr>
            <w:tcW w:w="7101"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1,381</w:t>
            </w:r>
          </w:p>
        </w:tc>
        <w:tc>
          <w:tcPr>
            <w:tcW w:w="113" w:type="dxa"/>
            <w:tcBorders/>
            <w:shd w:fill="FFFFFF" w:val="clear"/>
            <w:vAlign w:val="center"/>
          </w:tcPr>
          <w:p>
            <w:pPr>
              <w:pStyle w:val="TableContents"/>
              <w:bidi w:val="0"/>
              <w:spacing w:before="0" w:after="283"/>
              <w:jc w:val="left"/>
              <w:rPr/>
            </w:pPr>
            <w:r>
              <w:rPr/>
              <w:t> </w:t>
            </w:r>
            <w:bookmarkStart w:id="43" w:name="xdx_402_eus-gaap--PrepaidTaxes_i01I_maAC"/>
            <w:bookmarkEnd w:id="43"/>
          </w:p>
        </w:tc>
      </w:tr>
      <w:tr>
        <w:trPr/>
        <w:tc>
          <w:tcPr>
            <w:tcW w:w="7101"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519</w:t>
            </w:r>
          </w:p>
        </w:tc>
        <w:tc>
          <w:tcPr>
            <w:tcW w:w="113" w:type="dxa"/>
            <w:tcBorders/>
            <w:shd w:fill="CCEEFF" w:val="clear"/>
            <w:vAlign w:val="center"/>
          </w:tcPr>
          <w:p>
            <w:pPr>
              <w:pStyle w:val="TableContents"/>
              <w:bidi w:val="0"/>
              <w:spacing w:before="0" w:after="283"/>
              <w:jc w:val="left"/>
              <w:rPr/>
            </w:pPr>
            <w:r>
              <w:rPr/>
              <w:t> </w:t>
            </w:r>
            <w:bookmarkStart w:id="44" w:name="xdx_400_eus-gaap--OtherAssetsCurrent_i01"/>
            <w:bookmarkEnd w:id="44"/>
          </w:p>
        </w:tc>
      </w:tr>
      <w:tr>
        <w:trPr/>
        <w:tc>
          <w:tcPr>
            <w:tcW w:w="7101"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118</w:t>
            </w:r>
          </w:p>
        </w:tc>
        <w:tc>
          <w:tcPr>
            <w:tcW w:w="113" w:type="dxa"/>
            <w:tcBorders/>
            <w:shd w:fill="FFFFFF" w:val="clear"/>
            <w:vAlign w:val="center"/>
          </w:tcPr>
          <w:p>
            <w:pPr>
              <w:pStyle w:val="TableContents"/>
              <w:bidi w:val="0"/>
              <w:spacing w:before="0" w:after="283"/>
              <w:jc w:val="left"/>
              <w:rPr/>
            </w:pPr>
            <w:r>
              <w:rPr/>
              <w:t> </w:t>
            </w:r>
            <w:bookmarkStart w:id="45" w:name="xdx_40E_eus-gaap--AssetsCurrent_i01TI_mt"/>
            <w:bookmarkEnd w:id="45"/>
          </w:p>
        </w:tc>
      </w:tr>
      <w:tr>
        <w:trPr/>
        <w:tc>
          <w:tcPr>
            <w:tcW w:w="710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39,337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55,920</w:t>
            </w:r>
          </w:p>
        </w:tc>
        <w:tc>
          <w:tcPr>
            <w:tcW w:w="113" w:type="dxa"/>
            <w:tcBorders/>
            <w:shd w:fill="CCEEFF" w:val="clear"/>
            <w:vAlign w:val="center"/>
          </w:tcPr>
          <w:p>
            <w:pPr>
              <w:pStyle w:val="TableContents"/>
              <w:bidi w:val="0"/>
              <w:spacing w:before="0" w:after="283"/>
              <w:jc w:val="left"/>
              <w:rPr/>
            </w:pPr>
            <w:r>
              <w:rPr/>
              <w:t> </w:t>
            </w:r>
            <w:bookmarkStart w:id="46" w:name="xdx_402_eus-gaap--PropertyPlantAndEquipm"/>
            <w:bookmarkEnd w:id="46"/>
          </w:p>
        </w:tc>
      </w:tr>
      <w:tr>
        <w:trPr/>
        <w:tc>
          <w:tcPr>
            <w:tcW w:w="7101"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7" w:name="xdx_40E_eus-gaap--MachineryAndEquipmentG"/>
            <w:bookmarkEnd w:id="47"/>
          </w:p>
        </w:tc>
      </w:tr>
      <w:tr>
        <w:trPr/>
        <w:tc>
          <w:tcPr>
            <w:tcW w:w="7101"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18,128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16,714</w:t>
            </w:r>
          </w:p>
        </w:tc>
        <w:tc>
          <w:tcPr>
            <w:tcW w:w="113" w:type="dxa"/>
            <w:tcBorders/>
            <w:shd w:fill="CCEEFF" w:val="clear"/>
            <w:vAlign w:val="center"/>
          </w:tcPr>
          <w:p>
            <w:pPr>
              <w:pStyle w:val="TableContents"/>
              <w:bidi w:val="0"/>
              <w:spacing w:before="0" w:after="283"/>
              <w:jc w:val="left"/>
              <w:rPr/>
            </w:pPr>
            <w:r>
              <w:rPr/>
              <w:t> </w:t>
            </w:r>
            <w:bookmarkStart w:id="48" w:name="xdx_40A_eus-gaap--FurnitureAndFixturesGr"/>
            <w:bookmarkEnd w:id="48"/>
          </w:p>
        </w:tc>
      </w:tr>
      <w:tr>
        <w:trPr/>
        <w:tc>
          <w:tcPr>
            <w:tcW w:w="7101" w:type="dxa"/>
            <w:tcBorders/>
            <w:shd w:fill="FFFFFF" w:val="clear"/>
            <w:vAlign w:val="center"/>
          </w:tcPr>
          <w:p>
            <w:pPr>
              <w:pStyle w:val="TableContents"/>
              <w:bidi w:val="0"/>
              <w:spacing w:before="0" w:after="283"/>
              <w:jc w:val="left"/>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319</w:t>
            </w:r>
          </w:p>
        </w:tc>
        <w:tc>
          <w:tcPr>
            <w:tcW w:w="113" w:type="dxa"/>
            <w:tcBorders/>
            <w:shd w:fill="FFFFFF" w:val="clear"/>
            <w:vAlign w:val="center"/>
          </w:tcPr>
          <w:p>
            <w:pPr>
              <w:pStyle w:val="TableContents"/>
              <w:bidi w:val="0"/>
              <w:spacing w:before="0" w:after="283"/>
              <w:jc w:val="left"/>
              <w:rPr/>
            </w:pPr>
            <w:r>
              <w:rPr/>
              <w:t> </w:t>
            </w:r>
            <w:bookmarkStart w:id="49" w:name="xdx_406_eus-gaap--LeaseholdImprovementsG"/>
            <w:bookmarkEnd w:id="49"/>
          </w:p>
        </w:tc>
      </w:tr>
      <w:tr>
        <w:trPr/>
        <w:tc>
          <w:tcPr>
            <w:tcW w:w="7101"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9,032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1,727</w:t>
            </w:r>
          </w:p>
        </w:tc>
        <w:tc>
          <w:tcPr>
            <w:tcW w:w="113" w:type="dxa"/>
            <w:tcBorders/>
            <w:shd w:fill="CCEEFF" w:val="clear"/>
            <w:vAlign w:val="center"/>
          </w:tcPr>
          <w:p>
            <w:pPr>
              <w:pStyle w:val="TableContents"/>
              <w:bidi w:val="0"/>
              <w:spacing w:before="0" w:after="283"/>
              <w:jc w:val="left"/>
              <w:rPr/>
            </w:pPr>
            <w:r>
              <w:rPr/>
              <w:t> </w:t>
            </w:r>
            <w:bookmarkStart w:id="50" w:name="xdx_404_ecustom--VehicleGross_i01I_maPPA"/>
            <w:bookmarkEnd w:id="50"/>
          </w:p>
        </w:tc>
      </w:tr>
      <w:tr>
        <w:trPr/>
        <w:tc>
          <w:tcPr>
            <w:tcW w:w="7101" w:type="dxa"/>
            <w:tcBorders/>
            <w:shd w:fill="FFFFFF" w:val="clear"/>
            <w:vAlign w:val="center"/>
          </w:tcPr>
          <w:p>
            <w:pPr>
              <w:pStyle w:val="TableContents"/>
              <w:bidi w:val="0"/>
              <w:spacing w:before="0" w:after="283"/>
              <w:jc w:val="left"/>
              <w:rPr/>
            </w:pPr>
            <w:r>
              <w:rPr/>
              <w:t>Vehicle</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13" w:type="dxa"/>
            <w:tcBorders/>
            <w:shd w:fill="FFFFFF" w:val="clear"/>
            <w:vAlign w:val="center"/>
          </w:tcPr>
          <w:p>
            <w:pPr>
              <w:pStyle w:val="TableContents"/>
              <w:bidi w:val="0"/>
              <w:spacing w:before="0" w:after="283"/>
              <w:jc w:val="left"/>
              <w:rPr/>
            </w:pPr>
            <w:r>
              <w:rPr/>
              <w:t> </w:t>
            </w:r>
            <w:bookmarkStart w:id="51" w:name="xdx_40E_eus-gaap--PropertyPlantAndEquipm"/>
            <w:bookmarkEnd w:id="51"/>
          </w:p>
        </w:tc>
      </w:tr>
      <w:tr>
        <w:trPr/>
        <w:tc>
          <w:tcPr>
            <w:tcW w:w="7101"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27,531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18,793</w:t>
            </w:r>
          </w:p>
        </w:tc>
        <w:tc>
          <w:tcPr>
            <w:tcW w:w="113" w:type="dxa"/>
            <w:tcBorders/>
            <w:shd w:fill="CCEEFF" w:val="clear"/>
            <w:vAlign w:val="center"/>
          </w:tcPr>
          <w:p>
            <w:pPr>
              <w:pStyle w:val="TableContents"/>
              <w:bidi w:val="0"/>
              <w:spacing w:before="0" w:after="283"/>
              <w:jc w:val="left"/>
              <w:rPr/>
            </w:pPr>
            <w:r>
              <w:rPr/>
              <w:t> </w:t>
            </w:r>
            <w:bookmarkStart w:id="52" w:name="xdx_40B_eus-gaap--AccumulatedDepreciatio"/>
            <w:bookmarkEnd w:id="52"/>
          </w:p>
        </w:tc>
      </w:tr>
      <w:tr>
        <w:trPr/>
        <w:tc>
          <w:tcPr>
            <w:tcW w:w="7101"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(3,815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(2,824</w:t>
            </w:r>
          </w:p>
        </w:tc>
        <w:tc>
          <w:tcPr>
            <w:tcW w:w="113" w:type="dxa"/>
            <w:tcBorders/>
            <w:shd w:fill="FFFFFF" w:val="clear"/>
            <w:vAlign w:val="center"/>
          </w:tcPr>
          <w:p>
            <w:pPr>
              <w:pStyle w:val="TableContents"/>
              <w:bidi w:val="0"/>
              <w:spacing w:before="0" w:after="283"/>
              <w:jc w:val="left"/>
              <w:rPr/>
            </w:pPr>
            <w:r>
              <w:rPr/>
              <w:t>)</w:t>
            </w:r>
            <w:bookmarkStart w:id="53" w:name="xdx_40D_eus-gaap--PropertyPlantAndEquipm"/>
            <w:bookmarkEnd w:id="53"/>
          </w:p>
        </w:tc>
      </w:tr>
      <w:tr>
        <w:trPr/>
        <w:tc>
          <w:tcPr>
            <w:tcW w:w="710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23,716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15,969</w:t>
            </w:r>
          </w:p>
        </w:tc>
        <w:tc>
          <w:tcPr>
            <w:tcW w:w="113" w:type="dxa"/>
            <w:tcBorders/>
            <w:shd w:fill="CCEEFF" w:val="clear"/>
            <w:vAlign w:val="center"/>
          </w:tcPr>
          <w:p>
            <w:pPr>
              <w:pStyle w:val="TableContents"/>
              <w:bidi w:val="0"/>
              <w:spacing w:before="0" w:after="283"/>
              <w:jc w:val="left"/>
              <w:rPr/>
            </w:pPr>
            <w:r>
              <w:rPr/>
              <w:t> </w:t>
            </w:r>
            <w:bookmarkStart w:id="54" w:name="xdx_40F_eus-gaap--OperatingLeaseRightOfU"/>
            <w:bookmarkEnd w:id="54"/>
          </w:p>
        </w:tc>
      </w:tr>
      <w:tr>
        <w:trPr/>
        <w:tc>
          <w:tcPr>
            <w:tcW w:w="7101" w:type="dxa"/>
            <w:tcBorders/>
            <w:shd w:fill="FFFFFF" w:val="clear"/>
            <w:vAlign w:val="center"/>
          </w:tcPr>
          <w:p>
            <w:pPr>
              <w:pStyle w:val="TableContents"/>
              <w:bidi w:val="0"/>
              <w:spacing w:before="0" w:after="283"/>
              <w:jc w:val="left"/>
              <w:rPr/>
            </w:pPr>
            <w:r>
              <w:rPr/>
              <w:t>Operating lease right of use assets, net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20,383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3,315</w:t>
            </w:r>
          </w:p>
        </w:tc>
        <w:tc>
          <w:tcPr>
            <w:tcW w:w="113" w:type="dxa"/>
            <w:tcBorders/>
            <w:shd w:fill="FFFFFF" w:val="clear"/>
            <w:vAlign w:val="center"/>
          </w:tcPr>
          <w:p>
            <w:pPr>
              <w:pStyle w:val="TableContents"/>
              <w:bidi w:val="0"/>
              <w:spacing w:before="0" w:after="283"/>
              <w:jc w:val="left"/>
              <w:rPr/>
            </w:pPr>
            <w:r>
              <w:rPr/>
              <w:t> </w:t>
            </w:r>
            <w:bookmarkStart w:id="55" w:name="xdx_408_eus-gaap--OtherAssetsNoncurrent_"/>
            <w:bookmarkEnd w:id="55"/>
          </w:p>
        </w:tc>
      </w:tr>
      <w:tr>
        <w:trPr/>
        <w:tc>
          <w:tcPr>
            <w:tcW w:w="7101"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56" w:name="xdx_40B_eus-gaap--Assets_iTI_mtAzQCo_zaG"/>
            <w:bookmarkEnd w:id="56"/>
          </w:p>
        </w:tc>
      </w:tr>
      <w:tr>
        <w:trPr/>
        <w:tc>
          <w:tcPr>
            <w:tcW w:w="7101"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6" w:space="0" w:color="000000"/>
            </w:tcBorders>
            <w:shd w:fill="FFFFFF" w:val="clear"/>
            <w:tcMar>
              <w:bottom w:w="28" w:type="dxa"/>
            </w:tcMar>
            <w:vAlign w:val="center"/>
          </w:tcPr>
          <w:p>
            <w:pPr>
              <w:pStyle w:val="TableContents"/>
              <w:bidi w:val="0"/>
              <w:spacing w:before="0" w:after="283"/>
              <w:jc w:val="right"/>
              <w:rPr/>
            </w:pPr>
            <w:r>
              <w:rPr/>
              <w:t>83,881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6" w:type="dxa"/>
            <w:tcBorders>
              <w:bottom w:val="double" w:sz="6" w:space="0" w:color="000000"/>
            </w:tcBorders>
            <w:shd w:fill="FFFFFF" w:val="clear"/>
            <w:tcMar>
              <w:bottom w:w="28" w:type="dxa"/>
            </w:tcMar>
            <w:vAlign w:val="center"/>
          </w:tcPr>
          <w:p>
            <w:pPr>
              <w:pStyle w:val="TableContents"/>
              <w:bidi w:val="0"/>
              <w:spacing w:before="0" w:after="283"/>
              <w:jc w:val="right"/>
              <w:rPr/>
            </w:pPr>
            <w:r>
              <w:rPr/>
              <w:t>75,204</w:t>
            </w:r>
          </w:p>
        </w:tc>
        <w:tc>
          <w:tcPr>
            <w:tcW w:w="113" w:type="dxa"/>
            <w:tcBorders/>
            <w:shd w:fill="FFFFFF" w:val="clear"/>
            <w:vAlign w:val="center"/>
          </w:tcPr>
          <w:p>
            <w:pPr>
              <w:pStyle w:val="TableContents"/>
              <w:bidi w:val="0"/>
              <w:spacing w:before="0" w:after="283"/>
              <w:jc w:val="left"/>
              <w:rPr/>
            </w:pPr>
            <w:r>
              <w:rPr/>
              <w:t> </w:t>
            </w:r>
            <w:bookmarkStart w:id="57" w:name="xdx_40C_eus-gaap--LiabilitiesCurrentAbst"/>
            <w:bookmarkEnd w:id="57"/>
          </w:p>
        </w:tc>
      </w:tr>
      <w:tr>
        <w:trPr/>
        <w:tc>
          <w:tcPr>
            <w:tcW w:w="7101"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8" w:name="xdx_40F_eus-gaap--AccountsPayableCurrent"/>
            <w:bookmarkEnd w:id="58"/>
          </w:p>
        </w:tc>
      </w:tr>
      <w:tr>
        <w:trPr/>
        <w:tc>
          <w:tcPr>
            <w:tcW w:w="710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224" w:type="dxa"/>
            <w:tcBorders/>
            <w:shd w:fill="FFFFFF" w:val="clear"/>
            <w:vAlign w:val="center"/>
          </w:tcPr>
          <w:p>
            <w:pPr>
              <w:pStyle w:val="TableContents"/>
              <w:bidi w:val="0"/>
              <w:spacing w:before="0" w:after="283"/>
              <w:jc w:val="right"/>
              <w:rPr/>
            </w:pPr>
            <w:r>
              <w:rPr/>
              <w:t>10,128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1146" w:type="dxa"/>
            <w:tcBorders/>
            <w:shd w:fill="FFFFFF" w:val="clear"/>
            <w:vAlign w:val="center"/>
          </w:tcPr>
          <w:p>
            <w:pPr>
              <w:pStyle w:val="TableContents"/>
              <w:bidi w:val="0"/>
              <w:spacing w:before="0" w:after="283"/>
              <w:jc w:val="right"/>
              <w:rPr/>
            </w:pPr>
            <w:r>
              <w:rPr/>
              <w:t>10,258</w:t>
            </w:r>
          </w:p>
        </w:tc>
        <w:tc>
          <w:tcPr>
            <w:tcW w:w="113" w:type="dxa"/>
            <w:tcBorders/>
            <w:shd w:fill="FFFFFF" w:val="clear"/>
            <w:vAlign w:val="center"/>
          </w:tcPr>
          <w:p>
            <w:pPr>
              <w:pStyle w:val="TableContents"/>
              <w:bidi w:val="0"/>
              <w:spacing w:before="0" w:after="283"/>
              <w:jc w:val="left"/>
              <w:rPr/>
            </w:pPr>
            <w:r>
              <w:rPr/>
              <w:t> </w:t>
            </w:r>
            <w:bookmarkStart w:id="59" w:name="xdx_408_eus-gaap--EmployeeRelatedLiabili"/>
            <w:bookmarkEnd w:id="59"/>
          </w:p>
        </w:tc>
      </w:tr>
      <w:tr>
        <w:trPr/>
        <w:tc>
          <w:tcPr>
            <w:tcW w:w="7101"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8,672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7,107</w:t>
            </w:r>
          </w:p>
        </w:tc>
        <w:tc>
          <w:tcPr>
            <w:tcW w:w="113" w:type="dxa"/>
            <w:tcBorders/>
            <w:shd w:fill="CCEEFF" w:val="clear"/>
            <w:vAlign w:val="center"/>
          </w:tcPr>
          <w:p>
            <w:pPr>
              <w:pStyle w:val="TableContents"/>
              <w:bidi w:val="0"/>
              <w:spacing w:before="0" w:after="283"/>
              <w:jc w:val="left"/>
              <w:rPr/>
            </w:pPr>
            <w:r>
              <w:rPr/>
              <w:t> </w:t>
            </w:r>
            <w:bookmarkStart w:id="60" w:name="xdx_401_ecustom--AccruedTariffs_i01I_maL"/>
            <w:bookmarkEnd w:id="60"/>
          </w:p>
        </w:tc>
      </w:tr>
      <w:tr>
        <w:trPr/>
        <w:tc>
          <w:tcPr>
            <w:tcW w:w="7101"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1,713</w:t>
            </w:r>
          </w:p>
        </w:tc>
        <w:tc>
          <w:tcPr>
            <w:tcW w:w="113" w:type="dxa"/>
            <w:tcBorders/>
            <w:shd w:fill="FFFFFF" w:val="clear"/>
            <w:vAlign w:val="center"/>
          </w:tcPr>
          <w:p>
            <w:pPr>
              <w:pStyle w:val="TableContents"/>
              <w:bidi w:val="0"/>
              <w:spacing w:before="0" w:after="283"/>
              <w:jc w:val="left"/>
              <w:rPr/>
            </w:pPr>
            <w:r>
              <w:rPr/>
              <w:t> </w:t>
            </w:r>
            <w:bookmarkStart w:id="61" w:name="xdx_408_eus-gaap--ContractWithCustomerLi"/>
            <w:bookmarkEnd w:id="61"/>
          </w:p>
        </w:tc>
      </w:tr>
      <w:tr>
        <w:trPr/>
        <w:tc>
          <w:tcPr>
            <w:tcW w:w="7101"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201</w:t>
            </w:r>
          </w:p>
        </w:tc>
        <w:tc>
          <w:tcPr>
            <w:tcW w:w="113" w:type="dxa"/>
            <w:tcBorders/>
            <w:shd w:fill="CCEEFF" w:val="clear"/>
            <w:vAlign w:val="center"/>
          </w:tcPr>
          <w:p>
            <w:pPr>
              <w:pStyle w:val="TableContents"/>
              <w:bidi w:val="0"/>
              <w:spacing w:before="0" w:after="283"/>
              <w:jc w:val="left"/>
              <w:rPr/>
            </w:pPr>
            <w:r>
              <w:rPr/>
              <w:t> </w:t>
            </w:r>
            <w:bookmarkStart w:id="62" w:name="xdx_402_eus-gaap--DeferredIncomeCurrent_"/>
            <w:bookmarkEnd w:id="62"/>
          </w:p>
        </w:tc>
      </w:tr>
      <w:tr>
        <w:trPr/>
        <w:tc>
          <w:tcPr>
            <w:tcW w:w="7101" w:type="dxa"/>
            <w:tcBorders/>
            <w:shd w:fill="FFFFFF" w:val="clear"/>
            <w:vAlign w:val="center"/>
          </w:tcPr>
          <w:p>
            <w:pPr>
              <w:pStyle w:val="TableContents"/>
              <w:bidi w:val="0"/>
              <w:spacing w:before="0" w:after="283"/>
              <w:jc w:val="left"/>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63" w:name="xdx_40F_ecustom--UncertainTaxPositionLia"/>
            <w:bookmarkEnd w:id="63"/>
          </w:p>
        </w:tc>
      </w:tr>
      <w:tr>
        <w:trPr/>
        <w:tc>
          <w:tcPr>
            <w:tcW w:w="7101"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91</w:t>
            </w:r>
          </w:p>
        </w:tc>
        <w:tc>
          <w:tcPr>
            <w:tcW w:w="113" w:type="dxa"/>
            <w:tcBorders/>
            <w:shd w:fill="CCEEFF" w:val="clear"/>
            <w:vAlign w:val="center"/>
          </w:tcPr>
          <w:p>
            <w:pPr>
              <w:pStyle w:val="TableContents"/>
              <w:bidi w:val="0"/>
              <w:spacing w:before="0" w:after="283"/>
              <w:jc w:val="left"/>
              <w:rPr/>
            </w:pPr>
            <w:r>
              <w:rPr/>
              <w:t> </w:t>
            </w:r>
            <w:bookmarkStart w:id="64" w:name="xdx_403_eus-gaap--NotesPayableCurrent_i0"/>
            <w:bookmarkEnd w:id="64"/>
          </w:p>
        </w:tc>
      </w:tr>
      <w:tr>
        <w:trPr/>
        <w:tc>
          <w:tcPr>
            <w:tcW w:w="7101" w:type="dxa"/>
            <w:tcBorders/>
            <w:shd w:fill="FFFFFF" w:val="clear"/>
            <w:vAlign w:val="center"/>
          </w:tcPr>
          <w:p>
            <w:pPr>
              <w:pStyle w:val="TableContents"/>
              <w:bidi w:val="0"/>
              <w:spacing w:before="0" w:after="283"/>
              <w:jc w:val="left"/>
              <w:rPr/>
            </w:pPr>
            <w:r>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24,398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19,683</w:t>
            </w:r>
          </w:p>
        </w:tc>
        <w:tc>
          <w:tcPr>
            <w:tcW w:w="113" w:type="dxa"/>
            <w:tcBorders/>
            <w:shd w:fill="FFFFFF" w:val="clear"/>
            <w:vAlign w:val="center"/>
          </w:tcPr>
          <w:p>
            <w:pPr>
              <w:pStyle w:val="TableContents"/>
              <w:bidi w:val="0"/>
              <w:spacing w:before="0" w:after="283"/>
              <w:jc w:val="left"/>
              <w:rPr/>
            </w:pPr>
            <w:r>
              <w:rPr/>
              <w:t> </w:t>
            </w:r>
            <w:bookmarkStart w:id="65" w:name="xdx_40D_eus-gaap--OperatingLeaseLiabilit"/>
            <w:bookmarkEnd w:id="65"/>
          </w:p>
        </w:tc>
      </w:tr>
      <w:tr>
        <w:trPr/>
        <w:tc>
          <w:tcPr>
            <w:tcW w:w="7101" w:type="dxa"/>
            <w:tcBorders/>
            <w:shd w:fill="CCEEFF" w:val="clear"/>
            <w:vAlign w:val="center"/>
          </w:tcPr>
          <w:p>
            <w:pPr>
              <w:pStyle w:val="TableContents"/>
              <w:bidi w:val="0"/>
              <w:spacing w:before="0" w:after="283"/>
              <w:jc w:val="left"/>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1,288</w:t>
            </w:r>
          </w:p>
        </w:tc>
        <w:tc>
          <w:tcPr>
            <w:tcW w:w="113" w:type="dxa"/>
            <w:tcBorders/>
            <w:shd w:fill="CCEEFF" w:val="clear"/>
            <w:vAlign w:val="center"/>
          </w:tcPr>
          <w:p>
            <w:pPr>
              <w:pStyle w:val="TableContents"/>
              <w:bidi w:val="0"/>
              <w:spacing w:before="0" w:after="283"/>
              <w:jc w:val="left"/>
              <w:rPr/>
            </w:pPr>
            <w:r>
              <w:rPr/>
              <w:t> </w:t>
            </w:r>
            <w:bookmarkStart w:id="66" w:name="xdx_406_eus-gaap--FinanceLeaseLiabilityC"/>
            <w:bookmarkEnd w:id="66"/>
          </w:p>
        </w:tc>
      </w:tr>
      <w:tr>
        <w:trPr/>
        <w:tc>
          <w:tcPr>
            <w:tcW w:w="7101" w:type="dxa"/>
            <w:tcBorders/>
            <w:shd w:fill="FFFFFF" w:val="clear"/>
            <w:vAlign w:val="center"/>
          </w:tcPr>
          <w:p>
            <w:pPr>
              <w:pStyle w:val="TableContents"/>
              <w:bidi w:val="0"/>
              <w:spacing w:before="0" w:after="283"/>
              <w:jc w:val="left"/>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113" w:type="dxa"/>
            <w:tcBorders/>
            <w:shd w:fill="FFFFFF" w:val="clear"/>
            <w:vAlign w:val="center"/>
          </w:tcPr>
          <w:p>
            <w:pPr>
              <w:pStyle w:val="TableContents"/>
              <w:bidi w:val="0"/>
              <w:spacing w:before="0" w:after="283"/>
              <w:jc w:val="left"/>
              <w:rPr/>
            </w:pPr>
            <w:r>
              <w:rPr/>
              <w:t> </w:t>
            </w:r>
            <w:bookmarkStart w:id="67" w:name="xdx_404_eus-gaap--LiabilitiesCurrent_i01"/>
            <w:bookmarkEnd w:id="67"/>
          </w:p>
        </w:tc>
      </w:tr>
      <w:tr>
        <w:trPr/>
        <w:tc>
          <w:tcPr>
            <w:tcW w:w="710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49,264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40,377</w:t>
            </w:r>
          </w:p>
        </w:tc>
        <w:tc>
          <w:tcPr>
            <w:tcW w:w="113" w:type="dxa"/>
            <w:tcBorders/>
            <w:shd w:fill="CCEEFF" w:val="clear"/>
            <w:vAlign w:val="center"/>
          </w:tcPr>
          <w:p>
            <w:pPr>
              <w:pStyle w:val="TableContents"/>
              <w:bidi w:val="0"/>
              <w:spacing w:before="0" w:after="283"/>
              <w:jc w:val="left"/>
              <w:rPr/>
            </w:pPr>
            <w:r>
              <w:rPr/>
              <w:t> </w:t>
            </w:r>
            <w:bookmarkStart w:id="68" w:name="xdx_40A_eus-gaap--LiabilitiesNoncurrentA"/>
            <w:bookmarkEnd w:id="68"/>
          </w:p>
        </w:tc>
      </w:tr>
      <w:tr>
        <w:trPr/>
        <w:tc>
          <w:tcPr>
            <w:tcW w:w="7101"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9" w:name="xdx_408_eus-gaap--DeferredRevenueNoncurr"/>
            <w:bookmarkEnd w:id="69"/>
          </w:p>
        </w:tc>
      </w:tr>
      <w:tr>
        <w:trPr/>
        <w:tc>
          <w:tcPr>
            <w:tcW w:w="7101"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70" w:name="xdx_40C_eus-gaap--DerivativeLiabilitiesN"/>
            <w:bookmarkEnd w:id="70"/>
          </w:p>
        </w:tc>
      </w:tr>
      <w:tr>
        <w:trPr/>
        <w:tc>
          <w:tcPr>
            <w:tcW w:w="7101"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7,714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4,463</w:t>
            </w:r>
          </w:p>
        </w:tc>
        <w:tc>
          <w:tcPr>
            <w:tcW w:w="113" w:type="dxa"/>
            <w:tcBorders/>
            <w:shd w:fill="FFFFFF" w:val="clear"/>
            <w:vAlign w:val="center"/>
          </w:tcPr>
          <w:p>
            <w:pPr>
              <w:pStyle w:val="TableContents"/>
              <w:bidi w:val="0"/>
              <w:spacing w:before="0" w:after="283"/>
              <w:jc w:val="left"/>
              <w:rPr/>
            </w:pPr>
            <w:r>
              <w:rPr/>
              <w:t> </w:t>
            </w:r>
            <w:bookmarkStart w:id="71" w:name="xdx_40F_eus-gaap--OtherAccruedLiabilitie"/>
            <w:bookmarkEnd w:id="71"/>
          </w:p>
        </w:tc>
      </w:tr>
      <w:tr>
        <w:trPr/>
        <w:tc>
          <w:tcPr>
            <w:tcW w:w="7101" w:type="dxa"/>
            <w:tcBorders/>
            <w:shd w:fill="CCEEFF" w:val="clear"/>
            <w:vAlign w:val="center"/>
          </w:tcPr>
          <w:p>
            <w:pPr>
              <w:pStyle w:val="TableContents"/>
              <w:bidi w:val="0"/>
              <w:spacing w:before="0" w:after="283"/>
              <w:jc w:val="left"/>
              <w:rPr/>
            </w:pPr>
            <w:r>
              <w:rPr/>
              <w:t>Accrued expenses-long term</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152</w:t>
            </w:r>
          </w:p>
        </w:tc>
        <w:tc>
          <w:tcPr>
            <w:tcW w:w="113" w:type="dxa"/>
            <w:tcBorders/>
            <w:shd w:fill="CCEEFF" w:val="clear"/>
            <w:vAlign w:val="center"/>
          </w:tcPr>
          <w:p>
            <w:pPr>
              <w:pStyle w:val="TableContents"/>
              <w:bidi w:val="0"/>
              <w:spacing w:before="0" w:after="283"/>
              <w:jc w:val="left"/>
              <w:rPr/>
            </w:pPr>
            <w:r>
              <w:rPr/>
              <w:t> </w:t>
            </w:r>
            <w:bookmarkStart w:id="72" w:name="xdx_40C_eus-gaap--OperatingLeaseLiabilit"/>
            <w:bookmarkEnd w:id="72"/>
          </w:p>
        </w:tc>
      </w:tr>
      <w:tr>
        <w:trPr/>
        <w:tc>
          <w:tcPr>
            <w:tcW w:w="7101"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23,330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2,234</w:t>
            </w:r>
          </w:p>
        </w:tc>
        <w:tc>
          <w:tcPr>
            <w:tcW w:w="113" w:type="dxa"/>
            <w:tcBorders/>
            <w:shd w:fill="FFFFFF" w:val="clear"/>
            <w:vAlign w:val="center"/>
          </w:tcPr>
          <w:p>
            <w:pPr>
              <w:pStyle w:val="TableContents"/>
              <w:bidi w:val="0"/>
              <w:spacing w:before="0" w:after="283"/>
              <w:jc w:val="left"/>
              <w:rPr/>
            </w:pPr>
            <w:r>
              <w:rPr/>
              <w:t> </w:t>
            </w:r>
            <w:bookmarkStart w:id="73" w:name="xdx_40E_eus-gaap--FinanceLeaseLiabilityN"/>
            <w:bookmarkEnd w:id="73"/>
          </w:p>
        </w:tc>
      </w:tr>
      <w:tr>
        <w:trPr/>
        <w:tc>
          <w:tcPr>
            <w:tcW w:w="7101" w:type="dxa"/>
            <w:tcBorders/>
            <w:shd w:fill="CCEEFF" w:val="clear"/>
            <w:vAlign w:val="center"/>
          </w:tcPr>
          <w:p>
            <w:pPr>
              <w:pStyle w:val="TableContents"/>
              <w:bidi w:val="0"/>
              <w:spacing w:before="0" w:after="283"/>
              <w:jc w:val="left"/>
              <w:rPr/>
            </w:pPr>
            <w:r>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113" w:type="dxa"/>
            <w:tcBorders/>
            <w:shd w:fill="CCEEFF" w:val="clear"/>
            <w:vAlign w:val="center"/>
          </w:tcPr>
          <w:p>
            <w:pPr>
              <w:pStyle w:val="TableContents"/>
              <w:bidi w:val="0"/>
              <w:spacing w:before="0" w:after="283"/>
              <w:jc w:val="left"/>
              <w:rPr/>
            </w:pPr>
            <w:r>
              <w:rPr/>
              <w:t> </w:t>
            </w:r>
            <w:bookmarkStart w:id="74" w:name="xdx_40C_eus-gaap--LiabilitiesNoncurrent_"/>
            <w:bookmarkEnd w:id="74"/>
          </w:p>
        </w:tc>
      </w:tr>
      <w:tr>
        <w:trPr/>
        <w:tc>
          <w:tcPr>
            <w:tcW w:w="7101"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34,914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6,915</w:t>
            </w:r>
          </w:p>
        </w:tc>
        <w:tc>
          <w:tcPr>
            <w:tcW w:w="113" w:type="dxa"/>
            <w:tcBorders/>
            <w:shd w:fill="FFFFFF" w:val="clear"/>
            <w:vAlign w:val="center"/>
          </w:tcPr>
          <w:p>
            <w:pPr>
              <w:pStyle w:val="TableContents"/>
              <w:bidi w:val="0"/>
              <w:spacing w:before="0" w:after="283"/>
              <w:jc w:val="left"/>
              <w:rPr/>
            </w:pPr>
            <w:r>
              <w:rPr/>
              <w:t> </w:t>
            </w:r>
            <w:bookmarkStart w:id="75" w:name="xdx_406_eus-gaap--Liabilities_i01TI_mtLz"/>
            <w:bookmarkEnd w:id="75"/>
          </w:p>
        </w:tc>
      </w:tr>
      <w:tr>
        <w:trPr/>
        <w:tc>
          <w:tcPr>
            <w:tcW w:w="7101"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84,178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47,292</w:t>
            </w:r>
          </w:p>
        </w:tc>
        <w:tc>
          <w:tcPr>
            <w:tcW w:w="113" w:type="dxa"/>
            <w:tcBorders/>
            <w:shd w:fill="CCEEFF" w:val="clear"/>
            <w:vAlign w:val="center"/>
          </w:tcPr>
          <w:p>
            <w:pPr>
              <w:pStyle w:val="TableContents"/>
              <w:bidi w:val="0"/>
              <w:spacing w:before="0" w:after="283"/>
              <w:jc w:val="left"/>
              <w:rPr/>
            </w:pPr>
            <w:r>
              <w:rPr/>
              <w:t> </w:t>
            </w:r>
            <w:bookmarkStart w:id="76" w:name="xdx_406_eus-gaap--CommitmentsAndContinge"/>
            <w:bookmarkEnd w:id="76"/>
          </w:p>
        </w:tc>
      </w:tr>
      <w:tr>
        <w:trPr/>
        <w:tc>
          <w:tcPr>
            <w:tcW w:w="7101" w:type="dxa"/>
            <w:tcBorders/>
            <w:shd w:fill="FFFFFF" w:val="clear"/>
            <w:vAlign w:val="center"/>
          </w:tcPr>
          <w:p>
            <w:pPr>
              <w:pStyle w:val="TableContents"/>
              <w:bidi w:val="0"/>
              <w:spacing w:before="0" w:after="283"/>
              <w:jc w:val="left"/>
              <w:rPr/>
            </w:pPr>
            <w:r>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bookmarkStart w:id="77" w:name="xdx_40E_eus-gaap--StockholdersEquityAbst"/>
            <w:bookmarkEnd w:id="77"/>
          </w:p>
        </w:tc>
      </w:tr>
      <w:tr>
        <w:trPr/>
        <w:tc>
          <w:tcPr>
            <w:tcW w:w="7101" w:type="dxa"/>
            <w:tcBorders/>
            <w:shd w:fill="CCEEFF" w:val="clear"/>
            <w:vAlign w:val="center"/>
          </w:tcPr>
          <w:p>
            <w:pPr>
              <w:pStyle w:val="TableContents"/>
              <w:bidi w:val="0"/>
              <w:spacing w:before="0" w:after="283"/>
              <w:jc w:val="left"/>
              <w:rPr>
                <w:b/>
              </w:rPr>
            </w:pPr>
            <w:r>
              <w:rPr>
                <w:b/>
              </w:rPr>
              <w:t>Stockholders’ (Deficit) Equity</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8" w:name="xdx_40E_eus-gaap--PreferredStockValue_i0"/>
            <w:bookmarkEnd w:id="78"/>
          </w:p>
        </w:tc>
      </w:tr>
      <w:tr>
        <w:trPr/>
        <w:tc>
          <w:tcPr>
            <w:tcW w:w="7101" w:type="dxa"/>
            <w:tcBorders/>
            <w:shd w:fill="FFFFFF" w:val="clear"/>
            <w:vAlign w:val="center"/>
          </w:tcPr>
          <w:p>
            <w:pPr>
              <w:pStyle w:val="TableContents"/>
              <w:bidi w:val="0"/>
              <w:spacing w:before="0" w:after="283"/>
              <w:jc w:val="both"/>
              <w:rPr/>
            </w:pPr>
            <w:r>
              <w:rPr/>
              <w:t xml:space="preserve">Preferred stock, </w:t>
            </w:r>
            <w:bookmarkStart w:id="79" w:name="xdx_906_eus-gaap--PreferredStockSharesAu"/>
            <w:bookmarkStart w:id="80" w:name="xdx_909_eus-gaap--PreferredStockSharesAu"/>
            <w:bookmarkEnd w:id="79"/>
            <w:bookmarkEnd w:id="80"/>
            <w:r>
              <w:rPr/>
              <w:t>5,000,000 shares at $</w:t>
            </w:r>
            <w:bookmarkStart w:id="81" w:name="xdx_90E_eus-gaap--PreferredStockParOrSta"/>
            <w:bookmarkStart w:id="82" w:name="xdx_90B_eus-gaap--PreferredStockParOrSta"/>
            <w:bookmarkEnd w:id="81"/>
            <w:bookmarkEnd w:id="82"/>
            <w:r>
              <w:rPr/>
              <w:t xml:space="preserve">0.0001 par value, authorized, </w:t>
              <w:br/>
            </w:r>
            <w:bookmarkStart w:id="83" w:name="xdx_907_eus-gaap--PreferredStockSharesOu"/>
            <w:bookmarkStart w:id="84" w:name="xdx_903_eus-gaap--PreferredStockSharesIs"/>
            <w:bookmarkStart w:id="85" w:name="xdx_909_eus-gaap--PreferredStockSharesOu"/>
            <w:bookmarkStart w:id="86" w:name="xdx_907_eus-gaap--PreferredStockSharesIs"/>
            <w:bookmarkEnd w:id="83"/>
            <w:bookmarkEnd w:id="84"/>
            <w:bookmarkEnd w:id="85"/>
            <w:bookmarkEnd w:id="86"/>
            <w:r>
              <w:rPr/>
              <w:t xml:space="preserve">no shares issued and outstanding as of September 30, 2024 </w:t>
              <w:br/>
              <w:t>December 31, 2023, respectively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87" w:name="xdx_402_eus-gaap--CommonStockValue_i01I_"/>
            <w:bookmarkEnd w:id="87"/>
          </w:p>
        </w:tc>
      </w:tr>
      <w:tr>
        <w:trPr/>
        <w:tc>
          <w:tcPr>
            <w:tcW w:w="7101" w:type="dxa"/>
            <w:tcBorders/>
            <w:shd w:fill="CCEEFF" w:val="clear"/>
            <w:vAlign w:val="center"/>
          </w:tcPr>
          <w:p>
            <w:pPr>
              <w:pStyle w:val="TableContents"/>
              <w:bidi w:val="0"/>
              <w:spacing w:before="0" w:after="283"/>
              <w:jc w:val="left"/>
              <w:rPr/>
            </w:pPr>
            <w:r>
              <w:rPr/>
              <w:t xml:space="preserve">Common stock, </w:t>
            </w:r>
            <w:bookmarkStart w:id="88" w:name="xdx_909_eus-gaap--CommonStockSharesAutho"/>
            <w:bookmarkStart w:id="89" w:name="xdx_902_eus-gaap--CommonStockSharesAutho"/>
            <w:bookmarkStart w:id="90" w:name="xdx_900_eus-gaap--CommonStockSharesAutho"/>
            <w:bookmarkEnd w:id="88"/>
            <w:bookmarkEnd w:id="89"/>
            <w:bookmarkEnd w:id="90"/>
            <w:r>
              <w:rPr/>
              <w:t>250,000,000 shares at $</w:t>
            </w:r>
            <w:bookmarkStart w:id="91" w:name="xdx_90F_eus-gaap--CommonStockParOrStated"/>
            <w:bookmarkStart w:id="92" w:name="xdx_90D_eus-gaap--CommonStockParOrStated"/>
            <w:bookmarkEnd w:id="91"/>
            <w:bookmarkEnd w:id="92"/>
            <w:r>
              <w:rPr/>
              <w:t xml:space="preserve">0.0001 par value, authorized, </w:t>
            </w:r>
            <w:bookmarkStart w:id="93" w:name="xdx_90B_eus-gaap--CommonStockSharesOutst"/>
            <w:bookmarkStart w:id="94" w:name="xdx_901_eus-gaap--CommonStockSharesIssue"/>
            <w:bookmarkEnd w:id="93"/>
            <w:bookmarkEnd w:id="94"/>
            <w:r>
              <w:rPr/>
              <w:t xml:space="preserve">62,767,982 and </w:t>
            </w:r>
            <w:bookmarkStart w:id="95" w:name="xdx_901_eus-gaap--CommonStockSharesOutst"/>
            <w:bookmarkStart w:id="96" w:name="xdx_907_eus-gaap--CommonStockSharesIssue"/>
            <w:bookmarkEnd w:id="95"/>
            <w:bookmarkEnd w:id="96"/>
            <w:r>
              <w:rPr/>
              <w:t>60,260,282 shares issued and outstanding as of September 30,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6</w:t>
            </w:r>
          </w:p>
        </w:tc>
        <w:tc>
          <w:tcPr>
            <w:tcW w:w="113" w:type="dxa"/>
            <w:tcBorders/>
            <w:shd w:fill="CCEEFF" w:val="clear"/>
            <w:vAlign w:val="center"/>
          </w:tcPr>
          <w:p>
            <w:pPr>
              <w:pStyle w:val="TableContents"/>
              <w:bidi w:val="0"/>
              <w:spacing w:before="0" w:after="283"/>
              <w:jc w:val="left"/>
              <w:rPr/>
            </w:pPr>
            <w:r>
              <w:rPr/>
              <w:t> </w:t>
            </w:r>
            <w:bookmarkStart w:id="97" w:name="xdx_406_eus-gaap--AdditionalPaidInCapita"/>
            <w:bookmarkEnd w:id="97"/>
          </w:p>
        </w:tc>
      </w:tr>
      <w:tr>
        <w:trPr/>
        <w:tc>
          <w:tcPr>
            <w:tcW w:w="7101"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72,009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69,445</w:t>
            </w:r>
          </w:p>
        </w:tc>
        <w:tc>
          <w:tcPr>
            <w:tcW w:w="113" w:type="dxa"/>
            <w:tcBorders/>
            <w:shd w:fill="FFFFFF" w:val="clear"/>
            <w:vAlign w:val="center"/>
          </w:tcPr>
          <w:p>
            <w:pPr>
              <w:pStyle w:val="TableContents"/>
              <w:bidi w:val="0"/>
              <w:spacing w:before="0" w:after="283"/>
              <w:jc w:val="left"/>
              <w:rPr/>
            </w:pPr>
            <w:r>
              <w:rPr/>
              <w:t> </w:t>
            </w:r>
            <w:bookmarkStart w:id="98" w:name="xdx_40B_eus-gaap--RetainedEarningsAccumu"/>
            <w:bookmarkEnd w:id="98"/>
          </w:p>
        </w:tc>
      </w:tr>
      <w:tr>
        <w:trPr/>
        <w:tc>
          <w:tcPr>
            <w:tcW w:w="710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(72,312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(41,539</w:t>
            </w:r>
          </w:p>
        </w:tc>
        <w:tc>
          <w:tcPr>
            <w:tcW w:w="113" w:type="dxa"/>
            <w:tcBorders/>
            <w:shd w:fill="CCEEFF" w:val="clear"/>
            <w:vAlign w:val="center"/>
          </w:tcPr>
          <w:p>
            <w:pPr>
              <w:pStyle w:val="TableContents"/>
              <w:bidi w:val="0"/>
              <w:spacing w:before="0" w:after="283"/>
              <w:jc w:val="left"/>
              <w:rPr/>
            </w:pPr>
            <w:r>
              <w:rPr/>
              <w:t>)</w:t>
            </w:r>
            <w:bookmarkStart w:id="99" w:name="xdx_400_eus-gaap--StockholdersEquity_i01"/>
            <w:bookmarkEnd w:id="99"/>
          </w:p>
        </w:tc>
      </w:tr>
      <w:tr>
        <w:trPr/>
        <w:tc>
          <w:tcPr>
            <w:tcW w:w="7101" w:type="dxa"/>
            <w:tcBorders/>
            <w:shd w:fill="FFFFFF" w:val="clear"/>
            <w:vAlign w:val="center"/>
          </w:tcPr>
          <w:p>
            <w:pPr>
              <w:pStyle w:val="TableContents"/>
              <w:bidi w:val="0"/>
              <w:spacing w:before="0" w:after="283"/>
              <w:jc w:val="left"/>
              <w:rPr>
                <w:b/>
              </w:rPr>
            </w:pPr>
            <w:r>
              <w:rPr>
                <w:b/>
              </w:rPr>
              <w:t>Total Stockholders’ (Deficit) Equity</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(297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27,912</w:t>
            </w:r>
          </w:p>
        </w:tc>
        <w:tc>
          <w:tcPr>
            <w:tcW w:w="113" w:type="dxa"/>
            <w:tcBorders/>
            <w:shd w:fill="FFFFFF" w:val="clear"/>
            <w:vAlign w:val="center"/>
          </w:tcPr>
          <w:p>
            <w:pPr>
              <w:pStyle w:val="TableContents"/>
              <w:bidi w:val="0"/>
              <w:spacing w:before="0" w:after="283"/>
              <w:jc w:val="left"/>
              <w:rPr/>
            </w:pPr>
            <w:r>
              <w:rPr/>
              <w:t> </w:t>
            </w:r>
            <w:bookmarkStart w:id="100" w:name="xdx_406_eus-gaap--LiabilitiesAndStockhol"/>
            <w:bookmarkEnd w:id="100"/>
          </w:p>
        </w:tc>
      </w:tr>
      <w:tr>
        <w:trPr/>
        <w:tc>
          <w:tcPr>
            <w:tcW w:w="7101" w:type="dxa"/>
            <w:tcBorders/>
            <w:shd w:fill="CCEEFF" w:val="clear"/>
            <w:vAlign w:val="center"/>
          </w:tcPr>
          <w:p>
            <w:pPr>
              <w:pStyle w:val="TableContents"/>
              <w:bidi w:val="0"/>
              <w:spacing w:before="0" w:after="283"/>
              <w:jc w:val="left"/>
              <w:rPr>
                <w:b/>
              </w:rPr>
            </w:pPr>
            <w:r>
              <w:rPr>
                <w:b/>
              </w:rPr>
              <w:t>Total Liabilities and Stockholders’ (Deficit) Equity</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pPr>
            <w:r>
              <w:rPr/>
              <w:t>83,881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jc w:val="right"/>
              <w:rPr/>
            </w:pPr>
            <w:r>
              <w:rPr/>
              <w:t>75,204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1" w:name="a_002"/>
      <w:bookmarkEnd w:id="101"/>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Three and Nine Months Ended September 30, 2024 and 2023</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2" w:name="xdx_307_113_pn3n3_zf2NgEvStXBc"/>
      <w:bookmarkStart w:id="103" w:name="xdx_307_113_pn3n3_zf2NgEvStXBc"/>
      <w:bookmarkEnd w:id="103"/>
    </w:p>
    <w:tbl>
      <w:tblPr>
        <w:tblW w:w="10205" w:type="dxa"/>
        <w:jc w:val="left"/>
        <w:tblInd w:w="0" w:type="dxa"/>
        <w:tblLayout w:type="fixed"/>
        <w:tblCellMar>
          <w:top w:w="0" w:type="dxa"/>
          <w:left w:w="0" w:type="dxa"/>
          <w:bottom w:w="0" w:type="dxa"/>
          <w:right w:w="0" w:type="dxa"/>
        </w:tblCellMar>
      </w:tblPr>
      <w:tblGrid>
        <w:gridCol w:w="4269"/>
        <w:gridCol w:w="60"/>
        <w:gridCol w:w="150"/>
        <w:gridCol w:w="1185"/>
        <w:gridCol w:w="102"/>
        <w:gridCol w:w="64"/>
        <w:gridCol w:w="150"/>
        <w:gridCol w:w="1185"/>
        <w:gridCol w:w="95"/>
        <w:gridCol w:w="60"/>
        <w:gridCol w:w="147"/>
        <w:gridCol w:w="1157"/>
        <w:gridCol w:w="99"/>
        <w:gridCol w:w="62"/>
        <w:gridCol w:w="147"/>
        <w:gridCol w:w="1157"/>
        <w:gridCol w:w="116"/>
      </w:tblGrid>
      <w:tr>
        <w:trPr/>
        <w:tc>
          <w:tcPr>
            <w:tcW w:w="42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 w:name="xdx_497_20240701__20240930_zglxjjDmvtg2"/>
            <w:bookmarkEnd w:id="104"/>
          </w:p>
        </w:tc>
        <w:tc>
          <w:tcPr>
            <w:tcW w:w="133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105" w:name="xdx_497_20230701__20230930_zqE4cRJZmt77"/>
            <w:bookmarkEnd w:id="105"/>
          </w:p>
        </w:tc>
        <w:tc>
          <w:tcPr>
            <w:tcW w:w="133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 w:name="xdx_497_20240101__20240930_zrnE29QtpUah"/>
            <w:bookmarkEnd w:id="106"/>
          </w:p>
        </w:tc>
        <w:tc>
          <w:tcPr>
            <w:tcW w:w="1304"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107" w:name="xdx_498_20230101__20230930_zbOytjfbrbR8"/>
            <w:bookmarkEnd w:id="107"/>
          </w:p>
        </w:tc>
        <w:tc>
          <w:tcPr>
            <w:tcW w:w="1304"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6" w:type="dxa"/>
            <w:tcBorders/>
            <w:vAlign w:val="center"/>
          </w:tcPr>
          <w:p>
            <w:pPr>
              <w:pStyle w:val="TableContents"/>
              <w:bidi w:val="0"/>
              <w:spacing w:before="0" w:after="283"/>
              <w:jc w:val="left"/>
              <w:rPr/>
            </w:pPr>
            <w:r>
              <w:rPr/>
              <w:t> </w:t>
            </w:r>
          </w:p>
        </w:tc>
      </w:tr>
      <w:tr>
        <w:trPr/>
        <w:tc>
          <w:tcPr>
            <w:tcW w:w="42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For The Three Months Ended </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9"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For The Nine Months Ended </w:t>
              <w:br/>
              <w:t>September 30,</w:t>
            </w:r>
          </w:p>
        </w:tc>
        <w:tc>
          <w:tcPr>
            <w:tcW w:w="116" w:type="dxa"/>
            <w:tcBorders/>
            <w:vAlign w:val="center"/>
          </w:tcPr>
          <w:p>
            <w:pPr>
              <w:pStyle w:val="TableContents"/>
              <w:bidi w:val="0"/>
              <w:spacing w:before="0" w:after="283"/>
              <w:jc w:val="left"/>
              <w:rPr/>
            </w:pPr>
            <w:r>
              <w:rPr/>
              <w:t> </w:t>
            </w:r>
          </w:p>
        </w:tc>
      </w:tr>
      <w:tr>
        <w:trPr/>
        <w:tc>
          <w:tcPr>
            <w:tcW w:w="42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6" w:type="dxa"/>
            <w:tcBorders/>
            <w:vAlign w:val="center"/>
          </w:tcPr>
          <w:p>
            <w:pPr>
              <w:pStyle w:val="TableContents"/>
              <w:bidi w:val="0"/>
              <w:spacing w:before="0" w:after="283"/>
              <w:jc w:val="left"/>
              <w:rPr/>
            </w:pPr>
            <w:r>
              <w:rPr/>
              <w:t> </w:t>
            </w:r>
          </w:p>
        </w:tc>
      </w:tr>
      <w:tr>
        <w:trPr/>
        <w:tc>
          <w:tcPr>
            <w:tcW w:w="42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bookmarkStart w:id="108" w:name="xdx_402_eus-gaap--RevenueFromContractWit"/>
            <w:bookmarkEnd w:id="108"/>
          </w:p>
        </w:tc>
      </w:tr>
      <w:tr>
        <w:trPr/>
        <w:tc>
          <w:tcPr>
            <w:tcW w:w="4269"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12,720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15,889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38,433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53,954</w:t>
            </w:r>
          </w:p>
        </w:tc>
        <w:tc>
          <w:tcPr>
            <w:tcW w:w="116" w:type="dxa"/>
            <w:tcBorders/>
            <w:shd w:fill="CCEEFF" w:val="clear"/>
            <w:vAlign w:val="center"/>
          </w:tcPr>
          <w:p>
            <w:pPr>
              <w:pStyle w:val="TableContents"/>
              <w:bidi w:val="0"/>
              <w:spacing w:before="0" w:after="283"/>
              <w:jc w:val="left"/>
              <w:rPr/>
            </w:pPr>
            <w:r>
              <w:rPr/>
              <w:t> </w:t>
            </w:r>
          </w:p>
        </w:tc>
      </w:tr>
      <w:tr>
        <w:trPr/>
        <w:tc>
          <w:tcPr>
            <w:tcW w:w="42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09" w:name="xdx_408_eus-gaap--CostOfGoodsAndServices"/>
            <w:bookmarkEnd w:id="109"/>
          </w:p>
        </w:tc>
      </w:tr>
      <w:tr>
        <w:trPr/>
        <w:tc>
          <w:tcPr>
            <w:tcW w:w="4269"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9,850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pPr>
            <w:r>
              <w:rPr/>
              <w:t>29,345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pPr>
            <w:r>
              <w:rPr/>
              <w:t>40,765</w:t>
            </w:r>
          </w:p>
        </w:tc>
        <w:tc>
          <w:tcPr>
            <w:tcW w:w="116" w:type="dxa"/>
            <w:tcBorders/>
            <w:shd w:fill="CCEEFF" w:val="clear"/>
            <w:vAlign w:val="center"/>
          </w:tcPr>
          <w:p>
            <w:pPr>
              <w:pStyle w:val="TableContents"/>
              <w:bidi w:val="0"/>
              <w:spacing w:before="0" w:after="283"/>
              <w:jc w:val="left"/>
              <w:rPr/>
            </w:pPr>
            <w:r>
              <w:rPr/>
              <w:t> </w:t>
            </w:r>
          </w:p>
        </w:tc>
      </w:tr>
      <w:tr>
        <w:trPr/>
        <w:tc>
          <w:tcPr>
            <w:tcW w:w="42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10" w:name="xdx_408_eus-gaap--GrossProfit_iT_mtGPzCU"/>
            <w:bookmarkEnd w:id="110"/>
          </w:p>
        </w:tc>
      </w:tr>
      <w:tr>
        <w:trPr/>
        <w:tc>
          <w:tcPr>
            <w:tcW w:w="4269"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2,870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9,088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13,189</w:t>
            </w:r>
          </w:p>
        </w:tc>
        <w:tc>
          <w:tcPr>
            <w:tcW w:w="116" w:type="dxa"/>
            <w:tcBorders/>
            <w:shd w:fill="CCEEFF" w:val="clear"/>
            <w:vAlign w:val="center"/>
          </w:tcPr>
          <w:p>
            <w:pPr>
              <w:pStyle w:val="TableContents"/>
              <w:bidi w:val="0"/>
              <w:spacing w:before="0" w:after="283"/>
              <w:jc w:val="left"/>
              <w:rPr/>
            </w:pPr>
            <w:r>
              <w:rPr/>
              <w:t> </w:t>
            </w:r>
          </w:p>
        </w:tc>
      </w:tr>
      <w:tr>
        <w:trPr/>
        <w:tc>
          <w:tcPr>
            <w:tcW w:w="42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11" w:name="xdx_40C_eus-gaap--OperatingExpensesAbstr"/>
            <w:bookmarkEnd w:id="111"/>
          </w:p>
        </w:tc>
      </w:tr>
      <w:tr>
        <w:trPr/>
        <w:tc>
          <w:tcPr>
            <w:tcW w:w="4269"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12" w:name="xdx_40A_eus-gaap--ResearchAndDevelopment"/>
            <w:bookmarkEnd w:id="112"/>
          </w:p>
        </w:tc>
      </w:tr>
      <w:tr>
        <w:trPr/>
        <w:tc>
          <w:tcPr>
            <w:tcW w:w="426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1,631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4,495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3,332</w:t>
            </w:r>
          </w:p>
        </w:tc>
        <w:tc>
          <w:tcPr>
            <w:tcW w:w="116" w:type="dxa"/>
            <w:tcBorders/>
            <w:shd w:fill="FFFFFF" w:val="clear"/>
            <w:vAlign w:val="center"/>
          </w:tcPr>
          <w:p>
            <w:pPr>
              <w:pStyle w:val="TableContents"/>
              <w:bidi w:val="0"/>
              <w:spacing w:before="0" w:after="283"/>
              <w:jc w:val="left"/>
              <w:rPr/>
            </w:pPr>
            <w:r>
              <w:rPr/>
              <w:t> </w:t>
            </w:r>
            <w:bookmarkStart w:id="113" w:name="xdx_401_eus-gaap--GeneralAndAdministrati"/>
            <w:bookmarkEnd w:id="113"/>
          </w:p>
        </w:tc>
      </w:tr>
      <w:tr>
        <w:trPr/>
        <w:tc>
          <w:tcPr>
            <w:tcW w:w="4269"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4,361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6,005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14,878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23,114</w:t>
            </w:r>
          </w:p>
        </w:tc>
        <w:tc>
          <w:tcPr>
            <w:tcW w:w="116" w:type="dxa"/>
            <w:tcBorders/>
            <w:shd w:fill="CCEEFF" w:val="clear"/>
            <w:vAlign w:val="center"/>
          </w:tcPr>
          <w:p>
            <w:pPr>
              <w:pStyle w:val="TableContents"/>
              <w:bidi w:val="0"/>
              <w:spacing w:before="0" w:after="283"/>
              <w:jc w:val="left"/>
              <w:rPr/>
            </w:pPr>
            <w:r>
              <w:rPr/>
              <w:t> </w:t>
            </w:r>
            <w:bookmarkStart w:id="114" w:name="xdx_40F_eus-gaap--SellingAndMarketingExp"/>
            <w:bookmarkEnd w:id="114"/>
          </w:p>
        </w:tc>
      </w:tr>
      <w:tr>
        <w:trPr/>
        <w:tc>
          <w:tcPr>
            <w:tcW w:w="4269"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2,904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3,083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8,329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11,075</w:t>
            </w:r>
          </w:p>
        </w:tc>
        <w:tc>
          <w:tcPr>
            <w:tcW w:w="116" w:type="dxa"/>
            <w:tcBorders/>
            <w:shd w:fill="FFFFFF" w:val="clear"/>
            <w:vAlign w:val="center"/>
          </w:tcPr>
          <w:p>
            <w:pPr>
              <w:pStyle w:val="TableContents"/>
              <w:bidi w:val="0"/>
              <w:spacing w:before="0" w:after="283"/>
              <w:jc w:val="left"/>
              <w:rPr/>
            </w:pPr>
            <w:r>
              <w:rPr/>
              <w:t> </w:t>
            </w:r>
          </w:p>
        </w:tc>
      </w:tr>
      <w:tr>
        <w:trPr/>
        <w:tc>
          <w:tcPr>
            <w:tcW w:w="4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15" w:name="xdx_40B_eus-gaap--OperatingExpenses_i01T"/>
            <w:bookmarkEnd w:id="115"/>
          </w:p>
        </w:tc>
      </w:tr>
      <w:tr>
        <w:trPr/>
        <w:tc>
          <w:tcPr>
            <w:tcW w:w="4269"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8,896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10,473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27,702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37,521</w:t>
            </w:r>
          </w:p>
        </w:tc>
        <w:tc>
          <w:tcPr>
            <w:tcW w:w="116" w:type="dxa"/>
            <w:tcBorders/>
            <w:shd w:fill="FFFFFF" w:val="clear"/>
            <w:vAlign w:val="center"/>
          </w:tcPr>
          <w:p>
            <w:pPr>
              <w:pStyle w:val="TableContents"/>
              <w:bidi w:val="0"/>
              <w:spacing w:before="0" w:after="283"/>
              <w:jc w:val="left"/>
              <w:rPr/>
            </w:pPr>
            <w:r>
              <w:rPr/>
              <w:t> </w:t>
            </w:r>
          </w:p>
        </w:tc>
      </w:tr>
      <w:tr>
        <w:trPr/>
        <w:tc>
          <w:tcPr>
            <w:tcW w:w="4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16" w:name="xdx_405_eus-gaap--OperatingIncomeLoss_iT"/>
            <w:bookmarkEnd w:id="116"/>
          </w:p>
        </w:tc>
      </w:tr>
      <w:tr>
        <w:trPr/>
        <w:tc>
          <w:tcPr>
            <w:tcW w:w="4269"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(6,026</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(5,875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(18,614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(24,332</w:t>
            </w:r>
          </w:p>
        </w:tc>
        <w:tc>
          <w:tcPr>
            <w:tcW w:w="116" w:type="dxa"/>
            <w:tcBorders/>
            <w:shd w:fill="FFFFFF" w:val="clear"/>
            <w:vAlign w:val="center"/>
          </w:tcPr>
          <w:p>
            <w:pPr>
              <w:pStyle w:val="TableContents"/>
              <w:bidi w:val="0"/>
              <w:spacing w:before="0" w:after="283"/>
              <w:jc w:val="left"/>
              <w:rPr/>
            </w:pPr>
            <w:r>
              <w:rPr/>
              <w:t>)</w:t>
            </w:r>
          </w:p>
        </w:tc>
      </w:tr>
      <w:tr>
        <w:trPr/>
        <w:tc>
          <w:tcPr>
            <w:tcW w:w="4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17" w:name="xdx_409_eus-gaap--NonoperatingIncomeExpe"/>
            <w:bookmarkEnd w:id="117"/>
          </w:p>
        </w:tc>
      </w:tr>
      <w:tr>
        <w:trPr/>
        <w:tc>
          <w:tcPr>
            <w:tcW w:w="4269" w:type="dxa"/>
            <w:tcBorders/>
            <w:shd w:fill="FFFFFF" w:val="clear"/>
            <w:vAlign w:val="center"/>
          </w:tcPr>
          <w:p>
            <w:pPr>
              <w:pStyle w:val="TableContents"/>
              <w:bidi w:val="0"/>
              <w:spacing w:before="0" w:after="283"/>
              <w:jc w:val="left"/>
              <w:rPr>
                <w:b/>
              </w:rPr>
            </w:pPr>
            <w:r>
              <w:rPr>
                <w:b/>
              </w:rPr>
              <w:t>Other (Expense)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118" w:name="xdx_40E_eus-gaap--InterestExpenseNonoper"/>
            <w:bookmarkEnd w:id="118"/>
          </w:p>
        </w:tc>
      </w:tr>
      <w:tr>
        <w:trPr/>
        <w:tc>
          <w:tcPr>
            <w:tcW w:w="4269"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(5,615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(15,253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(11,981</w:t>
            </w:r>
          </w:p>
        </w:tc>
        <w:tc>
          <w:tcPr>
            <w:tcW w:w="116" w:type="dxa"/>
            <w:tcBorders/>
            <w:shd w:fill="CCEEFF" w:val="clear"/>
            <w:vAlign w:val="center"/>
          </w:tcPr>
          <w:p>
            <w:pPr>
              <w:pStyle w:val="TableContents"/>
              <w:bidi w:val="0"/>
              <w:spacing w:before="0" w:after="283"/>
              <w:jc w:val="left"/>
              <w:rPr/>
            </w:pPr>
            <w:r>
              <w:rPr/>
              <w:t>)</w:t>
            </w:r>
            <w:bookmarkStart w:id="119" w:name="xdx_407_eus-gaap--OtherNonoperatingExpen"/>
            <w:bookmarkEnd w:id="119"/>
          </w:p>
        </w:tc>
      </w:tr>
      <w:tr>
        <w:trPr/>
        <w:tc>
          <w:tcPr>
            <w:tcW w:w="4269"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(36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120" w:name="xdx_407_eus-gaap--FairValueAdjustmentOfW"/>
            <w:bookmarkEnd w:id="120"/>
          </w:p>
        </w:tc>
      </w:tr>
      <w:tr>
        <w:trPr/>
        <w:tc>
          <w:tcPr>
            <w:tcW w:w="4269"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4,875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pPr>
            <w:r>
              <w:rPr/>
              <w:t>3,130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pPr>
            <w:r>
              <w:rPr/>
              <w:t>19,182</w:t>
            </w:r>
          </w:p>
        </w:tc>
        <w:tc>
          <w:tcPr>
            <w:tcW w:w="116" w:type="dxa"/>
            <w:tcBorders/>
            <w:shd w:fill="CCEEFF" w:val="clear"/>
            <w:vAlign w:val="center"/>
          </w:tcPr>
          <w:p>
            <w:pPr>
              <w:pStyle w:val="TableContents"/>
              <w:bidi w:val="0"/>
              <w:spacing w:before="0" w:after="283"/>
              <w:jc w:val="left"/>
              <w:rPr/>
            </w:pPr>
            <w:r>
              <w:rPr/>
              <w:t> </w:t>
            </w:r>
            <w:bookmarkStart w:id="121" w:name="xdx_409_eus-gaap--NonoperatingIncomeExpe"/>
            <w:bookmarkEnd w:id="121"/>
          </w:p>
        </w:tc>
      </w:tr>
      <w:tr>
        <w:trPr/>
        <w:tc>
          <w:tcPr>
            <w:tcW w:w="4269" w:type="dxa"/>
            <w:tcBorders/>
            <w:shd w:fill="FFFFFF" w:val="clear"/>
            <w:vAlign w:val="center"/>
          </w:tcPr>
          <w:p>
            <w:pPr>
              <w:pStyle w:val="TableContents"/>
              <w:bidi w:val="0"/>
              <w:spacing w:before="0" w:after="283"/>
              <w:jc w:val="left"/>
              <w:rPr>
                <w:b/>
              </w:rPr>
            </w:pPr>
            <w:r>
              <w:rPr>
                <w:b/>
              </w:rPr>
              <w:t>Total Other (Expense) Income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(753</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(4,132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(12,159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7,201</w:t>
            </w:r>
          </w:p>
        </w:tc>
        <w:tc>
          <w:tcPr>
            <w:tcW w:w="116" w:type="dxa"/>
            <w:tcBorders/>
            <w:shd w:fill="FFFFFF" w:val="clear"/>
            <w:vAlign w:val="center"/>
          </w:tcPr>
          <w:p>
            <w:pPr>
              <w:pStyle w:val="TableContents"/>
              <w:bidi w:val="0"/>
              <w:spacing w:before="0" w:after="283"/>
              <w:jc w:val="left"/>
              <w:rPr/>
            </w:pPr>
            <w:r>
              <w:rPr/>
              <w:t> </w:t>
            </w:r>
          </w:p>
        </w:tc>
      </w:tr>
      <w:tr>
        <w:trPr/>
        <w:tc>
          <w:tcPr>
            <w:tcW w:w="4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22" w:name="xdx_40A_eus-gaap--IncomeLossFromContinui"/>
            <w:bookmarkEnd w:id="122"/>
          </w:p>
        </w:tc>
      </w:tr>
      <w:tr>
        <w:trPr/>
        <w:tc>
          <w:tcPr>
            <w:tcW w:w="4269"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(6,779</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(10,007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(30,773</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(17,131</w:t>
            </w:r>
          </w:p>
        </w:tc>
        <w:tc>
          <w:tcPr>
            <w:tcW w:w="116" w:type="dxa"/>
            <w:tcBorders/>
            <w:shd w:fill="FFFFFF" w:val="clear"/>
            <w:vAlign w:val="center"/>
          </w:tcPr>
          <w:p>
            <w:pPr>
              <w:pStyle w:val="TableContents"/>
              <w:bidi w:val="0"/>
              <w:spacing w:before="0" w:after="283"/>
              <w:jc w:val="left"/>
              <w:rPr/>
            </w:pPr>
            <w:r>
              <w:rPr/>
              <w:t>)</w:t>
            </w:r>
          </w:p>
        </w:tc>
      </w:tr>
      <w:tr>
        <w:trPr/>
        <w:tc>
          <w:tcPr>
            <w:tcW w:w="4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23" w:name="xdx_40A_eus-gaap--IncomeTaxExpenseBenefi"/>
            <w:bookmarkEnd w:id="123"/>
          </w:p>
        </w:tc>
      </w:tr>
      <w:tr>
        <w:trPr/>
        <w:tc>
          <w:tcPr>
            <w:tcW w:w="4269"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4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124" w:name="xdx_404_eus-gaap--NetIncomeLoss_iT_mtNIL"/>
            <w:bookmarkEnd w:id="124"/>
          </w:p>
        </w:tc>
      </w:tr>
      <w:tr>
        <w:trPr/>
        <w:tc>
          <w:tcPr>
            <w:tcW w:w="4269"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r>
              <w:rPr/>
              <w:t>(6,779</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r>
              <w:rPr/>
              <w:t>(10,007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7" w:type="dxa"/>
            <w:tcBorders>
              <w:bottom w:val="double" w:sz="6" w:space="0" w:color="000000"/>
            </w:tcBorders>
            <w:shd w:fill="FFFFFF" w:val="clear"/>
            <w:tcMar>
              <w:bottom w:w="28" w:type="dxa"/>
            </w:tcMar>
            <w:vAlign w:val="center"/>
          </w:tcPr>
          <w:p>
            <w:pPr>
              <w:pStyle w:val="TableContents"/>
              <w:bidi w:val="0"/>
              <w:spacing w:before="0" w:after="283"/>
              <w:jc w:val="right"/>
              <w:rPr/>
            </w:pPr>
            <w:r>
              <w:rPr/>
              <w:t>(30,773</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7" w:type="dxa"/>
            <w:tcBorders>
              <w:bottom w:val="double" w:sz="6" w:space="0" w:color="000000"/>
            </w:tcBorders>
            <w:shd w:fill="FFFFFF" w:val="clear"/>
            <w:tcMar>
              <w:bottom w:w="28" w:type="dxa"/>
            </w:tcMar>
            <w:vAlign w:val="center"/>
          </w:tcPr>
          <w:p>
            <w:pPr>
              <w:pStyle w:val="TableContents"/>
              <w:bidi w:val="0"/>
              <w:spacing w:before="0" w:after="283"/>
              <w:jc w:val="right"/>
              <w:rPr/>
            </w:pPr>
            <w:r>
              <w:rPr/>
              <w:t>(17,131</w:t>
            </w:r>
          </w:p>
        </w:tc>
        <w:tc>
          <w:tcPr>
            <w:tcW w:w="116" w:type="dxa"/>
            <w:tcBorders/>
            <w:shd w:fill="FFFFFF" w:val="clear"/>
            <w:vAlign w:val="center"/>
          </w:tcPr>
          <w:p>
            <w:pPr>
              <w:pStyle w:val="TableContents"/>
              <w:bidi w:val="0"/>
              <w:spacing w:before="0" w:after="283"/>
              <w:jc w:val="left"/>
              <w:rPr/>
            </w:pPr>
            <w:r>
              <w:rPr/>
              <w:t>)</w:t>
            </w:r>
          </w:p>
        </w:tc>
      </w:tr>
      <w:tr>
        <w:trPr/>
        <w:tc>
          <w:tcPr>
            <w:tcW w:w="4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69" w:type="dxa"/>
            <w:tcBorders/>
            <w:shd w:fill="FFFFFF" w:val="clear"/>
            <w:vAlign w:val="center"/>
          </w:tcPr>
          <w:p>
            <w:pPr>
              <w:pStyle w:val="TableContents"/>
              <w:bidi w:val="0"/>
              <w:spacing w:before="0" w:after="283"/>
              <w:jc w:val="left"/>
              <w:rPr/>
            </w:pPr>
            <w:r>
              <w:rPr/>
              <w:t>Loss Per Share- Basic &amp; Diluted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5" w:name="xdx_908_eus-gaap--EarningsPerShareDilute"/>
            <w:bookmarkStart w:id="126" w:name="xdx_904_eus-gaap--EarningsPerShareBasic_"/>
            <w:bookmarkEnd w:id="125"/>
            <w:bookmarkEnd w:id="126"/>
            <w:r>
              <w:rPr/>
              <w:t>(0.11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7" w:name="xdx_905_eus-gaap--EarningsPerShareDilute"/>
            <w:bookmarkStart w:id="128" w:name="xdx_900_eus-gaap--EarningsPerShareBasic_"/>
            <w:bookmarkEnd w:id="127"/>
            <w:bookmarkEnd w:id="128"/>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9" w:name="xdx_90B_eus-gaap--EarningsPerShareDilute"/>
            <w:bookmarkStart w:id="130" w:name="xdx_904_eus-gaap--EarningsPerShareBasic_"/>
            <w:bookmarkEnd w:id="129"/>
            <w:bookmarkEnd w:id="130"/>
            <w:r>
              <w:rPr/>
              <w:t>(0.50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31" w:name="xdx_900_eus-gaap--EarningsPerShareDilute"/>
            <w:bookmarkStart w:id="132" w:name="xdx_90F_eus-gaap--EarningsPerShareBasic_"/>
            <w:bookmarkEnd w:id="131"/>
            <w:bookmarkEnd w:id="132"/>
            <w:r>
              <w:rPr/>
              <w:t>(0.34</w:t>
            </w:r>
          </w:p>
        </w:tc>
        <w:tc>
          <w:tcPr>
            <w:tcW w:w="116" w:type="dxa"/>
            <w:tcBorders/>
            <w:shd w:fill="FFFFFF" w:val="clear"/>
            <w:vAlign w:val="center"/>
          </w:tcPr>
          <w:p>
            <w:pPr>
              <w:pStyle w:val="TableContents"/>
              <w:bidi w:val="0"/>
              <w:spacing w:before="0" w:after="283"/>
              <w:jc w:val="left"/>
              <w:rPr/>
            </w:pPr>
            <w:r>
              <w:rPr/>
              <w:t>)</w:t>
            </w:r>
          </w:p>
        </w:tc>
      </w:tr>
      <w:tr>
        <w:trPr/>
        <w:tc>
          <w:tcPr>
            <w:tcW w:w="42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69" w:type="dxa"/>
            <w:tcBorders/>
            <w:shd w:fill="FFFFFF" w:val="clear"/>
            <w:vAlign w:val="center"/>
          </w:tcPr>
          <w:p>
            <w:pPr>
              <w:pStyle w:val="TableContents"/>
              <w:bidi w:val="0"/>
              <w:spacing w:before="0" w:after="283"/>
              <w:jc w:val="left"/>
              <w:rPr/>
            </w:pPr>
            <w:r>
              <w:rPr/>
              <w:t>Weighted Average Number of Shares - Basic &amp; Diluted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33" w:name="xdx_906_eus-gaap--WeightedAverageNumberO"/>
            <w:bookmarkStart w:id="134" w:name="xdx_907_eus-gaap--WeightedAverageNumberO"/>
            <w:bookmarkEnd w:id="133"/>
            <w:bookmarkEnd w:id="134"/>
            <w:r>
              <w:rPr/>
              <w:t>62,328,555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35" w:name="xdx_903_eus-gaap--WeightedAverageNumberO"/>
            <w:bookmarkStart w:id="136" w:name="xdx_908_eus-gaap--WeightedAverageNumberO"/>
            <w:bookmarkEnd w:id="135"/>
            <w:bookmarkEnd w:id="136"/>
            <w:r>
              <w:rPr/>
              <w:t>58,736,013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37" w:name="xdx_905_eus-gaap--WeightedAverageNumberO"/>
            <w:bookmarkStart w:id="138" w:name="xdx_902_eus-gaap--WeightedAverageNumberO"/>
            <w:bookmarkEnd w:id="137"/>
            <w:bookmarkEnd w:id="138"/>
            <w:r>
              <w:rPr/>
              <w:t>61,092,021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39" w:name="xdx_904_eus-gaap--WeightedAverageNumberO"/>
            <w:bookmarkStart w:id="140" w:name="xdx_909_eus-gaap--WeightedAverageNumberO"/>
            <w:bookmarkEnd w:id="139"/>
            <w:bookmarkEnd w:id="140"/>
            <w:r>
              <w:rPr/>
              <w:t>50,166,320</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i/>
        </w:rPr>
      </w:pPr>
      <w:r>
        <w:rPr>
          <w:i/>
        </w:rPr>
        <w:t>The accompanying notes are an integral part of the consolidated financial statements.</w:t>
      </w:r>
    </w:p>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1" w:name="a_003"/>
      <w:bookmarkEnd w:id="141"/>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Stockholders’ Equity (Deficit)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Nine Months Ended September 30, 2024 and 2023</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center"/>
        <w:rPr>
          <w:caps/>
        </w:rPr>
      </w:pPr>
      <w:r>
        <w:rPr>
          <w:caps/>
        </w:rPr>
        <w:t> </w:t>
      </w:r>
    </w:p>
    <w:p>
      <w:pPr>
        <w:pStyle w:val="Normal"/>
        <w:bidi w:val="0"/>
        <w:spacing w:before="0" w:after="0"/>
        <w:ind w:left="0" w:right="0" w:hanging="0"/>
        <w:jc w:val="left"/>
        <w:rPr>
          <w:sz w:val="4"/>
          <w:szCs w:val="4"/>
        </w:rPr>
      </w:pPr>
      <w:r>
        <w:rPr>
          <w:sz w:val="4"/>
          <w:szCs w:val="4"/>
        </w:rPr>
      </w:r>
      <w:bookmarkStart w:id="142" w:name="xdx_30E_114_zhlXU20It5Mc"/>
      <w:bookmarkStart w:id="143" w:name="xdx_30E_114_zhlXU20It5Mc"/>
      <w:bookmarkEnd w:id="143"/>
    </w:p>
    <w:tbl>
      <w:tblPr>
        <w:tblW w:w="10205" w:type="dxa"/>
        <w:jc w:val="left"/>
        <w:tblInd w:w="0" w:type="dxa"/>
        <w:tblLayout w:type="fixed"/>
        <w:tblCellMar>
          <w:top w:w="0" w:type="dxa"/>
          <w:left w:w="0" w:type="dxa"/>
          <w:bottom w:w="0" w:type="dxa"/>
          <w:right w:w="0" w:type="dxa"/>
        </w:tblCellMar>
      </w:tblPr>
      <w:tblGrid>
        <w:gridCol w:w="4530"/>
        <w:gridCol w:w="60"/>
        <w:gridCol w:w="60"/>
        <w:gridCol w:w="950"/>
        <w:gridCol w:w="80"/>
        <w:gridCol w:w="60"/>
        <w:gridCol w:w="125"/>
        <w:gridCol w:w="1085"/>
        <w:gridCol w:w="60"/>
        <w:gridCol w:w="60"/>
        <w:gridCol w:w="158"/>
        <w:gridCol w:w="747"/>
        <w:gridCol w:w="60"/>
        <w:gridCol w:w="60"/>
        <w:gridCol w:w="177"/>
        <w:gridCol w:w="923"/>
        <w:gridCol w:w="80"/>
        <w:gridCol w:w="60"/>
        <w:gridCol w:w="125"/>
        <w:gridCol w:w="650"/>
        <w:gridCol w:w="95"/>
      </w:tblGrid>
      <w:tr>
        <w:trPr/>
        <w:tc>
          <w:tcPr>
            <w:tcW w:w="45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4" w:name="xdx_4B3_us-gaap--StatementEquityComponen"/>
            <w:bookmarkEnd w:id="144"/>
          </w:p>
        </w:tc>
        <w:tc>
          <w:tcPr>
            <w:tcW w:w="12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5" w:name="xdx_4BD_us-gaap--StatementEquityComponen"/>
            <w:bookmarkEnd w:id="145"/>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6" w:name="xdx_4B1_us-gaap--StatementEquityComponen"/>
            <w:bookmarkEnd w:id="146"/>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7" w:name="xdx_4B2_zc50i06OWLbe"/>
            <w:bookmarkEnd w:id="147"/>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48" w:name="xdx_43D_c20240101__20240331_eus-gaap--St"/>
            <w:bookmarkEnd w:id="148"/>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9" w:name="xdx_989_eus-gaap--SharesOutstanding_iS_p"/>
            <w:bookmarkEnd w:id="149"/>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60,260,282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0" w:name="xdx_40F_eus-gaap--NetIncomeLoss_pn3n3_zc"/>
            <w:bookmarkEnd w:id="150"/>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1" w:name="xdx_403_eus-gaap--AdjustmentsToAdditiona"/>
            <w:bookmarkEnd w:id="151"/>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2" w:name="xdx_431_c20240401__20240630_eus-gaap--St"/>
            <w:bookmarkEnd w:id="152"/>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March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3" w:name="xdx_989_eus-gaap--SharesOutstanding_iS_p"/>
            <w:bookmarkEnd w:id="153"/>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60,260,282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4" w:name="xdx_40F_eus-gaap--NetIncomeLoss_pn3n3_zr"/>
            <w:bookmarkEnd w:id="154"/>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5" w:name="xdx_401_eus-gaap--StockIssuedDuringPerio"/>
            <w:bookmarkEnd w:id="155"/>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in public offering (ATM), net of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6" w:name="xdx_98E_eus-gaap--StockIssuedDuringPerio"/>
            <w:bookmarkEnd w:id="156"/>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7" w:name="xdx_402_eus-gaap--StockIssuedDuringPerio"/>
            <w:bookmarkEnd w:id="157"/>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issuance under ESPP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 w:name="xdx_98F_eus-gaap--StockIssuedDuringPerio"/>
            <w:bookmarkEnd w:id="158"/>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9" w:name="xdx_405_eus-gaap--StockIssuedDuringPerio"/>
            <w:bookmarkEnd w:id="159"/>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cancellation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0" w:name="xdx_98C_eus-gaap--StockIssuedDuringPerio"/>
            <w:bookmarkEnd w:id="160"/>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1" w:name="xdx_40E_eus-gaap--StockIssuedDuringPerio"/>
            <w:bookmarkEnd w:id="161"/>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2" w:name="xdx_98B_eus-gaap--StockIssuedDuringPerio"/>
            <w:bookmarkEnd w:id="162"/>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3" w:name="xdx_40E_ecustom--StockIssuedDuringPeriod"/>
            <w:bookmarkEnd w:id="163"/>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for vested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4" w:name="xdx_98A_ecustom--StockIssuedDuringPeriod"/>
            <w:bookmarkEnd w:id="164"/>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5" w:name="xdx_403_eus-gaap--AdjustmentsToAdditiona"/>
            <w:bookmarkEnd w:id="165"/>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6" w:name="xdx_43B_c20240701__20240930_eus-gaap--St"/>
            <w:bookmarkEnd w:id="166"/>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June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7" w:name="xdx_989_eus-gaap--SharesOutstanding_iS_p"/>
            <w:bookmarkEnd w:id="167"/>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61,367,633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8" w:name="xdx_40F_eus-gaap--NetIncomeLoss_pn3n3_z0"/>
            <w:bookmarkEnd w:id="168"/>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69" w:name="xdx_406_eus-gaap--StockIssuedDuringPerio"/>
            <w:bookmarkEnd w:id="169"/>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in public offering (ATM), net of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0" w:name="xdx_981_eus-gaap--StockIssuedDuringPerio"/>
            <w:bookmarkEnd w:id="170"/>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1,394,928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1" w:name="xdx_40E_eus-gaap--StockIssuedDuringPerio"/>
            <w:bookmarkEnd w:id="171"/>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2" w:name="xdx_986_eus-gaap--StockIssuedDuringPerio"/>
            <w:bookmarkEnd w:id="172"/>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3" w:name="xdx_40E_ecustom--StockIssuedDuringPeriod"/>
            <w:bookmarkEnd w:id="173"/>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for vested restricted stock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4" w:name="xdx_98F_ecustom--StockIssuedDuringPeriod"/>
            <w:bookmarkEnd w:id="174"/>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5" w:name="xdx_403_eus-gaap--AdjustmentsToAdditiona"/>
            <w:bookmarkEnd w:id="175"/>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6" w:name="xdx_436_c20240701__20240930_eus-gaap--St"/>
            <w:bookmarkEnd w:id="176"/>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 September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77" w:name="xdx_98E_eus-gaap--SharesOutstanding_iE_p"/>
            <w:bookmarkEnd w:id="177"/>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62,767,982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4040"/>
        <w:gridCol w:w="60"/>
        <w:gridCol w:w="60"/>
        <w:gridCol w:w="1100"/>
        <w:gridCol w:w="60"/>
        <w:gridCol w:w="60"/>
        <w:gridCol w:w="140"/>
        <w:gridCol w:w="980"/>
        <w:gridCol w:w="60"/>
        <w:gridCol w:w="60"/>
        <w:gridCol w:w="175"/>
        <w:gridCol w:w="850"/>
        <w:gridCol w:w="60"/>
        <w:gridCol w:w="60"/>
        <w:gridCol w:w="200"/>
        <w:gridCol w:w="1080"/>
        <w:gridCol w:w="95"/>
        <w:gridCol w:w="60"/>
        <w:gridCol w:w="140"/>
        <w:gridCol w:w="755"/>
        <w:gridCol w:w="110"/>
      </w:tblGrid>
      <w:tr>
        <w:trPr/>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78" w:name="xdx_43F_c20230101__20230331_eus-gaap--St"/>
            <w:bookmarkEnd w:id="178"/>
          </w:p>
        </w:tc>
      </w:tr>
      <w:tr>
        <w:trPr/>
        <w:tc>
          <w:tcPr>
            <w:tcW w:w="4040" w:type="dxa"/>
            <w:tcBorders/>
            <w:shd w:fill="CCEEFF" w:val="clear"/>
            <w:vAlign w:val="center"/>
          </w:tcPr>
          <w:p>
            <w:pPr>
              <w:pStyle w:val="TableContents"/>
              <w:bidi w:val="0"/>
              <w:spacing w:before="0" w:after="283"/>
              <w:jc w:val="left"/>
              <w:rPr>
                <w:b/>
              </w:rPr>
            </w:pPr>
            <w:r>
              <w:rPr>
                <w:b/>
              </w:rPr>
              <w:t>Balance -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 w:name="xdx_984_eus-gaap--SharesOutstanding_iS_p"/>
            <w:bookmarkEnd w:id="179"/>
          </w:p>
        </w:tc>
        <w:tc>
          <w:tcPr>
            <w:tcW w:w="110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43,272,728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8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b w:val="false"/>
                <w:i w:val="false"/>
                <w:caps w:val="false"/>
                <w:smallCaps w:val="false"/>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85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38,461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08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(27,722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10,743</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0" w:name="xdx_40F_eus-gaap--NetIncomeLoss_pn3n3_zX"/>
            <w:bookmarkEnd w:id="180"/>
          </w:p>
        </w:tc>
      </w:tr>
      <w:tr>
        <w:trPr/>
        <w:tc>
          <w:tcPr>
            <w:tcW w:w="40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4,775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4,775</w:t>
            </w:r>
          </w:p>
        </w:tc>
        <w:tc>
          <w:tcPr>
            <w:tcW w:w="110" w:type="dxa"/>
            <w:tcBorders/>
            <w:shd w:fill="CCEEFF" w:val="clear"/>
            <w:vAlign w:val="center"/>
          </w:tcPr>
          <w:p>
            <w:pPr>
              <w:pStyle w:val="TableContents"/>
              <w:bidi w:val="0"/>
              <w:spacing w:before="0" w:after="283"/>
              <w:jc w:val="left"/>
              <w:rPr/>
            </w:pPr>
            <w:r>
              <w:rPr/>
              <w:t> </w:t>
            </w:r>
            <w:bookmarkStart w:id="181" w:name="xdx_407_eus-gaap--StockIssuedDuringPerio"/>
            <w:bookmarkEnd w:id="181"/>
          </w:p>
        </w:tc>
      </w:tr>
      <w:tr>
        <w:trPr/>
        <w:tc>
          <w:tcPr>
            <w:tcW w:w="4040" w:type="dxa"/>
            <w:tcBorders/>
            <w:shd w:fill="FFFFFF" w:val="clear"/>
            <w:vAlign w:val="center"/>
          </w:tcPr>
          <w:p>
            <w:pPr>
              <w:pStyle w:val="TableContents"/>
              <w:bidi w:val="0"/>
              <w:spacing w:before="0" w:after="283"/>
              <w:jc w:val="left"/>
              <w:rPr/>
            </w:pPr>
            <w:r>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 w:name="xdx_989_eus-gaap--StockIssuedDuringPerio"/>
            <w:bookmarkEnd w:id="182"/>
          </w:p>
        </w:tc>
        <w:tc>
          <w:tcPr>
            <w:tcW w:w="1100" w:type="dxa"/>
            <w:tcBorders/>
            <w:shd w:fill="FFFFFF" w:val="clear"/>
            <w:vAlign w:val="center"/>
          </w:tcPr>
          <w:p>
            <w:pPr>
              <w:pStyle w:val="TableContents"/>
              <w:bidi w:val="0"/>
              <w:spacing w:before="0" w:after="283"/>
              <w:jc w:val="right"/>
              <w:rPr/>
            </w:pPr>
            <w:r>
              <w:rPr/>
              <w:t>73,500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597</w:t>
            </w:r>
          </w:p>
        </w:tc>
        <w:tc>
          <w:tcPr>
            <w:tcW w:w="110" w:type="dxa"/>
            <w:tcBorders/>
            <w:shd w:fill="FFFFFF" w:val="clear"/>
            <w:vAlign w:val="center"/>
          </w:tcPr>
          <w:p>
            <w:pPr>
              <w:pStyle w:val="TableContents"/>
              <w:bidi w:val="0"/>
              <w:spacing w:before="0" w:after="283"/>
              <w:jc w:val="left"/>
              <w:rPr/>
            </w:pPr>
            <w:r>
              <w:rPr/>
              <w:t> </w:t>
            </w:r>
            <w:bookmarkStart w:id="183" w:name="xdx_40E_eus-gaap--StockIssuedDuringPerio"/>
            <w:bookmarkEnd w:id="183"/>
          </w:p>
        </w:tc>
      </w:tr>
      <w:tr>
        <w:trPr/>
        <w:tc>
          <w:tcPr>
            <w:tcW w:w="4040"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4" w:name="xdx_980_eus-gaap--StockIssuedDuringPerio"/>
            <w:bookmarkEnd w:id="184"/>
          </w:p>
        </w:tc>
        <w:tc>
          <w:tcPr>
            <w:tcW w:w="1100" w:type="dxa"/>
            <w:tcBorders/>
            <w:shd w:fill="CCEEFF" w:val="clear"/>
            <w:vAlign w:val="center"/>
          </w:tcPr>
          <w:p>
            <w:pPr>
              <w:pStyle w:val="TableContents"/>
              <w:bidi w:val="0"/>
              <w:spacing w:before="0" w:after="283"/>
              <w:jc w:val="right"/>
              <w:rPr/>
            </w:pPr>
            <w:r>
              <w:rPr/>
              <w:t>36,009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jc w:val="left"/>
              <w:rPr/>
            </w:pPr>
            <w:r>
              <w:rPr/>
              <w:t> </w:t>
            </w:r>
            <w:bookmarkStart w:id="185" w:name="xdx_40A_ecustom--StockIssuedDuringPeriod"/>
            <w:bookmarkEnd w:id="185"/>
          </w:p>
        </w:tc>
      </w:tr>
      <w:tr>
        <w:trPr/>
        <w:tc>
          <w:tcPr>
            <w:tcW w:w="4040" w:type="dxa"/>
            <w:tcBorders/>
            <w:shd w:fill="FFFFFF" w:val="clear"/>
            <w:vAlign w:val="center"/>
          </w:tcPr>
          <w:p>
            <w:pPr>
              <w:pStyle w:val="TableContents"/>
              <w:bidi w:val="0"/>
              <w:spacing w:before="0" w:after="283"/>
              <w:jc w:val="left"/>
              <w:rPr/>
            </w:pPr>
            <w:r>
              <w:rPr/>
              <w:t>Exercise of public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6" w:name="xdx_982_ecustom--StockIssuedDuringPeriod"/>
            <w:bookmarkEnd w:id="186"/>
          </w:p>
        </w:tc>
        <w:tc>
          <w:tcPr>
            <w:tcW w:w="1100" w:type="dxa"/>
            <w:tcBorders/>
            <w:shd w:fill="FFFFFF" w:val="clear"/>
            <w:vAlign w:val="center"/>
          </w:tcPr>
          <w:p>
            <w:pPr>
              <w:pStyle w:val="TableContents"/>
              <w:bidi w:val="0"/>
              <w:spacing w:before="0" w:after="283"/>
              <w:jc w:val="right"/>
              <w:rPr/>
            </w:pPr>
            <w:r>
              <w:rPr/>
              <w:t>64,971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747</w:t>
            </w:r>
          </w:p>
        </w:tc>
        <w:tc>
          <w:tcPr>
            <w:tcW w:w="110" w:type="dxa"/>
            <w:tcBorders/>
            <w:shd w:fill="FFFFFF" w:val="clear"/>
            <w:vAlign w:val="center"/>
          </w:tcPr>
          <w:p>
            <w:pPr>
              <w:pStyle w:val="TableContents"/>
              <w:bidi w:val="0"/>
              <w:spacing w:before="0" w:after="283"/>
              <w:jc w:val="left"/>
              <w:rPr/>
            </w:pPr>
            <w:r>
              <w:rPr/>
              <w:t> </w:t>
            </w:r>
            <w:bookmarkStart w:id="187" w:name="xdx_40B_eus-gaap--StockIssuedDuringPerio"/>
            <w:bookmarkEnd w:id="187"/>
          </w:p>
        </w:tc>
      </w:tr>
      <w:tr>
        <w:trPr/>
        <w:tc>
          <w:tcPr>
            <w:tcW w:w="4040"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2_eus-gaap--StockIssuedDuringPerio"/>
            <w:bookmarkEnd w:id="188"/>
          </w:p>
        </w:tc>
        <w:tc>
          <w:tcPr>
            <w:tcW w:w="1100" w:type="dxa"/>
            <w:tcBorders/>
            <w:shd w:fill="CCEEFF" w:val="clear"/>
            <w:vAlign w:val="center"/>
          </w:tcPr>
          <w:p>
            <w:pPr>
              <w:pStyle w:val="TableContents"/>
              <w:bidi w:val="0"/>
              <w:spacing w:before="0" w:after="283"/>
              <w:jc w:val="right"/>
              <w:rPr/>
            </w:pPr>
            <w:r>
              <w:rPr/>
              <w:t>2,348,294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10,167</w:t>
            </w:r>
          </w:p>
        </w:tc>
        <w:tc>
          <w:tcPr>
            <w:tcW w:w="110" w:type="dxa"/>
            <w:tcBorders/>
            <w:shd w:fill="CCEEFF" w:val="clear"/>
            <w:vAlign w:val="center"/>
          </w:tcPr>
          <w:p>
            <w:pPr>
              <w:pStyle w:val="TableContents"/>
              <w:bidi w:val="0"/>
              <w:spacing w:before="0" w:after="283"/>
              <w:jc w:val="left"/>
              <w:rPr/>
            </w:pPr>
            <w:r>
              <w:rPr/>
              <w:t> </w:t>
            </w:r>
            <w:bookmarkStart w:id="189" w:name="xdx_403_eus-gaap--AdjustmentsToAdditiona"/>
            <w:bookmarkEnd w:id="189"/>
          </w:p>
        </w:tc>
      </w:tr>
      <w:tr>
        <w:trPr/>
        <w:tc>
          <w:tcPr>
            <w:tcW w:w="4040"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4,487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4,487</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0" w:name="xdx_439_c20230401__20230630_eus-gaap--St"/>
            <w:bookmarkEnd w:id="190"/>
          </w:p>
        </w:tc>
      </w:tr>
      <w:tr>
        <w:trPr/>
        <w:tc>
          <w:tcPr>
            <w:tcW w:w="4040" w:type="dxa"/>
            <w:tcBorders/>
            <w:shd w:fill="FFFFFF" w:val="clear"/>
            <w:vAlign w:val="center"/>
          </w:tcPr>
          <w:p>
            <w:pPr>
              <w:pStyle w:val="TableContents"/>
              <w:bidi w:val="0"/>
              <w:spacing w:before="0" w:after="283"/>
              <w:jc w:val="left"/>
              <w:rPr>
                <w:b/>
              </w:rPr>
            </w:pPr>
            <w:r>
              <w:rPr>
                <w:b/>
              </w:rPr>
              <w:t>Balance -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1" w:name="xdx_984_eus-gaap--SharesOutstanding_iS_p"/>
            <w:bookmarkEnd w:id="191"/>
          </w:p>
        </w:tc>
        <w:tc>
          <w:tcPr>
            <w:tcW w:w="1100" w:type="dxa"/>
            <w:tcBorders/>
            <w:shd w:fill="FFFFFF" w:val="clear"/>
            <w:vAlign w:val="center"/>
          </w:tcPr>
          <w:p>
            <w:pPr>
              <w:pStyle w:val="TableContents"/>
              <w:bidi w:val="0"/>
              <w:spacing w:before="0" w:after="283"/>
              <w:jc w:val="right"/>
              <w:rPr/>
            </w:pPr>
            <w:r>
              <w:rPr/>
              <w:t>45,795,502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54,551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(22,947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31,609</w:t>
            </w:r>
          </w:p>
        </w:tc>
        <w:tc>
          <w:tcPr>
            <w:tcW w:w="110" w:type="dxa"/>
            <w:tcBorders/>
            <w:shd w:fill="FFFFFF" w:val="clear"/>
            <w:vAlign w:val="center"/>
          </w:tcPr>
          <w:p>
            <w:pPr>
              <w:pStyle w:val="TableContents"/>
              <w:bidi w:val="0"/>
              <w:spacing w:before="0" w:after="283"/>
              <w:jc w:val="left"/>
              <w:rPr/>
            </w:pPr>
            <w:r>
              <w:rPr/>
              <w:t> </w:t>
            </w:r>
            <w:bookmarkStart w:id="192" w:name="xdx_40F_eus-gaap--NetIncomeLoss_pn3n3_zj"/>
            <w:bookmarkEnd w:id="192"/>
          </w:p>
        </w:tc>
      </w:tr>
      <w:tr>
        <w:trPr/>
        <w:tc>
          <w:tcPr>
            <w:tcW w:w="40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(11,899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(11,899</w:t>
            </w:r>
          </w:p>
        </w:tc>
        <w:tc>
          <w:tcPr>
            <w:tcW w:w="110" w:type="dxa"/>
            <w:tcBorders/>
            <w:shd w:fill="CCEEFF" w:val="clear"/>
            <w:vAlign w:val="center"/>
          </w:tcPr>
          <w:p>
            <w:pPr>
              <w:pStyle w:val="TableContents"/>
              <w:bidi w:val="0"/>
              <w:spacing w:before="0" w:after="283"/>
              <w:jc w:val="left"/>
              <w:rPr/>
            </w:pPr>
            <w:r>
              <w:rPr/>
              <w:t>)</w:t>
            </w:r>
            <w:bookmarkStart w:id="193" w:name="xdx_408_ecustom--StockIssuedDuringPeriod"/>
            <w:bookmarkEnd w:id="193"/>
          </w:p>
        </w:tc>
      </w:tr>
      <w:tr>
        <w:trPr/>
        <w:tc>
          <w:tcPr>
            <w:tcW w:w="4040" w:type="dxa"/>
            <w:tcBorders/>
            <w:shd w:fill="FFFFFF" w:val="clear"/>
            <w:vAlign w:val="center"/>
          </w:tcPr>
          <w:p>
            <w:pPr>
              <w:pStyle w:val="TableContents"/>
              <w:bidi w:val="0"/>
              <w:spacing w:before="0" w:after="283"/>
              <w:jc w:val="left"/>
              <w:rPr/>
            </w:pPr>
            <w:r>
              <w:rPr/>
              <w:t>Common stock issued in public offering, net of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4" w:name="xdx_984_ecustom--StockIssuedDuringPeriod"/>
            <w:bookmarkEnd w:id="194"/>
          </w:p>
        </w:tc>
        <w:tc>
          <w:tcPr>
            <w:tcW w:w="1100" w:type="dxa"/>
            <w:tcBorders/>
            <w:shd w:fill="FFFFFF" w:val="clear"/>
            <w:vAlign w:val="center"/>
          </w:tcPr>
          <w:p>
            <w:pPr>
              <w:pStyle w:val="TableContents"/>
              <w:bidi w:val="0"/>
              <w:spacing w:before="0" w:after="283"/>
              <w:jc w:val="right"/>
              <w:rPr/>
            </w:pPr>
            <w:r>
              <w:rPr/>
              <w:t>11,405,000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7,877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7,878</w:t>
            </w:r>
          </w:p>
        </w:tc>
        <w:tc>
          <w:tcPr>
            <w:tcW w:w="110" w:type="dxa"/>
            <w:tcBorders/>
            <w:shd w:fill="FFFFFF" w:val="clear"/>
            <w:vAlign w:val="center"/>
          </w:tcPr>
          <w:p>
            <w:pPr>
              <w:pStyle w:val="TableContents"/>
              <w:bidi w:val="0"/>
              <w:spacing w:before="0" w:after="283"/>
              <w:jc w:val="left"/>
              <w:rPr/>
            </w:pPr>
            <w:r>
              <w:rPr/>
              <w:t> </w:t>
            </w:r>
            <w:bookmarkStart w:id="195" w:name="xdx_40C_eus-gaap--StockIssuedDuringPerio"/>
            <w:bookmarkEnd w:id="195"/>
          </w:p>
        </w:tc>
      </w:tr>
      <w:tr>
        <w:trPr/>
        <w:tc>
          <w:tcPr>
            <w:tcW w:w="4040" w:type="dxa"/>
            <w:tcBorders/>
            <w:shd w:fill="CCEEFF" w:val="clear"/>
            <w:vAlign w:val="center"/>
          </w:tcPr>
          <w:p>
            <w:pPr>
              <w:pStyle w:val="TableContents"/>
              <w:bidi w:val="0"/>
              <w:spacing w:before="0" w:after="283"/>
              <w:jc w:val="left"/>
              <w:rPr/>
            </w:pPr>
            <w:r>
              <w:rPr/>
              <w:t>Common stock issued in public offering (ATM), net of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6" w:name="xdx_98E_eus-gaap--StockIssuedDuringPerio"/>
            <w:bookmarkEnd w:id="196"/>
          </w:p>
        </w:tc>
        <w:tc>
          <w:tcPr>
            <w:tcW w:w="110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jc w:val="left"/>
              <w:rPr/>
            </w:pPr>
            <w:r>
              <w:rPr/>
              <w:t> </w:t>
            </w:r>
            <w:bookmarkStart w:id="197" w:name="xdx_40E_eus-gaap--StockIssuedDuringPerio"/>
            <w:bookmarkEnd w:id="197"/>
          </w:p>
        </w:tc>
      </w:tr>
      <w:tr>
        <w:trPr/>
        <w:tc>
          <w:tcPr>
            <w:tcW w:w="4040"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8" w:name="xdx_989_eus-gaap--StockIssuedDuringPerio"/>
            <w:bookmarkEnd w:id="198"/>
          </w:p>
        </w:tc>
        <w:tc>
          <w:tcPr>
            <w:tcW w:w="1100" w:type="dxa"/>
            <w:tcBorders/>
            <w:shd w:fill="FFFFFF" w:val="clear"/>
            <w:vAlign w:val="center"/>
          </w:tcPr>
          <w:p>
            <w:pPr>
              <w:pStyle w:val="TableContents"/>
              <w:bidi w:val="0"/>
              <w:spacing w:before="0" w:after="283"/>
              <w:jc w:val="right"/>
              <w:rPr/>
            </w:pPr>
            <w:r>
              <w:rPr/>
              <w:t>69,012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w:t>
            </w:r>
          </w:p>
        </w:tc>
        <w:tc>
          <w:tcPr>
            <w:tcW w:w="110" w:type="dxa"/>
            <w:tcBorders/>
            <w:shd w:fill="FFFFFF" w:val="clear"/>
            <w:vAlign w:val="center"/>
          </w:tcPr>
          <w:p>
            <w:pPr>
              <w:pStyle w:val="TableContents"/>
              <w:bidi w:val="0"/>
              <w:spacing w:before="0" w:after="283"/>
              <w:jc w:val="left"/>
              <w:rPr/>
            </w:pPr>
            <w:r>
              <w:rPr/>
              <w:t> </w:t>
            </w:r>
            <w:bookmarkStart w:id="199" w:name="xdx_40B_eus-gaap--StockIssuedDuringPerio"/>
            <w:bookmarkEnd w:id="199"/>
          </w:p>
        </w:tc>
      </w:tr>
      <w:tr>
        <w:trPr/>
        <w:tc>
          <w:tcPr>
            <w:tcW w:w="4040" w:type="dxa"/>
            <w:tcBorders/>
            <w:shd w:fill="CCEEFF" w:val="clear"/>
            <w:vAlign w:val="center"/>
          </w:tcPr>
          <w:p>
            <w:pPr>
              <w:pStyle w:val="TableContents"/>
              <w:bidi w:val="0"/>
              <w:spacing w:before="0" w:after="283"/>
              <w:jc w:val="left"/>
              <w:rPr/>
            </w:pPr>
            <w:r>
              <w:rPr/>
              <w:t>Cashless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D_eus-gaap--StockIssuedDuringPerio"/>
            <w:bookmarkEnd w:id="200"/>
          </w:p>
        </w:tc>
        <w:tc>
          <w:tcPr>
            <w:tcW w:w="1100" w:type="dxa"/>
            <w:tcBorders/>
            <w:shd w:fill="CCEEFF" w:val="clear"/>
            <w:vAlign w:val="center"/>
          </w:tcPr>
          <w:p>
            <w:pPr>
              <w:pStyle w:val="TableContents"/>
              <w:bidi w:val="0"/>
              <w:spacing w:before="0" w:after="283"/>
              <w:jc w:val="right"/>
              <w:rPr/>
            </w:pPr>
            <w:r>
              <w:rPr/>
              <w:t>748,029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2,462</w:t>
            </w:r>
          </w:p>
        </w:tc>
        <w:tc>
          <w:tcPr>
            <w:tcW w:w="110" w:type="dxa"/>
            <w:tcBorders/>
            <w:shd w:fill="CCEEFF" w:val="clear"/>
            <w:vAlign w:val="center"/>
          </w:tcPr>
          <w:p>
            <w:pPr>
              <w:pStyle w:val="TableContents"/>
              <w:bidi w:val="0"/>
              <w:spacing w:before="0" w:after="283"/>
              <w:jc w:val="left"/>
              <w:rPr/>
            </w:pPr>
            <w:r>
              <w:rPr/>
              <w:t> </w:t>
            </w:r>
            <w:bookmarkStart w:id="201" w:name="xdx_40E_ecustom--StockIssuedDuringPeriod"/>
            <w:bookmarkEnd w:id="201"/>
          </w:p>
        </w:tc>
      </w:tr>
      <w:tr>
        <w:trPr/>
        <w:tc>
          <w:tcPr>
            <w:tcW w:w="4040" w:type="dxa"/>
            <w:tcBorders/>
            <w:shd w:fill="FFFFFF" w:val="clear"/>
            <w:vAlign w:val="center"/>
          </w:tcPr>
          <w:p>
            <w:pPr>
              <w:pStyle w:val="TableContents"/>
              <w:bidi w:val="0"/>
              <w:spacing w:before="0" w:after="283"/>
              <w:jc w:val="left"/>
              <w:rPr/>
            </w:pPr>
            <w:r>
              <w:rPr/>
              <w:t>Shares issued for 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2" w:name="xdx_988_ecustom--StockIssuedDuringPeriod"/>
            <w:bookmarkEnd w:id="202"/>
          </w:p>
        </w:tc>
        <w:tc>
          <w:tcPr>
            <w:tcW w:w="1100" w:type="dxa"/>
            <w:tcBorders/>
            <w:shd w:fill="FFFFFF" w:val="clear"/>
            <w:vAlign w:val="center"/>
          </w:tcPr>
          <w:p>
            <w:pPr>
              <w:pStyle w:val="TableContents"/>
              <w:bidi w:val="0"/>
              <w:spacing w:before="0" w:after="283"/>
              <w:jc w:val="right"/>
              <w:rPr/>
            </w:pPr>
            <w:r>
              <w:rPr/>
              <w:t>461,998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3" w:name="xdx_403_eus-gaap--AdjustmentsToAdditiona"/>
            <w:bookmarkEnd w:id="203"/>
          </w:p>
        </w:tc>
      </w:tr>
      <w:tr>
        <w:trPr/>
        <w:tc>
          <w:tcPr>
            <w:tcW w:w="4040"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954</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4" w:name="xdx_433_c20230701__20230930_eus-gaap--St"/>
            <w:bookmarkEnd w:id="204"/>
          </w:p>
        </w:tc>
      </w:tr>
      <w:tr>
        <w:trPr/>
        <w:tc>
          <w:tcPr>
            <w:tcW w:w="4040" w:type="dxa"/>
            <w:tcBorders/>
            <w:shd w:fill="CCEEFF" w:val="clear"/>
            <w:vAlign w:val="center"/>
          </w:tcPr>
          <w:p>
            <w:pPr>
              <w:pStyle w:val="TableContents"/>
              <w:bidi w:val="0"/>
              <w:spacing w:before="0" w:after="283"/>
              <w:jc w:val="left"/>
              <w:rPr>
                <w:b/>
              </w:rPr>
            </w:pPr>
            <w:r>
              <w:rPr>
                <w:b/>
              </w:rPr>
              <w:t>Balance -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5" w:name="xdx_989_eus-gaap--SharesOutstanding_iS_p"/>
            <w:bookmarkEnd w:id="205"/>
          </w:p>
        </w:tc>
        <w:tc>
          <w:tcPr>
            <w:tcW w:w="1100" w:type="dxa"/>
            <w:tcBorders/>
            <w:shd w:fill="CCEEFF" w:val="clear"/>
            <w:vAlign w:val="center"/>
          </w:tcPr>
          <w:p>
            <w:pPr>
              <w:pStyle w:val="TableContents"/>
              <w:bidi w:val="0"/>
              <w:spacing w:before="0" w:after="283"/>
              <w:jc w:val="right"/>
              <w:rPr/>
            </w:pPr>
            <w:r>
              <w:rPr/>
              <w:t>58,504,541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66,148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31,308</w:t>
            </w:r>
          </w:p>
        </w:tc>
        <w:tc>
          <w:tcPr>
            <w:tcW w:w="110" w:type="dxa"/>
            <w:tcBorders/>
            <w:shd w:fill="CCEEFF" w:val="clear"/>
            <w:vAlign w:val="center"/>
          </w:tcPr>
          <w:p>
            <w:pPr>
              <w:pStyle w:val="TableContents"/>
              <w:bidi w:val="0"/>
              <w:spacing w:before="0" w:after="283"/>
              <w:jc w:val="left"/>
              <w:rPr/>
            </w:pPr>
            <w:r>
              <w:rPr/>
              <w:t> </w:t>
            </w:r>
            <w:bookmarkStart w:id="206" w:name="xdx_43B_c20230701__20230930_eus-gaap--St"/>
            <w:bookmarkEnd w:id="206"/>
          </w:p>
        </w:tc>
      </w:tr>
      <w:tr>
        <w:trPr/>
        <w:tc>
          <w:tcPr>
            <w:tcW w:w="40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7" w:name="xdx_988_eus-gaap--SharesOutstanding_iS_p"/>
            <w:bookmarkEnd w:id="207"/>
          </w:p>
        </w:tc>
        <w:tc>
          <w:tcPr>
            <w:tcW w:w="1100" w:type="dxa"/>
            <w:tcBorders/>
            <w:shd w:fill="CCEEFF" w:val="clear"/>
            <w:vAlign w:val="center"/>
          </w:tcPr>
          <w:p>
            <w:pPr>
              <w:pStyle w:val="TableContents"/>
              <w:bidi w:val="0"/>
              <w:spacing w:before="0" w:after="283"/>
              <w:jc w:val="right"/>
              <w:rPr/>
            </w:pPr>
            <w:r>
              <w:rPr/>
              <w:t>58,504,541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66,148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31,308</w:t>
            </w:r>
          </w:p>
        </w:tc>
        <w:tc>
          <w:tcPr>
            <w:tcW w:w="110" w:type="dxa"/>
            <w:tcBorders/>
            <w:shd w:fill="CCEEFF" w:val="clear"/>
            <w:vAlign w:val="center"/>
          </w:tcPr>
          <w:p>
            <w:pPr>
              <w:pStyle w:val="TableContents"/>
              <w:bidi w:val="0"/>
              <w:spacing w:before="0" w:after="283"/>
              <w:jc w:val="left"/>
              <w:rPr/>
            </w:pPr>
            <w:r>
              <w:rPr/>
              <w:t> </w:t>
            </w:r>
            <w:bookmarkStart w:id="208" w:name="xdx_40F_eus-gaap--NetIncomeLoss_pn3n3_zh"/>
            <w:bookmarkEnd w:id="208"/>
          </w:p>
        </w:tc>
      </w:tr>
      <w:tr>
        <w:trPr/>
        <w:tc>
          <w:tcPr>
            <w:tcW w:w="40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(10,007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(10,007</w:t>
            </w:r>
          </w:p>
        </w:tc>
        <w:tc>
          <w:tcPr>
            <w:tcW w:w="110" w:type="dxa"/>
            <w:tcBorders/>
            <w:shd w:fill="FFFFFF" w:val="clear"/>
            <w:vAlign w:val="center"/>
          </w:tcPr>
          <w:p>
            <w:pPr>
              <w:pStyle w:val="TableContents"/>
              <w:bidi w:val="0"/>
              <w:spacing w:before="0" w:after="283"/>
              <w:jc w:val="left"/>
              <w:rPr/>
            </w:pPr>
            <w:r>
              <w:rPr/>
              <w:t>)</w:t>
            </w:r>
            <w:bookmarkStart w:id="209" w:name="xdx_409_eus-gaap--NetIncomeLoss_pn3n3_z0"/>
            <w:bookmarkEnd w:id="209"/>
          </w:p>
        </w:tc>
      </w:tr>
      <w:tr>
        <w:trPr/>
        <w:tc>
          <w:tcPr>
            <w:tcW w:w="404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(10,007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(10,007</w:t>
            </w:r>
          </w:p>
        </w:tc>
        <w:tc>
          <w:tcPr>
            <w:tcW w:w="110" w:type="dxa"/>
            <w:tcBorders/>
            <w:shd w:fill="FFFFFF" w:val="clear"/>
            <w:vAlign w:val="center"/>
          </w:tcPr>
          <w:p>
            <w:pPr>
              <w:pStyle w:val="TableContents"/>
              <w:bidi w:val="0"/>
              <w:spacing w:before="0" w:after="283"/>
              <w:jc w:val="left"/>
              <w:rPr/>
            </w:pPr>
            <w:r>
              <w:rPr/>
              <w:t>)</w:t>
            </w:r>
            <w:bookmarkStart w:id="210" w:name="xdx_40E_eus-gaap--StockIssuedDuringPerio"/>
            <w:bookmarkEnd w:id="210"/>
          </w:p>
        </w:tc>
      </w:tr>
      <w:tr>
        <w:trPr/>
        <w:tc>
          <w:tcPr>
            <w:tcW w:w="4040"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1" w:name="xdx_983_eus-gaap--StockIssuedDuringPerio"/>
            <w:bookmarkEnd w:id="211"/>
          </w:p>
        </w:tc>
        <w:tc>
          <w:tcPr>
            <w:tcW w:w="1100" w:type="dxa"/>
            <w:tcBorders/>
            <w:shd w:fill="CCEEFF" w:val="clear"/>
            <w:vAlign w:val="center"/>
          </w:tcPr>
          <w:p>
            <w:pPr>
              <w:pStyle w:val="TableContents"/>
              <w:bidi w:val="0"/>
              <w:spacing w:before="0" w:after="283"/>
              <w:jc w:val="right"/>
              <w:rPr/>
            </w:pPr>
            <w:r>
              <w:rPr/>
              <w:t>103,071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bookmarkStart w:id="212" w:name="xdx_40B_eus-gaap--StockIssuedDuringPerio"/>
            <w:bookmarkEnd w:id="212"/>
          </w:p>
        </w:tc>
      </w:tr>
      <w:tr>
        <w:trPr/>
        <w:tc>
          <w:tcPr>
            <w:tcW w:w="4040" w:type="dxa"/>
            <w:tcBorders/>
            <w:shd w:fill="FFFFFF" w:val="clear"/>
            <w:vAlign w:val="center"/>
          </w:tcPr>
          <w:p>
            <w:pPr>
              <w:pStyle w:val="TableContents"/>
              <w:bidi w:val="0"/>
              <w:spacing w:before="0" w:after="283"/>
              <w:jc w:val="left"/>
              <w:rPr/>
            </w:pPr>
            <w:r>
              <w:rPr/>
              <w:t>Cash exercise of liability classified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3" w:name="xdx_989_eus-gaap--StockIssuedDuringPerio"/>
            <w:bookmarkEnd w:id="213"/>
          </w:p>
        </w:tc>
        <w:tc>
          <w:tcPr>
            <w:tcW w:w="1100" w:type="dxa"/>
            <w:tcBorders/>
            <w:shd w:fill="FFFFFF" w:val="clear"/>
            <w:vAlign w:val="center"/>
          </w:tcPr>
          <w:p>
            <w:pPr>
              <w:pStyle w:val="TableContents"/>
              <w:bidi w:val="0"/>
              <w:spacing w:before="0" w:after="283"/>
              <w:jc w:val="right"/>
              <w:rPr/>
            </w:pPr>
            <w:r>
              <w:rPr/>
              <w:t>273,100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1,163</w:t>
            </w:r>
          </w:p>
        </w:tc>
        <w:tc>
          <w:tcPr>
            <w:tcW w:w="110" w:type="dxa"/>
            <w:tcBorders/>
            <w:shd w:fill="FFFFFF" w:val="clear"/>
            <w:vAlign w:val="center"/>
          </w:tcPr>
          <w:p>
            <w:pPr>
              <w:pStyle w:val="TableContents"/>
              <w:bidi w:val="0"/>
              <w:spacing w:before="0" w:after="283"/>
              <w:jc w:val="left"/>
              <w:rPr/>
            </w:pPr>
            <w:r>
              <w:rPr/>
              <w:t> </w:t>
            </w:r>
            <w:bookmarkStart w:id="214" w:name="xdx_403_eus-gaap--AdjustmentsToAdditiona"/>
            <w:bookmarkEnd w:id="214"/>
          </w:p>
        </w:tc>
      </w:tr>
      <w:tr>
        <w:trPr/>
        <w:tc>
          <w:tcPr>
            <w:tcW w:w="4040"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946</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5" w:name="xdx_43D_c20230701__20230930_eus-gaap--St"/>
            <w:bookmarkEnd w:id="215"/>
          </w:p>
        </w:tc>
      </w:tr>
      <w:tr>
        <w:trPr/>
        <w:tc>
          <w:tcPr>
            <w:tcW w:w="4040" w:type="dxa"/>
            <w:tcBorders/>
            <w:shd w:fill="CCEEFF" w:val="clear"/>
            <w:vAlign w:val="center"/>
          </w:tcPr>
          <w:p>
            <w:pPr>
              <w:pStyle w:val="TableContents"/>
              <w:bidi w:val="0"/>
              <w:spacing w:before="0" w:after="283"/>
              <w:jc w:val="left"/>
              <w:rPr>
                <w:b/>
              </w:rPr>
            </w:pPr>
            <w:r>
              <w:rPr>
                <w:b/>
              </w:rPr>
              <w:t>Balance -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6" w:name="xdx_98D_eus-gaap--SharesOutstanding_iE_p"/>
            <w:bookmarkEnd w:id="21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58,880,712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68,293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(44,853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23,446</w:t>
            </w:r>
          </w:p>
        </w:tc>
        <w:tc>
          <w:tcPr>
            <w:tcW w:w="110" w:type="dxa"/>
            <w:tcBorders/>
            <w:shd w:fill="CCEEFF" w:val="clear"/>
            <w:vAlign w:val="center"/>
          </w:tcPr>
          <w:p>
            <w:pPr>
              <w:pStyle w:val="TableContents"/>
              <w:bidi w:val="0"/>
              <w:spacing w:before="0" w:after="283"/>
              <w:jc w:val="left"/>
              <w:rPr/>
            </w:pPr>
            <w:r>
              <w:rPr/>
              <w:t> </w:t>
            </w:r>
            <w:bookmarkStart w:id="217" w:name="xdx_43A_c20230701__20230930_eus-gaap--St"/>
            <w:bookmarkEnd w:id="217"/>
          </w:p>
        </w:tc>
      </w:tr>
      <w:tr>
        <w:trPr/>
        <w:tc>
          <w:tcPr>
            <w:tcW w:w="404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18" w:name="xdx_98B_eus-gaap--SharesOutstanding_iE_p"/>
            <w:bookmarkEnd w:id="21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58,880,712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pPr>
            <w:r>
              <w:rPr/>
              <w:t>68,293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(44,853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23,446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9" w:name="a_004"/>
      <w:bookmarkEnd w:id="219"/>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Nine Months Ended September 30, 2024 and 2023</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220" w:name="xdx_30B_112_pn3n3_zfXXilgiclfl"/>
      <w:bookmarkStart w:id="221" w:name="xdx_30B_112_pn3n3_zfXXilgiclfl"/>
      <w:bookmarkEnd w:id="221"/>
    </w:p>
    <w:tbl>
      <w:tblPr>
        <w:tblW w:w="6680" w:type="dxa"/>
        <w:jc w:val="left"/>
        <w:tblInd w:w="0" w:type="dxa"/>
        <w:tblLayout w:type="fixed"/>
        <w:tblCellMar>
          <w:top w:w="0" w:type="dxa"/>
          <w:left w:w="0" w:type="dxa"/>
          <w:bottom w:w="0" w:type="dxa"/>
          <w:right w:w="0" w:type="dxa"/>
        </w:tblCellMar>
      </w:tblPr>
      <w:tblGrid>
        <w:gridCol w:w="4565"/>
        <w:gridCol w:w="60"/>
        <w:gridCol w:w="140"/>
        <w:gridCol w:w="755"/>
        <w:gridCol w:w="95"/>
        <w:gridCol w:w="60"/>
        <w:gridCol w:w="140"/>
        <w:gridCol w:w="75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2" w:name="xdx_493_20240101__20240930_zVtRgL083sVg"/>
            <w:bookmarkEnd w:id="222"/>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3" w:name="xdx_494_20230101__20230930_zMredh3HWf4l"/>
            <w:bookmarkEnd w:id="223"/>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224" w:name="xdx_400_eus-gaap--NetCashProvidedByUsedI"/>
            <w:bookmarkEnd w:id="224"/>
          </w:p>
        </w:tc>
      </w:tr>
      <w:tr>
        <w:trPr/>
        <w:tc>
          <w:tcPr>
            <w:tcW w:w="456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5" w:name="xdx_40E_eus-gaap--NetIncomeLoss_i01_maNC"/>
            <w:bookmarkEnd w:id="225"/>
          </w:p>
        </w:tc>
      </w:tr>
      <w:tr>
        <w:trPr/>
        <w:tc>
          <w:tcPr>
            <w:tcW w:w="456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(30,773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(17,131</w:t>
            </w:r>
          </w:p>
        </w:tc>
        <w:tc>
          <w:tcPr>
            <w:tcW w:w="110" w:type="dxa"/>
            <w:tcBorders/>
            <w:shd w:fill="FFFFFF" w:val="clear"/>
            <w:vAlign w:val="center"/>
          </w:tcPr>
          <w:p>
            <w:pPr>
              <w:pStyle w:val="TableContents"/>
              <w:bidi w:val="0"/>
              <w:spacing w:before="0" w:after="283"/>
              <w:jc w:val="left"/>
              <w:rPr/>
            </w:pPr>
            <w:r>
              <w:rPr/>
              <w:t>)</w:t>
            </w:r>
            <w:bookmarkStart w:id="226" w:name="xdx_40A_eus-gaap--AdjustmentsToReconcile"/>
            <w:bookmarkEnd w:id="226"/>
          </w:p>
        </w:tc>
      </w:tr>
      <w:tr>
        <w:trPr/>
        <w:tc>
          <w:tcPr>
            <w:tcW w:w="4565" w:type="dxa"/>
            <w:tcBorders/>
            <w:shd w:fill="CCEEFF" w:val="clear"/>
            <w:vAlign w:val="center"/>
          </w:tcPr>
          <w:p>
            <w:pPr>
              <w:pStyle w:val="TableContents"/>
              <w:bidi w:val="0"/>
              <w:spacing w:before="0" w:after="283"/>
              <w:jc w:val="left"/>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7" w:name="xdx_40E_eus-gaap--ShareBasedCompensation"/>
            <w:bookmarkEnd w:id="227"/>
          </w:p>
        </w:tc>
      </w:tr>
      <w:tr>
        <w:trPr/>
        <w:tc>
          <w:tcPr>
            <w:tcW w:w="456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6,387</w:t>
            </w:r>
          </w:p>
        </w:tc>
        <w:tc>
          <w:tcPr>
            <w:tcW w:w="110" w:type="dxa"/>
            <w:tcBorders/>
            <w:shd w:fill="CCEEFF" w:val="clear"/>
            <w:vAlign w:val="center"/>
          </w:tcPr>
          <w:p>
            <w:pPr>
              <w:pStyle w:val="TableContents"/>
              <w:bidi w:val="0"/>
              <w:spacing w:before="0" w:after="283"/>
              <w:jc w:val="left"/>
              <w:rPr/>
            </w:pPr>
            <w:r>
              <w:rPr/>
              <w:t> </w:t>
            </w:r>
            <w:bookmarkStart w:id="228" w:name="xdx_407_eus-gaap--AmortizationOfDebtDisc"/>
            <w:bookmarkEnd w:id="228"/>
          </w:p>
        </w:tc>
      </w:tr>
      <w:tr>
        <w:trPr/>
        <w:tc>
          <w:tcPr>
            <w:tcW w:w="456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995</w:t>
            </w:r>
          </w:p>
        </w:tc>
        <w:tc>
          <w:tcPr>
            <w:tcW w:w="110" w:type="dxa"/>
            <w:tcBorders/>
            <w:shd w:fill="FFFFFF" w:val="clear"/>
            <w:vAlign w:val="center"/>
          </w:tcPr>
          <w:p>
            <w:pPr>
              <w:pStyle w:val="TableContents"/>
              <w:bidi w:val="0"/>
              <w:spacing w:before="0" w:after="283"/>
              <w:jc w:val="left"/>
              <w:rPr/>
            </w:pPr>
            <w:r>
              <w:rPr/>
              <w:t> </w:t>
            </w:r>
            <w:bookmarkStart w:id="229" w:name="xdx_405_eus-gaap--FairValueAdjustmentOfW"/>
            <w:bookmarkEnd w:id="229"/>
          </w:p>
        </w:tc>
      </w:tr>
      <w:tr>
        <w:trPr/>
        <w:tc>
          <w:tcPr>
            <w:tcW w:w="4565"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(19,182</w:t>
            </w:r>
          </w:p>
        </w:tc>
        <w:tc>
          <w:tcPr>
            <w:tcW w:w="110" w:type="dxa"/>
            <w:tcBorders/>
            <w:shd w:fill="CCEEFF" w:val="clear"/>
            <w:vAlign w:val="center"/>
          </w:tcPr>
          <w:p>
            <w:pPr>
              <w:pStyle w:val="TableContents"/>
              <w:bidi w:val="0"/>
              <w:spacing w:before="0" w:after="283"/>
              <w:jc w:val="left"/>
              <w:rPr/>
            </w:pPr>
            <w:r>
              <w:rPr/>
              <w:t>)</w:t>
            </w:r>
            <w:bookmarkStart w:id="230" w:name="xdx_40E_eus-gaap--PaidInKindInterest_i02"/>
            <w:bookmarkEnd w:id="230"/>
          </w:p>
        </w:tc>
      </w:tr>
      <w:tr>
        <w:trPr/>
        <w:tc>
          <w:tcPr>
            <w:tcW w:w="4565" w:type="dxa"/>
            <w:tcBorders/>
            <w:shd w:fill="FFFFFF" w:val="clear"/>
            <w:vAlign w:val="center"/>
          </w:tcPr>
          <w:p>
            <w:pPr>
              <w:pStyle w:val="TableContents"/>
              <w:bidi w:val="0"/>
              <w:spacing w:before="0" w:after="283"/>
              <w:jc w:val="left"/>
              <w:rPr/>
            </w:pPr>
            <w:r>
              <w:rPr/>
              <w:t>Non-cash interest expense (paid-in 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3,738</w:t>
            </w:r>
          </w:p>
        </w:tc>
        <w:tc>
          <w:tcPr>
            <w:tcW w:w="110" w:type="dxa"/>
            <w:tcBorders/>
            <w:shd w:fill="FFFFFF" w:val="clear"/>
            <w:vAlign w:val="center"/>
          </w:tcPr>
          <w:p>
            <w:pPr>
              <w:pStyle w:val="TableContents"/>
              <w:bidi w:val="0"/>
              <w:spacing w:before="0" w:after="283"/>
              <w:jc w:val="left"/>
              <w:rPr/>
            </w:pPr>
            <w:r>
              <w:rPr/>
              <w:t> </w:t>
            </w:r>
            <w:bookmarkStart w:id="231" w:name="xdx_40E_eus-gaap--ProvisionForDoubtfulAc"/>
            <w:bookmarkEnd w:id="231"/>
          </w:p>
        </w:tc>
      </w:tr>
      <w:tr>
        <w:trPr/>
        <w:tc>
          <w:tcPr>
            <w:tcW w:w="4565"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w:t>
            </w:r>
          </w:p>
        </w:tc>
        <w:tc>
          <w:tcPr>
            <w:tcW w:w="110" w:type="dxa"/>
            <w:tcBorders/>
            <w:shd w:fill="CCEEFF" w:val="clear"/>
            <w:vAlign w:val="center"/>
          </w:tcPr>
          <w:p>
            <w:pPr>
              <w:pStyle w:val="TableContents"/>
              <w:bidi w:val="0"/>
              <w:spacing w:before="0" w:after="283"/>
              <w:jc w:val="left"/>
              <w:rPr/>
            </w:pPr>
            <w:r>
              <w:rPr/>
              <w:t> </w:t>
            </w:r>
            <w:bookmarkStart w:id="232" w:name="xdx_40B_eus-gaap--DepreciationDepletionA"/>
            <w:bookmarkEnd w:id="232"/>
          </w:p>
        </w:tc>
      </w:tr>
      <w:tr>
        <w:trPr/>
        <w:tc>
          <w:tcPr>
            <w:tcW w:w="456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909</w:t>
            </w:r>
          </w:p>
        </w:tc>
        <w:tc>
          <w:tcPr>
            <w:tcW w:w="110" w:type="dxa"/>
            <w:tcBorders/>
            <w:shd w:fill="FFFFFF" w:val="clear"/>
            <w:vAlign w:val="center"/>
          </w:tcPr>
          <w:p>
            <w:pPr>
              <w:pStyle w:val="TableContents"/>
              <w:bidi w:val="0"/>
              <w:spacing w:before="0" w:after="283"/>
              <w:jc w:val="left"/>
              <w:rPr/>
            </w:pPr>
            <w:r>
              <w:rPr/>
              <w:t> </w:t>
            </w:r>
            <w:bookmarkStart w:id="233" w:name="xdx_40D_eus-gaap--OperatingLeaseRightOfU"/>
            <w:bookmarkEnd w:id="233"/>
          </w:p>
        </w:tc>
      </w:tr>
      <w:tr>
        <w:trPr/>
        <w:tc>
          <w:tcPr>
            <w:tcW w:w="4565" w:type="dxa"/>
            <w:tcBorders/>
            <w:shd w:fill="CCEEFF" w:val="clear"/>
            <w:vAlign w:val="center"/>
          </w:tcPr>
          <w:p>
            <w:pPr>
              <w:pStyle w:val="TableContents"/>
              <w:bidi w:val="0"/>
              <w:spacing w:before="0" w:after="283"/>
              <w:jc w:val="left"/>
              <w:rPr/>
            </w:pPr>
            <w:r>
              <w:rPr/>
              <w:t>Amortization of right of use of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898</w:t>
            </w:r>
          </w:p>
        </w:tc>
        <w:tc>
          <w:tcPr>
            <w:tcW w:w="110" w:type="dxa"/>
            <w:tcBorders/>
            <w:shd w:fill="CCEEFF" w:val="clear"/>
            <w:vAlign w:val="center"/>
          </w:tcPr>
          <w:p>
            <w:pPr>
              <w:pStyle w:val="TableContents"/>
              <w:bidi w:val="0"/>
              <w:spacing w:before="0" w:after="283"/>
              <w:jc w:val="left"/>
              <w:rPr/>
            </w:pPr>
            <w:r>
              <w:rPr/>
              <w:t> </w:t>
            </w:r>
            <w:bookmarkStart w:id="234" w:name="xdx_40D_eus-gaap--GainLossOnSaleOfProper"/>
            <w:bookmarkEnd w:id="234"/>
          </w:p>
        </w:tc>
      </w:tr>
      <w:tr>
        <w:trPr/>
        <w:tc>
          <w:tcPr>
            <w:tcW w:w="4565"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jc w:val="left"/>
              <w:rPr/>
            </w:pPr>
            <w:r>
              <w:rPr/>
              <w:t> </w:t>
            </w:r>
            <w:bookmarkStart w:id="235" w:name="xdx_407_eus-gaap--IncreaseDecreaseInOper"/>
            <w:bookmarkEnd w:id="235"/>
          </w:p>
        </w:tc>
      </w:tr>
      <w:tr>
        <w:trPr/>
        <w:tc>
          <w:tcPr>
            <w:tcW w:w="4565"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6" w:name="xdx_402_eus-gaap--IncreaseDecreaseInAcco"/>
            <w:bookmarkEnd w:id="236"/>
          </w:p>
        </w:tc>
      </w:tr>
      <w:tr>
        <w:trPr/>
        <w:tc>
          <w:tcPr>
            <w:tcW w:w="456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w:t>
            </w:r>
            <w:bookmarkStart w:id="237" w:name="xdx_409_eus-gaap--IncreaseDecreaseInInve"/>
            <w:bookmarkEnd w:id="237"/>
          </w:p>
        </w:tc>
      </w:tr>
      <w:tr>
        <w:trPr/>
        <w:tc>
          <w:tcPr>
            <w:tcW w:w="456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7,939</w:t>
            </w:r>
          </w:p>
        </w:tc>
        <w:tc>
          <w:tcPr>
            <w:tcW w:w="110" w:type="dxa"/>
            <w:tcBorders/>
            <w:shd w:fill="CCEEFF" w:val="clear"/>
            <w:vAlign w:val="center"/>
          </w:tcPr>
          <w:p>
            <w:pPr>
              <w:pStyle w:val="TableContents"/>
              <w:bidi w:val="0"/>
              <w:spacing w:before="0" w:after="283"/>
              <w:jc w:val="left"/>
              <w:rPr/>
            </w:pPr>
            <w:r>
              <w:rPr/>
              <w:t> </w:t>
            </w:r>
            <w:bookmarkStart w:id="238" w:name="xdx_404_eus-gaap--IncreaseDecreaseInPrep"/>
            <w:bookmarkEnd w:id="238"/>
          </w:p>
        </w:tc>
      </w:tr>
      <w:tr>
        <w:trPr/>
        <w:tc>
          <w:tcPr>
            <w:tcW w:w="456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801</w:t>
            </w:r>
          </w:p>
        </w:tc>
        <w:tc>
          <w:tcPr>
            <w:tcW w:w="110" w:type="dxa"/>
            <w:tcBorders/>
            <w:shd w:fill="FFFFFF" w:val="clear"/>
            <w:vAlign w:val="center"/>
          </w:tcPr>
          <w:p>
            <w:pPr>
              <w:pStyle w:val="TableContents"/>
              <w:bidi w:val="0"/>
              <w:spacing w:before="0" w:after="283"/>
              <w:jc w:val="left"/>
              <w:rPr/>
            </w:pPr>
            <w:r>
              <w:rPr/>
              <w:t> </w:t>
            </w:r>
            <w:bookmarkStart w:id="239" w:name="xdx_406_ecustom--IncreaseDecreaseInPrepa"/>
            <w:bookmarkEnd w:id="239"/>
          </w:p>
        </w:tc>
      </w:tr>
      <w:tr>
        <w:trPr/>
        <w:tc>
          <w:tcPr>
            <w:tcW w:w="4565"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w:t>
            </w:r>
          </w:p>
        </w:tc>
        <w:tc>
          <w:tcPr>
            <w:tcW w:w="110" w:type="dxa"/>
            <w:tcBorders/>
            <w:shd w:fill="CCEEFF" w:val="clear"/>
            <w:vAlign w:val="center"/>
          </w:tcPr>
          <w:p>
            <w:pPr>
              <w:pStyle w:val="TableContents"/>
              <w:bidi w:val="0"/>
              <w:spacing w:before="0" w:after="283"/>
              <w:jc w:val="left"/>
              <w:rPr/>
            </w:pPr>
            <w:r>
              <w:rPr/>
              <w:t>)</w:t>
            </w:r>
            <w:bookmarkStart w:id="240" w:name="xdx_40C_eus-gaap--IncreaseDecreaseInOthe"/>
            <w:bookmarkEnd w:id="240"/>
          </w:p>
        </w:tc>
      </w:tr>
      <w:tr>
        <w:trPr/>
        <w:tc>
          <w:tcPr>
            <w:tcW w:w="45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w:t>
            </w:r>
          </w:p>
        </w:tc>
        <w:tc>
          <w:tcPr>
            <w:tcW w:w="110" w:type="dxa"/>
            <w:tcBorders/>
            <w:shd w:fill="FFFFFF" w:val="clear"/>
            <w:vAlign w:val="center"/>
          </w:tcPr>
          <w:p>
            <w:pPr>
              <w:pStyle w:val="TableContents"/>
              <w:bidi w:val="0"/>
              <w:spacing w:before="0" w:after="283"/>
              <w:jc w:val="left"/>
              <w:rPr/>
            </w:pPr>
            <w:r>
              <w:rPr/>
              <w:t> </w:t>
            </w:r>
            <w:bookmarkStart w:id="241" w:name="xdx_40B_eus-gaap--IncreaseDecreaseInOthe"/>
            <w:bookmarkEnd w:id="241"/>
          </w:p>
        </w:tc>
      </w:tr>
      <w:tr>
        <w:trPr/>
        <w:tc>
          <w:tcPr>
            <w:tcW w:w="456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2" w:name="xdx_40C_eus-gaap--IncreaseDecreaseInAccr"/>
            <w:bookmarkEnd w:id="242"/>
          </w:p>
        </w:tc>
      </w:tr>
      <w:tr>
        <w:trPr/>
        <w:tc>
          <w:tcPr>
            <w:tcW w:w="456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bookmarkStart w:id="243" w:name="xdx_40D_eus-gaap--IncreaseDecreaseInAcco"/>
            <w:bookmarkEnd w:id="243"/>
          </w:p>
        </w:tc>
      </w:tr>
      <w:tr>
        <w:trPr/>
        <w:tc>
          <w:tcPr>
            <w:tcW w:w="4565"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343</w:t>
            </w:r>
          </w:p>
        </w:tc>
        <w:tc>
          <w:tcPr>
            <w:tcW w:w="110" w:type="dxa"/>
            <w:tcBorders/>
            <w:shd w:fill="CCEEFF" w:val="clear"/>
            <w:vAlign w:val="center"/>
          </w:tcPr>
          <w:p>
            <w:pPr>
              <w:pStyle w:val="TableContents"/>
              <w:bidi w:val="0"/>
              <w:spacing w:before="0" w:after="283"/>
              <w:jc w:val="left"/>
              <w:rPr/>
            </w:pPr>
            <w:r>
              <w:rPr/>
              <w:t> </w:t>
            </w:r>
            <w:bookmarkStart w:id="244" w:name="xdx_40E_ecustom--IncreaseDecreaseInAccru"/>
            <w:bookmarkEnd w:id="244"/>
          </w:p>
        </w:tc>
      </w:tr>
      <w:tr>
        <w:trPr/>
        <w:tc>
          <w:tcPr>
            <w:tcW w:w="4565"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jc w:val="left"/>
              <w:rPr/>
            </w:pPr>
            <w:r>
              <w:rPr/>
              <w:t> </w:t>
            </w:r>
            <w:bookmarkStart w:id="245" w:name="xdx_402_eus-gaap--IncreaseDecreaseInDefe"/>
            <w:bookmarkEnd w:id="245"/>
          </w:p>
        </w:tc>
      </w:tr>
      <w:tr>
        <w:trPr/>
        <w:tc>
          <w:tcPr>
            <w:tcW w:w="456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6" w:name="xdx_405_eus-gaap--IncreaseDecreaseInCont"/>
            <w:bookmarkEnd w:id="246"/>
          </w:p>
        </w:tc>
      </w:tr>
      <w:tr>
        <w:trPr/>
        <w:tc>
          <w:tcPr>
            <w:tcW w:w="4565"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bookmarkStart w:id="247" w:name="xdx_40C_eus-gaap--AdjustmentsToReconcile"/>
            <w:bookmarkEnd w:id="247"/>
          </w:p>
        </w:tc>
      </w:tr>
      <w:tr>
        <w:trPr/>
        <w:tc>
          <w:tcPr>
            <w:tcW w:w="4565"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404</w:t>
            </w:r>
          </w:p>
        </w:tc>
        <w:tc>
          <w:tcPr>
            <w:tcW w:w="110" w:type="dxa"/>
            <w:tcBorders/>
            <w:shd w:fill="CCEEFF" w:val="clear"/>
            <w:vAlign w:val="center"/>
          </w:tcPr>
          <w:p>
            <w:pPr>
              <w:pStyle w:val="TableContents"/>
              <w:bidi w:val="0"/>
              <w:spacing w:before="0" w:after="283"/>
              <w:jc w:val="left"/>
              <w:rPr/>
            </w:pPr>
            <w:r>
              <w:rPr/>
              <w:t> </w:t>
            </w:r>
            <w:bookmarkStart w:id="248" w:name="xdx_400_eus-gaap--NetCashProvidedByUsedI"/>
            <w:bookmarkEnd w:id="248"/>
          </w:p>
        </w:tc>
      </w:tr>
      <w:tr>
        <w:trPr/>
        <w:tc>
          <w:tcPr>
            <w:tcW w:w="456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(4,712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(16,727</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9" w:name="xdx_407_eus-gaap--NetCashProvidedByUsedI"/>
            <w:bookmarkEnd w:id="249"/>
          </w:p>
        </w:tc>
      </w:tr>
      <w:tr>
        <w:trPr/>
        <w:tc>
          <w:tcPr>
            <w:tcW w:w="4565"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0" w:name="xdx_40E_eus-gaap--PaymentsToAcquirePrope"/>
            <w:bookmarkEnd w:id="250"/>
          </w:p>
        </w:tc>
      </w:tr>
      <w:tr>
        <w:trPr/>
        <w:tc>
          <w:tcPr>
            <w:tcW w:w="456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(1,691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(6,507</w:t>
            </w:r>
          </w:p>
        </w:tc>
        <w:tc>
          <w:tcPr>
            <w:tcW w:w="110" w:type="dxa"/>
            <w:tcBorders/>
            <w:shd w:fill="CCEEFF" w:val="clear"/>
            <w:vAlign w:val="center"/>
          </w:tcPr>
          <w:p>
            <w:pPr>
              <w:pStyle w:val="TableContents"/>
              <w:bidi w:val="0"/>
              <w:spacing w:before="0" w:after="283"/>
              <w:jc w:val="left"/>
              <w:rPr/>
            </w:pPr>
            <w:r>
              <w:rPr/>
              <w:t>)</w:t>
            </w:r>
            <w:bookmarkStart w:id="251" w:name="xdx_408_eus-gaap--NetCashProvidedByUsedI"/>
            <w:bookmarkEnd w:id="251"/>
          </w:p>
        </w:tc>
      </w:tr>
      <w:tr>
        <w:trPr/>
        <w:tc>
          <w:tcPr>
            <w:tcW w:w="456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(6,507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Nine Months Ended September 30, 2024 and 2023</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8240"/>
        <w:gridCol w:w="60"/>
        <w:gridCol w:w="140"/>
        <w:gridCol w:w="680"/>
        <w:gridCol w:w="95"/>
        <w:gridCol w:w="60"/>
        <w:gridCol w:w="140"/>
        <w:gridCol w:w="680"/>
        <w:gridCol w:w="110"/>
      </w:tblGrid>
      <w:tr>
        <w:trPr/>
        <w:tc>
          <w:tcPr>
            <w:tcW w:w="8240" w:type="dxa"/>
            <w:tcBorders/>
            <w:vAlign w:val="center"/>
          </w:tcPr>
          <w:p>
            <w:pPr>
              <w:pStyle w:val="TableContents"/>
              <w:bidi w:val="0"/>
              <w:spacing w:before="0" w:after="283"/>
              <w:jc w:val="left"/>
              <w:rPr>
                <w:b/>
              </w:rPr>
            </w:pPr>
            <w:r>
              <w:rPr>
                <w:b/>
              </w:rPr>
              <w:t>(continued from previous page)</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252" w:name="xdx_40D_eus-gaap--NetCashProvidedByUsedI"/>
            <w:bookmarkEnd w:id="252"/>
          </w:p>
        </w:tc>
      </w:tr>
      <w:tr>
        <w:trPr/>
        <w:tc>
          <w:tcPr>
            <w:tcW w:w="824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3" w:name="xdx_400_eus-gaap--ProceedsFromIssuanceIn"/>
            <w:bookmarkEnd w:id="253"/>
          </w:p>
        </w:tc>
      </w:tr>
      <w:tr>
        <w:trPr/>
        <w:tc>
          <w:tcPr>
            <w:tcW w:w="8240" w:type="dxa"/>
            <w:tcBorders/>
            <w:shd w:fill="FFFFFF" w:val="clear"/>
            <w:vAlign w:val="center"/>
          </w:tcPr>
          <w:p>
            <w:pPr>
              <w:pStyle w:val="TableContents"/>
              <w:bidi w:val="0"/>
              <w:spacing w:before="0" w:after="283"/>
              <w:jc w:val="left"/>
              <w:rPr/>
            </w:pPr>
            <w:r>
              <w:rPr/>
              <w:t>Proceeds from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21,640</w:t>
            </w:r>
          </w:p>
        </w:tc>
        <w:tc>
          <w:tcPr>
            <w:tcW w:w="110" w:type="dxa"/>
            <w:tcBorders/>
            <w:shd w:fill="FFFFFF" w:val="clear"/>
            <w:vAlign w:val="center"/>
          </w:tcPr>
          <w:p>
            <w:pPr>
              <w:pStyle w:val="TableContents"/>
              <w:bidi w:val="0"/>
              <w:spacing w:before="0" w:after="283"/>
              <w:jc w:val="left"/>
              <w:rPr/>
            </w:pPr>
            <w:r>
              <w:rPr/>
              <w:t> </w:t>
            </w:r>
            <w:bookmarkStart w:id="254" w:name="xdx_409_ecustom--ProceedsFromIssuanceIni"/>
            <w:bookmarkEnd w:id="254"/>
          </w:p>
        </w:tc>
      </w:tr>
      <w:tr>
        <w:trPr/>
        <w:tc>
          <w:tcPr>
            <w:tcW w:w="8240" w:type="dxa"/>
            <w:tcBorders/>
            <w:shd w:fill="CCEEFF" w:val="clear"/>
            <w:vAlign w:val="center"/>
          </w:tcPr>
          <w:p>
            <w:pPr>
              <w:pStyle w:val="TableContents"/>
              <w:bidi w:val="0"/>
              <w:spacing w:before="0" w:after="283"/>
              <w:jc w:val="left"/>
              <w:rPr/>
            </w:pPr>
            <w:r>
              <w:rPr/>
              <w:t>Proceeds from public offering (ATM),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671</w:t>
            </w:r>
          </w:p>
        </w:tc>
        <w:tc>
          <w:tcPr>
            <w:tcW w:w="110" w:type="dxa"/>
            <w:tcBorders/>
            <w:shd w:fill="CCEEFF" w:val="clear"/>
            <w:vAlign w:val="center"/>
          </w:tcPr>
          <w:p>
            <w:pPr>
              <w:pStyle w:val="TableContents"/>
              <w:bidi w:val="0"/>
              <w:spacing w:before="0" w:after="283"/>
              <w:jc w:val="left"/>
              <w:rPr/>
            </w:pPr>
            <w:r>
              <w:rPr/>
              <w:t> </w:t>
            </w:r>
            <w:bookmarkStart w:id="255" w:name="xdx_40A_eus-gaap--ProceedsFromNotesPayab"/>
            <w:bookmarkEnd w:id="255"/>
          </w:p>
        </w:tc>
      </w:tr>
      <w:tr>
        <w:trPr/>
        <w:tc>
          <w:tcPr>
            <w:tcW w:w="8240" w:type="dxa"/>
            <w:tcBorders/>
            <w:shd w:fill="FFFFFF" w:val="clear"/>
            <w:vAlign w:val="center"/>
          </w:tcPr>
          <w:p>
            <w:pPr>
              <w:pStyle w:val="TableContents"/>
              <w:bidi w:val="0"/>
              <w:spacing w:before="0" w:after="283"/>
              <w:jc w:val="left"/>
              <w:rPr/>
            </w:pPr>
            <w:r>
              <w:rPr/>
              <w:t>Proceeds from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256" w:name="xdx_407_eus-gaap--RepaymentsOfNotesPayab"/>
            <w:bookmarkEnd w:id="256"/>
          </w:p>
        </w:tc>
      </w:tr>
      <w:tr>
        <w:trPr/>
        <w:tc>
          <w:tcPr>
            <w:tcW w:w="8240" w:type="dxa"/>
            <w:tcBorders/>
            <w:shd w:fill="CCEEFF" w:val="clear"/>
            <w:vAlign w:val="center"/>
          </w:tcPr>
          <w:p>
            <w:pPr>
              <w:pStyle w:val="TableContents"/>
              <w:bidi w:val="0"/>
              <w:spacing w:before="0" w:after="283"/>
              <w:jc w:val="left"/>
              <w:rPr/>
            </w:pPr>
            <w:r>
              <w:rPr/>
              <w:t>Repayment of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w:t>
            </w:r>
            <w:bookmarkStart w:id="257" w:name="xdx_40A_ecustom--RepaymentsOfNotesPayabl"/>
            <w:bookmarkEnd w:id="257"/>
          </w:p>
        </w:tc>
      </w:tr>
      <w:tr>
        <w:trPr/>
        <w:tc>
          <w:tcPr>
            <w:tcW w:w="8240" w:type="dxa"/>
            <w:tcBorders/>
            <w:shd w:fill="FFFFFF" w:val="clear"/>
            <w:vAlign w:val="center"/>
          </w:tcPr>
          <w:p>
            <w:pPr>
              <w:pStyle w:val="TableContents"/>
              <w:bidi w:val="0"/>
              <w:spacing w:before="0" w:after="283"/>
              <w:jc w:val="left"/>
              <w:rPr/>
            </w:pPr>
            <w:r>
              <w:rPr/>
              <w:t>Repayment of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(5,275</w:t>
            </w:r>
          </w:p>
        </w:tc>
        <w:tc>
          <w:tcPr>
            <w:tcW w:w="110" w:type="dxa"/>
            <w:tcBorders/>
            <w:shd w:fill="FFFFFF" w:val="clear"/>
            <w:vAlign w:val="center"/>
          </w:tcPr>
          <w:p>
            <w:pPr>
              <w:pStyle w:val="TableContents"/>
              <w:bidi w:val="0"/>
              <w:spacing w:before="0" w:after="283"/>
              <w:jc w:val="left"/>
              <w:rPr/>
            </w:pPr>
            <w:r>
              <w:rPr/>
              <w:t>)</w:t>
            </w:r>
            <w:bookmarkStart w:id="258" w:name="xdx_40D_eus-gaap--ProceedsFromWarrantExe"/>
            <w:bookmarkEnd w:id="258"/>
          </w:p>
        </w:tc>
      </w:tr>
      <w:tr>
        <w:trPr/>
        <w:tc>
          <w:tcPr>
            <w:tcW w:w="8240" w:type="dxa"/>
            <w:tcBorders/>
            <w:shd w:fill="CCEEFF" w:val="clear"/>
            <w:vAlign w:val="center"/>
          </w:tcPr>
          <w:p>
            <w:pPr>
              <w:pStyle w:val="TableContents"/>
              <w:bidi w:val="0"/>
              <w:spacing w:before="0" w:after="283"/>
              <w:jc w:val="left"/>
              <w:rPr/>
            </w:pPr>
            <w:r>
              <w:rPr/>
              <w:t>Proceeds from exercise of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747</w:t>
            </w:r>
          </w:p>
        </w:tc>
        <w:tc>
          <w:tcPr>
            <w:tcW w:w="110" w:type="dxa"/>
            <w:tcBorders/>
            <w:shd w:fill="CCEEFF" w:val="clear"/>
            <w:vAlign w:val="center"/>
          </w:tcPr>
          <w:p>
            <w:pPr>
              <w:pStyle w:val="TableContents"/>
              <w:bidi w:val="0"/>
              <w:spacing w:before="0" w:after="283"/>
              <w:jc w:val="left"/>
              <w:rPr/>
            </w:pPr>
            <w:r>
              <w:rPr/>
              <w:t> </w:t>
            </w:r>
            <w:bookmarkStart w:id="259" w:name="xdx_400_eus-gaap--ProceedsFromStockOptio"/>
            <w:bookmarkEnd w:id="259"/>
          </w:p>
        </w:tc>
      </w:tr>
      <w:tr>
        <w:trPr/>
        <w:tc>
          <w:tcPr>
            <w:tcW w:w="8240" w:type="dxa"/>
            <w:tcBorders/>
            <w:shd w:fill="FFFFFF" w:val="clear"/>
            <w:vAlign w:val="center"/>
          </w:tcPr>
          <w:p>
            <w:pPr>
              <w:pStyle w:val="TableContents"/>
              <w:bidi w:val="0"/>
              <w:spacing w:before="0" w:after="283"/>
              <w:jc w:val="left"/>
              <w:rPr/>
            </w:pPr>
            <w:r>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359</w:t>
            </w:r>
          </w:p>
        </w:tc>
        <w:tc>
          <w:tcPr>
            <w:tcW w:w="110" w:type="dxa"/>
            <w:tcBorders/>
            <w:shd w:fill="FFFFFF" w:val="clear"/>
            <w:vAlign w:val="center"/>
          </w:tcPr>
          <w:p>
            <w:pPr>
              <w:pStyle w:val="TableContents"/>
              <w:bidi w:val="0"/>
              <w:spacing w:before="0" w:after="283"/>
              <w:jc w:val="left"/>
              <w:rPr/>
            </w:pPr>
            <w:r>
              <w:rPr/>
              <w:t> </w:t>
            </w:r>
            <w:bookmarkStart w:id="260" w:name="xdx_406_ecustom--ProceedsFromExerciseOfI"/>
            <w:bookmarkEnd w:id="260"/>
          </w:p>
        </w:tc>
      </w:tr>
      <w:tr>
        <w:trPr/>
        <w:tc>
          <w:tcPr>
            <w:tcW w:w="8240" w:type="dxa"/>
            <w:tcBorders/>
            <w:shd w:fill="CCEEFF" w:val="clear"/>
            <w:vAlign w:val="center"/>
          </w:tcPr>
          <w:p>
            <w:pPr>
              <w:pStyle w:val="TableContents"/>
              <w:bidi w:val="0"/>
              <w:spacing w:before="0" w:after="283"/>
              <w:jc w:val="left"/>
              <w:rPr/>
            </w:pPr>
            <w:r>
              <w:rPr/>
              <w:t>Proceeds from exercise of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546</w:t>
            </w:r>
          </w:p>
        </w:tc>
        <w:tc>
          <w:tcPr>
            <w:tcW w:w="110" w:type="dxa"/>
            <w:tcBorders/>
            <w:shd w:fill="CCEEFF" w:val="clear"/>
            <w:vAlign w:val="center"/>
          </w:tcPr>
          <w:p>
            <w:pPr>
              <w:pStyle w:val="TableContents"/>
              <w:bidi w:val="0"/>
              <w:spacing w:before="0" w:after="283"/>
              <w:jc w:val="left"/>
              <w:rPr/>
            </w:pPr>
            <w:r>
              <w:rPr/>
              <w:t> </w:t>
            </w:r>
            <w:bookmarkStart w:id="261" w:name="xdx_408_eus-gaap--NetCashProvidedByUsedI"/>
            <w:bookmarkEnd w:id="261"/>
          </w:p>
        </w:tc>
      </w:tr>
      <w:tr>
        <w:trPr/>
        <w:tc>
          <w:tcPr>
            <w:tcW w:w="824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18,688</w:t>
            </w:r>
          </w:p>
        </w:tc>
        <w:tc>
          <w:tcPr>
            <w:tcW w:w="110" w:type="dxa"/>
            <w:tcBorders/>
            <w:shd w:fill="FFFFFF" w:val="clear"/>
            <w:vAlign w:val="center"/>
          </w:tcPr>
          <w:p>
            <w:pPr>
              <w:pStyle w:val="TableContents"/>
              <w:bidi w:val="0"/>
              <w:spacing w:before="0" w:after="283"/>
              <w:jc w:val="left"/>
              <w:rPr/>
            </w:pPr>
            <w:r>
              <w:rPr/>
              <w:t> </w:t>
            </w:r>
          </w:p>
        </w:tc>
      </w:tr>
      <w:tr>
        <w:trPr/>
        <w:tc>
          <w:tcPr>
            <w:tcW w:w="8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2" w:name="xdx_400_eus-gaap--CashCashEquivalentsRes"/>
            <w:bookmarkEnd w:id="262"/>
          </w:p>
        </w:tc>
      </w:tr>
      <w:tr>
        <w:trPr/>
        <w:tc>
          <w:tcPr>
            <w:tcW w:w="8240"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(4,546</w:t>
            </w:r>
          </w:p>
        </w:tc>
        <w:tc>
          <w:tcPr>
            <w:tcW w:w="110" w:type="dxa"/>
            <w:tcBorders/>
            <w:shd w:fill="FFFFFF" w:val="clear"/>
            <w:vAlign w:val="center"/>
          </w:tcPr>
          <w:p>
            <w:pPr>
              <w:pStyle w:val="TableContents"/>
              <w:bidi w:val="0"/>
              <w:spacing w:before="0" w:after="283"/>
              <w:jc w:val="left"/>
              <w:rPr/>
            </w:pPr>
            <w:r>
              <w:rPr/>
              <w:t>)</w:t>
            </w:r>
            <w:bookmarkStart w:id="263" w:name="xdx_407_eus-gaap--CashCashEquivalentsRes"/>
            <w:bookmarkEnd w:id="263"/>
          </w:p>
        </w:tc>
      </w:tr>
      <w:tr>
        <w:trPr/>
        <w:tc>
          <w:tcPr>
            <w:tcW w:w="8240" w:type="dxa"/>
            <w:tcBorders/>
            <w:shd w:fill="CCEEFF" w:val="clear"/>
            <w:vAlign w:val="center"/>
          </w:tcPr>
          <w:p>
            <w:pPr>
              <w:pStyle w:val="TableContents"/>
              <w:bidi w:val="0"/>
              <w:spacing w:before="0" w:after="283"/>
              <w:jc w:val="left"/>
              <w:rPr/>
            </w:pPr>
            <w:r>
              <w:rPr/>
              <w:t>Beginning 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17,781</w:t>
            </w:r>
          </w:p>
        </w:tc>
        <w:tc>
          <w:tcPr>
            <w:tcW w:w="110" w:type="dxa"/>
            <w:tcBorders/>
            <w:shd w:fill="CCEEFF" w:val="clear"/>
            <w:vAlign w:val="center"/>
          </w:tcPr>
          <w:p>
            <w:pPr>
              <w:pStyle w:val="TableContents"/>
              <w:bidi w:val="0"/>
              <w:spacing w:before="0" w:after="283"/>
              <w:jc w:val="left"/>
              <w:rPr/>
            </w:pPr>
            <w:r>
              <w:rPr/>
              <w:t> </w:t>
            </w:r>
            <w:bookmarkStart w:id="264" w:name="xdx_407_eus-gaap--CashCashEquivalentsRes"/>
            <w:bookmarkEnd w:id="264"/>
          </w:p>
        </w:tc>
      </w:tr>
      <w:tr>
        <w:trPr/>
        <w:tc>
          <w:tcPr>
            <w:tcW w:w="8240" w:type="dxa"/>
            <w:tcBorders/>
            <w:shd w:fill="FFFFFF" w:val="clear"/>
            <w:vAlign w:val="center"/>
          </w:tcPr>
          <w:p>
            <w:pPr>
              <w:pStyle w:val="TableContents"/>
              <w:bidi w:val="0"/>
              <w:spacing w:before="0" w:after="283"/>
              <w:jc w:val="left"/>
              <w:rPr/>
            </w:pPr>
            <w:r>
              <w:rPr/>
              <w:t>Ending 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8,019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13,235</w:t>
            </w:r>
          </w:p>
        </w:tc>
        <w:tc>
          <w:tcPr>
            <w:tcW w:w="110" w:type="dxa"/>
            <w:tcBorders/>
            <w:shd w:fill="FFFFFF" w:val="clear"/>
            <w:vAlign w:val="center"/>
          </w:tcPr>
          <w:p>
            <w:pPr>
              <w:pStyle w:val="TableContents"/>
              <w:bidi w:val="0"/>
              <w:spacing w:before="0" w:after="283"/>
              <w:jc w:val="left"/>
              <w:rPr/>
            </w:pPr>
            <w:r>
              <w:rPr/>
              <w:t> </w:t>
            </w:r>
          </w:p>
        </w:tc>
      </w:tr>
      <w:tr>
        <w:trPr/>
        <w:tc>
          <w:tcPr>
            <w:tcW w:w="8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5" w:name="xdx_40F_eus-gaap--SupplementalCashFlowIn"/>
            <w:bookmarkEnd w:id="265"/>
          </w:p>
        </w:tc>
      </w:tr>
      <w:tr>
        <w:trPr/>
        <w:tc>
          <w:tcPr>
            <w:tcW w:w="8240" w:type="dxa"/>
            <w:tcBorders/>
            <w:shd w:fill="FFFFFF" w:val="clear"/>
            <w:vAlign w:val="center"/>
          </w:tcPr>
          <w:p>
            <w:pPr>
              <w:pStyle w:val="TableContents"/>
              <w:bidi w:val="0"/>
              <w:spacing w:before="0" w:after="283"/>
              <w:jc w:val="left"/>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6" w:name="xdx_406_eus-gaap--IncomeTaxesPaidNet_i01"/>
            <w:bookmarkEnd w:id="266"/>
          </w:p>
        </w:tc>
      </w:tr>
      <w:tr>
        <w:trPr/>
        <w:tc>
          <w:tcPr>
            <w:tcW w:w="824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237</w:t>
            </w:r>
          </w:p>
        </w:tc>
        <w:tc>
          <w:tcPr>
            <w:tcW w:w="110" w:type="dxa"/>
            <w:tcBorders/>
            <w:shd w:fill="CCEEFF" w:val="clear"/>
            <w:vAlign w:val="center"/>
          </w:tcPr>
          <w:p>
            <w:pPr>
              <w:pStyle w:val="TableContents"/>
              <w:bidi w:val="0"/>
              <w:spacing w:before="0" w:after="283"/>
              <w:jc w:val="left"/>
              <w:rPr/>
            </w:pPr>
            <w:r>
              <w:rPr/>
              <w:t> </w:t>
            </w:r>
            <w:bookmarkStart w:id="267" w:name="xdx_406_eus-gaap--InterestPaidNet_i01_pn"/>
            <w:bookmarkEnd w:id="267"/>
          </w:p>
        </w:tc>
      </w:tr>
      <w:tr>
        <w:trPr/>
        <w:tc>
          <w:tcPr>
            <w:tcW w:w="824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6,740</w:t>
            </w:r>
          </w:p>
        </w:tc>
        <w:tc>
          <w:tcPr>
            <w:tcW w:w="110" w:type="dxa"/>
            <w:tcBorders/>
            <w:shd w:fill="FFFFFF" w:val="clear"/>
            <w:vAlign w:val="center"/>
          </w:tcPr>
          <w:p>
            <w:pPr>
              <w:pStyle w:val="TableContents"/>
              <w:bidi w:val="0"/>
              <w:spacing w:before="0" w:after="283"/>
              <w:jc w:val="left"/>
              <w:rPr/>
            </w:pPr>
            <w:r>
              <w:rPr/>
              <w:t> </w:t>
            </w:r>
            <w:bookmarkStart w:id="268" w:name="xdx_405_eus-gaap--CashFlowNoncashInvesti"/>
            <w:bookmarkEnd w:id="268"/>
          </w:p>
        </w:tc>
      </w:tr>
      <w:tr>
        <w:trPr/>
        <w:tc>
          <w:tcPr>
            <w:tcW w:w="8240" w:type="dxa"/>
            <w:tcBorders/>
            <w:shd w:fill="CCEEFF" w:val="clear"/>
            <w:vAlign w:val="center"/>
          </w:tcPr>
          <w:p>
            <w:pPr>
              <w:pStyle w:val="TableContents"/>
              <w:bidi w:val="0"/>
              <w:spacing w:before="0" w:after="283"/>
              <w:jc w:val="left"/>
              <w:rPr/>
            </w:pPr>
            <w:r>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9" w:name="xdx_401_eus-gaap--CapitalExpendituresInc"/>
            <w:bookmarkEnd w:id="269"/>
          </w:p>
        </w:tc>
      </w:tr>
      <w:tr>
        <w:trPr/>
        <w:tc>
          <w:tcPr>
            <w:tcW w:w="824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 </w:t>
            </w:r>
            <w:bookmarkStart w:id="270" w:name="xdx_400_eus-gaap--RightOfUseAssetObtaine"/>
            <w:bookmarkEnd w:id="270"/>
          </w:p>
        </w:tc>
      </w:tr>
      <w:tr>
        <w:trPr/>
        <w:tc>
          <w:tcPr>
            <w:tcW w:w="8240" w:type="dxa"/>
            <w:tcBorders/>
            <w:shd w:fill="CCEE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1" w:name="xdx_404_ecustom--RecognitionOfLeaseholdI"/>
            <w:bookmarkEnd w:id="271"/>
          </w:p>
        </w:tc>
      </w:tr>
      <w:tr>
        <w:trPr/>
        <w:tc>
          <w:tcPr>
            <w:tcW w:w="8240" w:type="dxa"/>
            <w:tcBorders/>
            <w:shd w:fill="FFFFFF" w:val="clear"/>
            <w:vAlign w:val="center"/>
          </w:tcPr>
          <w:p>
            <w:pPr>
              <w:pStyle w:val="TableContents"/>
              <w:bidi w:val="0"/>
              <w:spacing w:before="0" w:after="283"/>
              <w:jc w:val="left"/>
              <w:rPr/>
            </w:pPr>
            <w:r>
              <w:rPr/>
              <w:t>Recognition of leasehold improvements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2" w:name="xdx_404_ecustom--RecognitionOfWarrantLia"/>
            <w:bookmarkEnd w:id="272"/>
          </w:p>
        </w:tc>
      </w:tr>
      <w:tr>
        <w:trPr/>
        <w:tc>
          <w:tcPr>
            <w:tcW w:w="8240" w:type="dxa"/>
            <w:tcBorders/>
            <w:shd w:fill="CCEEFF" w:val="clear"/>
            <w:vAlign w:val="center"/>
          </w:tcPr>
          <w:p>
            <w:pPr>
              <w:pStyle w:val="TableContents"/>
              <w:bidi w:val="0"/>
              <w:spacing w:before="0" w:after="283"/>
              <w:jc w:val="left"/>
              <w:rPr/>
            </w:pPr>
            <w:r>
              <w:rPr/>
              <w:t>Recognition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13,762</w:t>
            </w:r>
          </w:p>
        </w:tc>
        <w:tc>
          <w:tcPr>
            <w:tcW w:w="110" w:type="dxa"/>
            <w:tcBorders/>
            <w:shd w:fill="CCEEFF" w:val="clear"/>
            <w:vAlign w:val="center"/>
          </w:tcPr>
          <w:p>
            <w:pPr>
              <w:pStyle w:val="TableContents"/>
              <w:bidi w:val="0"/>
              <w:spacing w:before="0" w:after="283"/>
              <w:jc w:val="left"/>
              <w:rPr/>
            </w:pPr>
            <w:r>
              <w:rPr/>
              <w:t> </w:t>
            </w:r>
            <w:bookmarkStart w:id="273" w:name="xdx_400_ecustom--SettlementOfAccruedLiab"/>
            <w:bookmarkEnd w:id="273"/>
          </w:p>
        </w:tc>
      </w:tr>
      <w:tr>
        <w:trPr/>
        <w:tc>
          <w:tcPr>
            <w:tcW w:w="8240" w:type="dxa"/>
            <w:tcBorders/>
            <w:shd w:fill="FFFFFF" w:val="clear"/>
            <w:vAlign w:val="center"/>
          </w:tcPr>
          <w:p>
            <w:pPr>
              <w:pStyle w:val="TableContents"/>
              <w:bidi w:val="0"/>
              <w:spacing w:before="0" w:after="283"/>
              <w:jc w:val="left"/>
              <w:rPr/>
            </w:pPr>
            <w:r>
              <w:rPr/>
              <w:t>Settlement of accrued liability for employee stock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4" w:name="xdx_409_ecustom--NoncashImpactOfCashExer"/>
            <w:bookmarkEnd w:id="274"/>
          </w:p>
        </w:tc>
      </w:tr>
      <w:tr>
        <w:trPr/>
        <w:tc>
          <w:tcPr>
            <w:tcW w:w="8240" w:type="dxa"/>
            <w:tcBorders/>
            <w:shd w:fill="CCEEFF" w:val="clear"/>
            <w:vAlign w:val="center"/>
          </w:tcPr>
          <w:p>
            <w:pPr>
              <w:pStyle w:val="TableContents"/>
              <w:bidi w:val="0"/>
              <w:spacing w:before="0" w:after="283"/>
              <w:jc w:val="left"/>
              <w:rPr/>
            </w:pPr>
            <w:r>
              <w:rPr/>
              <w:t>Non-cash impact of cash exercise of liability 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617</w:t>
            </w:r>
          </w:p>
        </w:tc>
        <w:tc>
          <w:tcPr>
            <w:tcW w:w="110" w:type="dxa"/>
            <w:tcBorders/>
            <w:shd w:fill="CCEEFF" w:val="clear"/>
            <w:vAlign w:val="center"/>
          </w:tcPr>
          <w:p>
            <w:pPr>
              <w:pStyle w:val="TableContents"/>
              <w:bidi w:val="0"/>
              <w:spacing w:before="0" w:after="283"/>
              <w:jc w:val="left"/>
              <w:rPr/>
            </w:pPr>
            <w:r>
              <w:rPr/>
              <w:t> </w:t>
            </w:r>
            <w:bookmarkStart w:id="275" w:name="xdx_406_ecustom--CashlessExerciseOfLiabi"/>
            <w:bookmarkEnd w:id="275"/>
          </w:p>
        </w:tc>
      </w:tr>
      <w:tr>
        <w:trPr/>
        <w:tc>
          <w:tcPr>
            <w:tcW w:w="8240" w:type="dxa"/>
            <w:tcBorders/>
            <w:shd w:fill="FFFFFF" w:val="clear"/>
            <w:vAlign w:val="center"/>
          </w:tcPr>
          <w:p>
            <w:pPr>
              <w:pStyle w:val="TableContents"/>
              <w:bidi w:val="0"/>
              <w:spacing w:before="0" w:after="283"/>
              <w:jc w:val="left"/>
              <w:rPr/>
            </w:pPr>
            <w:r>
              <w:rPr/>
              <w:t>Cashless exercise of liability 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12,629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6" w:name="a_005"/>
      <w:bookmarkEnd w:id="276"/>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277" w:name="xdx_80E_eus-gaap--NatureOfOperations_zCe"/>
      <w:bookmarkEnd w:id="277"/>
      <w:r>
        <w:rPr>
          <w:rFonts w:ascii="Times New Roman;Times;Serif" w:hAnsi="Times New Roman;Times;Serif"/>
          <w:b/>
          <w:i w:val="false"/>
          <w:caps/>
          <w:sz w:val="20"/>
        </w:rPr>
        <w:t xml:space="preserve">Note 1 - </w:t>
      </w:r>
      <w:bookmarkStart w:id="278" w:name="xdx_822_zDYA7ztBtjs7"/>
      <w:bookmarkEnd w:id="278"/>
      <w:r>
        <w:rPr>
          <w:rFonts w:ascii="Times New Roman;Times;Serif" w:hAnsi="Times New Roman;Times;Serif"/>
          <w:b/>
          <w:i w:val="false"/>
          <w:caps/>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79" w:name="xdx_80C_eus-gaap--SignificantAccountingP"/>
      <w:bookmarkEnd w:id="279"/>
      <w:r>
        <w:rPr>
          <w:rFonts w:ascii="Times New Roman;Times;Serif" w:hAnsi="Times New Roman;Times;Serif"/>
          <w:b/>
          <w:i w:val="false"/>
          <w:caps/>
          <w:sz w:val="20"/>
        </w:rPr>
        <w:t xml:space="preserve">Note 2 – </w:t>
      </w:r>
      <w:bookmarkStart w:id="280" w:name="xdx_825_zt7tBQTS5MBk"/>
      <w:bookmarkEnd w:id="280"/>
      <w:r>
        <w:rPr>
          <w:rFonts w:ascii="Times New Roman;Times;Serif" w:hAnsi="Times New Roman;Times;Serif"/>
          <w:b/>
          <w:i w:val="false"/>
          <w:caps/>
          <w:sz w:val="20"/>
        </w:rPr>
        <w:t>SUMMARY OF SIGNIFICANT ACCOUNTING POLICIES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81" w:name="xdx_865_z5NfFfC9gQUf"/>
      <w:bookmarkStart w:id="282" w:name="xdx_84E_eus-gaap--ConsolidationPolicyTex"/>
      <w:bookmarkEnd w:id="281"/>
      <w:bookmarkEnd w:id="282"/>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subsidiaries.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83" w:name="xdx_860_zeRdxAG8XSR1"/>
      <w:bookmarkStart w:id="284" w:name="xdx_845_eus-gaap--BasisOfAccountingPolic"/>
      <w:bookmarkEnd w:id="283"/>
      <w:bookmarkEnd w:id="284"/>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10-K filed with the SEC on April 16, 2024 (as amended April 29, 2024, the “Annual Report”) of the Company for the annual period ended December 31, 2023. The consolidated balance sheet as of December 31, 2023 was derived from the audited consolidated financial statements as of and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85" w:name="xdx_86E_zGGeiTRGPJG"/>
      <w:bookmarkStart w:id="286" w:name="xdx_84C_ecustom--GoingConcernPolicyTextB"/>
      <w:bookmarkEnd w:id="285"/>
      <w:bookmarkEnd w:id="286"/>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and 2023, the Company incurred losses from operations and had negative cash flow from operations. As of September 30, 2024, the Company had $</w:t>
      </w:r>
      <w:bookmarkStart w:id="287" w:name="xdx_904_eus-gaap--Cash_iI_pn3n3_c2024093"/>
      <w:bookmarkEnd w:id="287"/>
      <w:r>
        <w:rPr>
          <w:rFonts w:ascii="Times New Roman;Times;Serif" w:hAnsi="Times New Roman;Times;Serif"/>
          <w:b w:val="false"/>
          <w:i w:val="false"/>
          <w:caps w:val="false"/>
          <w:smallCaps w:val="false"/>
          <w:sz w:val="20"/>
        </w:rPr>
        <w:t>8,019 in cash and cash equivalents and a working capital deficit of $</w:t>
      </w:r>
      <w:bookmarkStart w:id="288" w:name="xdx_90E_ecustom--WorkingCapital_pn3n3_c2"/>
      <w:bookmarkEnd w:id="288"/>
      <w:r>
        <w:rPr>
          <w:rFonts w:ascii="Times New Roman;Times;Serif" w:hAnsi="Times New Roman;Times;Serif"/>
          <w:b w:val="false"/>
          <w:i w:val="false"/>
          <w:caps w:val="false"/>
          <w:smallCaps w:val="false"/>
          <w:sz w:val="20"/>
        </w:rPr>
        <w:t>9,927.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289" w:name="xdx_906_eus-gaap--DebtInstrumentFaceAmou"/>
      <w:bookmarkEnd w:id="289"/>
      <w:r>
        <w:rPr>
          <w:rFonts w:ascii="Times New Roman;Times;Serif" w:hAnsi="Times New Roman;Times;Serif"/>
          <w:b w:val="false"/>
          <w:i w:val="false"/>
          <w:caps w:val="false"/>
          <w:smallCaps w:val="false"/>
          <w:sz w:val="20"/>
        </w:rPr>
        <w:t>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Times;Serif" w:hAnsi="Times New Roman;Times;Serif"/>
          <w:b/>
          <w:i w:val="false"/>
          <w:caps w:val="false"/>
          <w:smallCaps w:val="false"/>
          <w:sz w:val="20"/>
        </w:rPr>
        <w:t>Note 6</w:t>
      </w:r>
      <w:r>
        <w:rPr>
          <w:rFonts w:ascii="Times New Roman;Times;Serif" w:hAnsi="Times New Roman;Times;Serif"/>
          <w:b w:val="false"/>
          <w:i w:val="false"/>
          <w:caps w:val="false"/>
          <w:smallCaps w:val="false"/>
          <w:sz w:val="20"/>
        </w:rPr>
        <w:t>). On March 31, 2024, April 29, 2024, June 28, 2024, July 31, 2024, August 30, 2024, September 30, 2024 and October 31, 2024 the Company obtained waivers from the Term Loan administrative agent and lenders of its failures to satisfy the liquidity requirement under the Term Loan for the quarters ended March 31, 2024, June 30, 2024, and September 30, 2024 and the fiscal month ended April 30, 2024, July 31, 2024, August 31, 2024, 2024, September 30, 2024, and October 31, 2024 as applicable.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and Going Concern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Going Concern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90" w:name="xdx_86E_zFVMFNNrGrIa"/>
      <w:bookmarkStart w:id="291" w:name="xdx_84C_ecustom--RecentlyAdoptedAccounti"/>
      <w:bookmarkEnd w:id="290"/>
      <w:bookmarkEnd w:id="291"/>
      <w:r>
        <w:rPr>
          <w:rFonts w:ascii="Times New Roman;Times;Serif" w:hAnsi="Times New Roman;Times;Serif"/>
          <w:b w:val="false"/>
          <w:i/>
          <w:caps w:val="false"/>
          <w:smallCaps w:val="false"/>
          <w:sz w:val="20"/>
          <w:u w:val="single"/>
        </w:rPr>
        <w:t>Recently issued accounting pronouncements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No. 2023-07, Segment Reporting (Topic 280), Improvements to Reportable Segment Disclosures (“ASU 2023-07”) which will require companies to disclose significant segment expenses that are regularly provided to the chief operating decision maker (“CODM”). The pronouncement is effective for annual filings for the year ended December 31, 2024. The adoption of ASU 2023-07 will necessitate substantial changes to the notes to the financial statements, specifically in the area of segment disclosures. For a company that operates as a single-segment entity and previously did not need to comply with ASC 280 Segment Reporting (“ASC 280”), the changes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 reportable segment entities are required to provide the new disclosures and all disclosures currently required under ASC 280</w:t>
            </w:r>
          </w:p>
        </w:tc>
      </w:tr>
    </w:tbl>
    <w:p>
      <w:pPr>
        <w:pStyle w:val="TextBody"/>
        <w:bidi w:val="0"/>
        <w:spacing w:before="0" w:after="0"/>
        <w:ind w:left="720" w:right="0" w:hanging="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the title and position of the CODM</w:t>
            </w:r>
          </w:p>
        </w:tc>
      </w:tr>
    </w:tbl>
    <w:p>
      <w:pPr>
        <w:pStyle w:val="TextBody"/>
        <w:bidi w:val="0"/>
        <w:spacing w:before="0" w:after="0"/>
        <w:ind w:left="0" w:right="0" w:hanging="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significant segment expenses and “other segment items” for reach reportable segment</w:t>
            </w:r>
          </w:p>
        </w:tc>
      </w:tr>
    </w:tbl>
    <w:p>
      <w:pPr>
        <w:pStyle w:val="TextBody"/>
        <w:bidi w:val="0"/>
        <w:spacing w:before="0" w:after="0"/>
        <w:ind w:left="0" w:right="0" w:hanging="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reportable segment profit or loss and assets in annual and interim periods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segment profitability measures used by the CODM provided such measures comply with the use of non-GAAP financial measures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still in the process of assessing the full impact of adopting this standard on the enhanced disclosure requirements in the notes to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2" w:name="xdx_869_zo7zsvvvEvCh"/>
      <w:bookmarkStart w:id="293" w:name="xdx_84C_eus-gaap--CashAndCashEquivalents"/>
      <w:bookmarkEnd w:id="292"/>
      <w:bookmarkEnd w:id="293"/>
      <w:r>
        <w:rPr>
          <w:rFonts w:ascii="Times New Roman;Times;Serif" w:hAnsi="Times New Roman;Times;Serif"/>
          <w:b w:val="false"/>
          <w:i/>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short-term debt securities purchased with a maturity of three months or less to be cash equivalents. As of September 30, 2024 and December 31, 2023, the Company held </w:t>
      </w:r>
      <w:bookmarkStart w:id="294" w:name="xdx_905_eus-gaap--RestrictedCash_iI_do_c"/>
      <w:bookmarkStart w:id="295" w:name="xdx_90D_eus-gaap--RestrictedCash_iI_do_c"/>
      <w:bookmarkEnd w:id="294"/>
      <w:bookmarkEnd w:id="295"/>
      <w:r>
        <w:rPr>
          <w:rFonts w:ascii="Times New Roman;Times;Serif" w:hAnsi="Times New Roman;Times;Serif"/>
          <w:b w:val="false"/>
          <w:i w:val="false"/>
          <w:caps w:val="false"/>
          <w:smallCaps w:val="false"/>
          <w:sz w:val="20"/>
        </w:rPr>
        <w:t>no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6" w:name="xdx_86D_zJ36q3HoDOG2"/>
      <w:bookmarkStart w:id="297" w:name="xdx_84E_eus-gaap--TradeAndOtherAccountsR"/>
      <w:bookmarkEnd w:id="296"/>
      <w:bookmarkEnd w:id="297"/>
      <w:r>
        <w:rPr>
          <w:rFonts w:ascii="Times New Roman;Times;Serif" w:hAnsi="Times New Roman;Times;Serif"/>
          <w:b w:val="false"/>
          <w:i/>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recorded when billed and represent claims against third parties that will be settled in cash. Generally, payment is due from customers within 30-90 days of the invoice date and the contracts do not have significant financing components. Trade accounts receivables are recorded gross and are net of any applicable allowance. The allowance for credit losses as of September 30, 2024 and December 31, 2023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8" w:name="xdx_868_zrYQ7esntKBf"/>
      <w:bookmarkStart w:id="299" w:name="xdx_84F_eus-gaap--InventoryPolicyTextBlo"/>
      <w:bookmarkEnd w:id="298"/>
      <w:bookmarkEnd w:id="299"/>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w:t>
      </w:r>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 The inventory reserve as of September 30, 2024 and December 31, 2023 was not material.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0" w:name="xdx_863_zTkxvNwCFVF1"/>
      <w:bookmarkStart w:id="301" w:name="xdx_848_eus-gaap--UseOfEstimates_zuUQsa9"/>
      <w:bookmarkEnd w:id="300"/>
      <w:bookmarkEnd w:id="301"/>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slow-moving inventory, right of use asset, warrant liability, equity-based compensation, and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2" w:name="xdx_863_z0SoYjemtnWe"/>
      <w:bookmarkStart w:id="303" w:name="xdx_84D_eus-gaap--RevenueFromContractWit"/>
      <w:bookmarkEnd w:id="302"/>
      <w:bookmarkEnd w:id="303"/>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304" w:name="xdx_90F_ecustom--PaymentTermForDistribut"/>
      <w:bookmarkEnd w:id="304"/>
      <w:r>
        <w:rPr>
          <w:rFonts w:ascii="Times New Roman;Times;Serif" w:hAnsi="Times New Roman;Times;Serif"/>
          <w:b w:val="false"/>
          <w:i w:val="false"/>
          <w:caps w:val="false"/>
          <w:smallCaps w:val="false"/>
          <w:sz w:val="20"/>
        </w:rPr>
        <w:t>30-</w:t>
      </w:r>
      <w:bookmarkStart w:id="305" w:name="xdx_909_ecustom--PaymentTermForDistribut"/>
      <w:bookmarkEnd w:id="305"/>
      <w:r>
        <w:rPr>
          <w:rFonts w:ascii="Times New Roman;Times;Serif" w:hAnsi="Times New Roman;Times;Serif"/>
          <w:b w:val="false"/>
          <w:i w:val="false"/>
          <w:caps w:val="false"/>
          <w:smallCaps w:val="false"/>
          <w:sz w:val="20"/>
        </w:rPr>
        <w:t>90 days after shipment. In such instances, the Company records a customer deposit liability. The Company recognizes these contract liabilities as sales after the revenue criteria are met. As of September 30, 2024 and December 31, 2023, the contract liability related to the Company’s customer deposits were approximately $</w:t>
      </w:r>
      <w:bookmarkStart w:id="306" w:name="xdx_90D_eus-gaap--ContractWithCustomerLi"/>
      <w:bookmarkEnd w:id="306"/>
      <w:r>
        <w:rPr>
          <w:rFonts w:ascii="Times New Roman;Times;Serif" w:hAnsi="Times New Roman;Times;Serif"/>
          <w:b w:val="false"/>
          <w:i w:val="false"/>
          <w:caps w:val="false"/>
          <w:smallCaps w:val="false"/>
          <w:sz w:val="20"/>
        </w:rPr>
        <w:t>189 and $</w:t>
      </w:r>
      <w:bookmarkStart w:id="307" w:name="xdx_900_eus-gaap--ContractWithCustomerLi"/>
      <w:bookmarkEnd w:id="307"/>
      <w:r>
        <w:rPr>
          <w:rFonts w:ascii="Times New Roman;Times;Serif" w:hAnsi="Times New Roman;Times;Serif"/>
          <w:b w:val="false"/>
          <w:i w:val="false"/>
          <w:caps w:val="false"/>
          <w:smallCaps w:val="false"/>
          <w:sz w:val="20"/>
        </w:rPr>
        <w:t>201, respectively.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308" w:name="xdx_908_eus-gaap--ContractWithCustomerLi"/>
      <w:bookmarkStart w:id="309" w:name="xdx_902_eus-gaap--ContractWithCustomerLi"/>
      <w:bookmarkEnd w:id="308"/>
      <w:bookmarkEnd w:id="309"/>
      <w:r>
        <w:rPr>
          <w:rFonts w:ascii="Times New Roman;Times;Serif" w:hAnsi="Times New Roman;Times;Serif"/>
          <w:b w:val="false"/>
          <w:i w:val="false"/>
          <w:caps w:val="false"/>
          <w:smallCaps w:val="false"/>
          <w:sz w:val="20"/>
        </w:rPr>
        <w:t>201 of the contract liability as of December 31, 2023 during the nine months ended September 30, 2024. The Company recognized $</w:t>
      </w:r>
      <w:bookmarkStart w:id="310" w:name="xdx_90E_eus-gaap--ContractWithCustomerLi"/>
      <w:bookmarkStart w:id="311" w:name="xdx_906_eus-gaap--ContractWithCustomerLi"/>
      <w:bookmarkEnd w:id="310"/>
      <w:bookmarkEnd w:id="311"/>
      <w:r>
        <w:rPr>
          <w:rFonts w:ascii="Times New Roman;Times;Serif" w:hAnsi="Times New Roman;Times;Serif"/>
          <w:b w:val="false"/>
          <w:i w:val="false"/>
          <w:caps w:val="false"/>
          <w:smallCaps w:val="false"/>
          <w:sz w:val="20"/>
        </w:rPr>
        <w:t>230 of the contract liability as of December 31, 2022 during the nine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w:t>
      </w:r>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The $</w:t>
      </w:r>
      <w:bookmarkStart w:id="312" w:name="xdx_905_ecustom--LicensingFee_pn3n3_c202"/>
      <w:bookmarkEnd w:id="312"/>
      <w:r>
        <w:rPr>
          <w:rFonts w:ascii="Times New Roman;Times;Serif" w:hAnsi="Times New Roman;Times;Serif"/>
          <w:b w:val="false"/>
          <w:i w:val="false"/>
          <w:caps w:val="false"/>
          <w:smallCaps w:val="false"/>
          <w:sz w:val="20"/>
        </w:rPr>
        <w:t xml:space="preserve">5,000 initial licensing fee is being recognized as revenue on a straight-line basis over </w:t>
      </w:r>
      <w:bookmarkStart w:id="313" w:name="xdx_906_eus-gaap--FiniteLivedIntangibleA"/>
      <w:bookmarkEnd w:id="313"/>
      <w:r>
        <w:rPr>
          <w:rFonts w:ascii="Times New Roman;Times;Serif" w:hAnsi="Times New Roman;Times;Serif"/>
          <w:b w:val="false"/>
          <w:i w:val="false"/>
          <w:caps w:val="false"/>
          <w:smallCaps w:val="false"/>
          <w:sz w:val="20"/>
        </w:rPr>
        <w:t>five years. For the three and nine months ended September 30, 2024, the Company has recorded $</w:t>
      </w:r>
      <w:bookmarkStart w:id="314" w:name="xdx_90A_eus-gaap--RevenueFromContractWit"/>
      <w:bookmarkStart w:id="315" w:name="xdx_907_eus-gaap--RevenueFromContractWit"/>
      <w:bookmarkEnd w:id="314"/>
      <w:bookmarkEnd w:id="315"/>
      <w:r>
        <w:rPr>
          <w:rFonts w:ascii="Times New Roman;Times;Serif" w:hAnsi="Times New Roman;Times;Serif"/>
          <w:b w:val="false"/>
          <w:i w:val="false"/>
          <w:caps w:val="false"/>
          <w:smallCaps w:val="false"/>
          <w:sz w:val="20"/>
        </w:rPr>
        <w:t>167 in revenue related to the License Agreement. As of September 30, 2024 and December 31, 2023, the contract liability related to the Company’s deferred revenue were approximately $</w:t>
      </w:r>
      <w:bookmarkStart w:id="316" w:name="xdx_907_eus-gaap--DeferredRevenue_iI_pn3"/>
      <w:bookmarkEnd w:id="316"/>
      <w:r>
        <w:rPr>
          <w:rFonts w:ascii="Times New Roman;Times;Serif" w:hAnsi="Times New Roman;Times;Serif"/>
          <w:b w:val="false"/>
          <w:i w:val="false"/>
          <w:caps w:val="false"/>
          <w:smallCaps w:val="false"/>
          <w:sz w:val="20"/>
        </w:rPr>
        <w:t>4,833 and $</w:t>
      </w:r>
      <w:bookmarkStart w:id="317" w:name="xdx_90C_eus-gaap--DeferredRevenue_iI_pn3"/>
      <w:bookmarkEnd w:id="317"/>
      <w:r>
        <w:rPr>
          <w:rFonts w:ascii="Times New Roman;Times;Serif" w:hAnsi="Times New Roman;Times;Serif"/>
          <w:b w:val="false"/>
          <w:i w:val="false"/>
          <w:caps w:val="false"/>
          <w:smallCaps w:val="false"/>
          <w:sz w:val="20"/>
        </w:rPr>
        <w:t>0, respectively. As of September 30, 2024, the Company had $</w:t>
      </w:r>
      <w:bookmarkStart w:id="318" w:name="xdx_909_eus-gaap--DeferredRevenueCurrent"/>
      <w:bookmarkEnd w:id="318"/>
      <w:r>
        <w:rPr>
          <w:rFonts w:ascii="Times New Roman;Times;Serif" w:hAnsi="Times New Roman;Times;Serif"/>
          <w:b w:val="false"/>
          <w:i w:val="false"/>
          <w:caps w:val="false"/>
          <w:smallCaps w:val="false"/>
          <w:sz w:val="20"/>
        </w:rPr>
        <w:t>1,000 in short term deferred revenue and $</w:t>
      </w:r>
      <w:bookmarkStart w:id="319" w:name="xdx_908_eus-gaap--DeferredRevenueNoncurr"/>
      <w:bookmarkEnd w:id="319"/>
      <w:r>
        <w:rPr>
          <w:rFonts w:ascii="Times New Roman;Times;Serif" w:hAnsi="Times New Roman;Times;Serif"/>
          <w:b w:val="false"/>
          <w:i w:val="false"/>
          <w:caps w:val="false"/>
          <w:smallCaps w:val="false"/>
          <w:sz w:val="20"/>
        </w:rPr>
        <w:t>3,833 in long-term deferred revenue related to the License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0" w:name="xdx_86F_zxd1rTs9VYok"/>
      <w:bookmarkStart w:id="321" w:name="xdx_84A_ecustom--DisaggregationOfRevenue"/>
      <w:bookmarkEnd w:id="320"/>
      <w:bookmarkEnd w:id="321"/>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2" w:name="xdx_892_eus-gaap--DisaggregationOfRevenu"/>
      <w:bookmarkEnd w:id="322"/>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caps w:val="false"/>
          <w:smallCaps w:val="false"/>
        </w:rPr>
      </w:pPr>
      <w:r>
        <w:rPr>
          <w:caps w:val="false"/>
          <w:smallCaps w:val="false"/>
        </w:rPr>
        <w:t>  </w:t>
      </w:r>
      <w:bookmarkStart w:id="323" w:name="xdx_8B1_zeGCtGXv3u4j"/>
      <w:bookmarkEnd w:id="323"/>
      <w:r>
        <w:rPr>
          <w:rFonts w:ascii="Times New Roman;Times;Serif" w:hAnsi="Times New Roman;Times;Serif"/>
          <w:b w:val="false"/>
          <w:i w:val="false"/>
          <w:caps w:val="false"/>
          <w:smallCaps w:val="false"/>
          <w:sz w:val="20"/>
        </w:rPr>
        <w:t>SCHEDULE OF DISAGGREGATED REVENUES BY DISTRIBUTION CHANNEL </w:t>
      </w:r>
    </w:p>
    <w:tbl>
      <w:tblPr>
        <w:tblW w:w="8784" w:type="dxa"/>
        <w:jc w:val="left"/>
        <w:tblInd w:w="0" w:type="dxa"/>
        <w:tblLayout w:type="fixed"/>
        <w:tblCellMar>
          <w:top w:w="0" w:type="dxa"/>
          <w:left w:w="0" w:type="dxa"/>
          <w:bottom w:w="0" w:type="dxa"/>
          <w:right w:w="0" w:type="dxa"/>
        </w:tblCellMar>
      </w:tblPr>
      <w:tblGrid>
        <w:gridCol w:w="3095"/>
        <w:gridCol w:w="60"/>
        <w:gridCol w:w="219"/>
        <w:gridCol w:w="1068"/>
        <w:gridCol w:w="94"/>
        <w:gridCol w:w="94"/>
        <w:gridCol w:w="219"/>
        <w:gridCol w:w="1068"/>
        <w:gridCol w:w="60"/>
        <w:gridCol w:w="60"/>
        <w:gridCol w:w="212"/>
        <w:gridCol w:w="1033"/>
        <w:gridCol w:w="91"/>
        <w:gridCol w:w="91"/>
        <w:gridCol w:w="212"/>
        <w:gridCol w:w="1033"/>
        <w:gridCol w:w="75"/>
      </w:tblGrid>
      <w:tr>
        <w:trPr/>
        <w:tc>
          <w:tcPr>
            <w:tcW w:w="3095" w:type="dxa"/>
            <w:tcBorders/>
            <w:vAlign w:val="center"/>
          </w:tcPr>
          <w:p>
            <w:pPr>
              <w:pStyle w:val="TableContents"/>
              <w:bidi w:val="0"/>
              <w:spacing w:before="0" w:after="283"/>
              <w:jc w:val="left"/>
              <w:rPr/>
            </w:pPr>
            <w:r>
              <w:rPr/>
              <w:t>Sales</w:t>
            </w:r>
          </w:p>
        </w:tc>
        <w:tc>
          <w:tcPr>
            <w:tcW w:w="60" w:type="dxa"/>
            <w:tcBorders/>
            <w:vAlign w:val="center"/>
          </w:tcPr>
          <w:p>
            <w:pPr>
              <w:pStyle w:val="TableContents"/>
              <w:bidi w:val="0"/>
              <w:spacing w:before="0" w:after="283"/>
              <w:jc w:val="left"/>
              <w:rPr/>
            </w:pPr>
            <w:r>
              <w:rPr/>
              <w:t> </w:t>
            </w:r>
            <w:bookmarkStart w:id="324" w:name="xdx_49F_20240701__20240930_zDAjzmsTQ6Ld"/>
            <w:bookmarkEnd w:id="324"/>
          </w:p>
        </w:tc>
        <w:tc>
          <w:tcPr>
            <w:tcW w:w="128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325" w:name="xdx_492_20230701__20230930_zqacWhF2lMkl"/>
            <w:bookmarkEnd w:id="325"/>
          </w:p>
        </w:tc>
        <w:tc>
          <w:tcPr>
            <w:tcW w:w="1287"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6" w:name="xdx_490_20240101__20240930_zykBv6adPgw9"/>
            <w:bookmarkEnd w:id="326"/>
          </w:p>
        </w:tc>
        <w:tc>
          <w:tcPr>
            <w:tcW w:w="124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bookmarkStart w:id="327" w:name="xdx_49B_20230101__20230930_zNUNV22Dibsg"/>
            <w:bookmarkEnd w:id="327"/>
          </w:p>
        </w:tc>
        <w:tc>
          <w:tcPr>
            <w:tcW w:w="124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vAlign w:val="center"/>
          </w:tcPr>
          <w:p>
            <w:pPr>
              <w:pStyle w:val="TableContents"/>
              <w:bidi w:val="0"/>
              <w:spacing w:before="0" w:after="283"/>
              <w:jc w:val="center"/>
              <w:rPr/>
            </w:pPr>
            <w:r>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2" w:type="dxa"/>
            <w:gridSpan w:val="6"/>
            <w:tcBorders/>
            <w:vAlign w:val="center"/>
          </w:tcPr>
          <w:p>
            <w:pPr>
              <w:pStyle w:val="TableContents"/>
              <w:bidi w:val="0"/>
              <w:spacing w:before="0" w:after="283"/>
              <w:jc w:val="center"/>
              <w:rPr/>
            </w:pPr>
            <w:r>
              <w:rPr/>
              <w:t>For the Nine Months Ended</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2" w:type="dxa"/>
            <w:gridSpan w:val="6"/>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Sales</w:t>
            </w:r>
          </w:p>
        </w:tc>
        <w:tc>
          <w:tcPr>
            <w:tcW w:w="6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bookmarkStart w:id="328" w:name="xdx_400_eus-gaap--RevenueFromContractWit"/>
            <w:bookmarkEnd w:id="328"/>
          </w:p>
        </w:tc>
      </w:tr>
      <w:tr>
        <w:trPr/>
        <w:tc>
          <w:tcPr>
            <w:tcW w:w="3095" w:type="dxa"/>
            <w:tcBorders/>
            <w:shd w:fill="CCEEFF" w:val="clear"/>
            <w:vAlign w:val="center"/>
          </w:tcPr>
          <w:p>
            <w:pPr>
              <w:pStyle w:val="TableContents"/>
              <w:bidi w:val="0"/>
              <w:spacing w:before="0" w:after="283"/>
              <w:jc w:val="left"/>
              <w:rPr/>
            </w:pPr>
            <w:r>
              <w:rPr/>
              <w:t>Direct to customer</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5,153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10,305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16,890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30,314</w:t>
            </w:r>
          </w:p>
        </w:tc>
        <w:tc>
          <w:tcPr>
            <w:tcW w:w="75" w:type="dxa"/>
            <w:tcBorders/>
            <w:shd w:fill="CCEEFF" w:val="clear"/>
            <w:vAlign w:val="center"/>
          </w:tcPr>
          <w:p>
            <w:pPr>
              <w:pStyle w:val="TableContents"/>
              <w:bidi w:val="0"/>
              <w:spacing w:before="0" w:after="283"/>
              <w:jc w:val="left"/>
              <w:rPr/>
            </w:pPr>
            <w:r>
              <w:rPr/>
              <w:t> </w:t>
            </w:r>
            <w:bookmarkStart w:id="329" w:name="xdx_402_eus-gaap--RevenueFromContractWit"/>
            <w:bookmarkEnd w:id="329"/>
          </w:p>
        </w:tc>
      </w:tr>
      <w:tr>
        <w:trPr/>
        <w:tc>
          <w:tcPr>
            <w:tcW w:w="3095" w:type="dxa"/>
            <w:tcBorders/>
            <w:shd w:fill="FFFFFF" w:val="clear"/>
            <w:vAlign w:val="center"/>
          </w:tcPr>
          <w:p>
            <w:pPr>
              <w:pStyle w:val="TableContents"/>
              <w:bidi w:val="0"/>
              <w:spacing w:before="0" w:after="283"/>
              <w:jc w:val="left"/>
              <w:rPr/>
            </w:pPr>
            <w:r>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7,400</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5,584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21,376</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23,640</w:t>
            </w:r>
          </w:p>
        </w:tc>
        <w:tc>
          <w:tcPr>
            <w:tcW w:w="75" w:type="dxa"/>
            <w:tcBorders/>
            <w:shd w:fill="FFFFFF" w:val="clear"/>
            <w:vAlign w:val="center"/>
          </w:tcPr>
          <w:p>
            <w:pPr>
              <w:pStyle w:val="TableContents"/>
              <w:bidi w:val="0"/>
              <w:spacing w:before="0" w:after="283"/>
              <w:jc w:val="left"/>
              <w:rPr/>
            </w:pPr>
            <w:r>
              <w:rPr/>
              <w:t> </w:t>
            </w:r>
            <w:bookmarkStart w:id="330" w:name="xdx_407_eus-gaap--RevenueFromContractWit"/>
            <w:bookmarkEnd w:id="330"/>
          </w:p>
        </w:tc>
      </w:tr>
      <w:tr>
        <w:trPr/>
        <w:tc>
          <w:tcPr>
            <w:tcW w:w="3095" w:type="dxa"/>
            <w:tcBorders/>
            <w:shd w:fill="CCEEFF" w:val="clear"/>
            <w:vAlign w:val="center"/>
          </w:tcPr>
          <w:p>
            <w:pPr>
              <w:pStyle w:val="TableContents"/>
              <w:bidi w:val="0"/>
              <w:spacing w:before="0" w:after="283"/>
              <w:jc w:val="left"/>
              <w:rPr/>
            </w:pPr>
            <w:r>
              <w:rPr/>
              <w:t>License fee revenue</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167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8" w:space="0" w:color="000000"/>
            </w:tcBorders>
            <w:shd w:fill="CCEEFF" w:val="clear"/>
            <w:tcMar>
              <w:bottom w:w="28" w:type="dxa"/>
            </w:tcMar>
            <w:vAlign w:val="center"/>
          </w:tcPr>
          <w:p>
            <w:pPr>
              <w:pStyle w:val="TableContents"/>
              <w:bidi w:val="0"/>
              <w:spacing w:before="0" w:after="283"/>
              <w:jc w:val="right"/>
              <w:rPr/>
            </w:pPr>
            <w:r>
              <w:rPr/>
              <w:t>167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31" w:name="xdx_402_eus-gaap--RevenueFromContractWit"/>
            <w:bookmarkEnd w:id="331"/>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12,720</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15,889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3" w:type="dxa"/>
            <w:tcBorders>
              <w:bottom w:val="double" w:sz="6" w:space="0" w:color="000000"/>
            </w:tcBorders>
            <w:shd w:fill="FFFFFF" w:val="clear"/>
            <w:tcMar>
              <w:bottom w:w="28" w:type="dxa"/>
            </w:tcMar>
            <w:vAlign w:val="center"/>
          </w:tcPr>
          <w:p>
            <w:pPr>
              <w:pStyle w:val="TableContents"/>
              <w:bidi w:val="0"/>
              <w:spacing w:before="0" w:after="283"/>
              <w:jc w:val="right"/>
              <w:rPr/>
            </w:pPr>
            <w:r>
              <w:rPr/>
              <w:t>38,433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3" w:type="dxa"/>
            <w:tcBorders>
              <w:bottom w:val="double" w:sz="6" w:space="0" w:color="000000"/>
            </w:tcBorders>
            <w:shd w:fill="FFFFFF" w:val="clear"/>
            <w:tcMar>
              <w:bottom w:w="28" w:type="dxa"/>
            </w:tcMar>
            <w:vAlign w:val="center"/>
          </w:tcPr>
          <w:p>
            <w:pPr>
              <w:pStyle w:val="TableContents"/>
              <w:bidi w:val="0"/>
              <w:spacing w:before="0" w:after="283"/>
              <w:jc w:val="right"/>
              <w:rPr/>
            </w:pPr>
            <w:r>
              <w:rPr/>
              <w:t>53,954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2" w:name="xdx_8A0_z6sALHULGLu1"/>
      <w:bookmarkEnd w:id="33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3" w:name="xdx_866_zYDubNrNUhOa"/>
      <w:bookmarkStart w:id="334" w:name="xdx_845_eus-gaap--StandardProductWarrant"/>
      <w:bookmarkEnd w:id="333"/>
      <w:bookmarkEnd w:id="334"/>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335" w:name="xdx_907_ecustom--ProductWarrantyTermProv"/>
      <w:bookmarkEnd w:id="335"/>
      <w:r>
        <w:rPr>
          <w:rFonts w:ascii="Times New Roman;Times;Serif" w:hAnsi="Times New Roman;Times;Serif"/>
          <w:b w:val="false"/>
          <w:i w:val="false"/>
          <w:caps w:val="false"/>
          <w:smallCaps w:val="false"/>
          <w:sz w:val="20"/>
        </w:rPr>
        <w:t xml:space="preserve">5 to </w:t>
      </w:r>
      <w:bookmarkStart w:id="336" w:name="xdx_909_ecustom--ProductWarrantyTermProv"/>
      <w:bookmarkEnd w:id="336"/>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September 30, 2024 and December 31, 2023 to be $</w:t>
      </w:r>
      <w:bookmarkStart w:id="337" w:name="xdx_90A_eus-gaap--ProductWarrantyAccrual"/>
      <w:bookmarkEnd w:id="337"/>
      <w:r>
        <w:rPr>
          <w:rFonts w:ascii="Times New Roman;Times;Serif" w:hAnsi="Times New Roman;Times;Serif"/>
          <w:b w:val="false"/>
          <w:i w:val="false"/>
          <w:caps w:val="false"/>
          <w:smallCaps w:val="false"/>
          <w:sz w:val="20"/>
        </w:rPr>
        <w:t>482 and $</w:t>
      </w:r>
      <w:bookmarkStart w:id="338" w:name="xdx_904_eus-gaap--ProductWarrantyAccrual"/>
      <w:bookmarkEnd w:id="338"/>
      <w:r>
        <w:rPr>
          <w:rFonts w:ascii="Times New Roman;Times;Serif" w:hAnsi="Times New Roman;Times;Serif"/>
          <w:b w:val="false"/>
          <w:i w:val="false"/>
          <w:caps w:val="false"/>
          <w:smallCaps w:val="false"/>
          <w:sz w:val="20"/>
        </w:rPr>
        <w:t>307, respectively.</w:t>
      </w:r>
    </w:p>
    <w:p>
      <w:pPr>
        <w:pStyle w:val="TextBody"/>
        <w:bidi w:val="0"/>
        <w:spacing w:before="0" w:after="0"/>
        <w:ind w:left="0" w:right="0" w:hanging="0"/>
        <w:jc w:val="both"/>
        <w:rPr>
          <w:caps w:val="false"/>
          <w:smallCaps w:val="false"/>
        </w:rPr>
      </w:pPr>
      <w:bookmarkStart w:id="339" w:name="xdx_894_eus-gaap--ScheduleOfProductWarra"/>
      <w:bookmarkEnd w:id="339"/>
      <w:r>
        <w:rPr>
          <w:caps w:val="false"/>
          <w:smallCaps w:val="false"/>
        </w:rPr>
        <w:t>  </w:t>
      </w:r>
      <w:bookmarkStart w:id="340" w:name="xdx_8B7_zUHFWDG25mnd"/>
      <w:bookmarkEnd w:id="340"/>
      <w:r>
        <w:rPr>
          <w:rFonts w:ascii="Times New Roman;Times;Serif" w:hAnsi="Times New Roman;Times;Serif"/>
          <w:b w:val="false"/>
          <w:i w:val="false"/>
          <w:caps w:val="false"/>
          <w:smallCaps w:val="false"/>
          <w:sz w:val="20"/>
        </w:rPr>
        <w:t>SCHEDULE OF WARRANTY OBLIGATION </w:t>
      </w:r>
    </w:p>
    <w:tbl>
      <w:tblPr>
        <w:tblW w:w="7223" w:type="dxa"/>
        <w:jc w:val="left"/>
        <w:tblInd w:w="0" w:type="dxa"/>
        <w:tblLayout w:type="fixed"/>
        <w:tblCellMar>
          <w:top w:w="0" w:type="dxa"/>
          <w:left w:w="0" w:type="dxa"/>
          <w:bottom w:w="0" w:type="dxa"/>
          <w:right w:w="0" w:type="dxa"/>
        </w:tblCellMar>
      </w:tblPr>
      <w:tblGrid>
        <w:gridCol w:w="2930"/>
        <w:gridCol w:w="60"/>
        <w:gridCol w:w="473"/>
        <w:gridCol w:w="1541"/>
        <w:gridCol w:w="95"/>
        <w:gridCol w:w="60"/>
        <w:gridCol w:w="459"/>
        <w:gridCol w:w="1495"/>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1" w:name="xdx_495_20240101__20240930_zADB3r7SERM7"/>
            <w:bookmarkEnd w:id="341"/>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2" w:name="xdx_493_20230101__20231231_zdNVsk8ie9wg"/>
            <w:bookmarkEnd w:id="34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left"/>
              <w:rPr/>
            </w:pPr>
            <w:r>
              <w:rPr/>
              <w:t> </w:t>
            </w:r>
            <w:bookmarkStart w:id="343" w:name="xdx_404_eus-gaap--ProductWarrantyAccrual"/>
            <w:bookmarkEnd w:id="343"/>
          </w:p>
        </w:tc>
      </w:tr>
      <w:tr>
        <w:trPr/>
        <w:tc>
          <w:tcPr>
            <w:tcW w:w="2930" w:type="dxa"/>
            <w:tcBorders/>
            <w:shd w:fill="CCEEFF" w:val="clear"/>
            <w:vAlign w:val="center"/>
          </w:tcPr>
          <w:p>
            <w:pPr>
              <w:pStyle w:val="TableContents"/>
              <w:bidi w:val="0"/>
              <w:spacing w:before="0" w:after="283"/>
              <w:jc w:val="left"/>
              <w:rPr/>
            </w:pPr>
            <w:r>
              <w:rPr/>
              <w:t>Beginning warranty obligation</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328</w:t>
            </w:r>
          </w:p>
        </w:tc>
        <w:tc>
          <w:tcPr>
            <w:tcW w:w="110" w:type="dxa"/>
            <w:tcBorders/>
            <w:shd w:fill="CCEEFF" w:val="clear"/>
            <w:vAlign w:val="center"/>
          </w:tcPr>
          <w:p>
            <w:pPr>
              <w:pStyle w:val="TableContents"/>
              <w:bidi w:val="0"/>
              <w:spacing w:before="0" w:after="283"/>
              <w:jc w:val="left"/>
              <w:rPr/>
            </w:pPr>
            <w:r>
              <w:rPr/>
              <w:t> </w:t>
            </w:r>
            <w:bookmarkStart w:id="344" w:name="xdx_406_eus-gaap--ProductWarrantyAccrual"/>
            <w:bookmarkEnd w:id="344"/>
          </w:p>
        </w:tc>
      </w:tr>
      <w:tr>
        <w:trPr/>
        <w:tc>
          <w:tcPr>
            <w:tcW w:w="2930" w:type="dxa"/>
            <w:tcBorders/>
            <w:shd w:fill="FFFFFF" w:val="clear"/>
            <w:vAlign w:val="center"/>
          </w:tcPr>
          <w:p>
            <w:pPr>
              <w:pStyle w:val="TableContents"/>
              <w:bidi w:val="0"/>
              <w:spacing w:before="0" w:after="283"/>
              <w:jc w:val="left"/>
              <w:rPr/>
            </w:pPr>
            <w:r>
              <w:rPr/>
              <w:t>Provision of warranty expense</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jc w:val="left"/>
              <w:rPr/>
            </w:pPr>
            <w:r>
              <w:rPr/>
              <w:t> </w:t>
            </w:r>
            <w:bookmarkStart w:id="345" w:name="xdx_40A_eus-gaap--ProductWarrantyAccrual"/>
            <w:bookmarkEnd w:id="345"/>
          </w:p>
        </w:tc>
      </w:tr>
      <w:tr>
        <w:trPr/>
        <w:tc>
          <w:tcPr>
            <w:tcW w:w="2930" w:type="dxa"/>
            <w:tcBorders/>
            <w:shd w:fill="CCEEFF" w:val="clear"/>
            <w:vAlign w:val="center"/>
          </w:tcPr>
          <w:p>
            <w:pPr>
              <w:pStyle w:val="TableContents"/>
              <w:bidi w:val="0"/>
              <w:spacing w:before="0" w:after="283"/>
              <w:jc w:val="left"/>
              <w:rPr/>
            </w:pPr>
            <w:r>
              <w:rPr/>
              <w:t>Settlement of warranty claims</w:t>
            </w:r>
          </w:p>
        </w:tc>
        <w:tc>
          <w:tcPr>
            <w:tcW w:w="60" w:type="dxa"/>
            <w:tcBorders/>
            <w:shd w:fill="CCEEFF" w:val="clear"/>
            <w:vAlign w:val="center"/>
          </w:tcPr>
          <w:p>
            <w:pPr>
              <w:pStyle w:val="TableContents"/>
              <w:bidi w:val="0"/>
              <w:spacing w:before="0" w:after="283"/>
              <w:jc w:val="left"/>
              <w:rPr/>
            </w:pPr>
            <w:r>
              <w:rPr/>
              <w:t> </w:t>
            </w:r>
          </w:p>
        </w:tc>
        <w:tc>
          <w:tcPr>
            <w:tcW w:w="4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1" w:type="dxa"/>
            <w:tcBorders>
              <w:bottom w:val="single" w:sz="8" w:space="0" w:color="000000"/>
            </w:tcBorders>
            <w:shd w:fill="CCEEFF" w:val="clear"/>
            <w:tcMar>
              <w:bottom w:w="28" w:type="dxa"/>
            </w:tcMar>
            <w:vAlign w:val="center"/>
          </w:tcPr>
          <w:p>
            <w:pPr>
              <w:pStyle w:val="TableContents"/>
              <w:bidi w:val="0"/>
              <w:spacing w:before="0" w:after="283"/>
              <w:jc w:val="right"/>
              <w:rPr/>
            </w:pPr>
            <w:r>
              <w:rPr/>
              <w:t>(258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(418</w:t>
            </w:r>
          </w:p>
        </w:tc>
        <w:tc>
          <w:tcPr>
            <w:tcW w:w="110" w:type="dxa"/>
            <w:tcBorders/>
            <w:shd w:fill="CCEEFF" w:val="clear"/>
            <w:vAlign w:val="center"/>
          </w:tcPr>
          <w:p>
            <w:pPr>
              <w:pStyle w:val="TableContents"/>
              <w:bidi w:val="0"/>
              <w:spacing w:before="0" w:after="283"/>
              <w:jc w:val="left"/>
              <w:rPr/>
            </w:pPr>
            <w:r>
              <w:rPr/>
              <w:t>)</w:t>
            </w:r>
            <w:bookmarkStart w:id="346" w:name="xdx_40E_eus-gaap--ProductWarrantyAccrual"/>
            <w:bookmarkEnd w:id="346"/>
          </w:p>
        </w:tc>
      </w:tr>
      <w:tr>
        <w:trPr/>
        <w:tc>
          <w:tcPr>
            <w:tcW w:w="2930" w:type="dxa"/>
            <w:tcBorders/>
            <w:shd w:fill="FFFFFF" w:val="clear"/>
            <w:vAlign w:val="center"/>
          </w:tcPr>
          <w:p>
            <w:pPr>
              <w:pStyle w:val="TableContents"/>
              <w:bidi w:val="0"/>
              <w:spacing w:before="0" w:after="283"/>
              <w:jc w:val="left"/>
              <w:rPr/>
            </w:pPr>
            <w:r>
              <w:rPr/>
              <w:t>Ending warrant obligation</w:t>
            </w:r>
          </w:p>
        </w:tc>
        <w:tc>
          <w:tcPr>
            <w:tcW w:w="60" w:type="dxa"/>
            <w:tcBorders/>
            <w:shd w:fill="FFFFFF" w:val="cle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1" w:type="dxa"/>
            <w:tcBorders>
              <w:bottom w:val="double" w:sz="6" w:space="0" w:color="000000"/>
            </w:tcBorders>
            <w:shd w:fill="FFFFFF" w:val="clear"/>
            <w:tcMar>
              <w:bottom w:w="28" w:type="dxa"/>
            </w:tcMar>
            <w:vAlign w:val="center"/>
          </w:tcPr>
          <w:p>
            <w:pPr>
              <w:pStyle w:val="TableContents"/>
              <w:bidi w:val="0"/>
              <w:spacing w:before="0" w:after="283"/>
              <w:jc w:val="right"/>
              <w:rPr/>
            </w:pPr>
            <w:r>
              <w:rPr/>
              <w:t>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5" w:type="dxa"/>
            <w:tcBorders>
              <w:bottom w:val="double" w:sz="6" w:space="0" w:color="000000"/>
            </w:tcBorders>
            <w:shd w:fill="FFFFFF" w:val="clear"/>
            <w:tcMar>
              <w:bottom w:w="28" w:type="dxa"/>
            </w:tcMar>
            <w:vAlign w:val="center"/>
          </w:tcPr>
          <w:p>
            <w:pPr>
              <w:pStyle w:val="TableContents"/>
              <w:bidi w:val="0"/>
              <w:spacing w:before="0" w:after="283"/>
              <w:jc w:val="right"/>
              <w:rPr/>
            </w:pPr>
            <w:r>
              <w:rPr/>
              <w:t>307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7" w:name="xdx_8A3_zGzxRbilRCQa"/>
      <w:bookmarkEnd w:id="34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48" w:name="xdx_86C_zjjFV8EJbqEb"/>
      <w:bookmarkStart w:id="349" w:name="xdx_842_eus-gaap--ConcentrationRiskCredi"/>
      <w:bookmarkEnd w:id="348"/>
      <w:bookmarkEnd w:id="349"/>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2024, receivables from Customer A, Customer B, and Customer C comprised approximately </w:t>
      </w:r>
      <w:bookmarkStart w:id="350" w:name="xdx_902_eus-gaap--ConcentrationRiskPerce"/>
      <w:bookmarkEnd w:id="350"/>
      <w:r>
        <w:rPr>
          <w:rFonts w:ascii="Times New Roman;Times;Serif" w:hAnsi="Times New Roman;Times;Serif"/>
          <w:b w:val="false"/>
          <w:i w:val="false"/>
          <w:caps w:val="false"/>
          <w:smallCaps w:val="false"/>
          <w:sz w:val="20"/>
        </w:rPr>
        <w:t xml:space="preserve">19%, </w:t>
      </w:r>
      <w:bookmarkStart w:id="351" w:name="xdx_904_eus-gaap--ConcentrationRiskPerce"/>
      <w:bookmarkEnd w:id="351"/>
      <w:r>
        <w:rPr>
          <w:rFonts w:ascii="Times New Roman;Times;Serif" w:hAnsi="Times New Roman;Times;Serif"/>
          <w:b w:val="false"/>
          <w:i w:val="false"/>
          <w:caps w:val="false"/>
          <w:smallCaps w:val="false"/>
          <w:sz w:val="20"/>
        </w:rPr>
        <w:t xml:space="preserve">12% and </w:t>
      </w:r>
      <w:bookmarkStart w:id="352" w:name="xdx_906_eus-gaap--ConcentrationRiskPerce"/>
      <w:bookmarkEnd w:id="352"/>
      <w:r>
        <w:rPr>
          <w:rFonts w:ascii="Times New Roman;Times;Serif" w:hAnsi="Times New Roman;Times;Serif"/>
          <w:b w:val="false"/>
          <w:i w:val="false"/>
          <w:caps w:val="false"/>
          <w:smallCaps w:val="false"/>
          <w:sz w:val="20"/>
        </w:rPr>
        <w:t xml:space="preserve">10%, respectively, of accounts receivable. As of December 31, 2023, receivables from Customer D and E comprised approximately </w:t>
      </w:r>
      <w:bookmarkStart w:id="353" w:name="xdx_90A_eus-gaap--ConcentrationRiskPerce"/>
      <w:bookmarkEnd w:id="353"/>
      <w:r>
        <w:rPr>
          <w:rFonts w:ascii="Times New Roman;Times;Serif" w:hAnsi="Times New Roman;Times;Serif"/>
          <w:b w:val="false"/>
          <w:i w:val="false"/>
          <w:caps w:val="false"/>
          <w:smallCaps w:val="false"/>
          <w:sz w:val="20"/>
        </w:rPr>
        <w:t xml:space="preserve">28% and </w:t>
      </w:r>
      <w:bookmarkStart w:id="354" w:name="xdx_901_eus-gaap--ConcentrationRiskPerce"/>
      <w:bookmarkEnd w:id="354"/>
      <w:r>
        <w:rPr>
          <w:rFonts w:ascii="Times New Roman;Times;Serif" w:hAnsi="Times New Roman;Times;Serif"/>
          <w:b w:val="false"/>
          <w:i w:val="false"/>
          <w:caps w:val="false"/>
          <w:smallCaps w:val="false"/>
          <w:sz w:val="20"/>
        </w:rPr>
        <w:t>10%, respectively,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September 30, 2024, sales from Customer A comprised approximately </w:t>
      </w:r>
      <w:bookmarkStart w:id="355" w:name="xdx_90E_eus-gaap--ConcentrationRiskPerce"/>
      <w:bookmarkEnd w:id="355"/>
      <w:r>
        <w:rPr>
          <w:rFonts w:ascii="Times New Roman;Times;Serif" w:hAnsi="Times New Roman;Times;Serif"/>
          <w:b w:val="false"/>
          <w:i w:val="false"/>
          <w:caps w:val="false"/>
          <w:smallCaps w:val="false"/>
          <w:sz w:val="20"/>
        </w:rPr>
        <w:t xml:space="preserve">15% of the Company’s total revenue. For the nine months ended September 30, 2023, sales from Customer B accounted for approximately </w:t>
      </w:r>
      <w:bookmarkStart w:id="356" w:name="xdx_909_eus-gaap--ConcentrationRiskPerce"/>
      <w:bookmarkEnd w:id="356"/>
      <w:r>
        <w:rPr>
          <w:rFonts w:ascii="Times New Roman;Times;Serif" w:hAnsi="Times New Roman;Times;Serif"/>
          <w:b w:val="false"/>
          <w:i w:val="false"/>
          <w:caps w:val="false"/>
          <w:smallCaps w:val="false"/>
          <w:sz w:val="20"/>
        </w:rPr>
        <w:t xml:space="preserve">19% of the Company’s total revenue. For the three months ended September 30, 2024, sales from Customer A comprised approximately </w:t>
      </w:r>
      <w:bookmarkStart w:id="357" w:name="xdx_90E_eus-gaap--ConcentrationRiskPerce"/>
      <w:bookmarkEnd w:id="357"/>
      <w:r>
        <w:rPr>
          <w:rFonts w:ascii="Times New Roman;Times;Serif" w:hAnsi="Times New Roman;Times;Serif"/>
          <w:b w:val="false"/>
          <w:i w:val="false"/>
          <w:caps w:val="false"/>
          <w:smallCaps w:val="false"/>
          <w:sz w:val="20"/>
        </w:rPr>
        <w:t xml:space="preserve">16% of the Company’s total revenue. For the three months ended September 30, 2023, sales from Customer C accounted for approximately </w:t>
      </w:r>
      <w:bookmarkStart w:id="358" w:name="xdx_901_eus-gaap--ConcentrationRiskPerce"/>
      <w:bookmarkEnd w:id="358"/>
      <w:r>
        <w:rPr>
          <w:rFonts w:ascii="Times New Roman;Times;Serif" w:hAnsi="Times New Roman;Times;Serif"/>
          <w:b w:val="false"/>
          <w:i w:val="false"/>
          <w:caps w:val="false"/>
          <w:smallCaps w:val="false"/>
          <w:sz w:val="20"/>
        </w:rPr>
        <w:t>11% of the Company’s total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2024, payables to Vendor A and Vendor B comprised approximately </w:t>
      </w:r>
      <w:bookmarkStart w:id="359" w:name="xdx_906_eus-gaap--ConcentrationRiskPerce"/>
      <w:bookmarkEnd w:id="359"/>
      <w:r>
        <w:rPr>
          <w:rFonts w:ascii="Times New Roman;Times;Serif" w:hAnsi="Times New Roman;Times;Serif"/>
          <w:b w:val="false"/>
          <w:i w:val="false"/>
          <w:caps w:val="false"/>
          <w:smallCaps w:val="false"/>
          <w:sz w:val="20"/>
        </w:rPr>
        <w:t xml:space="preserve">36% and </w:t>
      </w:r>
      <w:bookmarkStart w:id="360" w:name="xdx_901_eus-gaap--ConcentrationRiskPerce"/>
      <w:bookmarkEnd w:id="360"/>
      <w:r>
        <w:rPr>
          <w:rFonts w:ascii="Times New Roman;Times;Serif" w:hAnsi="Times New Roman;Times;Serif"/>
          <w:b w:val="false"/>
          <w:i w:val="false"/>
          <w:caps w:val="false"/>
          <w:smallCaps w:val="false"/>
          <w:sz w:val="20"/>
        </w:rPr>
        <w:t xml:space="preserve">18%, respectively, of accounts payables. As of December 31, 2023, payables to Vendor A comprised approximately </w:t>
      </w:r>
      <w:bookmarkStart w:id="361" w:name="xdx_90D_eus-gaap--ConcentrationRiskPerce"/>
      <w:bookmarkEnd w:id="361"/>
      <w:r>
        <w:rPr>
          <w:rFonts w:ascii="Times New Roman;Times;Serif" w:hAnsi="Times New Roman;Times;Serif"/>
          <w:b w:val="false"/>
          <w:i w:val="false"/>
          <w:caps w:val="false"/>
          <w:smallCaps w:val="false"/>
          <w:sz w:val="20"/>
        </w:rPr>
        <w:t>65% of accounts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September 30, 2024, Vendor A accounted for approximately </w:t>
      </w:r>
      <w:bookmarkStart w:id="362" w:name="xdx_90F_eus-gaap--ConcentrationRiskPerce"/>
      <w:bookmarkEnd w:id="362"/>
      <w:r>
        <w:rPr>
          <w:rFonts w:ascii="Times New Roman;Times;Serif" w:hAnsi="Times New Roman;Times;Serif"/>
          <w:b w:val="false"/>
          <w:i w:val="false"/>
          <w:caps w:val="false"/>
          <w:smallCaps w:val="false"/>
          <w:sz w:val="20"/>
        </w:rPr>
        <w:t xml:space="preserve">11% of the Company’s total purchases. For the nine months ended September 30, 2023, Vendor B accounted for approximately </w:t>
      </w:r>
      <w:bookmarkStart w:id="363" w:name="xdx_904_eus-gaap--ConcentrationRiskPerce"/>
      <w:bookmarkEnd w:id="363"/>
      <w:r>
        <w:rPr>
          <w:rFonts w:ascii="Times New Roman;Times;Serif" w:hAnsi="Times New Roman;Times;Serif"/>
          <w:b w:val="false"/>
          <w:i w:val="false"/>
          <w:caps w:val="false"/>
          <w:smallCaps w:val="false"/>
          <w:sz w:val="20"/>
        </w:rPr>
        <w:t xml:space="preserve">16% of the Company’s total purchases. For the three months ended September 30, 2024, Vendor A and Vendor C accounted for approximately </w:t>
      </w:r>
      <w:bookmarkStart w:id="364" w:name="xdx_902_eus-gaap--ConcentrationRiskPerce"/>
      <w:bookmarkEnd w:id="364"/>
      <w:r>
        <w:rPr>
          <w:rFonts w:ascii="Times New Roman;Times;Serif" w:hAnsi="Times New Roman;Times;Serif"/>
          <w:b w:val="false"/>
          <w:i w:val="false"/>
          <w:caps w:val="false"/>
          <w:smallCaps w:val="false"/>
          <w:sz w:val="20"/>
        </w:rPr>
        <w:t xml:space="preserve">16% and </w:t>
      </w:r>
      <w:bookmarkStart w:id="365" w:name="xdx_90C_eus-gaap--ConcentrationRiskPerce"/>
      <w:bookmarkEnd w:id="365"/>
      <w:r>
        <w:rPr>
          <w:rFonts w:ascii="Times New Roman;Times;Serif" w:hAnsi="Times New Roman;Times;Serif"/>
          <w:b w:val="false"/>
          <w:i w:val="false"/>
          <w:caps w:val="false"/>
          <w:smallCaps w:val="false"/>
          <w:sz w:val="20"/>
        </w:rPr>
        <w:t xml:space="preserve">13%, respectively, of the Company’s total purchases. For the three months ended September 30, 2023, Vendor C, D and E accounted for approximately </w:t>
      </w:r>
      <w:bookmarkStart w:id="366" w:name="xdx_906_eus-gaap--ConcentrationRiskPerce"/>
      <w:bookmarkEnd w:id="366"/>
      <w:r>
        <w:rPr>
          <w:rFonts w:ascii="Times New Roman;Times;Serif" w:hAnsi="Times New Roman;Times;Serif"/>
          <w:b w:val="false"/>
          <w:i w:val="false"/>
          <w:caps w:val="false"/>
          <w:smallCaps w:val="false"/>
          <w:sz w:val="20"/>
        </w:rPr>
        <w:t xml:space="preserve">14%, </w:t>
      </w:r>
      <w:bookmarkStart w:id="367" w:name="xdx_904_eus-gaap--ConcentrationRiskPerce"/>
      <w:bookmarkEnd w:id="367"/>
      <w:r>
        <w:rPr>
          <w:rFonts w:ascii="Times New Roman;Times;Serif" w:hAnsi="Times New Roman;Times;Serif"/>
          <w:b w:val="false"/>
          <w:i w:val="false"/>
          <w:caps w:val="false"/>
          <w:smallCaps w:val="false"/>
          <w:sz w:val="20"/>
        </w:rPr>
        <w:t xml:space="preserve">11%, and </w:t>
      </w:r>
      <w:bookmarkStart w:id="368" w:name="xdx_901_eus-gaap--ConcentrationRiskPerce"/>
      <w:bookmarkEnd w:id="368"/>
      <w:r>
        <w:rPr>
          <w:rFonts w:ascii="Times New Roman;Times;Serif" w:hAnsi="Times New Roman;Times;Serif"/>
          <w:b w:val="false"/>
          <w:i w:val="false"/>
          <w:caps w:val="false"/>
          <w:smallCaps w:val="false"/>
          <w:sz w:val="20"/>
        </w:rPr>
        <w:t>10%, respectively,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69" w:name="xdx_860_zi7b96G3dxZ1"/>
      <w:bookmarkStart w:id="370" w:name="xdx_84E_eus-gaap--ShareBasedCompensation"/>
      <w:bookmarkEnd w:id="369"/>
      <w:bookmarkEnd w:id="370"/>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arrangements with employees and non-employee consultants using a fair value method which requires the recognition of compensation expense for costs related to all stock-based payments, including stock options (</w:t>
      </w:r>
      <w:r>
        <w:rPr>
          <w:rFonts w:ascii="Times New Roman;Times;Serif" w:hAnsi="Times New Roman;Times;Serif"/>
          <w:b/>
          <w:i w:val="false"/>
          <w:caps w:val="false"/>
          <w:smallCaps w:val="false"/>
          <w:sz w:val="20"/>
        </w:rPr>
        <w:t>Note 12</w:t>
      </w:r>
      <w:r>
        <w:rPr>
          <w:rFonts w:ascii="Times New Roman;Times;Serif" w:hAnsi="Times New Roman;Times;Serif"/>
          <w:b w:val="false"/>
          <w:i w:val="false"/>
          <w:caps w:val="false"/>
          <w:smallCaps w:val="false"/>
          <w:sz w:val="20"/>
        </w:rPr>
        <w:t>).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(“RSUs”)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71" w:name="xdx_864_zKKQdSGGqXsg"/>
      <w:bookmarkStart w:id="372" w:name="xdx_846_eus-gaap--IncomeTaxPolicyTextBlo"/>
      <w:bookmarkEnd w:id="371"/>
      <w:bookmarkEnd w:id="372"/>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had a liability of $</w:t>
      </w:r>
      <w:bookmarkStart w:id="373" w:name="xdx_905_eus-gaap--UnrecognizedTaxBenefit"/>
      <w:bookmarkStart w:id="374" w:name="xdx_90C_eus-gaap--UnrecognizedTaxBenefit"/>
      <w:bookmarkEnd w:id="373"/>
      <w:bookmarkEnd w:id="374"/>
      <w:r>
        <w:rPr>
          <w:rFonts w:ascii="Times New Roman;Times;Serif" w:hAnsi="Times New Roman;Times;Serif"/>
          <w:b w:val="false"/>
          <w:i w:val="false"/>
          <w:caps w:val="false"/>
          <w:smallCaps w:val="false"/>
          <w:sz w:val="20"/>
        </w:rPr>
        <w:t>91 as of September 30, 2024 and December 31, 2023, of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75" w:name="xdx_86D_zMhdOLrlStFf"/>
      <w:bookmarkStart w:id="376" w:name="xdx_844_eus-gaap--EarningsPerSharePolicy"/>
      <w:bookmarkEnd w:id="375"/>
      <w:bookmarkEnd w:id="376"/>
      <w:r>
        <w:rPr>
          <w:rFonts w:ascii="Times New Roman;Times;Serif" w:hAnsi="Times New Roman;Times;Serif"/>
          <w:b w:val="false"/>
          <w:i/>
          <w:caps w:val="false"/>
          <w:smallCaps w:val="false"/>
          <w:sz w:val="20"/>
          <w:u w:val="single"/>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by the weighted-average number of common shares outstanding during the period. Diluted net loss per share is calculated using the weighted-average number of common shares outstanding during the period and, if dilutive, the weighted-average number of potential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gives effect to all potentially dilutive common equivalent shares, including outstanding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7" w:name="xdx_89A_eus-gaap--ScheduleOfAntidilutive"/>
      <w:bookmarkEnd w:id="377"/>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loss per share because their effect was anti-dilutive:</w:t>
      </w:r>
    </w:p>
    <w:p>
      <w:pPr>
        <w:pStyle w:val="TextBody"/>
        <w:bidi w:val="0"/>
        <w:spacing w:before="0" w:after="0"/>
        <w:ind w:left="0" w:right="0" w:hanging="0"/>
        <w:jc w:val="both"/>
        <w:rPr>
          <w:caps w:val="false"/>
          <w:smallCaps w:val="false"/>
        </w:rPr>
      </w:pPr>
      <w:r>
        <w:rPr>
          <w:caps w:val="false"/>
          <w:smallCaps w:val="false"/>
        </w:rPr>
        <w:t>  </w:t>
      </w:r>
      <w:bookmarkStart w:id="378" w:name="xdx_8B0_zx1YUCVdNH58"/>
      <w:bookmarkEnd w:id="378"/>
      <w:r>
        <w:rPr>
          <w:rFonts w:ascii="Times New Roman;Times;Serif" w:hAnsi="Times New Roman;Times;Serif"/>
          <w:b w:val="false"/>
          <w:i w:val="false"/>
          <w:caps w:val="false"/>
          <w:smallCaps w:val="false"/>
          <w:sz w:val="20"/>
        </w:rPr>
        <w:t>SCHEDULE OF POTENTIAL SHARES OF COMMON STOCK EXCLUDED FROM DILUTED NET LOSS PER SHARE </w:t>
      </w:r>
    </w:p>
    <w:tbl>
      <w:tblPr>
        <w:tblW w:w="9148" w:type="dxa"/>
        <w:jc w:val="left"/>
        <w:tblInd w:w="0" w:type="dxa"/>
        <w:tblLayout w:type="fixed"/>
        <w:tblCellMar>
          <w:top w:w="0" w:type="dxa"/>
          <w:left w:w="0" w:type="dxa"/>
          <w:bottom w:w="0" w:type="dxa"/>
          <w:right w:w="0" w:type="dxa"/>
        </w:tblCellMar>
      </w:tblPr>
      <w:tblGrid>
        <w:gridCol w:w="4865"/>
        <w:gridCol w:w="60"/>
        <w:gridCol w:w="104"/>
        <w:gridCol w:w="1910"/>
        <w:gridCol w:w="60"/>
        <w:gridCol w:w="60"/>
        <w:gridCol w:w="104"/>
        <w:gridCol w:w="1910"/>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9" w:name="xdx_493_20240101__20240930_zodIf6F2K4wc"/>
            <w:bookmarkEnd w:id="379"/>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0" w:name="xdx_493_20230101__20230930_zZ9gKrkFrNc3"/>
            <w:bookmarkEnd w:id="380"/>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75" w:type="dxa"/>
            <w:tcBorders/>
            <w:vAlign w:val="center"/>
          </w:tcPr>
          <w:p>
            <w:pPr>
              <w:pStyle w:val="TableContents"/>
              <w:bidi w:val="0"/>
              <w:spacing w:before="0" w:after="283"/>
              <w:jc w:val="left"/>
              <w:rPr/>
            </w:pPr>
            <w:r>
              <w:rPr/>
              <w:t> </w:t>
            </w:r>
            <w:bookmarkStart w:id="381" w:name="xdx_401_eus-gaap--AntidilutiveSecurities"/>
            <w:bookmarkEnd w:id="381"/>
          </w:p>
        </w:tc>
      </w:tr>
      <w:tr>
        <w:trPr/>
        <w:tc>
          <w:tcPr>
            <w:tcW w:w="486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32,181,100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23,219,622</w:t>
            </w:r>
          </w:p>
        </w:tc>
        <w:tc>
          <w:tcPr>
            <w:tcW w:w="75" w:type="dxa"/>
            <w:tcBorders/>
            <w:shd w:fill="CCEEFF" w:val="clear"/>
            <w:vAlign w:val="center"/>
          </w:tcPr>
          <w:p>
            <w:pPr>
              <w:pStyle w:val="TableContents"/>
              <w:bidi w:val="0"/>
              <w:spacing w:before="0" w:after="283"/>
              <w:jc w:val="left"/>
              <w:rPr/>
            </w:pPr>
            <w:r>
              <w:rPr/>
              <w:t> </w:t>
            </w:r>
            <w:bookmarkStart w:id="382" w:name="xdx_407_eus-gaap--AntidilutiveSecurities"/>
            <w:bookmarkEnd w:id="382"/>
          </w:p>
        </w:tc>
      </w:tr>
      <w:tr>
        <w:trPr/>
        <w:tc>
          <w:tcPr>
            <w:tcW w:w="486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109,375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217,000</w:t>
            </w:r>
          </w:p>
        </w:tc>
        <w:tc>
          <w:tcPr>
            <w:tcW w:w="75" w:type="dxa"/>
            <w:tcBorders/>
            <w:shd w:fill="FFFFFF" w:val="clear"/>
            <w:vAlign w:val="center"/>
          </w:tcPr>
          <w:p>
            <w:pPr>
              <w:pStyle w:val="TableContents"/>
              <w:bidi w:val="0"/>
              <w:spacing w:before="0" w:after="283"/>
              <w:jc w:val="left"/>
              <w:rPr/>
            </w:pPr>
            <w:r>
              <w:rPr/>
              <w:t> </w:t>
            </w:r>
            <w:bookmarkStart w:id="383" w:name="xdx_407_eus-gaap--AntidilutiveSecurities"/>
            <w:bookmarkEnd w:id="383"/>
          </w:p>
        </w:tc>
      </w:tr>
      <w:tr>
        <w:trPr/>
        <w:tc>
          <w:tcPr>
            <w:tcW w:w="486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CCEEFF" w:val="clear"/>
            <w:tcMar>
              <w:bottom w:w="28" w:type="dxa"/>
            </w:tcMar>
            <w:vAlign w:val="center"/>
          </w:tcPr>
          <w:p>
            <w:pPr>
              <w:pStyle w:val="TableContents"/>
              <w:bidi w:val="0"/>
              <w:spacing w:before="0" w:after="283"/>
              <w:jc w:val="right"/>
              <w:rPr/>
            </w:pPr>
            <w:r>
              <w:rPr/>
              <w:t>1,748,687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CCEEFF" w:val="clear"/>
            <w:tcMar>
              <w:bottom w:w="28" w:type="dxa"/>
            </w:tcMar>
            <w:vAlign w:val="center"/>
          </w:tcPr>
          <w:p>
            <w:pPr>
              <w:pStyle w:val="TableContents"/>
              <w:bidi w:val="0"/>
              <w:spacing w:before="0" w:after="283"/>
              <w:jc w:val="right"/>
              <w:rPr/>
            </w:pPr>
            <w:r>
              <w:rPr/>
              <w:t>3,274,940</w:t>
            </w:r>
          </w:p>
        </w:tc>
        <w:tc>
          <w:tcPr>
            <w:tcW w:w="75" w:type="dxa"/>
            <w:tcBorders/>
            <w:shd w:fill="CCEEFF" w:val="clear"/>
            <w:vAlign w:val="center"/>
          </w:tcPr>
          <w:p>
            <w:pPr>
              <w:pStyle w:val="TableContents"/>
              <w:bidi w:val="0"/>
              <w:spacing w:before="0" w:after="283"/>
              <w:jc w:val="left"/>
              <w:rPr/>
            </w:pPr>
            <w:r>
              <w:rPr/>
              <w:t> </w:t>
            </w:r>
            <w:bookmarkStart w:id="384" w:name="xdx_40D_eus-gaap--AntidilutiveSecurities"/>
            <w:bookmarkEnd w:id="384"/>
          </w:p>
        </w:tc>
      </w:tr>
      <w:tr>
        <w:trPr/>
        <w:tc>
          <w:tcPr>
            <w:tcW w:w="4865" w:type="dxa"/>
            <w:tcBorders/>
            <w:shd w:fill="FFFFFF" w:val="clear"/>
            <w:vAlign w:val="center"/>
          </w:tcPr>
          <w:p>
            <w:pPr>
              <w:pStyle w:val="TableContents"/>
              <w:bidi w:val="0"/>
              <w:spacing w:before="0" w:after="283"/>
              <w:jc w:val="left"/>
              <w:rPr/>
            </w:pPr>
            <w:r>
              <w:rPr/>
              <w:t>Weighted average number of common shares-basic</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double" w:sz="6" w:space="0" w:color="000000"/>
            </w:tcBorders>
            <w:shd w:fill="FFFFFF" w:val="clear"/>
            <w:tcMar>
              <w:bottom w:w="28" w:type="dxa"/>
            </w:tcMar>
            <w:vAlign w:val="center"/>
          </w:tcPr>
          <w:p>
            <w:pPr>
              <w:pStyle w:val="TableContents"/>
              <w:bidi w:val="0"/>
              <w:spacing w:before="0" w:after="283"/>
              <w:jc w:val="right"/>
              <w:rPr/>
            </w:pPr>
            <w:r>
              <w:rPr/>
              <w:t>34,039,162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double" w:sz="6" w:space="0" w:color="000000"/>
            </w:tcBorders>
            <w:shd w:fill="FFFFFF" w:val="clear"/>
            <w:tcMar>
              <w:bottom w:w="28" w:type="dxa"/>
            </w:tcMar>
            <w:vAlign w:val="center"/>
          </w:tcPr>
          <w:p>
            <w:pPr>
              <w:pStyle w:val="TableContents"/>
              <w:bidi w:val="0"/>
              <w:spacing w:before="0" w:after="283"/>
              <w:jc w:val="right"/>
              <w:rPr/>
            </w:pPr>
            <w:r>
              <w:rPr/>
              <w:t>26,711,562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5" w:name="xdx_8A4_zymOl1tf5cY6"/>
      <w:bookmarkEnd w:id="38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86" w:name="xdx_860_ze85Bjpwlfzf"/>
      <w:bookmarkStart w:id="387" w:name="xdx_84A_eus-gaap--LesseeLeasesPolicyText"/>
      <w:bookmarkEnd w:id="386"/>
      <w:bookmarkEnd w:id="387"/>
      <w:r>
        <w:rPr>
          <w:rFonts w:ascii="Times New Roman;Times;Serif" w:hAnsi="Times New Roman;Times;Serif"/>
          <w:b w:val="false"/>
          <w:i/>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88" w:name="xdx_869_zKOg8f6SLmOf"/>
      <w:bookmarkStart w:id="389" w:name="xdx_84F_eus-gaap--SegmentReportingPolicy"/>
      <w:bookmarkEnd w:id="388"/>
      <w:bookmarkEnd w:id="389"/>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90" w:name="xdx_867_zq7kCtUN7jR9"/>
      <w:bookmarkStart w:id="391" w:name="xdx_842_eus-gaap--PriorPeriodReclassific"/>
      <w:bookmarkEnd w:id="390"/>
      <w:bookmarkEnd w:id="391"/>
      <w:r>
        <w:rPr>
          <w:rFonts w:ascii="Times New Roman;Times;Serif" w:hAnsi="Times New Roman;Times;Serif"/>
          <w:b w:val="false"/>
          <w:i/>
          <w:caps w:val="false"/>
          <w:smallCaps w:val="false"/>
          <w:sz w:val="20"/>
          <w:u w:val="single"/>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in the condensed consolidated financial statements and these accompanying notes. The reclassifications did not have a material impact on the Company’s unaudited condensed consolidated financial statements and related disclosures. The impact on any prior period disclosures was immaterial.</w:t>
      </w:r>
    </w:p>
    <w:p>
      <w:pPr>
        <w:pStyle w:val="TextBody"/>
        <w:bidi w:val="0"/>
        <w:spacing w:before="0" w:after="0"/>
        <w:ind w:left="0" w:right="0" w:hanging="0"/>
        <w:jc w:val="both"/>
        <w:rPr>
          <w:caps w:val="false"/>
          <w:smallCaps w:val="false"/>
        </w:rPr>
      </w:pPr>
      <w:bookmarkStart w:id="392" w:name="xdx_854_zzVZutkFeYSl"/>
      <w:bookmarkEnd w:id="39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93" w:name="xdx_804_eus-gaap--FairValueDisclosuresTe"/>
      <w:bookmarkEnd w:id="393"/>
      <w:r>
        <w:rPr>
          <w:rFonts w:ascii="Times New Roman;Times;Serif" w:hAnsi="Times New Roman;Times;Serif"/>
          <w:b/>
          <w:i w:val="false"/>
          <w:caps/>
          <w:sz w:val="20"/>
        </w:rPr>
        <w:t xml:space="preserve">Note 3 - </w:t>
      </w:r>
      <w:bookmarkStart w:id="394" w:name="xdx_828_zHOaTRyo8CC9"/>
      <w:bookmarkEnd w:id="394"/>
      <w:r>
        <w:rPr>
          <w:rFonts w:ascii="Times New Roman;Times;Serif" w:hAnsi="Times New Roman;Times;Serif"/>
          <w:b/>
          <w:i w:val="false"/>
          <w:caps/>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(unadjusted) in active markets for identical assets or liabilities.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are inputs other than quoted prices included within Level 1 that are observable for a similar asset or liability, either directly or indirectly.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5" w:name="xdx_893_eus-gaap--ScheduleOfFairValueAss"/>
      <w:bookmarkEnd w:id="395"/>
      <w:r>
        <w:rPr>
          <w:rFonts w:ascii="Times New Roman;Times;Serif" w:hAnsi="Times New Roman;Times;Serif"/>
          <w:b w:val="false"/>
          <w:i w:val="false"/>
          <w:caps w:val="false"/>
          <w:smallCaps w:val="false"/>
          <w:sz w:val="20"/>
        </w:rPr>
        <w:t>The following table presents assets and liabilities that were measured at fair value in the Condensed Consolidated Balance Sheets on a recurring basis as of September 30, 2024:</w:t>
      </w:r>
    </w:p>
    <w:p>
      <w:pPr>
        <w:pStyle w:val="TextBody"/>
        <w:bidi w:val="0"/>
        <w:spacing w:before="0" w:after="0"/>
        <w:ind w:left="0" w:right="0" w:hanging="0"/>
        <w:jc w:val="both"/>
        <w:rPr>
          <w:caps w:val="false"/>
          <w:smallCaps w:val="false"/>
        </w:rPr>
      </w:pPr>
      <w:r>
        <w:rPr>
          <w:caps w:val="false"/>
          <w:smallCaps w:val="false"/>
        </w:rPr>
        <w:t> </w:t>
      </w:r>
      <w:bookmarkStart w:id="396" w:name="xdx_8BE_zLvnzSB1SDv9"/>
      <w:bookmarkEnd w:id="396"/>
      <w:r>
        <w:rPr>
          <w:rFonts w:ascii="Times New Roman;Times;Serif" w:hAnsi="Times New Roman;Times;Serif"/>
          <w:b w:val="false"/>
          <w:i w:val="false"/>
          <w:caps w:val="false"/>
          <w:smallCaps w:val="false"/>
          <w:sz w:val="20"/>
        </w:rPr>
        <w:t>SCHEDULE OF FAIR VALUE OF ASSETS AND LIABILITIES  </w:t>
      </w:r>
    </w:p>
    <w:tbl>
      <w:tblPr>
        <w:tblW w:w="10069" w:type="dxa"/>
        <w:jc w:val="left"/>
        <w:tblInd w:w="0" w:type="dxa"/>
        <w:tblLayout w:type="fixed"/>
        <w:tblCellMar>
          <w:top w:w="0" w:type="dxa"/>
          <w:left w:w="0" w:type="dxa"/>
          <w:bottom w:w="0" w:type="dxa"/>
          <w:right w:w="0" w:type="dxa"/>
        </w:tblCellMar>
      </w:tblPr>
      <w:tblGrid>
        <w:gridCol w:w="4310"/>
        <w:gridCol w:w="60"/>
        <w:gridCol w:w="307"/>
        <w:gridCol w:w="1228"/>
        <w:gridCol w:w="60"/>
        <w:gridCol w:w="60"/>
        <w:gridCol w:w="187"/>
        <w:gridCol w:w="748"/>
        <w:gridCol w:w="60"/>
        <w:gridCol w:w="60"/>
        <w:gridCol w:w="140"/>
        <w:gridCol w:w="995"/>
        <w:gridCol w:w="60"/>
        <w:gridCol w:w="60"/>
        <w:gridCol w:w="269"/>
        <w:gridCol w:w="500"/>
        <w:gridCol w:w="60"/>
        <w:gridCol w:w="60"/>
        <w:gridCol w:w="154"/>
        <w:gridCol w:w="616"/>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4" w:type="dxa"/>
            <w:gridSpan w:val="18"/>
            <w:tcBorders>
              <w:bottom w:val="single" w:sz="8" w:space="0" w:color="000000"/>
            </w:tcBorders>
            <w:tcMar>
              <w:bottom w:w="28" w:type="dxa"/>
            </w:tcMar>
            <w:vAlign w:val="center"/>
          </w:tcPr>
          <w:p>
            <w:pPr>
              <w:pStyle w:val="TableContents"/>
              <w:bidi w:val="0"/>
              <w:spacing w:before="0" w:after="283"/>
              <w:jc w:val="center"/>
              <w:rPr/>
            </w:pPr>
            <w:r>
              <w:rPr/>
              <w:t>As of September 30, 2024</w:t>
            </w:r>
          </w:p>
        </w:tc>
        <w:tc>
          <w:tcPr>
            <w:tcW w:w="75" w:type="dxa"/>
            <w:tcBorders/>
            <w:vAlign w:val="center"/>
          </w:tcPr>
          <w:p>
            <w:pPr>
              <w:pStyle w:val="TableContents"/>
              <w:bidi w:val="0"/>
              <w:spacing w:before="0" w:after="283"/>
              <w:jc w:val="left"/>
              <w:rPr/>
            </w:pPr>
            <w:r>
              <w:rPr/>
              <w:t> </w:t>
            </w:r>
          </w:p>
        </w:tc>
      </w:tr>
      <w:tr>
        <w:trPr/>
        <w:tc>
          <w:tcPr>
            <w:tcW w:w="4310" w:type="dxa"/>
            <w:tcBorders>
              <w:bottom w:val="single" w:sz="8" w:space="0" w:color="000000"/>
            </w:tcBorders>
            <w:tcMar>
              <w:bottom w:w="28" w:type="dxa"/>
            </w:tcMar>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Warrant liability- Term Loan</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397" w:name="xdx_982_eus-gaap--DerivativeLiabilitiesN"/>
            <w:bookmarkEnd w:id="397"/>
          </w:p>
        </w:tc>
        <w:tc>
          <w:tcPr>
            <w:tcW w:w="1228" w:type="dxa"/>
            <w:tcBorders/>
            <w:shd w:fill="CCEEFF" w:val="clear"/>
            <w:vAlign w:val="center"/>
          </w:tcPr>
          <w:p>
            <w:pPr>
              <w:pStyle w:val="TableContents"/>
              <w:bidi w:val="0"/>
              <w:spacing w:before="0" w:after="283"/>
              <w:jc w:val="right"/>
              <w:rPr/>
            </w:pPr>
            <w:r>
              <w:rPr/>
              <w:t>5,017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bookmarkStart w:id="398" w:name="xdx_98D_eus-gaap--LiabilitiesFairValueDi"/>
            <w:bookmarkEnd w:id="398"/>
          </w:p>
        </w:tc>
        <w:tc>
          <w:tcPr>
            <w:tcW w:w="748" w:type="dxa"/>
            <w:tcBorders/>
            <w:shd w:fill="CCEEFF" w:val="clear"/>
            <w:vAlign w:val="center"/>
          </w:tcPr>
          <w:p>
            <w:pPr>
              <w:pStyle w:val="TableContents"/>
              <w:bidi w:val="0"/>
              <w:spacing w:before="0" w:after="283"/>
              <w:jc w:val="right"/>
              <w:rPr/>
            </w:pPr>
            <w:r>
              <w:rPr/>
              <w:t>5,017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99" w:name="xdx_98B_eus-gaap--LiabilitiesFairValueDi"/>
            <w:bookmarkEnd w:id="399"/>
          </w:p>
        </w:tc>
        <w:tc>
          <w:tcPr>
            <w:tcW w:w="99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bookmarkStart w:id="400" w:name="xdx_98B_eus-gaap--LiabilitiesFairValueDi"/>
            <w:bookmarkEnd w:id="400"/>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bookmarkStart w:id="401" w:name="xdx_982_eus-gaap--LiabilitiesFairValueDi"/>
            <w:bookmarkEnd w:id="401"/>
          </w:p>
        </w:tc>
        <w:tc>
          <w:tcPr>
            <w:tcW w:w="616" w:type="dxa"/>
            <w:tcBorders/>
            <w:shd w:fill="CCEEFF" w:val="clear"/>
            <w:vAlign w:val="center"/>
          </w:tcPr>
          <w:p>
            <w:pPr>
              <w:pStyle w:val="TableContents"/>
              <w:bidi w:val="0"/>
              <w:spacing w:before="0" w:after="283"/>
              <w:jc w:val="right"/>
              <w:rPr/>
            </w:pPr>
            <w:r>
              <w:rPr/>
              <w:t>5,017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Warrant liability- June Public Offering</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402" w:name="xdx_980_eus-gaap--DerivativeLiabilitiesN"/>
            <w:bookmarkEnd w:id="402"/>
          </w:p>
        </w:tc>
        <w:tc>
          <w:tcPr>
            <w:tcW w:w="1228" w:type="dxa"/>
            <w:tcBorders/>
            <w:shd w:fill="FFFFFF" w:val="clear"/>
            <w:vAlign w:val="center"/>
          </w:tcPr>
          <w:p>
            <w:pPr>
              <w:pStyle w:val="TableContents"/>
              <w:bidi w:val="0"/>
              <w:spacing w:before="0" w:after="283"/>
              <w:jc w:val="right"/>
              <w:rPr/>
            </w:pPr>
            <w:r>
              <w:rPr/>
              <w:t>2,686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bookmarkStart w:id="403" w:name="xdx_984_eus-gaap--LiabilitiesFairValueDi"/>
            <w:bookmarkEnd w:id="403"/>
          </w:p>
        </w:tc>
        <w:tc>
          <w:tcPr>
            <w:tcW w:w="748" w:type="dxa"/>
            <w:tcBorders/>
            <w:shd w:fill="FFFFFF" w:val="clear"/>
            <w:vAlign w:val="center"/>
          </w:tcPr>
          <w:p>
            <w:pPr>
              <w:pStyle w:val="TableContents"/>
              <w:bidi w:val="0"/>
              <w:spacing w:before="0" w:after="283"/>
              <w:jc w:val="right"/>
              <w:rPr/>
            </w:pPr>
            <w:r>
              <w:rPr/>
              <w:t>2,686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04" w:name="xdx_985_eus-gaap--LiabilitiesFairValueDi"/>
            <w:bookmarkEnd w:id="404"/>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bookmarkStart w:id="405" w:name="xdx_985_eus-gaap--LiabilitiesFairValueDi"/>
            <w:bookmarkEnd w:id="405"/>
          </w:p>
        </w:tc>
        <w:tc>
          <w:tcPr>
            <w:tcW w:w="5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bookmarkStart w:id="406" w:name="xdx_983_eus-gaap--LiabilitiesFairValueDi"/>
            <w:bookmarkEnd w:id="406"/>
          </w:p>
        </w:tc>
        <w:tc>
          <w:tcPr>
            <w:tcW w:w="616" w:type="dxa"/>
            <w:tcBorders/>
            <w:shd w:fill="FFFFFF" w:val="clear"/>
            <w:vAlign w:val="center"/>
          </w:tcPr>
          <w:p>
            <w:pPr>
              <w:pStyle w:val="TableContents"/>
              <w:bidi w:val="0"/>
              <w:spacing w:before="0" w:after="283"/>
              <w:jc w:val="right"/>
              <w:rPr/>
            </w:pPr>
            <w:r>
              <w:rPr/>
              <w:t>2,686</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7" w:name="xdx_98C_eus-gaap--DerivativeLiabilitiesN"/>
            <w:bookmarkEnd w:id="407"/>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8" w:name="xdx_985_eus-gaap--LiabilitiesFairValueDi"/>
            <w:bookmarkEnd w:id="408"/>
          </w:p>
        </w:tc>
        <w:tc>
          <w:tcPr>
            <w:tcW w:w="748"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9" w:name="xdx_985_eus-gaap--LiabilitiesFairValueDi"/>
            <w:bookmarkEnd w:id="409"/>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0" w:name="xdx_982_eus-gaap--LiabilitiesFairValueDi"/>
            <w:bookmarkEnd w:id="410"/>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11" w:name="xdx_989_eus-gaap--LiabilitiesFairValueDi"/>
            <w:bookmarkEnd w:id="411"/>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2" w:name="xdx_984_eus-gaap--DerivativeLiabilitiesN"/>
            <w:bookmarkEnd w:id="412"/>
          </w:p>
        </w:tc>
        <w:tc>
          <w:tcPr>
            <w:tcW w:w="1228" w:type="dxa"/>
            <w:tcBorders>
              <w:bottom w:val="double" w:sz="6" w:space="0" w:color="000000"/>
            </w:tcBorders>
            <w:shd w:fill="FFFFFF" w:val="clear"/>
            <w:tcMar>
              <w:bottom w:w="28" w:type="dxa"/>
            </w:tcMar>
            <w:vAlign w:val="center"/>
          </w:tcPr>
          <w:p>
            <w:pPr>
              <w:pStyle w:val="TableContents"/>
              <w:bidi w:val="0"/>
              <w:spacing w:before="0" w:after="283"/>
              <w:jc w:val="right"/>
              <w:rPr/>
            </w:pPr>
            <w:r>
              <w:rPr/>
              <w:t>7,714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3" w:name="xdx_982_eus-gaap--LiabilitiesFairValueDi"/>
            <w:bookmarkEnd w:id="413"/>
          </w:p>
        </w:tc>
        <w:tc>
          <w:tcPr>
            <w:tcW w:w="748" w:type="dxa"/>
            <w:tcBorders>
              <w:bottom w:val="double" w:sz="6" w:space="0" w:color="000000"/>
            </w:tcBorders>
            <w:shd w:fill="FFFFFF" w:val="clear"/>
            <w:tcMar>
              <w:bottom w:w="28" w:type="dxa"/>
            </w:tcMar>
            <w:vAlign w:val="center"/>
          </w:tcPr>
          <w:p>
            <w:pPr>
              <w:pStyle w:val="TableContents"/>
              <w:bidi w:val="0"/>
              <w:spacing w:before="0" w:after="283"/>
              <w:jc w:val="right"/>
              <w:rPr/>
            </w:pPr>
            <w:r>
              <w:rPr/>
              <w:t>7,714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4" w:name="xdx_985_eus-gaap--LiabilitiesFairValueDi"/>
            <w:bookmarkEnd w:id="414"/>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5" w:name="xdx_987_eus-gaap--LiabilitiesFairValueDi"/>
            <w:bookmarkEnd w:id="415"/>
          </w:p>
        </w:tc>
        <w:tc>
          <w:tcPr>
            <w:tcW w:w="500" w:type="dxa"/>
            <w:tcBorders>
              <w:bottom w:val="double" w:sz="6" w:space="0" w:color="000000"/>
            </w:tcBorders>
            <w:shd w:fill="FFFFFF" w:val="clear"/>
            <w:tcMar>
              <w:bottom w:w="28" w:type="dxa"/>
            </w:tcM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16" w:name="xdx_981_eus-gaap--LiabilitiesFairValueDi"/>
            <w:bookmarkEnd w:id="416"/>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pPr>
            <w:r>
              <w:rPr/>
              <w:t>7,703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Condensed Consolidated Balance Sheets on a recurring basis as of December 31, 2023:</w:t>
      </w:r>
    </w:p>
    <w:p>
      <w:pPr>
        <w:pStyle w:val="TextBody"/>
        <w:bidi w:val="0"/>
        <w:spacing w:before="0" w:after="0"/>
        <w:ind w:left="0" w:right="0" w:hanging="0"/>
        <w:jc w:val="left"/>
        <w:rPr>
          <w:caps w:val="false"/>
          <w:smallCaps w:val="false"/>
        </w:rPr>
      </w:pPr>
      <w:r>
        <w:rPr>
          <w:caps w:val="false"/>
          <w:smallCaps w:val="false"/>
        </w:rPr>
        <w:t> </w:t>
      </w:r>
    </w:p>
    <w:tbl>
      <w:tblPr>
        <w:tblW w:w="10009" w:type="dxa"/>
        <w:jc w:val="left"/>
        <w:tblInd w:w="0" w:type="dxa"/>
        <w:tblLayout w:type="fixed"/>
        <w:tblCellMar>
          <w:top w:w="0" w:type="dxa"/>
          <w:left w:w="0" w:type="dxa"/>
          <w:bottom w:w="0" w:type="dxa"/>
          <w:right w:w="0" w:type="dxa"/>
        </w:tblCellMar>
      </w:tblPr>
      <w:tblGrid>
        <w:gridCol w:w="4250"/>
        <w:gridCol w:w="60"/>
        <w:gridCol w:w="307"/>
        <w:gridCol w:w="1228"/>
        <w:gridCol w:w="60"/>
        <w:gridCol w:w="60"/>
        <w:gridCol w:w="187"/>
        <w:gridCol w:w="748"/>
        <w:gridCol w:w="60"/>
        <w:gridCol w:w="60"/>
        <w:gridCol w:w="140"/>
        <w:gridCol w:w="995"/>
        <w:gridCol w:w="60"/>
        <w:gridCol w:w="60"/>
        <w:gridCol w:w="269"/>
        <w:gridCol w:w="500"/>
        <w:gridCol w:w="60"/>
        <w:gridCol w:w="60"/>
        <w:gridCol w:w="154"/>
        <w:gridCol w:w="616"/>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4" w:type="dxa"/>
            <w:gridSpan w:val="18"/>
            <w:tcBorders>
              <w:bottom w:val="single" w:sz="8" w:space="0" w:color="000000"/>
            </w:tcBorders>
            <w:tcMar>
              <w:bottom w:w="28" w:type="dxa"/>
            </w:tcMar>
            <w:vAlign w:val="center"/>
          </w:tcPr>
          <w:p>
            <w:pPr>
              <w:pStyle w:val="TableContents"/>
              <w:bidi w:val="0"/>
              <w:spacing w:before="0" w:after="283"/>
              <w:jc w:val="center"/>
              <w:rPr/>
            </w:pPr>
            <w:r>
              <w:rPr/>
              <w:t>As of December 31, 2023</w:t>
            </w:r>
          </w:p>
        </w:tc>
        <w:tc>
          <w:tcPr>
            <w:tcW w:w="75" w:type="dxa"/>
            <w:tcBorders/>
            <w:vAlign w:val="center"/>
          </w:tcPr>
          <w:p>
            <w:pPr>
              <w:pStyle w:val="TableContents"/>
              <w:bidi w:val="0"/>
              <w:spacing w:before="0" w:after="283"/>
              <w:jc w:val="left"/>
              <w:rPr/>
            </w:pPr>
            <w:r>
              <w:rPr/>
              <w:t> </w:t>
            </w:r>
          </w:p>
        </w:tc>
      </w:tr>
      <w:tr>
        <w:trPr/>
        <w:tc>
          <w:tcPr>
            <w:tcW w:w="4250" w:type="dxa"/>
            <w:tcBorders>
              <w:bottom w:val="single" w:sz="8" w:space="0" w:color="000000"/>
            </w:tcBorders>
            <w:tcMar>
              <w:bottom w:w="28" w:type="dxa"/>
            </w:tcMar>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Warrant liability- Term Loan</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bookmarkStart w:id="417" w:name="xdx_98E_eus-gaap--DerivativeLiabilitiesN"/>
            <w:bookmarkEnd w:id="417"/>
          </w:p>
        </w:tc>
        <w:tc>
          <w:tcPr>
            <w:tcW w:w="1228" w:type="dxa"/>
            <w:tcBorders/>
            <w:shd w:fill="CCEEFF" w:val="clear"/>
            <w:vAlign w:val="center"/>
          </w:tcPr>
          <w:p>
            <w:pPr>
              <w:pStyle w:val="TableContents"/>
              <w:bidi w:val="0"/>
              <w:spacing w:before="0" w:after="283"/>
              <w:jc w:val="right"/>
              <w:rPr/>
            </w:pPr>
            <w:r>
              <w:rPr/>
              <w:t>1,014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bookmarkStart w:id="418" w:name="xdx_980_eus-gaap--LiabilitiesFairValueDi"/>
            <w:bookmarkEnd w:id="418"/>
          </w:p>
        </w:tc>
        <w:tc>
          <w:tcPr>
            <w:tcW w:w="748" w:type="dxa"/>
            <w:tcBorders/>
            <w:shd w:fill="CCEEFF" w:val="clear"/>
            <w:vAlign w:val="center"/>
          </w:tcPr>
          <w:p>
            <w:pPr>
              <w:pStyle w:val="TableContents"/>
              <w:bidi w:val="0"/>
              <w:spacing w:before="0" w:after="283"/>
              <w:jc w:val="right"/>
              <w:rPr/>
            </w:pPr>
            <w:r>
              <w:rPr/>
              <w:t>1,014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19" w:name="xdx_98F_eus-gaap--LiabilitiesFairValueDi"/>
            <w:bookmarkEnd w:id="419"/>
          </w:p>
        </w:tc>
        <w:tc>
          <w:tcPr>
            <w:tcW w:w="99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bookmarkStart w:id="420" w:name="xdx_988_eus-gaap--LiabilitiesFairValueDi"/>
            <w:bookmarkEnd w:id="420"/>
          </w:p>
        </w:tc>
        <w:tc>
          <w:tcPr>
            <w:tcW w:w="5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bookmarkStart w:id="421" w:name="xdx_984_eus-gaap--LiabilitiesFairValueDi"/>
            <w:bookmarkEnd w:id="421"/>
          </w:p>
        </w:tc>
        <w:tc>
          <w:tcPr>
            <w:tcW w:w="616" w:type="dxa"/>
            <w:tcBorders/>
            <w:shd w:fill="CCEEFF" w:val="clear"/>
            <w:vAlign w:val="center"/>
          </w:tcPr>
          <w:p>
            <w:pPr>
              <w:pStyle w:val="TableContents"/>
              <w:bidi w:val="0"/>
              <w:spacing w:before="0" w:after="283"/>
              <w:jc w:val="right"/>
              <w:rPr/>
            </w:pPr>
            <w:r>
              <w:rPr/>
              <w:t>1,014</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Warrant liability- June Public Offering</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bookmarkStart w:id="422" w:name="xdx_980_eus-gaap--DerivativeLiabilitiesN"/>
            <w:bookmarkEnd w:id="422"/>
          </w:p>
        </w:tc>
        <w:tc>
          <w:tcPr>
            <w:tcW w:w="1228" w:type="dxa"/>
            <w:tcBorders/>
            <w:shd w:fill="FFFFFF" w:val="clear"/>
            <w:vAlign w:val="center"/>
          </w:tcPr>
          <w:p>
            <w:pPr>
              <w:pStyle w:val="TableContents"/>
              <w:bidi w:val="0"/>
              <w:spacing w:before="0" w:after="283"/>
              <w:jc w:val="right"/>
              <w:rPr/>
            </w:pPr>
            <w:r>
              <w:rPr/>
              <w:t>3,434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bookmarkStart w:id="423" w:name="xdx_98E_eus-gaap--LiabilitiesFairValueDi"/>
            <w:bookmarkEnd w:id="423"/>
          </w:p>
        </w:tc>
        <w:tc>
          <w:tcPr>
            <w:tcW w:w="748" w:type="dxa"/>
            <w:tcBorders/>
            <w:shd w:fill="FFFFFF" w:val="clear"/>
            <w:vAlign w:val="center"/>
          </w:tcPr>
          <w:p>
            <w:pPr>
              <w:pStyle w:val="TableContents"/>
              <w:bidi w:val="0"/>
              <w:spacing w:before="0" w:after="283"/>
              <w:jc w:val="right"/>
              <w:rPr/>
            </w:pPr>
            <w:r>
              <w:rPr/>
              <w:t>3,434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24" w:name="xdx_984_eus-gaap--LiabilitiesFairValueDi"/>
            <w:bookmarkEnd w:id="424"/>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bookmarkStart w:id="425" w:name="xdx_985_eus-gaap--LiabilitiesFairValueDi"/>
            <w:bookmarkEnd w:id="425"/>
          </w:p>
        </w:tc>
        <w:tc>
          <w:tcPr>
            <w:tcW w:w="5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bookmarkStart w:id="426" w:name="xdx_985_eus-gaap--LiabilitiesFairValueDi"/>
            <w:bookmarkEnd w:id="426"/>
          </w:p>
        </w:tc>
        <w:tc>
          <w:tcPr>
            <w:tcW w:w="616" w:type="dxa"/>
            <w:tcBorders/>
            <w:shd w:fill="FFFFFF" w:val="clear"/>
            <w:vAlign w:val="center"/>
          </w:tcPr>
          <w:p>
            <w:pPr>
              <w:pStyle w:val="TableContents"/>
              <w:bidi w:val="0"/>
              <w:spacing w:before="0" w:after="283"/>
              <w:jc w:val="right"/>
              <w:rPr/>
            </w:pPr>
            <w:r>
              <w:rPr/>
              <w:t>3,434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Warrant liability- Private placement warrants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7" w:name="xdx_98A_eus-gaap--DerivativeLiabilitiesN"/>
            <w:bookmarkEnd w:id="427"/>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8" w:name="xdx_984_eus-gaap--LiabilitiesFairValueDi"/>
            <w:bookmarkEnd w:id="428"/>
          </w:p>
        </w:tc>
        <w:tc>
          <w:tcPr>
            <w:tcW w:w="748"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9" w:name="xdx_98A_eus-gaap--LiabilitiesFairValueDi"/>
            <w:bookmarkEnd w:id="429"/>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0" w:name="xdx_982_eus-gaap--LiabilitiesFairValueDi"/>
            <w:bookmarkEnd w:id="430"/>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31" w:name="xdx_98A_eus-gaap--LiabilitiesFairValueDi"/>
            <w:bookmarkEnd w:id="431"/>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2" w:name="xdx_987_eus-gaap--DerivativeLiabilitiesN"/>
            <w:bookmarkEnd w:id="432"/>
          </w:p>
        </w:tc>
        <w:tc>
          <w:tcPr>
            <w:tcW w:w="1228" w:type="dxa"/>
            <w:tcBorders>
              <w:bottom w:val="double" w:sz="6" w:space="0" w:color="000000"/>
            </w:tcBorders>
            <w:shd w:fill="FFFFFF" w:val="clear"/>
            <w:tcMar>
              <w:bottom w:w="28" w:type="dxa"/>
            </w:tcMar>
            <w:vAlign w:val="center"/>
          </w:tcPr>
          <w:p>
            <w:pPr>
              <w:pStyle w:val="TableContents"/>
              <w:bidi w:val="0"/>
              <w:spacing w:before="0" w:after="283"/>
              <w:jc w:val="right"/>
              <w:rPr/>
            </w:pPr>
            <w:r>
              <w:rPr/>
              <w:t>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3" w:name="xdx_987_eus-gaap--LiabilitiesFairValueDi"/>
            <w:bookmarkEnd w:id="433"/>
          </w:p>
        </w:tc>
        <w:tc>
          <w:tcPr>
            <w:tcW w:w="748" w:type="dxa"/>
            <w:tcBorders>
              <w:bottom w:val="double" w:sz="6" w:space="0" w:color="000000"/>
            </w:tcBorders>
            <w:shd w:fill="FFFFFF" w:val="clear"/>
            <w:tcMar>
              <w:bottom w:w="28" w:type="dxa"/>
            </w:tcMar>
            <w:vAlign w:val="center"/>
          </w:tcPr>
          <w:p>
            <w:pPr>
              <w:pStyle w:val="TableContents"/>
              <w:bidi w:val="0"/>
              <w:spacing w:before="0" w:after="283"/>
              <w:jc w:val="right"/>
              <w:rPr/>
            </w:pPr>
            <w:r>
              <w:rPr/>
              <w:t>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4" w:name="xdx_98B_eus-gaap--LiabilitiesFairValueDi"/>
            <w:bookmarkEnd w:id="434"/>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5" w:name="xdx_98D_eus-gaap--LiabilitiesFairValueDi"/>
            <w:bookmarkEnd w:id="435"/>
          </w:p>
        </w:tc>
        <w:tc>
          <w:tcPr>
            <w:tcW w:w="500" w:type="dxa"/>
            <w:tcBorders>
              <w:bottom w:val="double" w:sz="6"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6" w:name="xdx_982_eus-gaap--LiabilitiesFairValueDi"/>
            <w:bookmarkEnd w:id="436"/>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pPr>
            <w:r>
              <w:rPr/>
              <w:t>4,448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7" w:name="xdx_8A4_z2czO6ibA5B4"/>
      <w:bookmarkEnd w:id="4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September 30, 2024 and December 31, 2023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September 30, 2024 and December 31, 2023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 Roll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categorized within Level 3 are sensitive to changes in assumptions or methodology used to determine fair value, and such changes could result in a significant increase or decrease in the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8" w:name="xdx_897_eus-gaap--FairValueLiabilitiesMe"/>
      <w:bookmarkEnd w:id="438"/>
      <w:r>
        <w:rPr>
          <w:rFonts w:ascii="Times New Roman;Times;Serif" w:hAnsi="Times New Roman;Times;Serif"/>
          <w:b w:val="false"/>
          <w:i w:val="false"/>
          <w:caps w:val="false"/>
          <w:smallCaps w:val="false"/>
          <w:sz w:val="20"/>
        </w:rPr>
        <w:t>The changes for Level 3 items measured at fair value on recurring basis using significant unobservable inputs are as follows:</w:t>
      </w:r>
    </w:p>
    <w:p>
      <w:pPr>
        <w:pStyle w:val="TextBody"/>
        <w:bidi w:val="0"/>
        <w:spacing w:before="0" w:after="0"/>
        <w:ind w:left="0" w:right="0" w:hanging="0"/>
        <w:jc w:val="both"/>
        <w:rPr>
          <w:caps w:val="false"/>
          <w:smallCaps w:val="false"/>
        </w:rPr>
      </w:pPr>
      <w:r>
        <w:rPr>
          <w:caps w:val="false"/>
          <w:smallCaps w:val="false"/>
        </w:rPr>
        <w:t> </w:t>
      </w:r>
      <w:bookmarkStart w:id="439" w:name="xdx_8BD_zpfIMFavZASd"/>
      <w:bookmarkEnd w:id="439"/>
      <w:r>
        <w:rPr>
          <w:rFonts w:ascii="Times New Roman;Times;Serif" w:hAnsi="Times New Roman;Times;Serif"/>
          <w:b w:val="false"/>
          <w:i w:val="false"/>
          <w:caps w:val="false"/>
          <w:smallCaps w:val="false"/>
          <w:sz w:val="20"/>
        </w:rPr>
        <w:t>SCHEDULE OF FAIR VALUE ON RECURRING BASIS USING SIGNIFICANT UNOBSERVABLE INPUTS </w:t>
      </w:r>
    </w:p>
    <w:tbl>
      <w:tblPr>
        <w:tblW w:w="8288" w:type="dxa"/>
        <w:jc w:val="left"/>
        <w:tblInd w:w="0" w:type="dxa"/>
        <w:tblLayout w:type="fixed"/>
        <w:tblCellMar>
          <w:top w:w="0" w:type="dxa"/>
          <w:left w:w="0" w:type="dxa"/>
          <w:bottom w:w="0" w:type="dxa"/>
          <w:right w:w="0" w:type="dxa"/>
        </w:tblCellMar>
      </w:tblPr>
      <w:tblGrid>
        <w:gridCol w:w="4475"/>
        <w:gridCol w:w="60"/>
        <w:gridCol w:w="309"/>
        <w:gridCol w:w="1405"/>
        <w:gridCol w:w="95"/>
        <w:gridCol w:w="60"/>
        <w:gridCol w:w="320"/>
        <w:gridCol w:w="1454"/>
        <w:gridCol w:w="11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0" w:name="xdx_4B4_us-gaap--FinancialInstrumentAxis"/>
            <w:bookmarkEnd w:id="440"/>
          </w:p>
        </w:tc>
        <w:tc>
          <w:tcPr>
            <w:tcW w:w="171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1" w:name="xdx_4B4_us-gaap--FinancialInstrumentAxis"/>
            <w:bookmarkEnd w:id="441"/>
          </w:p>
        </w:tc>
        <w:tc>
          <w:tcPr>
            <w:tcW w:w="17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Public Offering</w:t>
            </w:r>
          </w:p>
        </w:tc>
        <w:tc>
          <w:tcPr>
            <w:tcW w:w="110" w:type="dxa"/>
            <w:tcBorders/>
            <w:vAlign w:val="center"/>
          </w:tcPr>
          <w:p>
            <w:pPr>
              <w:pStyle w:val="TableContents"/>
              <w:bidi w:val="0"/>
              <w:spacing w:before="0" w:after="283"/>
              <w:jc w:val="left"/>
              <w:rPr/>
            </w:pPr>
            <w:r>
              <w:rPr/>
              <w:t> </w:t>
            </w:r>
            <w:bookmarkStart w:id="442" w:name="xdx_433_c20240101__20240331_eus-gaap--Fa"/>
            <w:bookmarkEnd w:id="442"/>
          </w:p>
        </w:tc>
      </w:tr>
      <w:tr>
        <w:trPr/>
        <w:tc>
          <w:tcPr>
            <w:tcW w:w="4475" w:type="dxa"/>
            <w:tcBorders/>
            <w:shd w:fill="CCEEFF" w:val="clear"/>
            <w:vAlign w:val="center"/>
          </w:tcPr>
          <w:p>
            <w:pPr>
              <w:pStyle w:val="TableContents"/>
              <w:bidi w:val="0"/>
              <w:spacing w:before="0" w:after="283"/>
              <w:jc w:val="left"/>
              <w:rPr>
                <w:b/>
              </w:rPr>
            </w:pPr>
            <w:r>
              <w:rPr>
                <w:b/>
              </w:rPr>
              <w:t>Fair value as of January 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405" w:type="dxa"/>
            <w:tcBorders/>
            <w:shd w:fill="CCEEFF" w:val="clear"/>
            <w:vAlign w:val="center"/>
          </w:tcPr>
          <w:p>
            <w:pPr>
              <w:pStyle w:val="TableContents"/>
              <w:bidi w:val="0"/>
              <w:spacing w:before="0" w:after="283"/>
              <w:jc w:val="right"/>
              <w:rPr/>
            </w:pPr>
            <w:r>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1454" w:type="dxa"/>
            <w:tcBorders/>
            <w:shd w:fill="CCEEFF" w:val="clear"/>
            <w:vAlign w:val="center"/>
          </w:tcPr>
          <w:p>
            <w:pPr>
              <w:pStyle w:val="TableContents"/>
              <w:bidi w:val="0"/>
              <w:spacing w:before="0" w:after="283"/>
              <w:jc w:val="right"/>
              <w:rPr/>
            </w:pPr>
            <w:r>
              <w:rPr/>
              <w:t>3,434</w:t>
            </w:r>
          </w:p>
        </w:tc>
        <w:tc>
          <w:tcPr>
            <w:tcW w:w="110" w:type="dxa"/>
            <w:tcBorders/>
            <w:shd w:fill="CCEEFF" w:val="clear"/>
            <w:vAlign w:val="center"/>
          </w:tcPr>
          <w:p>
            <w:pPr>
              <w:pStyle w:val="TableContents"/>
              <w:bidi w:val="0"/>
              <w:spacing w:before="0" w:after="283"/>
              <w:jc w:val="left"/>
              <w:rPr/>
            </w:pPr>
            <w:r>
              <w:rPr/>
              <w:t> </w:t>
            </w:r>
            <w:bookmarkStart w:id="443" w:name="xdx_404_eus-gaap--FairValueMeasurementWi"/>
            <w:bookmarkEnd w:id="443"/>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Issued</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44" w:name="xdx_400_ecustom--FairValueMeasurementWit"/>
            <w:bookmarkEnd w:id="444"/>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exercises</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45" w:name="xdx_407_eus-gaap--FairValueMeasurementWi"/>
            <w:bookmarkEnd w:id="445"/>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446" w:name="xdx_F49_zmmxPED17r5a"/>
            <w:bookmarkEnd w:id="446"/>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jc w:val="left"/>
              <w:rPr/>
            </w:pPr>
            <w:r>
              <w:rPr/>
              <w:t>)</w:t>
            </w:r>
            <w:bookmarkStart w:id="447" w:name="xdx_43B_c20240401__20240630_eus-gaap--Fa"/>
            <w:bookmarkEnd w:id="447"/>
          </w:p>
        </w:tc>
      </w:tr>
      <w:tr>
        <w:trPr/>
        <w:tc>
          <w:tcPr>
            <w:tcW w:w="4475" w:type="dxa"/>
            <w:tcBorders/>
            <w:shd w:fill="CCEEFF" w:val="clear"/>
            <w:vAlign w:val="center"/>
          </w:tcPr>
          <w:p>
            <w:pPr>
              <w:pStyle w:val="TableContents"/>
              <w:bidi w:val="0"/>
              <w:spacing w:before="0" w:after="283"/>
              <w:jc w:val="left"/>
              <w:rPr>
                <w:b/>
              </w:rPr>
            </w:pPr>
            <w:r>
              <w:rPr>
                <w:b/>
              </w:rPr>
              <w:t>Fair value as of March 31,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3,214</w:t>
            </w:r>
          </w:p>
        </w:tc>
        <w:tc>
          <w:tcPr>
            <w:tcW w:w="110" w:type="dxa"/>
            <w:tcBorders/>
            <w:shd w:fill="CCEEFF" w:val="clear"/>
            <w:vAlign w:val="center"/>
          </w:tcPr>
          <w:p>
            <w:pPr>
              <w:pStyle w:val="TableContents"/>
              <w:bidi w:val="0"/>
              <w:spacing w:before="0" w:after="283"/>
              <w:jc w:val="left"/>
              <w:rPr/>
            </w:pPr>
            <w:r>
              <w:rPr/>
              <w:t> </w:t>
            </w:r>
            <w:bookmarkStart w:id="448" w:name="xdx_405_eus-gaap--FairValueMeasurementWi"/>
            <w:bookmarkEnd w:id="448"/>
          </w:p>
        </w:tc>
      </w:tr>
      <w:tr>
        <w:trPr/>
        <w:tc>
          <w:tcPr>
            <w:tcW w:w="4475" w:type="dxa"/>
            <w:tcBorders/>
            <w:shd w:fill="FFFFFF" w:val="clear"/>
            <w:vAlign w:val="center"/>
          </w:tcPr>
          <w:p>
            <w:pPr>
              <w:pStyle w:val="TableContents"/>
              <w:bidi w:val="0"/>
              <w:spacing w:before="0" w:after="283"/>
              <w:jc w:val="left"/>
              <w:rPr/>
            </w:pPr>
            <w:r>
              <w:rPr/>
              <w:t>Warrants Issued</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4,796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49" w:name="xdx_407_eus-gaap--FairValueMeasurementWi"/>
            <w:bookmarkEnd w:id="449"/>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loss included in net loss</w:t>
            </w:r>
            <w:bookmarkStart w:id="450" w:name="xdx_F4D_zEW6Me7r1593"/>
            <w:bookmarkEnd w:id="450"/>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CCEEFF" w:val="clear"/>
            <w:tcMar>
              <w:bottom w:w="28" w:type="dxa"/>
            </w:tcM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CCEEFF" w:val="clear"/>
            <w:tcMar>
              <w:bottom w:w="28" w:type="dxa"/>
            </w:tcMar>
            <w:vAlign w:val="center"/>
          </w:tcPr>
          <w:p>
            <w:pPr>
              <w:pStyle w:val="TableContents"/>
              <w:bidi w:val="0"/>
              <w:spacing w:before="0" w:after="283"/>
              <w:jc w:val="right"/>
              <w:rPr/>
            </w:pPr>
            <w:r>
              <w:rPr/>
              <w:t>2,277</w:t>
            </w:r>
          </w:p>
        </w:tc>
        <w:tc>
          <w:tcPr>
            <w:tcW w:w="110" w:type="dxa"/>
            <w:tcBorders/>
            <w:shd w:fill="CCEEFF" w:val="clear"/>
            <w:vAlign w:val="center"/>
          </w:tcPr>
          <w:p>
            <w:pPr>
              <w:pStyle w:val="TableContents"/>
              <w:bidi w:val="0"/>
              <w:spacing w:before="0" w:after="283"/>
              <w:jc w:val="left"/>
              <w:rPr/>
            </w:pPr>
            <w:r>
              <w:rPr/>
              <w:t> </w:t>
            </w:r>
            <w:bookmarkStart w:id="451" w:name="xdx_431_c20240701__20240930_eus-gaap--Fa"/>
            <w:bookmarkEnd w:id="451"/>
          </w:p>
        </w:tc>
      </w:tr>
      <w:tr>
        <w:trPr/>
        <w:tc>
          <w:tcPr>
            <w:tcW w:w="4475" w:type="dxa"/>
            <w:tcBorders/>
            <w:shd w:fill="FFFFFF" w:val="clear"/>
            <w:vAlign w:val="center"/>
          </w:tcPr>
          <w:p>
            <w:pPr>
              <w:pStyle w:val="TableContents"/>
              <w:bidi w:val="0"/>
              <w:spacing w:before="0" w:after="283"/>
              <w:jc w:val="left"/>
              <w:rPr>
                <w:b/>
              </w:rPr>
            </w:pPr>
            <w:r>
              <w:rPr>
                <w:b/>
              </w:rPr>
              <w:t>Fair value as of June 30, 2024</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pPr>
            <w:r>
              <w:rPr/>
              <w:t>5,491</w:t>
            </w:r>
          </w:p>
        </w:tc>
        <w:tc>
          <w:tcPr>
            <w:tcW w:w="110" w:type="dxa"/>
            <w:tcBorders/>
            <w:shd w:fill="FFFFFF" w:val="clear"/>
            <w:vAlign w:val="center"/>
          </w:tcPr>
          <w:p>
            <w:pPr>
              <w:pStyle w:val="TableContents"/>
              <w:bidi w:val="0"/>
              <w:spacing w:before="0" w:after="283"/>
              <w:jc w:val="left"/>
              <w:rPr/>
            </w:pPr>
            <w:r>
              <w:rPr/>
              <w:t> </w:t>
            </w:r>
            <w:bookmarkStart w:id="452" w:name="xdx_405_eus-gaap--FairValueMeasurementWi"/>
            <w:bookmarkEnd w:id="452"/>
          </w:p>
        </w:tc>
      </w:tr>
      <w:tr>
        <w:trPr/>
        <w:tc>
          <w:tcPr>
            <w:tcW w:w="4475" w:type="dxa"/>
            <w:tcBorders/>
            <w:shd w:fill="CCEEFF" w:val="clear"/>
            <w:vAlign w:val="center"/>
          </w:tcPr>
          <w:p>
            <w:pPr>
              <w:pStyle w:val="TableContents"/>
              <w:bidi w:val="0"/>
              <w:spacing w:before="0" w:after="283"/>
              <w:jc w:val="left"/>
              <w:rPr/>
            </w:pPr>
            <w:r>
              <w:rPr/>
              <w:t>Warrants Issued</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53" w:name="xdx_409_eus-gaap--FairValueMeasurementWi"/>
            <w:bookmarkEnd w:id="453"/>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loss included in net loss</w:t>
            </w:r>
            <w:bookmarkStart w:id="454" w:name="xdx_F4C_zpw9CpqVZfh6"/>
            <w:bookmarkEnd w:id="454"/>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double" w:sz="6" w:space="0" w:color="000000"/>
            </w:tcBorders>
            <w:shd w:fill="FFFFFF" w:val="clear"/>
            <w:tcMar>
              <w:bottom w:w="28" w:type="dxa"/>
            </w:tcMar>
            <w:vAlign w:val="center"/>
          </w:tcPr>
          <w:p>
            <w:pPr>
              <w:pStyle w:val="TableContents"/>
              <w:bidi w:val="0"/>
              <w:spacing w:before="0" w:after="283"/>
              <w:jc w:val="right"/>
              <w:rPr/>
            </w:pPr>
            <w:r>
              <w:rPr/>
              <w:t>(2,070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double" w:sz="6" w:space="0" w:color="000000"/>
            </w:tcBorders>
            <w:shd w:fill="FFFFFF" w:val="clear"/>
            <w:tcMar>
              <w:bottom w:w="28" w:type="dxa"/>
            </w:tcMar>
            <w:vAlign w:val="center"/>
          </w:tcPr>
          <w:p>
            <w:pPr>
              <w:pStyle w:val="TableContents"/>
              <w:bidi w:val="0"/>
              <w:spacing w:before="0" w:after="283"/>
              <w:jc w:val="right"/>
              <w:rPr/>
            </w:pPr>
            <w:r>
              <w:rPr/>
              <w:t>(2,805</w:t>
            </w:r>
          </w:p>
        </w:tc>
        <w:tc>
          <w:tcPr>
            <w:tcW w:w="110" w:type="dxa"/>
            <w:tcBorders/>
            <w:shd w:fill="FFFFFF" w:val="clear"/>
            <w:vAlign w:val="center"/>
          </w:tcPr>
          <w:p>
            <w:pPr>
              <w:pStyle w:val="TableContents"/>
              <w:bidi w:val="0"/>
              <w:spacing w:before="0" w:after="283"/>
              <w:jc w:val="left"/>
              <w:rPr/>
            </w:pPr>
            <w:r>
              <w:rPr/>
              <w:t>)</w:t>
            </w:r>
            <w:bookmarkStart w:id="455" w:name="xdx_43C_c20240701__20240930_eus-gaap--Fa"/>
            <w:bookmarkEnd w:id="455"/>
          </w:p>
        </w:tc>
      </w:tr>
      <w:tr>
        <w:trPr/>
        <w:tc>
          <w:tcPr>
            <w:tcW w:w="4475" w:type="dxa"/>
            <w:tcBorders/>
            <w:shd w:fill="CCEEFF" w:val="clear"/>
            <w:vAlign w:val="center"/>
          </w:tcPr>
          <w:p>
            <w:pPr>
              <w:pStyle w:val="TableContents"/>
              <w:bidi w:val="0"/>
              <w:spacing w:before="0" w:after="283"/>
              <w:jc w:val="left"/>
              <w:rPr>
                <w:b/>
              </w:rPr>
            </w:pPr>
            <w:r>
              <w:rPr>
                <w:b/>
              </w:rPr>
              <w:t>Fair value as of September 30, 2024</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pPr>
            <w:r>
              <w:rPr/>
              <w:t>5,017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pPr>
            <w:r>
              <w:rPr/>
              <w:t>2,686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08" w:type="dxa"/>
        <w:jc w:val="left"/>
        <w:tblInd w:w="0" w:type="dxa"/>
        <w:tblLayout w:type="fixed"/>
        <w:tblCellMar>
          <w:top w:w="0" w:type="dxa"/>
          <w:left w:w="0" w:type="dxa"/>
          <w:bottom w:w="0" w:type="dxa"/>
          <w:right w:w="0" w:type="dxa"/>
        </w:tblCellMar>
      </w:tblPr>
      <w:tblGrid>
        <w:gridCol w:w="3995"/>
        <w:gridCol w:w="60"/>
        <w:gridCol w:w="268"/>
        <w:gridCol w:w="1446"/>
        <w:gridCol w:w="95"/>
        <w:gridCol w:w="60"/>
        <w:gridCol w:w="303"/>
        <w:gridCol w:w="1471"/>
        <w:gridCol w:w="11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6" w:name="xdx_4B4_us-gaap--FinancialInstrumentAxis"/>
            <w:bookmarkEnd w:id="456"/>
          </w:p>
        </w:tc>
        <w:tc>
          <w:tcPr>
            <w:tcW w:w="171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7" w:name="xdx_4B4_us-gaap--FinancialInstrumentAxis"/>
            <w:bookmarkEnd w:id="457"/>
          </w:p>
        </w:tc>
        <w:tc>
          <w:tcPr>
            <w:tcW w:w="17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Public Offering</w:t>
            </w:r>
          </w:p>
        </w:tc>
        <w:tc>
          <w:tcPr>
            <w:tcW w:w="110" w:type="dxa"/>
            <w:tcBorders/>
            <w:vAlign w:val="center"/>
          </w:tcPr>
          <w:p>
            <w:pPr>
              <w:pStyle w:val="TableContents"/>
              <w:bidi w:val="0"/>
              <w:spacing w:before="0" w:after="283"/>
              <w:jc w:val="left"/>
              <w:rPr/>
            </w:pPr>
            <w:r>
              <w:rPr/>
              <w:t> </w:t>
            </w:r>
            <w:bookmarkStart w:id="458" w:name="xdx_43E_c20230101__20230331_eus-gaap--Fa"/>
            <w:bookmarkEnd w:id="458"/>
          </w:p>
        </w:tc>
      </w:tr>
      <w:tr>
        <w:trPr/>
        <w:tc>
          <w:tcPr>
            <w:tcW w:w="3995" w:type="dxa"/>
            <w:tcBorders/>
            <w:shd w:fill="CCEEFF" w:val="clear"/>
            <w:vAlign w:val="center"/>
          </w:tcPr>
          <w:p>
            <w:pPr>
              <w:pStyle w:val="TableContents"/>
              <w:bidi w:val="0"/>
              <w:spacing w:before="0" w:after="283"/>
              <w:jc w:val="left"/>
              <w:rPr>
                <w:b/>
              </w:rPr>
            </w:pPr>
            <w:r>
              <w:rPr>
                <w:b/>
              </w:rPr>
              <w:t>Fair value as of January 1, 2023</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446" w:type="dxa"/>
            <w:tcBorders/>
            <w:shd w:fill="CCEEFF" w:val="clear"/>
            <w:vAlign w:val="center"/>
          </w:tcPr>
          <w:p>
            <w:pPr>
              <w:pStyle w:val="TableContents"/>
              <w:bidi w:val="0"/>
              <w:spacing w:before="0" w:after="283"/>
              <w:jc w:val="right"/>
              <w:rPr/>
            </w:pPr>
            <w:r>
              <w:rPr/>
              <w:t>30,841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4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59" w:name="xdx_403_eus-gaap--FairValueMeasurementWi"/>
            <w:bookmarkEnd w:id="459"/>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Warrants Issued</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60" w:name="xdx_40C_ecustom--FairValueMeasurementWit"/>
            <w:bookmarkEnd w:id="460"/>
          </w:p>
        </w:tc>
      </w:tr>
      <w:tr>
        <w:trPr/>
        <w:tc>
          <w:tcPr>
            <w:tcW w:w="3995"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(8,822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61" w:name="xdx_407_eus-gaap--FairValueMeasurementWi"/>
            <w:bookmarkEnd w:id="461"/>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462" w:name="xdx_F4F_zY8oyWQlZDld"/>
            <w:bookmarkEnd w:id="462"/>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(17,998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63" w:name="xdx_43E_c20230401__20230630_eus-gaap--Fa"/>
            <w:bookmarkEnd w:id="463"/>
          </w:p>
        </w:tc>
      </w:tr>
      <w:tr>
        <w:trPr/>
        <w:tc>
          <w:tcPr>
            <w:tcW w:w="3995" w:type="dxa"/>
            <w:tcBorders/>
            <w:shd w:fill="FFFFFF" w:val="clear"/>
            <w:vAlign w:val="center"/>
          </w:tcPr>
          <w:p>
            <w:pPr>
              <w:pStyle w:val="TableContents"/>
              <w:bidi w:val="0"/>
              <w:spacing w:before="0" w:after="283"/>
              <w:jc w:val="left"/>
              <w:rPr>
                <w:b/>
              </w:rPr>
            </w:pPr>
            <w:r>
              <w:rPr>
                <w:b/>
              </w:rPr>
              <w:t>Fair value as of March 31, 2023</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4,021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64" w:name="xdx_405_eus-gaap--FairValueMeasurementWi"/>
            <w:bookmarkEnd w:id="464"/>
          </w:p>
        </w:tc>
      </w:tr>
      <w:tr>
        <w:trPr/>
        <w:tc>
          <w:tcPr>
            <w:tcW w:w="3995" w:type="dxa"/>
            <w:tcBorders/>
            <w:shd w:fill="CCEEFF" w:val="clear"/>
            <w:vAlign w:val="center"/>
          </w:tcPr>
          <w:p>
            <w:pPr>
              <w:pStyle w:val="TableContents"/>
              <w:bidi w:val="0"/>
              <w:spacing w:before="0" w:after="283"/>
              <w:jc w:val="left"/>
              <w:rPr/>
            </w:pPr>
            <w:r>
              <w:rPr/>
              <w:t>Warrants Issued</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13,762</w:t>
            </w:r>
          </w:p>
        </w:tc>
        <w:tc>
          <w:tcPr>
            <w:tcW w:w="110" w:type="dxa"/>
            <w:tcBorders/>
            <w:shd w:fill="CCEEFF" w:val="clear"/>
            <w:vAlign w:val="center"/>
          </w:tcPr>
          <w:p>
            <w:pPr>
              <w:pStyle w:val="TableContents"/>
              <w:bidi w:val="0"/>
              <w:spacing w:before="0" w:after="283"/>
              <w:jc w:val="left"/>
              <w:rPr/>
            </w:pPr>
            <w:r>
              <w:rPr/>
              <w:t> </w:t>
            </w:r>
            <w:bookmarkStart w:id="465" w:name="xdx_40C_ecustom--FairValueMeasurementWit"/>
            <w:bookmarkEnd w:id="465"/>
          </w:p>
        </w:tc>
      </w:tr>
      <w:tr>
        <w:trPr/>
        <w:tc>
          <w:tcPr>
            <w:tcW w:w="3995"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(2,462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66" w:name="xdx_407_eus-gaap--FairValueMeasurementWi"/>
            <w:bookmarkEnd w:id="466"/>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467" w:name="xdx_F46_z9Cqa6qwVxPh"/>
            <w:bookmarkEnd w:id="467"/>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(684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jc w:val="left"/>
              <w:rPr/>
            </w:pPr>
            <w:r>
              <w:rPr/>
              <w:t>)</w:t>
            </w:r>
            <w:bookmarkStart w:id="468" w:name="xdx_436_c20230701__20230930_eus-gaap--Fa"/>
            <w:bookmarkEnd w:id="468"/>
          </w:p>
        </w:tc>
      </w:tr>
      <w:tr>
        <w:trPr/>
        <w:tc>
          <w:tcPr>
            <w:tcW w:w="3995" w:type="dxa"/>
            <w:tcBorders/>
            <w:shd w:fill="FFFFFF" w:val="clear"/>
            <w:vAlign w:val="center"/>
          </w:tcPr>
          <w:p>
            <w:pPr>
              <w:pStyle w:val="TableContents"/>
              <w:bidi w:val="0"/>
              <w:spacing w:before="0" w:after="283"/>
              <w:jc w:val="left"/>
              <w:rPr>
                <w:b/>
              </w:rPr>
            </w:pPr>
            <w:r>
              <w:rPr>
                <w:b/>
              </w:rPr>
              <w:t>Fair value as of June 30, 2023</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13,612</w:t>
            </w:r>
          </w:p>
        </w:tc>
        <w:tc>
          <w:tcPr>
            <w:tcW w:w="110" w:type="dxa"/>
            <w:tcBorders/>
            <w:shd w:fill="FFFFFF" w:val="clear"/>
            <w:vAlign w:val="center"/>
          </w:tcPr>
          <w:p>
            <w:pPr>
              <w:pStyle w:val="TableContents"/>
              <w:bidi w:val="0"/>
              <w:spacing w:before="0" w:after="283"/>
              <w:jc w:val="left"/>
              <w:rPr/>
            </w:pPr>
            <w:r>
              <w:rPr/>
              <w:t> </w:t>
            </w:r>
            <w:bookmarkStart w:id="469" w:name="xdx_432_c20230701__20230930_eus-gaap--Fa"/>
            <w:bookmarkEnd w:id="469"/>
          </w:p>
        </w:tc>
      </w:tr>
      <w:tr>
        <w:trPr/>
        <w:tc>
          <w:tcPr>
            <w:tcW w:w="3995" w:type="dxa"/>
            <w:tcBorders/>
            <w:shd w:fill="FFFFFF" w:val="clear"/>
            <w:vAlign w:val="center"/>
          </w:tcPr>
          <w:p>
            <w:pPr>
              <w:pStyle w:val="TableContents"/>
              <w:bidi w:val="0"/>
              <w:spacing w:before="0" w:after="283"/>
              <w:jc w:val="left"/>
              <w:rPr>
                <w:b/>
              </w:rPr>
            </w:pPr>
            <w:r>
              <w:rPr>
                <w:b/>
              </w:rPr>
              <w:t>Fair value, balance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13,612</w:t>
            </w:r>
          </w:p>
        </w:tc>
        <w:tc>
          <w:tcPr>
            <w:tcW w:w="110" w:type="dxa"/>
            <w:tcBorders/>
            <w:shd w:fill="FFFFFF" w:val="clear"/>
            <w:vAlign w:val="center"/>
          </w:tcPr>
          <w:p>
            <w:pPr>
              <w:pStyle w:val="TableContents"/>
              <w:bidi w:val="0"/>
              <w:spacing w:before="0" w:after="283"/>
              <w:jc w:val="left"/>
              <w:rPr/>
            </w:pPr>
            <w:r>
              <w:rPr/>
              <w:t> </w:t>
            </w:r>
            <w:bookmarkStart w:id="470" w:name="xdx_407_eus-gaap--FairValueMeasurementWi"/>
            <w:bookmarkEnd w:id="470"/>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loss included in net loss</w:t>
            </w:r>
            <w:bookmarkStart w:id="471" w:name="xdx_F4B_z4pJu7uHlMnh"/>
            <w:bookmarkEnd w:id="471"/>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 </w:t>
            </w:r>
            <w:bookmarkStart w:id="472" w:name="xdx_40C_ecustom--FairValueMeasurementWit"/>
            <w:bookmarkEnd w:id="472"/>
          </w:p>
        </w:tc>
      </w:tr>
      <w:tr>
        <w:trPr/>
        <w:tc>
          <w:tcPr>
            <w:tcW w:w="3995"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71" w:type="dxa"/>
            <w:tcBorders>
              <w:bottom w:val="double" w:sz="6" w:space="0" w:color="000000"/>
            </w:tcBorders>
            <w:shd w:fill="FFFFFF" w:val="clear"/>
            <w:tcMar>
              <w:bottom w:w="28" w:type="dxa"/>
            </w:tcMar>
            <w:vAlign w:val="center"/>
          </w:tcPr>
          <w:p>
            <w:pPr>
              <w:pStyle w:val="TableContents"/>
              <w:bidi w:val="0"/>
              <w:spacing w:before="0" w:after="283"/>
              <w:jc w:val="right"/>
              <w:rPr/>
            </w:pPr>
            <w:r>
              <w:rPr/>
              <w:t>(617</w:t>
            </w:r>
          </w:p>
        </w:tc>
        <w:tc>
          <w:tcPr>
            <w:tcW w:w="110" w:type="dxa"/>
            <w:tcBorders/>
            <w:shd w:fill="FFFFFF" w:val="clear"/>
            <w:vAlign w:val="center"/>
          </w:tcPr>
          <w:p>
            <w:pPr>
              <w:pStyle w:val="TableContents"/>
              <w:bidi w:val="0"/>
              <w:spacing w:before="0" w:after="283"/>
              <w:jc w:val="left"/>
              <w:rPr/>
            </w:pPr>
            <w:r>
              <w:rPr/>
              <w:t>)</w:t>
            </w:r>
            <w:bookmarkStart w:id="473" w:name="xdx_438_c20230701__20230930_eus-gaap--Fa"/>
            <w:bookmarkEnd w:id="473"/>
          </w:p>
        </w:tc>
      </w:tr>
      <w:tr>
        <w:trPr/>
        <w:tc>
          <w:tcPr>
            <w:tcW w:w="3995" w:type="dxa"/>
            <w:tcBorders/>
            <w:shd w:fill="CCEEFF" w:val="clear"/>
            <w:vAlign w:val="center"/>
          </w:tcPr>
          <w:p>
            <w:pPr>
              <w:pStyle w:val="TableContents"/>
              <w:bidi w:val="0"/>
              <w:spacing w:before="0" w:after="283"/>
              <w:jc w:val="left"/>
              <w:rPr>
                <w:b/>
              </w:rPr>
            </w:pPr>
            <w:r>
              <w:rPr>
                <w:b/>
              </w:rPr>
              <w:t>Fair value as of September 30, 2023</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6" w:type="dxa"/>
            <w:tcBorders>
              <w:bottom w:val="double" w:sz="6" w:space="0" w:color="000000"/>
            </w:tcBorders>
            <w:shd w:fill="CCEEFF" w:val="clear"/>
            <w:tcMar>
              <w:bottom w:w="28" w:type="dxa"/>
            </w:tcMar>
            <w:vAlign w:val="center"/>
          </w:tcPr>
          <w:p>
            <w:pPr>
              <w:pStyle w:val="TableContents"/>
              <w:bidi w:val="0"/>
              <w:spacing w:before="0" w:after="283"/>
              <w:jc w:val="right"/>
              <w:rPr/>
            </w:pPr>
            <w:r>
              <w:rPr/>
              <w:t>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71" w:type="dxa"/>
            <w:tcBorders>
              <w:bottom w:val="double" w:sz="6" w:space="0" w:color="000000"/>
            </w:tcBorders>
            <w:shd w:fill="CCEEFF" w:val="clear"/>
            <w:tcMar>
              <w:bottom w:w="28" w:type="dxa"/>
            </w:tcMar>
            <w:vAlign w:val="center"/>
          </w:tcPr>
          <w:p>
            <w:pPr>
              <w:pStyle w:val="TableContents"/>
              <w:bidi w:val="0"/>
              <w:spacing w:before="0" w:after="283"/>
              <w:jc w:val="right"/>
              <w:rPr/>
            </w:pPr>
            <w:r>
              <w:rPr/>
              <w:t>13,149</w:t>
            </w:r>
          </w:p>
        </w:tc>
        <w:tc>
          <w:tcPr>
            <w:tcW w:w="110" w:type="dxa"/>
            <w:tcBorders/>
            <w:shd w:fill="CCEEFF" w:val="clear"/>
            <w:vAlign w:val="center"/>
          </w:tcPr>
          <w:p>
            <w:pPr>
              <w:pStyle w:val="TableContents"/>
              <w:bidi w:val="0"/>
              <w:spacing w:before="0" w:after="283"/>
              <w:jc w:val="left"/>
              <w:rPr/>
            </w:pPr>
            <w:r>
              <w:rPr/>
              <w:t> </w:t>
            </w:r>
            <w:bookmarkStart w:id="474" w:name="xdx_43C_c20230701__20230930_eus-gaap--Fa"/>
            <w:bookmarkEnd w:id="474"/>
          </w:p>
        </w:tc>
      </w:tr>
      <w:tr>
        <w:trPr/>
        <w:tc>
          <w:tcPr>
            <w:tcW w:w="3995" w:type="dxa"/>
            <w:tcBorders/>
            <w:shd w:fill="CCEEFF" w:val="clear"/>
            <w:vAlign w:val="center"/>
          </w:tcPr>
          <w:p>
            <w:pPr>
              <w:pStyle w:val="TableContents"/>
              <w:bidi w:val="0"/>
              <w:spacing w:before="0" w:after="283"/>
              <w:jc w:val="left"/>
              <w:rPr>
                <w:b/>
              </w:rPr>
            </w:pPr>
            <w:r>
              <w:rPr>
                <w:b/>
              </w:rPr>
              <w:t>Fair value, balance</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6" w:type="dxa"/>
            <w:tcBorders>
              <w:bottom w:val="double" w:sz="6" w:space="0" w:color="000000"/>
            </w:tcBorders>
            <w:shd w:fill="CCEEFF" w:val="clear"/>
            <w:tcMar>
              <w:bottom w:w="28" w:type="dxa"/>
            </w:tcMar>
            <w:vAlign w:val="center"/>
          </w:tcPr>
          <w:p>
            <w:pPr>
              <w:pStyle w:val="TableContents"/>
              <w:bidi w:val="0"/>
              <w:spacing w:before="0" w:after="283"/>
              <w:jc w:val="right"/>
              <w:rPr/>
            </w:pPr>
            <w:r>
              <w:rPr/>
              <w:t>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71" w:type="dxa"/>
            <w:tcBorders>
              <w:bottom w:val="double" w:sz="6" w:space="0" w:color="000000"/>
            </w:tcBorders>
            <w:shd w:fill="CCEEFF" w:val="clear"/>
            <w:tcMar>
              <w:bottom w:w="28" w:type="dxa"/>
            </w:tcMar>
            <w:vAlign w:val="center"/>
          </w:tcPr>
          <w:p>
            <w:pPr>
              <w:pStyle w:val="TableContents"/>
              <w:bidi w:val="0"/>
              <w:spacing w:before="0" w:after="283"/>
              <w:jc w:val="right"/>
              <w:rPr/>
            </w:pPr>
            <w:r>
              <w:rPr/>
              <w:t>13,149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right"/>
              <w:rPr>
                <w:rFonts w:ascii="Times New Roman;Times;Serif" w:hAnsi="Times New Roman;Times;Serif"/>
                <w:sz w:val="20"/>
              </w:rPr>
            </w:pPr>
            <w:bookmarkStart w:id="475" w:name="xdx_F07_z3gAwKUV4Cw9"/>
            <w:bookmarkEnd w:id="475"/>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i/>
                <w:sz w:val="20"/>
              </w:rPr>
            </w:pPr>
            <w:bookmarkStart w:id="476" w:name="xdx_F10_z3gOMVX2k4ba"/>
            <w:bookmarkEnd w:id="476"/>
            <w:r>
              <w:rPr>
                <w:rFonts w:ascii="Times New Roman;Times;Serif" w:hAnsi="Times New Roman;Times;Serif"/>
                <w:i/>
                <w:sz w:val="20"/>
              </w:rPr>
              <w:t>Changes in fair value of warrant liabilities are disclosed separately in the Condensed Consolidated Statements of Operations</w:t>
            </w:r>
          </w:p>
        </w:tc>
      </w:tr>
    </w:tbl>
    <w:p>
      <w:pPr>
        <w:pStyle w:val="TextBody"/>
        <w:bidi w:val="0"/>
        <w:spacing w:before="0" w:after="0"/>
        <w:ind w:left="0" w:right="0" w:hanging="0"/>
        <w:jc w:val="both"/>
        <w:rPr>
          <w:caps w:val="false"/>
          <w:smallCaps w:val="false"/>
        </w:rPr>
      </w:pPr>
      <w:bookmarkStart w:id="477" w:name="xdx_8A3_zIklHXtE8FWf"/>
      <w:bookmarkEnd w:id="47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78" w:name="xdx_80E_eus-gaap--InventoryDisclosureTex"/>
      <w:bookmarkEnd w:id="478"/>
      <w:r>
        <w:rPr>
          <w:rFonts w:ascii="Times New Roman;Times;Serif" w:hAnsi="Times New Roman;Times;Serif"/>
          <w:b/>
          <w:i w:val="false"/>
          <w:caps/>
          <w:sz w:val="20"/>
        </w:rPr>
        <w:t xml:space="preserve">Note 4 - </w:t>
      </w:r>
      <w:bookmarkStart w:id="479" w:name="xdx_82E_zA0Ec3Spb9te"/>
      <w:bookmarkEnd w:id="479"/>
      <w:r>
        <w:rPr>
          <w:rFonts w:ascii="Times New Roman;Times;Serif" w:hAnsi="Times New Roman;Times;Serif"/>
          <w:b/>
          <w:i w:val="false"/>
          <w:caps/>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0" w:name="xdx_892_eus-gaap--ScheduleOfInventoryCur"/>
      <w:bookmarkEnd w:id="480"/>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bookmarkStart w:id="481" w:name="xdx_8BF_zLVOldg8PEH5"/>
      <w:bookmarkEnd w:id="481"/>
      <w:r>
        <w:rPr>
          <w:rFonts w:ascii="Times New Roman;Times;Serif" w:hAnsi="Times New Roman;Times;Serif"/>
          <w:b w:val="false"/>
          <w:i w:val="false"/>
          <w:caps w:val="false"/>
          <w:smallCaps w:val="false"/>
          <w:sz w:val="20"/>
        </w:rPr>
        <w:t>SCHEDULE OF INVENTORY  </w:t>
      </w:r>
    </w:p>
    <w:tbl>
      <w:tblPr>
        <w:tblW w:w="5713" w:type="dxa"/>
        <w:jc w:val="left"/>
        <w:tblInd w:w="0" w:type="dxa"/>
        <w:tblLayout w:type="fixed"/>
        <w:tblCellMar>
          <w:top w:w="0" w:type="dxa"/>
          <w:left w:w="0" w:type="dxa"/>
          <w:bottom w:w="0" w:type="dxa"/>
          <w:right w:w="0" w:type="dxa"/>
        </w:tblCellMar>
      </w:tblPr>
      <w:tblGrid>
        <w:gridCol w:w="1490"/>
        <w:gridCol w:w="60"/>
        <w:gridCol w:w="343"/>
        <w:gridCol w:w="1671"/>
        <w:gridCol w:w="60"/>
        <w:gridCol w:w="60"/>
        <w:gridCol w:w="333"/>
        <w:gridCol w:w="1621"/>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2" w:name="xdx_497_20240930_zXvz9KAIyjLl"/>
            <w:bookmarkEnd w:id="482"/>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3" w:name="xdx_495_20231231_zXukG3rqBmn5"/>
            <w:bookmarkEnd w:id="48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bookmarkStart w:id="484" w:name="xdx_404_eus-gaap--InventoryRawMaterials_"/>
            <w:bookmarkEnd w:id="484"/>
          </w:p>
        </w:tc>
      </w:tr>
      <w:tr>
        <w:trPr/>
        <w:tc>
          <w:tcPr>
            <w:tcW w:w="1490" w:type="dxa"/>
            <w:tcBorders/>
            <w:shd w:fill="CCEEFF" w:val="clear"/>
            <w:vAlign w:val="center"/>
          </w:tcPr>
          <w:p>
            <w:pPr>
              <w:pStyle w:val="TableContents"/>
              <w:bidi w:val="0"/>
              <w:spacing w:before="0" w:after="283"/>
              <w:jc w:val="left"/>
              <w:rPr/>
            </w:pPr>
            <w:r>
              <w:rPr/>
              <w:t>Raw material</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20,692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31,604</w:t>
            </w:r>
          </w:p>
        </w:tc>
        <w:tc>
          <w:tcPr>
            <w:tcW w:w="75" w:type="dxa"/>
            <w:tcBorders/>
            <w:shd w:fill="CCEEFF" w:val="clear"/>
            <w:vAlign w:val="center"/>
          </w:tcPr>
          <w:p>
            <w:pPr>
              <w:pStyle w:val="TableContents"/>
              <w:bidi w:val="0"/>
              <w:spacing w:before="0" w:after="283"/>
              <w:jc w:val="left"/>
              <w:rPr/>
            </w:pPr>
            <w:r>
              <w:rPr/>
              <w:t> </w:t>
            </w:r>
            <w:bookmarkStart w:id="485" w:name="xdx_401_eus-gaap--InventoryFinishedGoods"/>
            <w:bookmarkEnd w:id="485"/>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FFFFFF" w:val="clear"/>
            <w:tcMar>
              <w:bottom w:w="28" w:type="dxa"/>
            </w:tcMar>
            <w:vAlign w:val="center"/>
          </w:tcPr>
          <w:p>
            <w:pPr>
              <w:pStyle w:val="TableContents"/>
              <w:bidi w:val="0"/>
              <w:spacing w:before="0" w:after="283"/>
              <w:jc w:val="right"/>
              <w:rPr/>
            </w:pPr>
            <w:r>
              <w:rPr/>
              <w:t>3,321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pPr>
            <w:r>
              <w:rPr/>
              <w:t>7,174</w:t>
            </w:r>
          </w:p>
        </w:tc>
        <w:tc>
          <w:tcPr>
            <w:tcW w:w="75" w:type="dxa"/>
            <w:tcBorders/>
            <w:shd w:fill="FFFFFF" w:val="clear"/>
            <w:vAlign w:val="center"/>
          </w:tcPr>
          <w:p>
            <w:pPr>
              <w:pStyle w:val="TableContents"/>
              <w:bidi w:val="0"/>
              <w:spacing w:before="0" w:after="283"/>
              <w:jc w:val="left"/>
              <w:rPr/>
            </w:pPr>
            <w:r>
              <w:rPr/>
              <w:t> </w:t>
            </w:r>
            <w:bookmarkStart w:id="486" w:name="xdx_40B_eus-gaap--InventoryNet_iTI_pn3n3"/>
            <w:bookmarkEnd w:id="486"/>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24,013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pPr>
            <w:r>
              <w:rPr/>
              <w:t>38,778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7" w:name="xdx_8A6_zyKUNlGm6Ux8"/>
      <w:bookmarkEnd w:id="487"/>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88" w:name="xdx_808_eus-gaap--CommitmentsAndContinge"/>
      <w:bookmarkEnd w:id="488"/>
      <w:r>
        <w:rPr>
          <w:rFonts w:ascii="Times New Roman;Times;Serif" w:hAnsi="Times New Roman;Times;Serif"/>
          <w:b/>
          <w:i w:val="false"/>
          <w:caps/>
          <w:sz w:val="20"/>
        </w:rPr>
        <w:t xml:space="preserve">Note 5 - </w:t>
      </w:r>
      <w:bookmarkStart w:id="489" w:name="xdx_825_zspg2ueNAVOf"/>
      <w:bookmarkEnd w:id="489"/>
      <w:r>
        <w:rPr>
          <w:rFonts w:ascii="Times New Roman;Times;Serif" w:hAnsi="Times New Roman;Times;Serif"/>
          <w:b/>
          <w:i w:val="false"/>
          <w:caps/>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engineering office, and sales office, all located in Reno, Nevada. The leases require annual escalating monthly payments ranging from $</w:t>
      </w:r>
      <w:bookmarkStart w:id="490" w:name="xdx_908_eus-gaap--OperatingLeasePayments"/>
      <w:bookmarkEnd w:id="490"/>
      <w:r>
        <w:rPr>
          <w:rFonts w:ascii="Times New Roman;Times;Serif" w:hAnsi="Times New Roman;Times;Serif"/>
          <w:b w:val="false"/>
          <w:i w:val="false"/>
          <w:caps w:val="false"/>
          <w:smallCaps w:val="false"/>
          <w:sz w:val="20"/>
        </w:rPr>
        <w:t>111 to $</w:t>
      </w:r>
      <w:bookmarkStart w:id="491" w:name="xdx_90F_eus-gaap--OperatingLeasePayments"/>
      <w:bookmarkEnd w:id="491"/>
      <w:r>
        <w:rPr>
          <w:rFonts w:ascii="Times New Roman;Times;Serif" w:hAnsi="Times New Roman;Times;Serif"/>
          <w:b w:val="false"/>
          <w:i w:val="false"/>
          <w:caps w:val="false"/>
          <w:smallCaps w:val="false"/>
          <w:sz w:val="20"/>
        </w:rPr>
        <w:t>309. On February 2, 2022, the Company entered into a 124-month lease agreement in Reno, Nevada. The lease calls for monthly base rent of $</w:t>
      </w:r>
      <w:bookmarkStart w:id="492" w:name="xdx_903_ecustom--LesseeOperatingLeaseMon"/>
      <w:bookmarkEnd w:id="492"/>
      <w:r>
        <w:rPr>
          <w:rFonts w:ascii="Times New Roman;Times;Serif" w:hAnsi="Times New Roman;Times;Serif"/>
          <w:b w:val="false"/>
          <w:i w:val="false"/>
          <w:caps w:val="false"/>
          <w:smallCaps w:val="false"/>
          <w:sz w:val="20"/>
        </w:rPr>
        <w:t>230, $</w:t>
      </w:r>
      <w:bookmarkStart w:id="493" w:name="xdx_90F_eus-gaap--OperatingLeaseCost_pn3"/>
      <w:bookmarkEnd w:id="493"/>
      <w:r>
        <w:rPr>
          <w:rFonts w:ascii="Times New Roman;Times;Serif" w:hAnsi="Times New Roman;Times;Serif"/>
          <w:b w:val="false"/>
          <w:i w:val="false"/>
          <w:caps w:val="false"/>
          <w:smallCaps w:val="false"/>
          <w:sz w:val="20"/>
        </w:rPr>
        <w:t>23 of fixed operating expense costs, and estimated monthly property taxes of $</w:t>
      </w:r>
      <w:bookmarkStart w:id="494" w:name="xdx_901_ecustom--LesseeOperatingLeaseEst"/>
      <w:bookmarkEnd w:id="494"/>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495" w:name="xdx_90E_ecustom--LesseeOperatingLeasePer"/>
      <w:bookmarkEnd w:id="495"/>
      <w:r>
        <w:rPr>
          <w:rFonts w:ascii="Times New Roman;Times;Serif" w:hAnsi="Times New Roman;Times;Serif"/>
          <w:b w:val="false"/>
          <w:i w:val="false"/>
          <w:caps w:val="false"/>
          <w:smallCaps w:val="false"/>
          <w:sz w:val="20"/>
        </w:rPr>
        <w:t xml:space="preserve">3% and </w:t>
      </w:r>
      <w:bookmarkStart w:id="496" w:name="xdx_90B_ecustom--LesseeOperatingLeasePer"/>
      <w:bookmarkEnd w:id="496"/>
      <w:r>
        <w:rPr>
          <w:rFonts w:ascii="Times New Roman;Times;Serif" w:hAnsi="Times New Roman;Times;Serif"/>
          <w:b w:val="false"/>
          <w:i w:val="false"/>
          <w:caps w:val="false"/>
          <w:smallCaps w:val="false"/>
          <w:sz w:val="20"/>
        </w:rPr>
        <w:t>2.4%, respectively, on an annual basis. A certificate of substantial completion has been issued and the lease commencement date was March 25, 2024. The Company began paying monthly rent under the lease on July 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entered into a lease agreement, pursuant to which the Company agreed to lease an approximately </w:t>
      </w:r>
      <w:bookmarkStart w:id="497" w:name="xdx_90C_eus-gaap--AreaOfLand_iI_usqft_c2"/>
      <w:bookmarkEnd w:id="497"/>
      <w:r>
        <w:rPr>
          <w:rFonts w:ascii="Times New Roman;Times;Serif" w:hAnsi="Times New Roman;Times;Serif"/>
          <w:b w:val="false"/>
          <w:i w:val="false"/>
          <w:caps w:val="false"/>
          <w:smallCaps w:val="false"/>
          <w:sz w:val="20"/>
        </w:rPr>
        <w:t>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is $</w:t>
      </w:r>
      <w:bookmarkStart w:id="498" w:name="xdx_90A_eus-gaap--PaymentsForRent_pn3n3_"/>
      <w:bookmarkEnd w:id="498"/>
      <w:r>
        <w:rPr>
          <w:rFonts w:ascii="Times New Roman;Times;Serif" w:hAnsi="Times New Roman;Times;Serif"/>
          <w:b w:val="false"/>
          <w:i w:val="false"/>
          <w:caps w:val="false"/>
          <w:smallCaps w:val="false"/>
          <w:sz w:val="20"/>
        </w:rPr>
        <w:t>45 for the first ten months, starting June 1, 2024, and is subject to a three percent (</w:t>
      </w:r>
      <w:bookmarkStart w:id="499" w:name="xdx_90E_ecustom--LeaseTermPercentage_pid"/>
      <w:bookmarkEnd w:id="499"/>
      <w:r>
        <w:rPr>
          <w:rFonts w:ascii="Times New Roman;Times;Serif" w:hAnsi="Times New Roman;Times;Serif"/>
          <w:b w:val="false"/>
          <w:i w:val="false"/>
          <w:caps w:val="false"/>
          <w:smallCaps w:val="false"/>
          <w:sz w:val="20"/>
        </w:rPr>
        <w:t>3.0%) increase on the anniversary of the Lease Commencement Date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w:t>
      </w:r>
      <w:bookmarkStart w:id="500" w:name="xdx_90B_eus-gaap--SecurityDeposit_iI_pn3"/>
      <w:bookmarkEnd w:id="500"/>
      <w:r>
        <w:rPr>
          <w:rFonts w:ascii="Times New Roman;Times;Serif" w:hAnsi="Times New Roman;Times;Serif"/>
          <w:b w:val="false"/>
          <w:i w:val="false"/>
          <w:caps w:val="false"/>
          <w:smallCaps w:val="false"/>
          <w:sz w:val="20"/>
        </w:rPr>
        <w:t>50.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1" w:name="xdx_890_ecustom--ScheduleOfBreakoutOfOpe"/>
      <w:bookmarkEnd w:id="501"/>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both"/>
        <w:rPr>
          <w:caps w:val="false"/>
          <w:smallCaps w:val="false"/>
        </w:rPr>
      </w:pPr>
      <w:r>
        <w:rPr>
          <w:caps w:val="false"/>
          <w:smallCaps w:val="false"/>
        </w:rPr>
        <w:t> </w:t>
      </w:r>
      <w:bookmarkStart w:id="502" w:name="xdx_8BD_zBnftaHWhpv7"/>
      <w:bookmarkEnd w:id="502"/>
      <w:r>
        <w:rPr>
          <w:rFonts w:ascii="Times New Roman;Times;Serif" w:hAnsi="Times New Roman;Times;Serif"/>
          <w:b w:val="false"/>
          <w:i w:val="false"/>
          <w:caps w:val="false"/>
          <w:smallCaps w:val="false"/>
          <w:sz w:val="20"/>
        </w:rPr>
        <w:t>SCHEDULE OF BREAKOUT OF OPERATING LEASES  </w:t>
      </w:r>
    </w:p>
    <w:tbl>
      <w:tblPr>
        <w:tblW w:w="8289" w:type="dxa"/>
        <w:jc w:val="left"/>
        <w:tblInd w:w="0" w:type="dxa"/>
        <w:tblLayout w:type="fixed"/>
        <w:tblCellMar>
          <w:top w:w="0" w:type="dxa"/>
          <w:left w:w="0" w:type="dxa"/>
          <w:bottom w:w="0" w:type="dxa"/>
          <w:right w:w="0" w:type="dxa"/>
        </w:tblCellMar>
      </w:tblPr>
      <w:tblGrid>
        <w:gridCol w:w="3755"/>
        <w:gridCol w:w="60"/>
        <w:gridCol w:w="343"/>
        <w:gridCol w:w="1671"/>
        <w:gridCol w:w="215"/>
        <w:gridCol w:w="60"/>
        <w:gridCol w:w="391"/>
        <w:gridCol w:w="1564"/>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3" w:name="xdx_496_20240930_zdI5MYiKQFg"/>
            <w:bookmarkEnd w:id="503"/>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4" w:name="xdx_499_20231231_zSGKUTw7U2h8"/>
            <w:bookmarkEnd w:id="504"/>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230" w:type="dxa"/>
            <w:tcBorders/>
            <w:vAlign w:val="center"/>
          </w:tcPr>
          <w:p>
            <w:pPr>
              <w:pStyle w:val="TableContents"/>
              <w:bidi w:val="0"/>
              <w:spacing w:before="0" w:after="283"/>
              <w:jc w:val="left"/>
              <w:rPr/>
            </w:pPr>
            <w:r>
              <w:rPr/>
              <w:t> </w:t>
            </w:r>
            <w:bookmarkStart w:id="505" w:name="xdx_40E_eus-gaap--OperatingLeaseRightOfU"/>
            <w:bookmarkEnd w:id="505"/>
          </w:p>
        </w:tc>
      </w:tr>
      <w:tr>
        <w:trPr/>
        <w:tc>
          <w:tcPr>
            <w:tcW w:w="375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single" w:sz="8" w:space="0" w:color="000000"/>
            </w:tcBorders>
            <w:shd w:fill="CCEEFF" w:val="clear"/>
            <w:tcMar>
              <w:bottom w:w="28" w:type="dxa"/>
            </w:tcMar>
            <w:vAlign w:val="center"/>
          </w:tcPr>
          <w:p>
            <w:pPr>
              <w:pStyle w:val="TableContents"/>
              <w:bidi w:val="0"/>
              <w:spacing w:before="0" w:after="283"/>
              <w:jc w:val="right"/>
              <w:rPr/>
            </w:pPr>
            <w:r>
              <w:rPr/>
              <w:t>20,383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3,315</w:t>
            </w:r>
          </w:p>
        </w:tc>
        <w:tc>
          <w:tcPr>
            <w:tcW w:w="230" w:type="dxa"/>
            <w:tcBorders/>
            <w:shd w:fill="CCEEFF" w:val="clear"/>
            <w:vAlign w:val="center"/>
          </w:tcPr>
          <w:p>
            <w:pPr>
              <w:pStyle w:val="TableContents"/>
              <w:bidi w:val="0"/>
              <w:spacing w:before="0" w:after="283"/>
              <w:jc w:val="left"/>
              <w:rPr/>
            </w:pPr>
            <w:r>
              <w:rPr/>
              <w:t> </w:t>
            </w:r>
            <w:bookmarkStart w:id="506" w:name="xdx_402_eus-gaap--OperatingLeaseLiabilit"/>
            <w:bookmarkEnd w:id="506"/>
          </w:p>
        </w:tc>
      </w:tr>
      <w:tr>
        <w:trPr/>
        <w:tc>
          <w:tcPr>
            <w:tcW w:w="3755"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2,867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1,288</w:t>
            </w:r>
          </w:p>
        </w:tc>
        <w:tc>
          <w:tcPr>
            <w:tcW w:w="230" w:type="dxa"/>
            <w:tcBorders/>
            <w:shd w:fill="FFFFFF" w:val="clear"/>
            <w:vAlign w:val="center"/>
          </w:tcPr>
          <w:p>
            <w:pPr>
              <w:pStyle w:val="TableContents"/>
              <w:bidi w:val="0"/>
              <w:spacing w:before="0" w:after="283"/>
              <w:jc w:val="left"/>
              <w:rPr/>
            </w:pPr>
            <w:r>
              <w:rPr/>
              <w:t> </w:t>
            </w:r>
            <w:bookmarkStart w:id="507" w:name="xdx_401_eus-gaap--OperatingLeaseLiabilit"/>
            <w:bookmarkEnd w:id="507"/>
          </w:p>
        </w:tc>
      </w:tr>
      <w:tr>
        <w:trPr/>
        <w:tc>
          <w:tcPr>
            <w:tcW w:w="3755"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CCEEFF" w:val="clear"/>
            <w:tcMar>
              <w:bottom w:w="28" w:type="dxa"/>
            </w:tcMar>
            <w:vAlign w:val="center"/>
          </w:tcPr>
          <w:p>
            <w:pPr>
              <w:pStyle w:val="TableContents"/>
              <w:bidi w:val="0"/>
              <w:spacing w:before="0" w:after="283"/>
              <w:jc w:val="right"/>
              <w:rPr/>
            </w:pPr>
            <w:r>
              <w:rPr/>
              <w:t>23,330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2,234</w:t>
            </w:r>
          </w:p>
        </w:tc>
        <w:tc>
          <w:tcPr>
            <w:tcW w:w="230" w:type="dxa"/>
            <w:tcBorders/>
            <w:shd w:fill="CCEEFF" w:val="clear"/>
            <w:vAlign w:val="center"/>
          </w:tcPr>
          <w:p>
            <w:pPr>
              <w:pStyle w:val="TableContents"/>
              <w:bidi w:val="0"/>
              <w:spacing w:before="0" w:after="283"/>
              <w:jc w:val="left"/>
              <w:rPr/>
            </w:pPr>
            <w:r>
              <w:rPr/>
              <w:t> </w:t>
            </w:r>
            <w:bookmarkStart w:id="508" w:name="xdx_409_eus-gaap--OperatingLeaseLiabilit"/>
            <w:bookmarkEnd w:id="508"/>
          </w:p>
        </w:tc>
      </w:tr>
      <w:tr>
        <w:trPr/>
        <w:tc>
          <w:tcPr>
            <w:tcW w:w="3755"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shd w:fill="FFFFFF" w:val="clear"/>
            <w:tcMar>
              <w:bottom w:w="28" w:type="dxa"/>
            </w:tcMar>
            <w:vAlign w:val="center"/>
          </w:tcPr>
          <w:p>
            <w:pPr>
              <w:pStyle w:val="TableContents"/>
              <w:bidi w:val="0"/>
              <w:spacing w:before="0" w:after="283"/>
              <w:jc w:val="right"/>
              <w:rPr/>
            </w:pPr>
            <w:r>
              <w:rPr/>
              <w:t>26,197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FFFFFF" w:val="clear"/>
            <w:tcMar>
              <w:bottom w:w="28" w:type="dxa"/>
            </w:tcMar>
            <w:vAlign w:val="center"/>
          </w:tcPr>
          <w:p>
            <w:pPr>
              <w:pStyle w:val="TableContents"/>
              <w:bidi w:val="0"/>
              <w:spacing w:before="0" w:after="283"/>
              <w:jc w:val="right"/>
              <w:rPr/>
            </w:pPr>
            <w:r>
              <w:rPr/>
              <w:t>3,522</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rFonts w:ascii="Times New Roman;Times;Serif" w:hAnsi="Times New Roman;Times;Serif"/>
                <w:sz w:val="20"/>
              </w:rPr>
            </w:pPr>
            <w:bookmarkStart w:id="509" w:name="xdx_905_eus-gaap--OperatingLeaseWeighted"/>
            <w:bookmarkEnd w:id="509"/>
            <w:r>
              <w:rPr>
                <w:rFonts w:ascii="Times New Roman;Times;Serif" w:hAnsi="Times New Roman;Times;Serif"/>
                <w:sz w:val="20"/>
              </w:rPr>
              <w:t>8.62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bookmarkStart w:id="510" w:name="xdx_900_eus-gaap--OperatingLeaseWeighted"/>
            <w:bookmarkEnd w:id="510"/>
            <w:r>
              <w:rPr>
                <w:rFonts w:ascii="Times New Roman;Times;Serif" w:hAnsi="Times New Roman;Times;Serif"/>
                <w:sz w:val="20"/>
              </w:rPr>
              <w:t>2.6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bookmarkStart w:id="511" w:name="xdx_904_eus-gaap--OperatingLeaseWeighted"/>
            <w:bookmarkEnd w:id="511"/>
            <w:r>
              <w:rPr/>
              <w:t>7.84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bookmarkStart w:id="512" w:name="xdx_90A_eus-gaap--OperatingLeaseWeighted"/>
            <w:bookmarkEnd w:id="512"/>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13" w:name="xdx_8AF_zclEZh8Z6tqh"/>
      <w:bookmarkEnd w:id="51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the Company’s incremental borrowing rate include its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4" w:name="xdx_89A_eus-gaap--LesseeOperatingLeaseLi"/>
      <w:bookmarkEnd w:id="514"/>
      <w:r>
        <w:rPr>
          <w:rFonts w:ascii="Times New Roman;Times;Serif" w:hAnsi="Times New Roman;Times;Serif"/>
          <w:b w:val="false"/>
          <w:i w:val="false"/>
          <w:caps w:val="false"/>
          <w:smallCaps w:val="false"/>
          <w:sz w:val="20"/>
        </w:rPr>
        <w:t>At September 30, 2024,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bookmarkStart w:id="515" w:name="xdx_8B5_zwQkKRKaK1Ca"/>
      <w:bookmarkEnd w:id="515"/>
      <w:r>
        <w:rPr>
          <w:rFonts w:ascii="Times New Roman;Times;Serif" w:hAnsi="Times New Roman;Times;Serif"/>
          <w:b w:val="false"/>
          <w:i w:val="false"/>
          <w:caps w:val="false"/>
          <w:smallCaps w:val="false"/>
          <w:sz w:val="20"/>
        </w:rPr>
        <w:t>SCHEDULE OF FUTURE MINIMUM LEASE PAYMENTS UNDER OPERATING LEASES  </w:t>
      </w:r>
    </w:p>
    <w:tbl>
      <w:tblPr>
        <w:tblW w:w="3855" w:type="dxa"/>
        <w:jc w:val="left"/>
        <w:tblInd w:w="0" w:type="dxa"/>
        <w:tblLayout w:type="fixed"/>
        <w:tblCellMar>
          <w:top w:w="0" w:type="dxa"/>
          <w:left w:w="0" w:type="dxa"/>
          <w:bottom w:w="28" w:type="dxa"/>
          <w:right w:w="0" w:type="dxa"/>
        </w:tblCellMar>
      </w:tblPr>
      <w:tblGrid>
        <w:gridCol w:w="2900"/>
        <w:gridCol w:w="60"/>
        <w:gridCol w:w="140"/>
        <w:gridCol w:w="680"/>
        <w:gridCol w:w="75"/>
      </w:tblGrid>
      <w:tr>
        <w:trPr/>
        <w:tc>
          <w:tcPr>
            <w:tcW w:w="2900" w:type="dxa"/>
            <w:tcBorders>
              <w:bottom w:val="single" w:sz="8" w:space="0" w:color="000000"/>
            </w:tcBorders>
            <w:vAlign w:val="center"/>
          </w:tcPr>
          <w:p>
            <w:pPr>
              <w:pStyle w:val="TableContents"/>
              <w:bidi w:val="0"/>
              <w:spacing w:before="0" w:after="283"/>
              <w:jc w:val="left"/>
              <w:rPr>
                <w:b/>
              </w:rPr>
            </w:pPr>
            <w:r>
              <w:rPr>
                <w:b/>
              </w:rPr>
              <w:t>Fiscal Years Ending</w:t>
            </w:r>
          </w:p>
        </w:tc>
        <w:tc>
          <w:tcPr>
            <w:tcW w:w="60" w:type="dxa"/>
            <w:tcBorders/>
            <w:tcMar>
              <w:bottom w:w="0" w:type="dxa"/>
            </w:tcMar>
            <w:vAlign w:val="center"/>
          </w:tcPr>
          <w:p>
            <w:pPr>
              <w:pStyle w:val="TableContents"/>
              <w:bidi w:val="0"/>
              <w:spacing w:before="0" w:after="283"/>
              <w:jc w:val="left"/>
              <w:rPr/>
            </w:pPr>
            <w:r>
              <w:rPr/>
              <w:t> </w:t>
            </w:r>
            <w:bookmarkStart w:id="516" w:name="xdx_490_20240930_zVCX2q5K1Plj"/>
            <w:bookmarkEnd w:id="516"/>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bookmarkStart w:id="517" w:name="xdx_405_eus-gaap--LesseeOperatingLeaseLi"/>
            <w:bookmarkEnd w:id="517"/>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2024</w:t>
            </w:r>
            <w:bookmarkStart w:id="518" w:name="xdx_F4E_zhv3lSPRk7O1"/>
            <w:bookmarkEnd w:id="518"/>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1,187</w:t>
            </w:r>
          </w:p>
        </w:tc>
        <w:tc>
          <w:tcPr>
            <w:tcW w:w="75" w:type="dxa"/>
            <w:tcBorders/>
            <w:shd w:fill="CCEEFF" w:val="clear"/>
            <w:tcMar>
              <w:bottom w:w="0" w:type="dxa"/>
            </w:tcMar>
            <w:vAlign w:val="center"/>
          </w:tcPr>
          <w:p>
            <w:pPr>
              <w:pStyle w:val="TableContents"/>
              <w:bidi w:val="0"/>
              <w:spacing w:before="0" w:after="283"/>
              <w:jc w:val="left"/>
              <w:rPr/>
            </w:pPr>
            <w:r>
              <w:rPr/>
              <w:t> </w:t>
            </w:r>
            <w:bookmarkStart w:id="519" w:name="xdx_40C_eus-gaap--LesseeOperatingLeaseLi"/>
            <w:bookmarkEnd w:id="519"/>
          </w:p>
        </w:tc>
      </w:tr>
      <w:tr>
        <w:trPr/>
        <w:tc>
          <w:tcPr>
            <w:tcW w:w="2900" w:type="dxa"/>
            <w:tcBorders/>
            <w:shd w:fill="FFFFFF" w:val="clear"/>
            <w:tcMar>
              <w:bottom w:w="0" w:type="dxa"/>
            </w:tcMar>
            <w:vAlign w:val="center"/>
          </w:tcPr>
          <w:p>
            <w:pPr>
              <w:pStyle w:val="TableContents"/>
              <w:bidi w:val="0"/>
              <w:spacing w:before="0" w:after="283"/>
              <w:jc w:val="left"/>
              <w:rPr/>
            </w:pPr>
            <w:r>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4,817</w:t>
            </w:r>
          </w:p>
        </w:tc>
        <w:tc>
          <w:tcPr>
            <w:tcW w:w="75" w:type="dxa"/>
            <w:tcBorders/>
            <w:shd w:fill="FFFFFF" w:val="clear"/>
            <w:tcMar>
              <w:bottom w:w="0" w:type="dxa"/>
            </w:tcMar>
            <w:vAlign w:val="center"/>
          </w:tcPr>
          <w:p>
            <w:pPr>
              <w:pStyle w:val="TableContents"/>
              <w:bidi w:val="0"/>
              <w:spacing w:before="0" w:after="283"/>
              <w:jc w:val="left"/>
              <w:rPr/>
            </w:pPr>
            <w:r>
              <w:rPr/>
              <w:t> </w:t>
            </w:r>
            <w:bookmarkStart w:id="520" w:name="xdx_40B_eus-gaap--LesseeOperatingLeaseLi"/>
            <w:bookmarkEnd w:id="520"/>
          </w:p>
        </w:tc>
      </w:tr>
      <w:tr>
        <w:trPr/>
        <w:tc>
          <w:tcPr>
            <w:tcW w:w="2900" w:type="dxa"/>
            <w:tcBorders/>
            <w:shd w:fill="CCEEFF" w:val="clear"/>
            <w:tcMar>
              <w:bottom w:w="0" w:type="dxa"/>
            </w:tcMar>
            <w:vAlign w:val="center"/>
          </w:tcPr>
          <w:p>
            <w:pPr>
              <w:pStyle w:val="TableContents"/>
              <w:bidi w:val="0"/>
              <w:spacing w:before="0" w:after="283"/>
              <w:jc w:val="left"/>
              <w:rPr/>
            </w:pPr>
            <w:r>
              <w:rPr/>
              <w:t>December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4,376</w:t>
            </w:r>
          </w:p>
        </w:tc>
        <w:tc>
          <w:tcPr>
            <w:tcW w:w="75" w:type="dxa"/>
            <w:tcBorders/>
            <w:shd w:fill="CCEEFF" w:val="clear"/>
            <w:tcMar>
              <w:bottom w:w="0" w:type="dxa"/>
            </w:tcMar>
            <w:vAlign w:val="center"/>
          </w:tcPr>
          <w:p>
            <w:pPr>
              <w:pStyle w:val="TableContents"/>
              <w:bidi w:val="0"/>
              <w:spacing w:before="0" w:after="283"/>
              <w:jc w:val="left"/>
              <w:rPr/>
            </w:pPr>
            <w:r>
              <w:rPr/>
              <w:t> </w:t>
            </w:r>
            <w:bookmarkStart w:id="521" w:name="xdx_403_eus-gaap--LesseeOperatingLeaseLi"/>
            <w:bookmarkEnd w:id="521"/>
          </w:p>
        </w:tc>
      </w:tr>
      <w:tr>
        <w:trPr/>
        <w:tc>
          <w:tcPr>
            <w:tcW w:w="2900" w:type="dxa"/>
            <w:tcBorders/>
            <w:shd w:fill="FFFFFF" w:val="clear"/>
            <w:tcMar>
              <w:bottom w:w="0" w:type="dxa"/>
            </w:tcMar>
            <w:vAlign w:val="center"/>
          </w:tcPr>
          <w:p>
            <w:pPr>
              <w:pStyle w:val="TableContents"/>
              <w:bidi w:val="0"/>
              <w:spacing w:before="0" w:after="283"/>
              <w:jc w:val="left"/>
              <w:rPr/>
            </w:pPr>
            <w:r>
              <w:rPr/>
              <w:t>December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3,588</w:t>
            </w:r>
          </w:p>
        </w:tc>
        <w:tc>
          <w:tcPr>
            <w:tcW w:w="75" w:type="dxa"/>
            <w:tcBorders/>
            <w:shd w:fill="FFFFFF" w:val="clear"/>
            <w:tcMar>
              <w:bottom w:w="0" w:type="dxa"/>
            </w:tcMar>
            <w:vAlign w:val="center"/>
          </w:tcPr>
          <w:p>
            <w:pPr>
              <w:pStyle w:val="TableContents"/>
              <w:bidi w:val="0"/>
              <w:spacing w:before="0" w:after="283"/>
              <w:jc w:val="left"/>
              <w:rPr/>
            </w:pPr>
            <w:r>
              <w:rPr/>
              <w:t> </w:t>
            </w:r>
            <w:bookmarkStart w:id="522" w:name="xdx_40E_eus-gaap--LesseeOperatingLeaseLi"/>
            <w:bookmarkEnd w:id="522"/>
          </w:p>
        </w:tc>
      </w:tr>
      <w:tr>
        <w:trPr/>
        <w:tc>
          <w:tcPr>
            <w:tcW w:w="2900" w:type="dxa"/>
            <w:tcBorders/>
            <w:shd w:fill="CCEEFF" w:val="clear"/>
            <w:tcMar>
              <w:bottom w:w="0" w:type="dxa"/>
            </w:tcMar>
            <w:vAlign w:val="center"/>
          </w:tcPr>
          <w:p>
            <w:pPr>
              <w:pStyle w:val="TableContents"/>
              <w:bidi w:val="0"/>
              <w:spacing w:before="0" w:after="283"/>
              <w:jc w:val="left"/>
              <w:rPr/>
            </w:pPr>
            <w:r>
              <w:rPr/>
              <w:t>December 31,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3,695</w:t>
            </w:r>
          </w:p>
        </w:tc>
        <w:tc>
          <w:tcPr>
            <w:tcW w:w="75" w:type="dxa"/>
            <w:tcBorders/>
            <w:shd w:fill="CCEEFF" w:val="clear"/>
            <w:tcMar>
              <w:bottom w:w="0" w:type="dxa"/>
            </w:tcMar>
            <w:vAlign w:val="center"/>
          </w:tcPr>
          <w:p>
            <w:pPr>
              <w:pStyle w:val="TableContents"/>
              <w:bidi w:val="0"/>
              <w:spacing w:before="0" w:after="283"/>
              <w:jc w:val="left"/>
              <w:rPr/>
            </w:pPr>
            <w:r>
              <w:rPr/>
              <w:t> </w:t>
            </w:r>
            <w:bookmarkStart w:id="523" w:name="xdx_401_ecustom--LesseeOperatingLeaseLia"/>
            <w:bookmarkEnd w:id="523"/>
          </w:p>
        </w:tc>
      </w:tr>
      <w:tr>
        <w:trPr/>
        <w:tc>
          <w:tcPr>
            <w:tcW w:w="290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19,325</w:t>
            </w:r>
          </w:p>
        </w:tc>
        <w:tc>
          <w:tcPr>
            <w:tcW w:w="75" w:type="dxa"/>
            <w:tcBorders/>
            <w:shd w:fill="FFFFFF" w:val="clear"/>
            <w:tcMar>
              <w:bottom w:w="0" w:type="dxa"/>
            </w:tcMar>
            <w:vAlign w:val="center"/>
          </w:tcPr>
          <w:p>
            <w:pPr>
              <w:pStyle w:val="TableContents"/>
              <w:bidi w:val="0"/>
              <w:spacing w:before="0" w:after="283"/>
              <w:jc w:val="left"/>
              <w:rPr/>
            </w:pPr>
            <w:r>
              <w:rPr/>
              <w:t> </w:t>
            </w:r>
            <w:bookmarkStart w:id="524" w:name="xdx_40F_eus-gaap--LesseeOperatingLeaseLi"/>
            <w:bookmarkEnd w:id="524"/>
          </w:p>
        </w:tc>
      </w:tr>
      <w:tr>
        <w:trPr/>
        <w:tc>
          <w:tcPr>
            <w:tcW w:w="2900" w:type="dxa"/>
            <w:tcBorders/>
            <w:shd w:fill="CCEEFF" w:val="clear"/>
            <w:tcMar>
              <w:bottom w:w="0" w:type="dxa"/>
            </w:tcMar>
            <w:vAlign w:val="center"/>
          </w:tcPr>
          <w:p>
            <w:pPr>
              <w:pStyle w:val="TableContents"/>
              <w:bidi w:val="0"/>
              <w:spacing w:before="0" w:after="283"/>
              <w:jc w:val="left"/>
              <w:rPr/>
            </w:pPr>
            <w:r>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36,988</w:t>
            </w:r>
          </w:p>
        </w:tc>
        <w:tc>
          <w:tcPr>
            <w:tcW w:w="75" w:type="dxa"/>
            <w:tcBorders/>
            <w:shd w:fill="CCEEFF" w:val="clear"/>
            <w:tcMar>
              <w:bottom w:w="0" w:type="dxa"/>
            </w:tcMar>
            <w:vAlign w:val="center"/>
          </w:tcPr>
          <w:p>
            <w:pPr>
              <w:pStyle w:val="TableContents"/>
              <w:bidi w:val="0"/>
              <w:spacing w:before="0" w:after="283"/>
              <w:jc w:val="left"/>
              <w:rPr/>
            </w:pPr>
            <w:r>
              <w:rPr/>
              <w:t> </w:t>
            </w:r>
            <w:bookmarkStart w:id="525" w:name="xdx_40E_eus-gaap--LesseeOperatingLeaseLi"/>
            <w:bookmarkEnd w:id="525"/>
          </w:p>
        </w:tc>
      </w:tr>
      <w:tr>
        <w:trPr/>
        <w:tc>
          <w:tcPr>
            <w:tcW w:w="2900"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10,791</w:t>
            </w:r>
          </w:p>
        </w:tc>
        <w:tc>
          <w:tcPr>
            <w:tcW w:w="75" w:type="dxa"/>
            <w:tcBorders/>
            <w:shd w:fill="FFFFFF" w:val="clear"/>
            <w:tcMar>
              <w:bottom w:w="0" w:type="dxa"/>
            </w:tcMar>
            <w:vAlign w:val="center"/>
          </w:tcPr>
          <w:p>
            <w:pPr>
              <w:pStyle w:val="TableContents"/>
              <w:bidi w:val="0"/>
              <w:spacing w:before="0" w:after="283"/>
              <w:jc w:val="left"/>
              <w:rPr/>
            </w:pPr>
            <w:r>
              <w:rPr/>
              <w:t> </w:t>
            </w:r>
            <w:bookmarkStart w:id="526" w:name="xdx_40A_eus-gaap--OperatingLeaseLiabilit"/>
            <w:bookmarkEnd w:id="526"/>
          </w:p>
        </w:tc>
      </w:tr>
      <w:tr>
        <w:trPr/>
        <w:tc>
          <w:tcPr>
            <w:tcW w:w="2900" w:type="dxa"/>
            <w:tcBorders/>
            <w:shd w:fill="CCEEFF" w:val="clear"/>
            <w:tcMar>
              <w:bottom w:w="0" w:type="dxa"/>
            </w:tcMar>
            <w:vAlign w:val="center"/>
          </w:tcPr>
          <w:p>
            <w:pPr>
              <w:pStyle w:val="TableContents"/>
              <w:bidi w:val="0"/>
              <w:spacing w:before="0" w:after="283"/>
              <w:jc w:val="left"/>
              <w:rPr/>
            </w:pPr>
            <w:r>
              <w:rPr/>
              <w:t>Total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26,197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245"/>
        <w:gridCol w:w="7940"/>
      </w:tblGrid>
      <w:tr>
        <w:trPr/>
        <w:tc>
          <w:tcPr>
            <w:tcW w:w="245" w:type="dxa"/>
            <w:tcBorders/>
            <w:vAlign w:val="center"/>
          </w:tcPr>
          <w:p>
            <w:pPr>
              <w:pStyle w:val="TableContents"/>
              <w:bidi w:val="0"/>
              <w:spacing w:before="0" w:after="283"/>
              <w:jc w:val="right"/>
              <w:rPr>
                <w:rFonts w:ascii="Times New Roman;Times;Serif" w:hAnsi="Times New Roman;Times;Serif"/>
                <w:position w:val="7"/>
                <w:sz w:val="16"/>
                <w:sz w:val="20"/>
              </w:rPr>
            </w:pPr>
            <w:bookmarkStart w:id="527" w:name="xdx_F0D_z6wYon6Xa5yl"/>
            <w:bookmarkEnd w:id="527"/>
            <w:r>
              <w:rPr>
                <w:rFonts w:ascii="Times New Roman;Times;Serif" w:hAnsi="Times New Roman;Times;Serif"/>
                <w:position w:val="7"/>
                <w:sz w:val="16"/>
                <w:sz w:val="20"/>
              </w:rPr>
              <w:t>(1)</w:t>
            </w:r>
          </w:p>
        </w:tc>
        <w:tc>
          <w:tcPr>
            <w:tcW w:w="7940" w:type="dxa"/>
            <w:tcBorders/>
            <w:vAlign w:val="center"/>
          </w:tcPr>
          <w:p>
            <w:pPr>
              <w:pStyle w:val="TableContents"/>
              <w:bidi w:val="0"/>
              <w:spacing w:before="0" w:after="283"/>
              <w:jc w:val="both"/>
              <w:rPr>
                <w:rFonts w:ascii="Times New Roman;Times;Serif" w:hAnsi="Times New Roman;Times;Serif"/>
                <w:sz w:val="20"/>
              </w:rPr>
            </w:pPr>
            <w:bookmarkStart w:id="528" w:name="xdx_F1D_zuMb97q7U5m1"/>
            <w:bookmarkEnd w:id="528"/>
            <w:r>
              <w:rPr>
                <w:rFonts w:ascii="Times New Roman;Times;Serif" w:hAnsi="Times New Roman;Times;Serif"/>
                <w:sz w:val="20"/>
              </w:rPr>
              <w:t>Represents scheduled payments for the remaining three-month period ending December 31, 2024.</w:t>
            </w:r>
          </w:p>
        </w:tc>
      </w:tr>
    </w:tbl>
    <w:p>
      <w:pPr>
        <w:pStyle w:val="TextBody"/>
        <w:bidi w:val="0"/>
        <w:spacing w:before="0" w:after="0"/>
        <w:ind w:left="0" w:right="0" w:hanging="0"/>
        <w:jc w:val="left"/>
        <w:rPr>
          <w:caps w:val="false"/>
          <w:smallCaps w:val="false"/>
        </w:rPr>
      </w:pPr>
      <w:bookmarkStart w:id="529" w:name="xdx_8AB_z0j1RMUALgEh"/>
      <w:bookmarkEnd w:id="529"/>
      <w:r>
        <w:rPr>
          <w:caps w:val="false"/>
          <w:smallCaps w:val="false"/>
        </w:rPr>
        <w:t> </w:t>
      </w:r>
    </w:p>
    <w:p>
      <w:pPr>
        <w:pStyle w:val="TextBody"/>
        <w:bidi w:val="0"/>
        <w:spacing w:before="0" w:after="0"/>
        <w:ind w:left="0" w:right="0" w:hanging="0"/>
        <w:jc w:val="left"/>
        <w:rPr>
          <w:caps w:val="false"/>
          <w:smallCaps w:val="false"/>
        </w:rPr>
      </w:pPr>
      <w:bookmarkStart w:id="530" w:name="xdx_89E_eus-gaap--LeaseCostTableTextBloc"/>
      <w:bookmarkEnd w:id="530"/>
      <w:r>
        <w:rPr>
          <w:caps w:val="false"/>
          <w:smallCaps w:val="false"/>
        </w:rPr>
        <w:t> </w:t>
      </w:r>
      <w:bookmarkStart w:id="531" w:name="xdx_8BF_zn1pdHOTr57j"/>
      <w:bookmarkEnd w:id="531"/>
      <w:r>
        <w:rPr>
          <w:rFonts w:ascii="Times New Roman;Times;Serif" w:hAnsi="Times New Roman;Times;Serif"/>
          <w:b w:val="false"/>
          <w:i w:val="false"/>
          <w:caps w:val="false"/>
          <w:smallCaps w:val="false"/>
          <w:sz w:val="20"/>
        </w:rPr>
        <w:t>SCHEDULE OF LEASE COST</w:t>
      </w:r>
    </w:p>
    <w:tbl>
      <w:tblPr>
        <w:tblW w:w="10205" w:type="dxa"/>
        <w:jc w:val="left"/>
        <w:tblInd w:w="0" w:type="dxa"/>
        <w:tblLayout w:type="fixed"/>
        <w:tblCellMar>
          <w:top w:w="0" w:type="dxa"/>
          <w:left w:w="0" w:type="dxa"/>
          <w:bottom w:w="0" w:type="dxa"/>
          <w:right w:w="0" w:type="dxa"/>
        </w:tblCellMar>
      </w:tblPr>
      <w:tblGrid>
        <w:gridCol w:w="1559"/>
        <w:gridCol w:w="60"/>
        <w:gridCol w:w="2088"/>
        <w:gridCol w:w="60"/>
        <w:gridCol w:w="325"/>
        <w:gridCol w:w="1301"/>
        <w:gridCol w:w="139"/>
        <w:gridCol w:w="139"/>
        <w:gridCol w:w="325"/>
        <w:gridCol w:w="882"/>
        <w:gridCol w:w="60"/>
        <w:gridCol w:w="60"/>
        <w:gridCol w:w="287"/>
        <w:gridCol w:w="1153"/>
        <w:gridCol w:w="123"/>
        <w:gridCol w:w="123"/>
        <w:gridCol w:w="287"/>
        <w:gridCol w:w="1153"/>
        <w:gridCol w:w="81"/>
      </w:tblGrid>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pPr>
            <w:r>
              <w:rPr/>
              <w:t>For The Three Months Ended 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6" w:type="dxa"/>
            <w:gridSpan w:val="6"/>
            <w:tcBorders>
              <w:bottom w:val="single" w:sz="8" w:space="0" w:color="000000"/>
            </w:tcBorders>
            <w:tcMar>
              <w:bottom w:w="28" w:type="dxa"/>
            </w:tcMar>
            <w:vAlign w:val="center"/>
          </w:tcPr>
          <w:p>
            <w:pPr>
              <w:pStyle w:val="TableContents"/>
              <w:bidi w:val="0"/>
              <w:spacing w:before="0" w:after="283"/>
              <w:jc w:val="center"/>
              <w:rPr/>
            </w:pPr>
            <w:r>
              <w:rPr/>
              <w:t>For The Nine Months Ended September 30,</w:t>
            </w:r>
          </w:p>
        </w:tc>
        <w:tc>
          <w:tcPr>
            <w:tcW w:w="81" w:type="dxa"/>
            <w:tcBorders/>
            <w:vAlign w:val="center"/>
          </w:tcPr>
          <w:p>
            <w:pPr>
              <w:pStyle w:val="TableContents"/>
              <w:bidi w:val="0"/>
              <w:spacing w:before="0" w:after="283"/>
              <w:jc w:val="left"/>
              <w:rPr/>
            </w:pPr>
            <w:r>
              <w:rPr/>
              <w:t> </w:t>
            </w:r>
          </w:p>
        </w:tc>
      </w:tr>
      <w:tr>
        <w:trPr/>
        <w:tc>
          <w:tcPr>
            <w:tcW w:w="1559" w:type="dxa"/>
            <w:tcBorders>
              <w:bottom w:val="single" w:sz="8" w:space="0" w:color="000000"/>
            </w:tcBorders>
            <w:tcMar>
              <w:bottom w:w="28" w:type="dxa"/>
            </w:tcMar>
            <w:vAlign w:val="center"/>
          </w:tcPr>
          <w:p>
            <w:pPr>
              <w:pStyle w:val="TableContents"/>
              <w:bidi w:val="0"/>
              <w:spacing w:before="0" w:after="283"/>
              <w:jc w:val="left"/>
              <w:rPr/>
            </w:pPr>
            <w:r>
              <w:rPr/>
              <w:t>Lease cost</w:t>
            </w:r>
          </w:p>
        </w:tc>
        <w:tc>
          <w:tcPr>
            <w:tcW w:w="60" w:type="dxa"/>
            <w:tcBorders/>
            <w:vAlign w:val="center"/>
          </w:tcPr>
          <w:p>
            <w:pPr>
              <w:pStyle w:val="TableContents"/>
              <w:bidi w:val="0"/>
              <w:spacing w:before="0" w:after="283"/>
              <w:jc w:val="left"/>
              <w:rPr/>
            </w:pPr>
            <w:r>
              <w:rPr/>
              <w:t> </w:t>
            </w:r>
          </w:p>
        </w:tc>
        <w:tc>
          <w:tcPr>
            <w:tcW w:w="2088" w:type="dxa"/>
            <w:tcBorders>
              <w:bottom w:val="single" w:sz="8" w:space="0" w:color="000000"/>
            </w:tcBorders>
            <w:tcMar>
              <w:bottom w:w="28" w:type="dxa"/>
            </w:tcMar>
            <w:vAlign w:val="center"/>
          </w:tcPr>
          <w:p>
            <w:pPr>
              <w:pStyle w:val="TableContents"/>
              <w:bidi w:val="0"/>
              <w:spacing w:before="0" w:after="283"/>
              <w:jc w:val="left"/>
              <w:rPr/>
            </w:pPr>
            <w:r>
              <w:rPr/>
              <w:t>Classification</w:t>
            </w:r>
          </w:p>
        </w:tc>
        <w:tc>
          <w:tcPr>
            <w:tcW w:w="60" w:type="dxa"/>
            <w:tcBorders/>
            <w:vAlign w:val="center"/>
          </w:tcPr>
          <w:p>
            <w:pPr>
              <w:pStyle w:val="TableContents"/>
              <w:bidi w:val="0"/>
              <w:spacing w:before="0" w:after="283"/>
              <w:jc w:val="left"/>
              <w:rPr/>
            </w:pPr>
            <w:r>
              <w:rPr/>
              <w:t> </w:t>
            </w:r>
          </w:p>
        </w:tc>
        <w:tc>
          <w:tcPr>
            <w:tcW w:w="1626"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81" w:type="dxa"/>
            <w:tcBorders/>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088"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bookmarkStart w:id="532" w:name="xdx_98D_eus-gaap--OperatingLeaseCost_pn3"/>
            <w:bookmarkEnd w:id="532"/>
          </w:p>
        </w:tc>
        <w:tc>
          <w:tcPr>
            <w:tcW w:w="1301" w:type="dxa"/>
            <w:tcBorders/>
            <w:shd w:fill="CCEEFF" w:val="clear"/>
            <w:vAlign w:val="center"/>
          </w:tcPr>
          <w:p>
            <w:pPr>
              <w:pStyle w:val="TableContents"/>
              <w:bidi w:val="0"/>
              <w:spacing w:before="0" w:after="283"/>
              <w:jc w:val="right"/>
              <w:rPr/>
            </w:pPr>
            <w:r>
              <w:rPr/>
              <w:t>310</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bookmarkStart w:id="533" w:name="xdx_983_eus-gaap--OperatingLeaseCost_pn3"/>
            <w:bookmarkEnd w:id="533"/>
          </w:p>
        </w:tc>
        <w:tc>
          <w:tcPr>
            <w:tcW w:w="882" w:type="dxa"/>
            <w:tcBorders/>
            <w:shd w:fill="CCEEFF" w:val="clear"/>
            <w:vAlign w:val="center"/>
          </w:tcPr>
          <w:p>
            <w:pPr>
              <w:pStyle w:val="TableContents"/>
              <w:bidi w:val="0"/>
              <w:spacing w:before="0" w:after="283"/>
              <w:jc w:val="right"/>
              <w:rPr/>
            </w:pPr>
            <w:r>
              <w:rPr/>
              <w:t>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534" w:name="xdx_980_eus-gaap--OperatingLeaseCost_pn3"/>
            <w:bookmarkEnd w:id="534"/>
          </w:p>
        </w:tc>
        <w:tc>
          <w:tcPr>
            <w:tcW w:w="1153" w:type="dxa"/>
            <w:tcBorders/>
            <w:shd w:fill="CCEEFF" w:val="clear"/>
            <w:vAlign w:val="center"/>
          </w:tcPr>
          <w:p>
            <w:pPr>
              <w:pStyle w:val="TableContents"/>
              <w:bidi w:val="0"/>
              <w:spacing w:before="0" w:after="283"/>
              <w:jc w:val="right"/>
              <w:rPr/>
            </w:pPr>
            <w:r>
              <w:rPr/>
              <w:t>1,001</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535" w:name="xdx_982_eus-gaap--OperatingLeaseCost_pn3"/>
            <w:bookmarkEnd w:id="535"/>
          </w:p>
        </w:tc>
        <w:tc>
          <w:tcPr>
            <w:tcW w:w="1153" w:type="dxa"/>
            <w:tcBorders/>
            <w:shd w:fill="CCEEFF" w:val="clear"/>
            <w:vAlign w:val="center"/>
          </w:tcPr>
          <w:p>
            <w:pPr>
              <w:pStyle w:val="TableContents"/>
              <w:bidi w:val="0"/>
              <w:spacing w:before="0" w:after="283"/>
              <w:jc w:val="right"/>
              <w:rPr/>
            </w:pPr>
            <w:r>
              <w:rPr/>
              <w:t>1,040</w:t>
            </w:r>
          </w:p>
        </w:tc>
        <w:tc>
          <w:tcPr>
            <w:tcW w:w="81" w:type="dxa"/>
            <w:tcBorders/>
            <w:shd w:fill="CCEEFF" w:val="clear"/>
            <w:vAlign w:val="center"/>
          </w:tcPr>
          <w:p>
            <w:pPr>
              <w:pStyle w:val="TableContents"/>
              <w:bidi w:val="0"/>
              <w:spacing w:before="0" w:after="283"/>
              <w:jc w:val="left"/>
              <w:rPr/>
            </w:pPr>
            <w:r>
              <w:rPr/>
              <w:t> </w:t>
            </w:r>
          </w:p>
        </w:tc>
      </w:tr>
      <w:tr>
        <w:trPr/>
        <w:tc>
          <w:tcPr>
            <w:tcW w:w="1559"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088"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bookmarkStart w:id="536" w:name="xdx_989_eus-gaap--OperatingLeaseCost_pn3"/>
            <w:bookmarkEnd w:id="536"/>
          </w:p>
        </w:tc>
        <w:tc>
          <w:tcPr>
            <w:tcW w:w="1301" w:type="dxa"/>
            <w:tcBorders/>
            <w:shd w:fill="FFFFFF" w:val="clear"/>
            <w:vAlign w:val="center"/>
          </w:tcPr>
          <w:p>
            <w:pPr>
              <w:pStyle w:val="TableContents"/>
              <w:bidi w:val="0"/>
              <w:spacing w:before="0" w:after="283"/>
              <w:jc w:val="right"/>
              <w:rPr/>
            </w:pPr>
            <w:r>
              <w:rPr/>
              <w:t>204</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bookmarkStart w:id="537" w:name="xdx_981_eus-gaap--OperatingLeaseCost_pn3"/>
            <w:bookmarkEnd w:id="537"/>
          </w:p>
        </w:tc>
        <w:tc>
          <w:tcPr>
            <w:tcW w:w="882" w:type="dxa"/>
            <w:tcBorders/>
            <w:shd w:fill="FFFFFF" w:val="cle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538" w:name="xdx_987_eus-gaap--OperatingLeaseCost_pn3"/>
            <w:bookmarkEnd w:id="538"/>
          </w:p>
        </w:tc>
        <w:tc>
          <w:tcPr>
            <w:tcW w:w="1153" w:type="dxa"/>
            <w:tcBorders/>
            <w:shd w:fill="FFFFFF" w:val="clear"/>
            <w:vAlign w:val="center"/>
          </w:tcPr>
          <w:p>
            <w:pPr>
              <w:pStyle w:val="TableContents"/>
              <w:bidi w:val="0"/>
              <w:spacing w:before="0" w:after="283"/>
              <w:jc w:val="right"/>
              <w:rPr/>
            </w:pPr>
            <w:r>
              <w:rPr/>
              <w:t>357</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539" w:name="xdx_988_eus-gaap--OperatingLeaseCost_pn3"/>
            <w:bookmarkEnd w:id="539"/>
          </w:p>
        </w:tc>
        <w:tc>
          <w:tcPr>
            <w:tcW w:w="1153" w:type="dxa"/>
            <w:tcBorders/>
            <w:shd w:fill="FFFFFF" w:val="clear"/>
            <w:vAlign w:val="center"/>
          </w:tcPr>
          <w:p>
            <w:pPr>
              <w:pStyle w:val="TableContents"/>
              <w:bidi w:val="0"/>
              <w:spacing w:before="0" w:after="283"/>
              <w:jc w:val="right"/>
              <w:rPr/>
            </w:pPr>
            <w:r>
              <w:rPr/>
              <w:t>67</w:t>
            </w:r>
          </w:p>
        </w:tc>
        <w:tc>
          <w:tcPr>
            <w:tcW w:w="81" w:type="dxa"/>
            <w:tcBorders/>
            <w:shd w:fill="FFFFFF" w:val="clear"/>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088"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bookmarkStart w:id="540" w:name="xdx_981_eus-gaap--OperatingLeaseCost_pn3"/>
            <w:bookmarkEnd w:id="540"/>
          </w:p>
        </w:tc>
        <w:tc>
          <w:tcPr>
            <w:tcW w:w="1301" w:type="dxa"/>
            <w:tcBorders/>
            <w:shd w:fill="CCEEFF" w:val="clear"/>
            <w:vAlign w:val="center"/>
          </w:tcPr>
          <w:p>
            <w:pPr>
              <w:pStyle w:val="TableContents"/>
              <w:bidi w:val="0"/>
              <w:spacing w:before="0" w:after="283"/>
              <w:jc w:val="right"/>
              <w:rPr/>
            </w:pPr>
            <w:r>
              <w:rPr/>
              <w:t>676</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bookmarkStart w:id="541" w:name="xdx_988_eus-gaap--OperatingLeaseCost_pn3"/>
            <w:bookmarkEnd w:id="541"/>
          </w:p>
        </w:tc>
        <w:tc>
          <w:tcPr>
            <w:tcW w:w="882"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542" w:name="xdx_98D_eus-gaap--OperatingLeaseCost_pn3"/>
            <w:bookmarkEnd w:id="542"/>
          </w:p>
        </w:tc>
        <w:tc>
          <w:tcPr>
            <w:tcW w:w="1153" w:type="dxa"/>
            <w:tcBorders/>
            <w:shd w:fill="CCEEFF" w:val="clear"/>
            <w:vAlign w:val="center"/>
          </w:tcPr>
          <w:p>
            <w:pPr>
              <w:pStyle w:val="TableContents"/>
              <w:bidi w:val="0"/>
              <w:spacing w:before="0" w:after="283"/>
              <w:jc w:val="right"/>
              <w:rPr/>
            </w:pPr>
            <w:r>
              <w:rPr/>
              <w:t>1,708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543" w:name="xdx_98B_eus-gaap--OperatingLeaseCost_pn3"/>
            <w:bookmarkEnd w:id="543"/>
          </w:p>
        </w:tc>
        <w:tc>
          <w:tcPr>
            <w:tcW w:w="1153" w:type="dxa"/>
            <w:tcBorders/>
            <w:shd w:fill="CCEEFF" w:val="clear"/>
            <w:vAlign w:val="center"/>
          </w:tcPr>
          <w:p>
            <w:pPr>
              <w:pStyle w:val="TableContents"/>
              <w:bidi w:val="0"/>
              <w:spacing w:before="0" w:after="283"/>
              <w:jc w:val="right"/>
              <w:rPr/>
            </w:pPr>
            <w:r>
              <w:rPr/>
              <w:t>35</w:t>
            </w:r>
          </w:p>
        </w:tc>
        <w:tc>
          <w:tcPr>
            <w:tcW w:w="81" w:type="dxa"/>
            <w:tcBorders/>
            <w:shd w:fill="CCEEFF" w:val="clear"/>
            <w:vAlign w:val="center"/>
          </w:tcPr>
          <w:p>
            <w:pPr>
              <w:pStyle w:val="TableContents"/>
              <w:bidi w:val="0"/>
              <w:spacing w:before="0" w:after="283"/>
              <w:jc w:val="left"/>
              <w:rPr/>
            </w:pPr>
            <w:r>
              <w:rPr/>
              <w:t> </w:t>
            </w:r>
          </w:p>
        </w:tc>
      </w:tr>
      <w:tr>
        <w:trPr/>
        <w:tc>
          <w:tcPr>
            <w:tcW w:w="1559" w:type="dxa"/>
            <w:tcBorders/>
            <w:shd w:fill="FFFFFF" w:val="clear"/>
            <w:vAlign w:val="center"/>
          </w:tcPr>
          <w:p>
            <w:pPr>
              <w:pStyle w:val="TableContents"/>
              <w:bidi w:val="0"/>
              <w:spacing w:before="0" w:after="283"/>
              <w:jc w:val="left"/>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2088"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44" w:name="xdx_98C_eus-gaap--OperatingLeaseCost_pn3"/>
            <w:bookmarkEnd w:id="544"/>
          </w:p>
        </w:tc>
        <w:tc>
          <w:tcPr>
            <w:tcW w:w="1301" w:type="dxa"/>
            <w:tcBorders>
              <w:bottom w:val="double" w:sz="6" w:space="0" w:color="000000"/>
            </w:tcBorders>
            <w:shd w:fill="FFFFFF" w:val="clear"/>
            <w:tcMar>
              <w:bottom w:w="28" w:type="dxa"/>
            </w:tcMar>
            <w:vAlign w:val="center"/>
          </w:tcPr>
          <w:p>
            <w:pPr>
              <w:pStyle w:val="TableContents"/>
              <w:bidi w:val="0"/>
              <w:spacing w:before="0" w:after="283"/>
              <w:jc w:val="right"/>
              <w:rPr/>
            </w:pPr>
            <w:r>
              <w:rPr/>
              <w:t>11</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45" w:name="xdx_98E_eus-gaap--OperatingLeaseCost_pn3"/>
            <w:bookmarkEnd w:id="545"/>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46" w:name="xdx_986_eus-gaap--OperatingLeaseCost_pn3"/>
            <w:bookmarkEnd w:id="546"/>
          </w:p>
        </w:tc>
        <w:tc>
          <w:tcPr>
            <w:tcW w:w="1153" w:type="dxa"/>
            <w:tcBorders>
              <w:bottom w:val="double" w:sz="6" w:space="0" w:color="000000"/>
            </w:tcBorders>
            <w:shd w:fill="FFFFFF" w:val="clear"/>
            <w:tcMar>
              <w:bottom w:w="28" w:type="dxa"/>
            </w:tcMar>
            <w:vAlign w:val="center"/>
          </w:tcPr>
          <w:p>
            <w:pPr>
              <w:pStyle w:val="TableContents"/>
              <w:bidi w:val="0"/>
              <w:spacing w:before="0" w:after="283"/>
              <w:jc w:val="right"/>
              <w:rPr/>
            </w:pPr>
            <w:r>
              <w:rPr/>
              <w:t>34</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47" w:name="xdx_98F_eus-gaap--OperatingLeaseCost_pn3"/>
            <w:bookmarkEnd w:id="547"/>
          </w:p>
        </w:tc>
        <w:tc>
          <w:tcPr>
            <w:tcW w:w="1153" w:type="dxa"/>
            <w:tcBorders>
              <w:bottom w:val="double" w:sz="6" w:space="0" w:color="000000"/>
            </w:tcBorders>
            <w:shd w:fill="FFFFFF" w:val="clear"/>
            <w:tcMar>
              <w:bottom w:w="28" w:type="dxa"/>
            </w:tcMar>
            <w:vAlign w:val="center"/>
          </w:tcPr>
          <w:p>
            <w:pPr>
              <w:pStyle w:val="TableContents"/>
              <w:bidi w:val="0"/>
              <w:spacing w:before="0" w:after="283"/>
              <w:jc w:val="right"/>
              <w:rPr/>
            </w:pPr>
            <w:r>
              <w:rPr/>
              <w:t>35</w:t>
            </w:r>
          </w:p>
        </w:tc>
        <w:tc>
          <w:tcPr>
            <w:tcW w:w="81" w:type="dxa"/>
            <w:tcBorders/>
            <w:shd w:fill="FFFFFF" w:val="clear"/>
            <w:vAlign w:val="center"/>
          </w:tcPr>
          <w:p>
            <w:pPr>
              <w:pStyle w:val="TableContents"/>
              <w:bidi w:val="0"/>
              <w:spacing w:before="0" w:after="283"/>
              <w:jc w:val="left"/>
              <w:rPr/>
            </w:pPr>
            <w:r>
              <w:rPr/>
              <w:t> </w:t>
            </w:r>
          </w:p>
        </w:tc>
      </w:tr>
      <w:tr>
        <w:trPr/>
        <w:tc>
          <w:tcPr>
            <w:tcW w:w="1559"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0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8" w:name="xdx_98E_eus-gaap--OperatingLeaseCost_pn3"/>
            <w:bookmarkEnd w:id="548"/>
          </w:p>
        </w:tc>
        <w:tc>
          <w:tcPr>
            <w:tcW w:w="1301" w:type="dxa"/>
            <w:tcBorders>
              <w:bottom w:val="double" w:sz="6" w:space="0" w:color="000000"/>
            </w:tcBorders>
            <w:shd w:fill="CCEEFF" w:val="clear"/>
            <w:tcMar>
              <w:bottom w:w="28" w:type="dxa"/>
            </w:tcMar>
            <w:vAlign w:val="center"/>
          </w:tcPr>
          <w:p>
            <w:pPr>
              <w:pStyle w:val="TableContents"/>
              <w:bidi w:val="0"/>
              <w:spacing w:before="0" w:after="283"/>
              <w:jc w:val="right"/>
              <w:rPr/>
            </w:pPr>
            <w:r>
              <w:rPr/>
              <w:t>1,201</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9" w:name="xdx_982_eus-gaap--OperatingLeaseCost_pn3"/>
            <w:bookmarkEnd w:id="549"/>
          </w:p>
        </w:tc>
        <w:tc>
          <w:tcPr>
            <w:tcW w:w="882" w:type="dxa"/>
            <w:tcBorders>
              <w:bottom w:val="double" w:sz="6" w:space="0" w:color="000000"/>
            </w:tcBorders>
            <w:shd w:fill="CCEEFF" w:val="clear"/>
            <w:tcMar>
              <w:bottom w:w="28" w:type="dxa"/>
            </w:tcM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0" w:name="xdx_982_eus-gaap--OperatingLeaseCost_pn3"/>
            <w:bookmarkEnd w:id="550"/>
          </w:p>
        </w:tc>
        <w:tc>
          <w:tcPr>
            <w:tcW w:w="1153" w:type="dxa"/>
            <w:tcBorders>
              <w:bottom w:val="double" w:sz="6" w:space="0" w:color="000000"/>
            </w:tcBorders>
            <w:shd w:fill="CCEEFF" w:val="clear"/>
            <w:tcMar>
              <w:bottom w:w="28" w:type="dxa"/>
            </w:tcMar>
            <w:vAlign w:val="center"/>
          </w:tcPr>
          <w:p>
            <w:pPr>
              <w:pStyle w:val="TableContents"/>
              <w:bidi w:val="0"/>
              <w:spacing w:before="0" w:after="283"/>
              <w:jc w:val="right"/>
              <w:rPr/>
            </w:pPr>
            <w:r>
              <w:rPr/>
              <w:t>3,100</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51" w:name="xdx_987_eus-gaap--OperatingLeaseCost_pn3"/>
            <w:bookmarkEnd w:id="551"/>
          </w:p>
        </w:tc>
        <w:tc>
          <w:tcPr>
            <w:tcW w:w="1153" w:type="dxa"/>
            <w:tcBorders>
              <w:bottom w:val="double" w:sz="6" w:space="0" w:color="000000"/>
            </w:tcBorders>
            <w:shd w:fill="CCEEFF" w:val="clear"/>
            <w:tcMar>
              <w:bottom w:w="28" w:type="dxa"/>
            </w:tcMar>
            <w:vAlign w:val="center"/>
          </w:tcPr>
          <w:p>
            <w:pPr>
              <w:pStyle w:val="TableContents"/>
              <w:bidi w:val="0"/>
              <w:spacing w:before="0" w:after="283"/>
              <w:jc w:val="right"/>
              <w:rPr/>
            </w:pPr>
            <w:r>
              <w:rPr/>
              <w:t>1,177</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2" w:name="xdx_8A3_zprk7EfXjPml"/>
      <w:bookmarkEnd w:id="5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finance lease agreements for equipment to support the Company’s operations. Payments under the finance lease agreements are fixed for a term of </w:t>
      </w:r>
      <w:bookmarkStart w:id="553" w:name="xdx_908_eus-gaap--LesseeFinanceLeaseTerm"/>
      <w:bookmarkEnd w:id="553"/>
      <w:r>
        <w:rPr>
          <w:rFonts w:ascii="Times New Roman;Times;Serif" w:hAnsi="Times New Roman;Times;Serif"/>
          <w:b w:val="false"/>
          <w:i w:val="false"/>
          <w:caps w:val="false"/>
          <w:smallCaps w:val="false"/>
          <w:sz w:val="20"/>
        </w:rPr>
        <w:t>3-</w:t>
      </w:r>
      <w:bookmarkStart w:id="554" w:name="xdx_90E_eus-gaap--LesseeFinanceLeaseTerm"/>
      <w:bookmarkEnd w:id="554"/>
      <w:r>
        <w:rPr>
          <w:rFonts w:ascii="Times New Roman;Times;Serif" w:hAnsi="Times New Roman;Times;Serif"/>
          <w:b w:val="false"/>
          <w:i w:val="false"/>
          <w:caps w:val="false"/>
          <w:smallCaps w:val="false"/>
          <w:sz w:val="20"/>
        </w:rPr>
        <w:t>5 years. The leased assets are recognized in property plant &amp;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5" w:name="xdx_890_ecustom--ScheduleOfBreakoutOfFin"/>
      <w:bookmarkEnd w:id="555"/>
      <w:r>
        <w:rPr>
          <w:rFonts w:ascii="Times New Roman;Times;Serif" w:hAnsi="Times New Roman;Times;Serif"/>
          <w:b w:val="false"/>
          <w:i w:val="false"/>
          <w:caps w:val="false"/>
          <w:smallCaps w:val="false"/>
          <w:sz w:val="20"/>
        </w:rPr>
        <w:t>The following table presents the breakout of the financing leases as of:</w:t>
      </w:r>
    </w:p>
    <w:p>
      <w:pPr>
        <w:pStyle w:val="TextBody"/>
        <w:bidi w:val="0"/>
        <w:spacing w:before="0" w:after="0"/>
        <w:ind w:left="0" w:right="0" w:hanging="0"/>
        <w:jc w:val="both"/>
        <w:rPr>
          <w:caps w:val="false"/>
          <w:smallCaps w:val="false"/>
        </w:rPr>
      </w:pPr>
      <w:r>
        <w:rPr>
          <w:caps w:val="false"/>
          <w:smallCaps w:val="false"/>
        </w:rPr>
        <w:t> </w:t>
      </w:r>
      <w:bookmarkStart w:id="556" w:name="xdx_8B1_zIanyn2b92X"/>
      <w:bookmarkEnd w:id="556"/>
      <w:r>
        <w:rPr>
          <w:rFonts w:ascii="Times New Roman;Times;Serif" w:hAnsi="Times New Roman;Times;Serif"/>
          <w:b w:val="false"/>
          <w:i w:val="false"/>
          <w:caps w:val="false"/>
          <w:smallCaps w:val="false"/>
          <w:sz w:val="20"/>
        </w:rPr>
        <w:t>SCHEDULE OF BREAKOUT OF FINANCE LEASES</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sz w:val="20"/>
        </w:rPr>
        <w:t> </w:t>
      </w:r>
    </w:p>
    <w:tbl>
      <w:tblPr>
        <w:tblW w:w="6953" w:type="dxa"/>
        <w:jc w:val="left"/>
        <w:tblInd w:w="0" w:type="dxa"/>
        <w:tblLayout w:type="fixed"/>
        <w:tblCellMar>
          <w:top w:w="0" w:type="dxa"/>
          <w:left w:w="0" w:type="dxa"/>
          <w:bottom w:w="0" w:type="dxa"/>
          <w:right w:w="0" w:type="dxa"/>
        </w:tblCellMar>
      </w:tblPr>
      <w:tblGrid>
        <w:gridCol w:w="3755"/>
        <w:gridCol w:w="60"/>
        <w:gridCol w:w="281"/>
        <w:gridCol w:w="938"/>
        <w:gridCol w:w="215"/>
        <w:gridCol w:w="60"/>
        <w:gridCol w:w="340"/>
        <w:gridCol w:w="1074"/>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7" w:name="xdx_490_20240930_zOruWq26Xlqj"/>
            <w:bookmarkEnd w:id="557"/>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8" w:name="xdx_491_20231231_zkiLJU9XSgm9"/>
            <w:bookmarkEnd w:id="558"/>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bookmarkStart w:id="559" w:name="xdx_40F_ecustom--FinanceLeaseRightOfUseA"/>
            <w:bookmarkEnd w:id="559"/>
          </w:p>
        </w:tc>
      </w:tr>
      <w:tr>
        <w:trPr/>
        <w:tc>
          <w:tcPr>
            <w:tcW w:w="3755" w:type="dxa"/>
            <w:tcBorders/>
            <w:shd w:fill="CCEEFF" w:val="clear"/>
            <w:vAlign w:val="center"/>
          </w:tcPr>
          <w:p>
            <w:pPr>
              <w:pStyle w:val="TableContents"/>
              <w:bidi w:val="0"/>
              <w:spacing w:before="0" w:after="283"/>
              <w:jc w:val="left"/>
              <w:rPr/>
            </w:pPr>
            <w:r>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pPr>
            <w:r>
              <w:rPr/>
              <w:t>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106</w:t>
            </w:r>
          </w:p>
        </w:tc>
        <w:tc>
          <w:tcPr>
            <w:tcW w:w="230" w:type="dxa"/>
            <w:tcBorders/>
            <w:shd w:fill="CCEEFF" w:val="clear"/>
            <w:vAlign w:val="center"/>
          </w:tcPr>
          <w:p>
            <w:pPr>
              <w:pStyle w:val="TableContents"/>
              <w:bidi w:val="0"/>
              <w:spacing w:before="0" w:after="283"/>
              <w:jc w:val="left"/>
              <w:rPr/>
            </w:pPr>
            <w:r>
              <w:rPr/>
              <w:t> </w:t>
            </w:r>
            <w:bookmarkStart w:id="560" w:name="xdx_403_eus-gaap--FinanceLeaseLiabilityC"/>
            <w:bookmarkEnd w:id="560"/>
          </w:p>
        </w:tc>
      </w:tr>
      <w:tr>
        <w:trPr/>
        <w:tc>
          <w:tcPr>
            <w:tcW w:w="3755" w:type="dxa"/>
            <w:tcBorders/>
            <w:shd w:fill="FFFFFF" w:val="clear"/>
            <w:vAlign w:val="center"/>
          </w:tcPr>
          <w:p>
            <w:pPr>
              <w:pStyle w:val="TableContents"/>
              <w:bidi w:val="0"/>
              <w:spacing w:before="0" w:after="283"/>
              <w:jc w:val="left"/>
              <w:rPr/>
            </w:pPr>
            <w:r>
              <w:rPr/>
              <w:t>Short-term finance lease liabilities</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36</w:t>
            </w:r>
          </w:p>
        </w:tc>
        <w:tc>
          <w:tcPr>
            <w:tcW w:w="230" w:type="dxa"/>
            <w:tcBorders/>
            <w:shd w:fill="FFFFFF" w:val="clear"/>
            <w:vAlign w:val="center"/>
          </w:tcPr>
          <w:p>
            <w:pPr>
              <w:pStyle w:val="TableContents"/>
              <w:bidi w:val="0"/>
              <w:spacing w:before="0" w:after="283"/>
              <w:jc w:val="left"/>
              <w:rPr/>
            </w:pPr>
            <w:r>
              <w:rPr/>
              <w:t> </w:t>
            </w:r>
            <w:bookmarkStart w:id="561" w:name="xdx_402_eus-gaap--FinanceLeaseLiabilityN"/>
            <w:bookmarkEnd w:id="561"/>
          </w:p>
        </w:tc>
      </w:tr>
      <w:tr>
        <w:trPr/>
        <w:tc>
          <w:tcPr>
            <w:tcW w:w="3755" w:type="dxa"/>
            <w:tcBorders/>
            <w:shd w:fill="CCEEFF" w:val="clear"/>
            <w:vAlign w:val="center"/>
          </w:tcPr>
          <w:p>
            <w:pPr>
              <w:pStyle w:val="TableContents"/>
              <w:bidi w:val="0"/>
              <w:spacing w:before="0" w:after="283"/>
              <w:jc w:val="left"/>
              <w:rPr/>
            </w:pPr>
            <w:r>
              <w:rPr/>
              <w:t>Long-term finance lease liabilities</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230" w:type="dxa"/>
            <w:tcBorders/>
            <w:shd w:fill="CCEEFF" w:val="clear"/>
            <w:vAlign w:val="center"/>
          </w:tcPr>
          <w:p>
            <w:pPr>
              <w:pStyle w:val="TableContents"/>
              <w:bidi w:val="0"/>
              <w:spacing w:before="0" w:after="283"/>
              <w:jc w:val="left"/>
              <w:rPr/>
            </w:pPr>
            <w:r>
              <w:rPr/>
              <w:t> </w:t>
            </w:r>
            <w:bookmarkStart w:id="562" w:name="xdx_400_eus-gaap--FinanceLeaseLiability_"/>
            <w:bookmarkEnd w:id="562"/>
          </w:p>
        </w:tc>
      </w:tr>
      <w:tr>
        <w:trPr/>
        <w:tc>
          <w:tcPr>
            <w:tcW w:w="3755" w:type="dxa"/>
            <w:tcBorders/>
            <w:shd w:fill="FFFFFF" w:val="clear"/>
            <w:vAlign w:val="center"/>
          </w:tcPr>
          <w:p>
            <w:pPr>
              <w:pStyle w:val="TableContents"/>
              <w:bidi w:val="0"/>
              <w:spacing w:before="0" w:after="283"/>
              <w:jc w:val="left"/>
              <w:rPr/>
            </w:pPr>
            <w:r>
              <w:rPr/>
              <w:t>Total finance lease liabilities</w:t>
            </w:r>
          </w:p>
        </w:tc>
        <w:tc>
          <w:tcPr>
            <w:tcW w:w="60" w:type="dxa"/>
            <w:tcBorders/>
            <w:shd w:fill="FFFFFF" w:val="cle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FFFFFF" w:val="clear"/>
            <w:tcMar>
              <w:bottom w:w="28" w:type="dxa"/>
            </w:tcMar>
            <w:vAlign w:val="center"/>
          </w:tcPr>
          <w:p>
            <w:pPr>
              <w:pStyle w:val="TableContents"/>
              <w:bidi w:val="0"/>
              <w:spacing w:before="0" w:after="283"/>
              <w:jc w:val="right"/>
              <w:rPr/>
            </w:pPr>
            <w:r>
              <w:rPr/>
              <w:t>75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102</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bookmarkStart w:id="563" w:name="xdx_907_eus-gaap--FinanceLeaseWeightedAv"/>
            <w:bookmarkEnd w:id="563"/>
            <w:r>
              <w:rPr>
                <w:rFonts w:ascii="Times New Roman;Times;Serif" w:hAnsi="Times New Roman;Times;Serif"/>
                <w:sz w:val="20"/>
              </w:rPr>
              <w:t>2.0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sz w:val="20"/>
              </w:rPr>
            </w:pPr>
            <w:bookmarkStart w:id="564" w:name="xdx_907_eus-gaap--FinanceLeaseWeightedAv"/>
            <w:bookmarkEnd w:id="564"/>
            <w:r>
              <w:rPr>
                <w:rFonts w:ascii="Times New Roman;Times;Serif" w:hAnsi="Times New Roman;Times;Serif"/>
                <w:sz w:val="20"/>
              </w:rPr>
              <w:t>2.7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bookmarkStart w:id="565" w:name="xdx_909_eus-gaap--FinanceLeaseWeightedAv"/>
            <w:bookmarkEnd w:id="565"/>
            <w:r>
              <w:rPr/>
              <w:t>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bookmarkStart w:id="566" w:name="xdx_908_eus-gaap--FinanceLeaseWeightedAv"/>
            <w:bookmarkEnd w:id="566"/>
            <w:r>
              <w:rPr/>
              <w:t>5.2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67" w:name="xdx_8AD_z3A5j5vBoIna"/>
      <w:bookmarkEnd w:id="5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8" w:name="xdx_894_eus-gaap--FinanceLeaseLiabilityM"/>
      <w:bookmarkEnd w:id="568"/>
      <w:r>
        <w:rPr>
          <w:rFonts w:ascii="Times New Roman;Times;Serif" w:hAnsi="Times New Roman;Times;Serif"/>
          <w:b w:val="false"/>
          <w:i w:val="false"/>
          <w:caps w:val="false"/>
          <w:smallCaps w:val="false"/>
          <w:sz w:val="20"/>
        </w:rPr>
        <w:t>At September 30, 2024,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bookmarkStart w:id="569" w:name="xdx_8B2_zcq0A6mJUQZ4"/>
      <w:bookmarkEnd w:id="569"/>
      <w:r>
        <w:rPr>
          <w:rFonts w:ascii="Times New Roman;Times;Serif" w:hAnsi="Times New Roman;Times;Serif"/>
          <w:b w:val="false"/>
          <w:i w:val="false"/>
          <w:caps w:val="false"/>
          <w:smallCaps w:val="false"/>
          <w:sz w:val="20"/>
        </w:rPr>
        <w:t>SCHEDULE OF FUTURE MINIMUM LEASE PAYMENTS UNDER FINANCE LEASES  </w:t>
      </w:r>
    </w:p>
    <w:tbl>
      <w:tblPr>
        <w:tblW w:w="3435" w:type="dxa"/>
        <w:jc w:val="left"/>
        <w:tblInd w:w="0" w:type="dxa"/>
        <w:tblLayout w:type="fixed"/>
        <w:tblCellMar>
          <w:top w:w="0" w:type="dxa"/>
          <w:left w:w="0" w:type="dxa"/>
          <w:bottom w:w="28" w:type="dxa"/>
          <w:right w:w="0" w:type="dxa"/>
        </w:tblCellMar>
      </w:tblPr>
      <w:tblGrid>
        <w:gridCol w:w="2900"/>
        <w:gridCol w:w="60"/>
        <w:gridCol w:w="140"/>
        <w:gridCol w:w="260"/>
        <w:gridCol w:w="75"/>
      </w:tblGrid>
      <w:tr>
        <w:trPr/>
        <w:tc>
          <w:tcPr>
            <w:tcW w:w="2900" w:type="dxa"/>
            <w:tcBorders>
              <w:bottom w:val="single" w:sz="8" w:space="0" w:color="000000"/>
            </w:tcBorders>
            <w:vAlign w:val="center"/>
          </w:tcPr>
          <w:p>
            <w:pPr>
              <w:pStyle w:val="TableContents"/>
              <w:bidi w:val="0"/>
              <w:spacing w:before="0" w:after="283"/>
              <w:jc w:val="left"/>
              <w:rPr>
                <w:b/>
              </w:rPr>
            </w:pPr>
            <w:r>
              <w:rPr>
                <w:b/>
              </w:rPr>
              <w:t>Fiscal Years Ending</w:t>
            </w:r>
          </w:p>
        </w:tc>
        <w:tc>
          <w:tcPr>
            <w:tcW w:w="60" w:type="dxa"/>
            <w:tcBorders/>
            <w:tcMar>
              <w:bottom w:w="0" w:type="dxa"/>
            </w:tcMar>
            <w:vAlign w:val="center"/>
          </w:tcPr>
          <w:p>
            <w:pPr>
              <w:pStyle w:val="TableContents"/>
              <w:bidi w:val="0"/>
              <w:spacing w:before="0" w:after="283"/>
              <w:jc w:val="left"/>
              <w:rPr/>
            </w:pPr>
            <w:r>
              <w:rPr/>
              <w:t> </w:t>
            </w:r>
            <w:bookmarkStart w:id="570" w:name="xdx_496_20240930_zyA1T37BHaQf"/>
            <w:bookmarkEnd w:id="570"/>
          </w:p>
        </w:tc>
        <w:tc>
          <w:tcPr>
            <w:tcW w:w="40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bookmarkStart w:id="571" w:name="xdx_40F_eus-gaap--FinanceLeaseLiabilityP"/>
            <w:bookmarkEnd w:id="571"/>
          </w:p>
        </w:tc>
      </w:tr>
      <w:tr>
        <w:trPr/>
        <w:tc>
          <w:tcPr>
            <w:tcW w:w="29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2024</w:t>
            </w:r>
            <w:bookmarkStart w:id="572" w:name="xdx_F44_zAKur9K1G7H6"/>
            <w:bookmarkEnd w:id="572"/>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bookmarkStart w:id="573" w:name="xdx_409_eus-gaap--FinanceLeaseLiabilityP"/>
            <w:bookmarkEnd w:id="573"/>
          </w:p>
        </w:tc>
      </w:tr>
      <w:tr>
        <w:trPr/>
        <w:tc>
          <w:tcPr>
            <w:tcW w:w="2900" w:type="dxa"/>
            <w:tcBorders/>
            <w:shd w:fill="FFFFFF" w:val="clear"/>
            <w:tcMar>
              <w:bottom w:w="0" w:type="dxa"/>
            </w:tcMar>
            <w:vAlign w:val="center"/>
          </w:tcPr>
          <w:p>
            <w:pPr>
              <w:pStyle w:val="TableContents"/>
              <w:bidi w:val="0"/>
              <w:spacing w:before="0" w:after="283"/>
              <w:jc w:val="left"/>
              <w:rPr/>
            </w:pPr>
            <w:r>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right"/>
              <w:rPr/>
            </w:pPr>
            <w:r>
              <w:rPr/>
              <w:t>41</w:t>
            </w:r>
          </w:p>
        </w:tc>
        <w:tc>
          <w:tcPr>
            <w:tcW w:w="75" w:type="dxa"/>
            <w:tcBorders/>
            <w:shd w:fill="FFFFFF" w:val="clear"/>
            <w:tcMar>
              <w:bottom w:w="0" w:type="dxa"/>
            </w:tcMar>
            <w:vAlign w:val="center"/>
          </w:tcPr>
          <w:p>
            <w:pPr>
              <w:pStyle w:val="TableContents"/>
              <w:bidi w:val="0"/>
              <w:spacing w:before="0" w:after="283"/>
              <w:jc w:val="left"/>
              <w:rPr/>
            </w:pPr>
            <w:r>
              <w:rPr/>
              <w:t> </w:t>
            </w:r>
            <w:bookmarkStart w:id="574" w:name="xdx_402_eus-gaap--FinanceLeaseLiabilityP"/>
            <w:bookmarkEnd w:id="574"/>
          </w:p>
        </w:tc>
      </w:tr>
      <w:tr>
        <w:trPr/>
        <w:tc>
          <w:tcPr>
            <w:tcW w:w="2900" w:type="dxa"/>
            <w:tcBorders/>
            <w:shd w:fill="CCEEFF" w:val="clear"/>
            <w:tcMar>
              <w:bottom w:w="0" w:type="dxa"/>
            </w:tcMar>
            <w:vAlign w:val="center"/>
          </w:tcPr>
          <w:p>
            <w:pPr>
              <w:pStyle w:val="TableContents"/>
              <w:bidi w:val="0"/>
              <w:spacing w:before="0" w:after="283"/>
              <w:jc w:val="left"/>
              <w:rPr/>
            </w:pPr>
            <w:r>
              <w:rPr/>
              <w:t>December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bookmarkStart w:id="575" w:name="xdx_40F_eus-gaap--FinanceLeaseLiabilityP"/>
            <w:bookmarkEnd w:id="575"/>
          </w:p>
        </w:tc>
      </w:tr>
      <w:tr>
        <w:trPr/>
        <w:tc>
          <w:tcPr>
            <w:tcW w:w="2900" w:type="dxa"/>
            <w:tcBorders/>
            <w:shd w:fill="FFFFFF" w:val="clear"/>
            <w:tcMar>
              <w:bottom w:w="0" w:type="dxa"/>
            </w:tcMar>
            <w:vAlign w:val="center"/>
          </w:tcPr>
          <w:p>
            <w:pPr>
              <w:pStyle w:val="TableContents"/>
              <w:bidi w:val="0"/>
              <w:spacing w:before="0" w:after="283"/>
              <w:jc w:val="left"/>
              <w:rPr/>
            </w:pPr>
            <w:r>
              <w:rPr/>
              <w:t>December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vAlign w:val="center"/>
          </w:tcPr>
          <w:p>
            <w:pPr>
              <w:pStyle w:val="TableContents"/>
              <w:bidi w:val="0"/>
              <w:spacing w:before="0" w:after="283"/>
              <w:jc w:val="right"/>
              <w:rPr/>
            </w:pPr>
            <w:r>
              <w:rPr/>
              <w:t>4</w:t>
            </w:r>
          </w:p>
        </w:tc>
        <w:tc>
          <w:tcPr>
            <w:tcW w:w="75" w:type="dxa"/>
            <w:tcBorders/>
            <w:shd w:fill="FFFFFF" w:val="clear"/>
            <w:tcMar>
              <w:bottom w:w="0" w:type="dxa"/>
            </w:tcMar>
            <w:vAlign w:val="center"/>
          </w:tcPr>
          <w:p>
            <w:pPr>
              <w:pStyle w:val="TableContents"/>
              <w:bidi w:val="0"/>
              <w:spacing w:before="0" w:after="283"/>
              <w:jc w:val="left"/>
              <w:rPr/>
            </w:pPr>
            <w:r>
              <w:rPr/>
              <w:t> </w:t>
            </w:r>
            <w:bookmarkStart w:id="576" w:name="xdx_406_eus-gaap--FinanceLeaseLiabilityP"/>
            <w:bookmarkEnd w:id="576"/>
          </w:p>
        </w:tc>
      </w:tr>
      <w:tr>
        <w:trPr/>
        <w:tc>
          <w:tcPr>
            <w:tcW w:w="2900" w:type="dxa"/>
            <w:tcBorders/>
            <w:shd w:fill="CCEEFF" w:val="clear"/>
            <w:tcMar>
              <w:bottom w:w="0" w:type="dxa"/>
            </w:tcMar>
            <w:vAlign w:val="center"/>
          </w:tcPr>
          <w:p>
            <w:pPr>
              <w:pStyle w:val="TableContents"/>
              <w:bidi w:val="0"/>
              <w:spacing w:before="0" w:after="283"/>
              <w:jc w:val="left"/>
              <w:rPr/>
            </w:pPr>
            <w:r>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79</w:t>
            </w:r>
          </w:p>
        </w:tc>
        <w:tc>
          <w:tcPr>
            <w:tcW w:w="75" w:type="dxa"/>
            <w:tcBorders/>
            <w:shd w:fill="CCEEFF" w:val="clear"/>
            <w:tcMar>
              <w:bottom w:w="0" w:type="dxa"/>
            </w:tcMar>
            <w:vAlign w:val="center"/>
          </w:tcPr>
          <w:p>
            <w:pPr>
              <w:pStyle w:val="TableContents"/>
              <w:bidi w:val="0"/>
              <w:spacing w:before="0" w:after="283"/>
              <w:jc w:val="left"/>
              <w:rPr/>
            </w:pPr>
            <w:r>
              <w:rPr/>
              <w:t> </w:t>
            </w:r>
            <w:bookmarkStart w:id="577" w:name="xdx_40B_eus-gaap--FinanceLeaseLiabilityU"/>
            <w:bookmarkEnd w:id="577"/>
          </w:p>
        </w:tc>
      </w:tr>
      <w:tr>
        <w:trPr/>
        <w:tc>
          <w:tcPr>
            <w:tcW w:w="2900" w:type="dxa"/>
            <w:tcBorders/>
            <w:shd w:fill="FFFFFF" w:val="clear"/>
            <w:tcMar>
              <w:bottom w:w="0" w:type="dxa"/>
            </w:tcMar>
            <w:vAlign w:val="center"/>
          </w:tcPr>
          <w:p>
            <w:pPr>
              <w:pStyle w:val="TableContents"/>
              <w:bidi w:val="0"/>
              <w:spacing w:before="0" w:after="283"/>
              <w:jc w:val="left"/>
              <w:rPr/>
            </w:pPr>
            <w:r>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vAlign w:val="center"/>
          </w:tcPr>
          <w:p>
            <w:pPr>
              <w:pStyle w:val="TableContents"/>
              <w:bidi w:val="0"/>
              <w:spacing w:before="0" w:after="283"/>
              <w:jc w:val="right"/>
              <w:rPr/>
            </w:pPr>
            <w:r>
              <w:rPr/>
              <w:t>4</w:t>
            </w:r>
          </w:p>
        </w:tc>
        <w:tc>
          <w:tcPr>
            <w:tcW w:w="75" w:type="dxa"/>
            <w:tcBorders/>
            <w:shd w:fill="FFFFFF" w:val="clear"/>
            <w:tcMar>
              <w:bottom w:w="0" w:type="dxa"/>
            </w:tcMar>
            <w:vAlign w:val="center"/>
          </w:tcPr>
          <w:p>
            <w:pPr>
              <w:pStyle w:val="TableContents"/>
              <w:bidi w:val="0"/>
              <w:spacing w:before="0" w:after="283"/>
              <w:jc w:val="left"/>
              <w:rPr/>
            </w:pPr>
            <w:r>
              <w:rPr/>
              <w:t> </w:t>
            </w:r>
            <w:bookmarkStart w:id="578" w:name="xdx_405_eus-gaap--FinanceLeaseLiability_"/>
            <w:bookmarkEnd w:id="578"/>
          </w:p>
        </w:tc>
      </w:tr>
      <w:tr>
        <w:trPr/>
        <w:tc>
          <w:tcPr>
            <w:tcW w:w="2900" w:type="dxa"/>
            <w:tcBorders/>
            <w:shd w:fill="CCEEFF" w:val="clear"/>
            <w:tcMar>
              <w:bottom w:w="0" w:type="dxa"/>
            </w:tcMar>
            <w:vAlign w:val="center"/>
          </w:tcPr>
          <w:p>
            <w:pPr>
              <w:pStyle w:val="TableContents"/>
              <w:bidi w:val="0"/>
              <w:spacing w:before="0" w:after="283"/>
              <w:jc w:val="left"/>
              <w:rPr/>
            </w:pPr>
            <w:r>
              <w:rPr/>
              <w:t>Total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260" w:type="dxa"/>
            <w:tcBorders>
              <w:bottom w:val="double" w:sz="6" w:space="0" w:color="000000"/>
            </w:tcBorders>
            <w:shd w:fill="CCEEFF" w:val="clear"/>
            <w:vAlign w:val="center"/>
          </w:tcPr>
          <w:p>
            <w:pPr>
              <w:pStyle w:val="TableContents"/>
              <w:bidi w:val="0"/>
              <w:spacing w:before="0" w:after="283"/>
              <w:jc w:val="right"/>
              <w:rPr/>
            </w:pPr>
            <w:r>
              <w:rPr/>
              <w:t>75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260"/>
        <w:gridCol w:w="794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579" w:name="xdx_F0E_z6iA4ZXbYpq6"/>
            <w:bookmarkEnd w:id="579"/>
            <w:r>
              <w:rPr>
                <w:rFonts w:ascii="Times New Roman;Times;Serif" w:hAnsi="Times New Roman;Times;Serif"/>
                <w:sz w:val="20"/>
              </w:rPr>
              <w:t>(1)</w:t>
            </w:r>
          </w:p>
        </w:tc>
        <w:tc>
          <w:tcPr>
            <w:tcW w:w="7940" w:type="dxa"/>
            <w:tcBorders/>
            <w:vAlign w:val="center"/>
          </w:tcPr>
          <w:p>
            <w:pPr>
              <w:pStyle w:val="TableContents"/>
              <w:bidi w:val="0"/>
              <w:spacing w:before="0" w:after="283"/>
              <w:jc w:val="both"/>
              <w:rPr>
                <w:rFonts w:ascii="Times New Roman;Times;Serif" w:hAnsi="Times New Roman;Times;Serif"/>
                <w:sz w:val="20"/>
              </w:rPr>
            </w:pPr>
            <w:bookmarkStart w:id="580" w:name="xdx_F1B_zu654Xr4O6Ph"/>
            <w:bookmarkEnd w:id="580"/>
            <w:r>
              <w:rPr>
                <w:rFonts w:ascii="Times New Roman;Times;Serif" w:hAnsi="Times New Roman;Times;Serif"/>
                <w:sz w:val="20"/>
              </w:rPr>
              <w:t>Represents scheduled payments for the remaining three-month period ending December 31, 2024.</w:t>
            </w:r>
          </w:p>
        </w:tc>
      </w:tr>
    </w:tbl>
    <w:p>
      <w:pPr>
        <w:pStyle w:val="TextBody"/>
        <w:bidi w:val="0"/>
        <w:spacing w:before="0" w:after="0"/>
        <w:ind w:left="0" w:right="0" w:hanging="0"/>
        <w:jc w:val="both"/>
        <w:rPr>
          <w:caps w:val="false"/>
          <w:smallCaps w:val="false"/>
        </w:rPr>
      </w:pPr>
      <w:bookmarkStart w:id="581" w:name="xdx_8A5_zWmlsnmdoxoa"/>
      <w:bookmarkEnd w:id="58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for further discussion regarding contingent consideration arising from the April 2022 Asset Purchase agreement with Thomason Jones Company, LLC.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82" w:name="xdx_803_eus-gaap--DebtDisclosureTextBloc"/>
      <w:bookmarkEnd w:id="582"/>
      <w:r>
        <w:rPr>
          <w:rFonts w:ascii="Times New Roman;Times;Serif" w:hAnsi="Times New Roman;Times;Serif"/>
          <w:b/>
          <w:i w:val="false"/>
          <w:caps/>
          <w:sz w:val="20"/>
        </w:rPr>
        <w:t xml:space="preserve">Note 6 - </w:t>
      </w:r>
      <w:bookmarkStart w:id="583" w:name="xdx_82D_z7dKOafdueX3"/>
      <w:bookmarkEnd w:id="583"/>
      <w:r>
        <w:rPr>
          <w:rFonts w:ascii="Times New Roman;Times;Serif" w:hAnsi="Times New Roman;Times;Serif"/>
          <w:b/>
          <w:i w:val="false"/>
          <w:caps/>
          <w:sz w:val="20"/>
        </w:rPr>
        <w:t>Long 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“Closing Date”), in connection with the merger, CNTQ, Legacy Dragonfly and CCM Investments 5 LLC, an affiliate of CCM LLC (“CCM 5”, and in connection with the Term Loan, the “Chardan Lender”), and EICF Agent LLC (“EIP”) entered into the Term Loan, Guarantee and Security Agreement (the “Original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merger and related transactions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w:t>
      </w:r>
      <w:bookmarkStart w:id="584" w:name="xdx_907_ecustom--DebtInstrumentAmortizat"/>
      <w:bookmarkEnd w:id="584"/>
      <w:r>
        <w:rPr>
          <w:rFonts w:ascii="Times New Roman;Times;Serif" w:hAnsi="Times New Roman;Times;Serif"/>
          <w:b w:val="false"/>
          <w:i w:val="false"/>
          <w:caps w:val="false"/>
          <w:smallCaps w:val="false"/>
          <w:sz w:val="20"/>
        </w:rPr>
        <w:t>5.0% per annum (or $</w:t>
      </w:r>
      <w:bookmarkStart w:id="585" w:name="xdx_900_ecustom--DebtInstrumentAmortizat"/>
      <w:bookmarkEnd w:id="585"/>
      <w:r>
        <w:rPr>
          <w:rFonts w:ascii="Times New Roman;Times;Serif" w:hAnsi="Times New Roman;Times;Serif"/>
          <w:b w:val="false"/>
          <w:i w:val="false"/>
          <w:caps w:val="false"/>
          <w:smallCaps w:val="false"/>
          <w:sz w:val="20"/>
        </w:rPr>
        <w:t>937.5 on the first day of each calendar quarter) beginning twenty-four (</w:t>
      </w:r>
      <w:bookmarkStart w:id="586" w:name="xdx_900_ecustom--DebtInstrumentAmortizat"/>
      <w:bookmarkEnd w:id="586"/>
      <w:r>
        <w:rPr>
          <w:rFonts w:ascii="Times New Roman;Times;Serif" w:hAnsi="Times New Roman;Times;Serif"/>
          <w:b w:val="false"/>
          <w:i w:val="false"/>
          <w:caps w:val="false"/>
          <w:smallCaps w:val="false"/>
          <w:sz w:val="20"/>
        </w:rPr>
        <w:t xml:space="preserve">24) months after the Closing Date and matures on the fourth anniversary of the Closing Date (“Maturity Date”). The Term Loan accrues interest as follows: (i) until October 1, 2024, at a per annum rate equal to adjusted SOFR plus </w:t>
      </w:r>
      <w:bookmarkStart w:id="587" w:name="xdx_90A_ecustom--DebtInstrumentBasisSpre"/>
      <w:bookmarkEnd w:id="587"/>
      <w:r>
        <w:rPr>
          <w:rFonts w:ascii="Times New Roman;Times;Serif" w:hAnsi="Times New Roman;Times;Serif"/>
          <w:b w:val="false"/>
          <w:i w:val="false"/>
          <w:caps w:val="false"/>
          <w:smallCaps w:val="false"/>
          <w:sz w:val="20"/>
        </w:rPr>
        <w:t xml:space="preserve">7.0% payable in cash plus an amount ranging from </w:t>
      </w:r>
      <w:bookmarkStart w:id="588" w:name="xdx_907_ecustom--DebtInstrumentBasisSpre"/>
      <w:bookmarkEnd w:id="588"/>
      <w:r>
        <w:rPr>
          <w:rFonts w:ascii="Times New Roman;Times;Serif" w:hAnsi="Times New Roman;Times;Serif"/>
          <w:b w:val="false"/>
          <w:i w:val="false"/>
          <w:caps w:val="false"/>
          <w:smallCaps w:val="false"/>
          <w:sz w:val="20"/>
        </w:rPr>
        <w:t xml:space="preserve">4.5% to </w:t>
      </w:r>
      <w:bookmarkStart w:id="589" w:name="xdx_909_ecustom--DebtInstrumentBasisSpre"/>
      <w:bookmarkEnd w:id="589"/>
      <w:r>
        <w:rPr>
          <w:rFonts w:ascii="Times New Roman;Times;Serif" w:hAnsi="Times New Roman;Times;Serif"/>
          <w:b w:val="false"/>
          <w:i w:val="false"/>
          <w:caps w:val="false"/>
          <w:smallCaps w:val="false"/>
          <w:sz w:val="20"/>
        </w:rPr>
        <w:t xml:space="preserve">6.5%, depending on the senior leverage ratio of the consolidated company, which will be paid in kind; (ii) at all times thereafter, at a per annum rate equal to adjusted SOFR plus a margin ranging from </w:t>
      </w:r>
      <w:bookmarkStart w:id="590" w:name="xdx_901_ecustom--DebtInstrumentBasisSpre"/>
      <w:bookmarkEnd w:id="590"/>
      <w:r>
        <w:rPr>
          <w:rFonts w:ascii="Times New Roman;Times;Serif" w:hAnsi="Times New Roman;Times;Serif"/>
          <w:b w:val="false"/>
          <w:i w:val="false"/>
          <w:caps w:val="false"/>
          <w:smallCaps w:val="false"/>
          <w:sz w:val="20"/>
        </w:rPr>
        <w:t xml:space="preserve">11.5% to </w:t>
      </w:r>
      <w:bookmarkStart w:id="591" w:name="xdx_909_ecustom--DebtInstrumentBasisSpre"/>
      <w:bookmarkEnd w:id="591"/>
      <w:r>
        <w:rPr>
          <w:rFonts w:ascii="Times New Roman;Times;Serif" w:hAnsi="Times New Roman;Times;Serif"/>
          <w:b w:val="false"/>
          <w:i w:val="false"/>
          <w:caps w:val="false"/>
          <w:smallCaps w:val="false"/>
          <w:sz w:val="20"/>
        </w:rPr>
        <w:t xml:space="preserve">13.5% payable in cash, depending on the senior leverage ratio of the consolidated company. In each of the foregoing cases, adjusted SOFR will be no less than </w:t>
      </w:r>
      <w:bookmarkStart w:id="592" w:name="xdx_907_eus-gaap--DebtInstrumentBasisSpr"/>
      <w:bookmarkEnd w:id="592"/>
      <w:r>
        <w:rPr>
          <w:rFonts w:ascii="Times New Roman;Times;Serif" w:hAnsi="Times New Roman;Times;Serif"/>
          <w:b w:val="false"/>
          <w:i w:val="false"/>
          <w:caps w:val="false"/>
          <w:smallCaps w:val="false"/>
          <w:sz w:val="20"/>
        </w:rPr>
        <w:t>1%; (iii) effective April 1, 2024 and thereafter, interest payable to certain lenders subject to regulations of the U.S. Small Business Administration (“SBA”) with outstanding principal on that date of $</w:t>
      </w:r>
      <w:bookmarkStart w:id="593" w:name="xdx_907_eus-gaap--DebtInstrumentFaceAmou"/>
      <w:bookmarkEnd w:id="593"/>
      <w:r>
        <w:rPr>
          <w:rFonts w:ascii="Times New Roman;Times;Serif" w:hAnsi="Times New Roman;Times;Serif"/>
          <w:b w:val="false"/>
          <w:i w:val="false"/>
          <w:caps w:val="false"/>
          <w:smallCaps w:val="false"/>
          <w:sz w:val="20"/>
        </w:rPr>
        <w:t xml:space="preserve">30,846 will be limited to </w:t>
      </w:r>
      <w:bookmarkStart w:id="594" w:name="xdx_900_eus-gaap--DebtInstrumentInterest"/>
      <w:bookmarkEnd w:id="594"/>
      <w:r>
        <w:rPr>
          <w:rFonts w:ascii="Times New Roman;Times;Serif" w:hAnsi="Times New Roman;Times;Serif"/>
          <w:b w:val="false"/>
          <w:i w:val="false"/>
          <w:caps w:val="false"/>
          <w:smallCaps w:val="false"/>
          <w:sz w:val="20"/>
        </w:rPr>
        <w:t xml:space="preserve">14.0% per annum (except for default interest permitted under SBA regulations, as applicable); and (iv) the other outstanding principal will accrue interest from April 1, 2024 thereafter until October 1, 2024, at a per annum rate equal to adjusted SOFR plus </w:t>
      </w:r>
      <w:bookmarkStart w:id="595" w:name="xdx_903_ecustom--DebtInstrumentBasisSpre"/>
      <w:bookmarkEnd w:id="595"/>
      <w:r>
        <w:rPr>
          <w:rFonts w:ascii="Times New Roman;Times;Serif" w:hAnsi="Times New Roman;Times;Serif"/>
          <w:b w:val="false"/>
          <w:i w:val="false"/>
          <w:caps w:val="false"/>
          <w:smallCaps w:val="false"/>
          <w:sz w:val="20"/>
        </w:rPr>
        <w:t xml:space="preserve">7.0% payable in cash plus an amount ranging from </w:t>
      </w:r>
      <w:bookmarkStart w:id="596" w:name="xdx_906_ecustom--DebtInstrumentBasisSpre"/>
      <w:bookmarkEnd w:id="596"/>
      <w:r>
        <w:rPr>
          <w:rFonts w:ascii="Times New Roman;Times;Serif" w:hAnsi="Times New Roman;Times;Serif"/>
          <w:b w:val="false"/>
          <w:i w:val="false"/>
          <w:caps w:val="false"/>
          <w:smallCaps w:val="false"/>
          <w:sz w:val="20"/>
        </w:rPr>
        <w:t xml:space="preserve">4.5% to </w:t>
      </w:r>
      <w:bookmarkStart w:id="597" w:name="xdx_906_ecustom--DebtInstrumentBasisSpre"/>
      <w:bookmarkEnd w:id="597"/>
      <w:r>
        <w:rPr>
          <w:rFonts w:ascii="Times New Roman;Times;Serif" w:hAnsi="Times New Roman;Times;Serif"/>
          <w:b w:val="false"/>
          <w:i w:val="false"/>
          <w:caps w:val="false"/>
          <w:smallCaps w:val="false"/>
          <w:sz w:val="20"/>
        </w:rPr>
        <w:t xml:space="preserve">6.5%, depending on the Company’s senior leverage ratio, and at all times thereafter, at a per annum rate equal to adjusted SOFR plus a margin ranging from </w:t>
      </w:r>
      <w:bookmarkStart w:id="598" w:name="xdx_906_ecustom--DebtInstrumentBasisSpre"/>
      <w:bookmarkEnd w:id="598"/>
      <w:r>
        <w:rPr>
          <w:rFonts w:ascii="Times New Roman;Times;Serif" w:hAnsi="Times New Roman;Times;Serif"/>
          <w:b w:val="false"/>
          <w:i w:val="false"/>
          <w:caps w:val="false"/>
          <w:smallCaps w:val="false"/>
          <w:sz w:val="20"/>
        </w:rPr>
        <w:t xml:space="preserve">11.5% to </w:t>
      </w:r>
      <w:bookmarkStart w:id="599" w:name="xdx_909_ecustom--DebtInstrumentBasisSpre"/>
      <w:bookmarkEnd w:id="599"/>
      <w:r>
        <w:rPr>
          <w:rFonts w:ascii="Times New Roman;Times;Serif" w:hAnsi="Times New Roman;Times;Serif"/>
          <w:b w:val="false"/>
          <w:i w:val="false"/>
          <w:caps w:val="false"/>
          <w:smallCaps w:val="false"/>
          <w:sz w:val="20"/>
        </w:rPr>
        <w:t>13.5%, depending on the senior leverage ratio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based on the Term Loan Agreement, as amended,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9"/>
        <w:gridCol w:w="9866"/>
      </w:tblGrid>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8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payable on April 1, 2024, was paid in cash.</w:t>
            </w:r>
          </w:p>
        </w:tc>
      </w:tr>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payable on July 1, 2024, became payable in kind.</w:t>
            </w:r>
          </w:p>
        </w:tc>
      </w:tr>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Interest payable on October 1, 2024, became payable partly in cash and partly in-kind, at a per annum rate equal to adjusted SOFR plus </w:t>
            </w:r>
            <w:bookmarkStart w:id="600" w:name="xdx_906_ecustom--DebtInstrumentBasisSpre"/>
            <w:bookmarkEnd w:id="600"/>
            <w:r>
              <w:rPr>
                <w:rFonts w:ascii="Times New Roman;Times;Serif" w:hAnsi="Times New Roman;Times;Serif"/>
                <w:sz w:val="20"/>
              </w:rPr>
              <w:t xml:space="preserve">7.0% payable in cash plus an amount ranging from </w:t>
            </w:r>
            <w:bookmarkStart w:id="601" w:name="xdx_906_ecustom--DebtInstrumentBasisSpre"/>
            <w:bookmarkEnd w:id="601"/>
            <w:r>
              <w:rPr>
                <w:rFonts w:ascii="Times New Roman;Times;Serif" w:hAnsi="Times New Roman;Times;Serif"/>
                <w:sz w:val="20"/>
              </w:rPr>
              <w:t xml:space="preserve">4.5% to </w:t>
            </w:r>
            <w:bookmarkStart w:id="602" w:name="xdx_909_ecustom--DebtInstrumentBasisSpre"/>
            <w:bookmarkEnd w:id="602"/>
            <w:r>
              <w:rPr>
                <w:rFonts w:ascii="Times New Roman;Times;Serif" w:hAnsi="Times New Roman;Times;Serif"/>
                <w:sz w:val="20"/>
              </w:rPr>
              <w:t xml:space="preserve">6.5% paid-in-kind, depending on the senior leverage ratio of the consolidated company (subject to the </w:t>
            </w:r>
            <w:bookmarkStart w:id="603" w:name="xdx_90F_eus-gaap--DebtInstrumentInterest"/>
            <w:bookmarkEnd w:id="603"/>
            <w:r>
              <w:rPr>
                <w:rFonts w:ascii="Times New Roman;Times;Serif" w:hAnsi="Times New Roman;Times;Serif"/>
                <w:sz w:val="20"/>
              </w:rPr>
              <w:t>14.0% limit for lenders subject to SBA regulations).</w:t>
            </w:r>
          </w:p>
        </w:tc>
      </w:tr>
      <w:tr>
        <w:trPr/>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each payment date occurring on or after January 1, 2025, interest will be payable in cash.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of the foregoing cases, adjusted SOFR will be no less than </w:t>
      </w:r>
      <w:bookmarkStart w:id="604" w:name="xdx_90D_eus-gaap--DebtInstrumentBasisSpr"/>
      <w:bookmarkEnd w:id="604"/>
      <w:r>
        <w:rPr>
          <w:rFonts w:ascii="Times New Roman;Times;Serif" w:hAnsi="Times New Roman;Times;Serif"/>
          <w:b w:val="false"/>
          <w:i w:val="false"/>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optional prepayments by the Company upon written notice, the Term Loan Agreement provides for mandatory prepayments upon receipt of proceeds from certain transactions or casualty events. The Company is required to prepay the Term Loan based on excess cash flow, as defined in the agreement, beginning with the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prepaid the first four installments of the Term Loan which amounted to $</w:t>
      </w:r>
      <w:bookmarkStart w:id="605" w:name="xdx_90F_ecustom--PrepaymentOfDebtInstall"/>
      <w:bookmarkEnd w:id="605"/>
      <w:r>
        <w:rPr>
          <w:rFonts w:ascii="Times New Roman;Times;Serif" w:hAnsi="Times New Roman;Times;Serif"/>
          <w:b w:val="false"/>
          <w:i w:val="false"/>
          <w:caps w:val="false"/>
          <w:smallCaps w:val="false"/>
          <w:sz w:val="20"/>
        </w:rPr>
        <w:t>5,275 and pushed back the first principal payment to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and as a required term and condition thereof, the Company issued (i) the penny warrants to the Term Loan Lenders exercisable to purchase an aggregate of </w:t>
      </w:r>
      <w:bookmarkStart w:id="606" w:name="xdx_904_eus-gaap--ClassOfWarrantOrRightN"/>
      <w:bookmarkEnd w:id="606"/>
      <w:r>
        <w:rPr>
          <w:rFonts w:ascii="Times New Roman;Times;Serif" w:hAnsi="Times New Roman;Times;Serif"/>
          <w:b w:val="false"/>
          <w:i w:val="false"/>
          <w:caps w:val="false"/>
          <w:smallCaps w:val="false"/>
          <w:sz w:val="20"/>
        </w:rPr>
        <w:t>2,593,056 and (ii) the $</w:t>
      </w:r>
      <w:bookmarkStart w:id="607" w:name="xdx_902_eus-gaap--SharePrice_iI_c2024093"/>
      <w:bookmarkEnd w:id="607"/>
      <w:r>
        <w:rPr>
          <w:rFonts w:ascii="Times New Roman;Times;Serif" w:hAnsi="Times New Roman;Times;Serif"/>
          <w:b w:val="false"/>
          <w:i w:val="false"/>
          <w:caps w:val="false"/>
          <w:smallCaps w:val="false"/>
          <w:sz w:val="20"/>
        </w:rPr>
        <w:t xml:space="preserve">10 warrants to issue warrants to the Term Loan Lenders exercisable to purchase an aggregate of </w:t>
      </w:r>
      <w:bookmarkStart w:id="608" w:name="xdx_90F_eus-gaap--ClassOfWarrantOrRightN"/>
      <w:bookmarkEnd w:id="608"/>
      <w:r>
        <w:rPr>
          <w:rFonts w:ascii="Times New Roman;Times;Serif" w:hAnsi="Times New Roman;Times;Serif"/>
          <w:b w:val="false"/>
          <w:i w:val="false"/>
          <w:caps w:val="false"/>
          <w:smallCaps w:val="false"/>
          <w:sz w:val="20"/>
        </w:rPr>
        <w:t>1,600,000 shares of common stock at $</w:t>
      </w:r>
      <w:bookmarkStart w:id="609" w:name="xdx_90F_eus-gaap--SharePrice_iI_c2024093"/>
      <w:bookmarkEnd w:id="609"/>
      <w:r>
        <w:rPr>
          <w:rFonts w:ascii="Times New Roman;Times;Serif" w:hAnsi="Times New Roman;Times;Serif"/>
          <w:b w:val="false"/>
          <w:i w:val="false"/>
          <w:caps w:val="false"/>
          <w:smallCaps w:val="false"/>
          <w:sz w:val="20"/>
        </w:rPr>
        <w:t>10 per share. Refer to Note 10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obligations under the Term Loan are accelerated under the terms of the agreement, the maturity date will be October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Lenders have been granted a first priority lien, and security interest in, the mortgaged properties underlying the Company’s mortgages.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and 2023, a total of $</w:t>
      </w:r>
      <w:bookmarkStart w:id="610" w:name="xdx_908_eus-gaap--InterestExpenseDebtExc"/>
      <w:bookmarkEnd w:id="610"/>
      <w:r>
        <w:rPr>
          <w:rFonts w:ascii="Times New Roman;Times;Serif" w:hAnsi="Times New Roman;Times;Serif"/>
          <w:b w:val="false"/>
          <w:i w:val="false"/>
          <w:caps w:val="false"/>
          <w:smallCaps w:val="false"/>
          <w:sz w:val="20"/>
        </w:rPr>
        <w:t>10,531 and $</w:t>
      </w:r>
      <w:bookmarkStart w:id="611" w:name="xdx_909_eus-gaap--InterestExpenseDebtExc"/>
      <w:bookmarkEnd w:id="611"/>
      <w:r>
        <w:rPr>
          <w:rFonts w:ascii="Times New Roman;Times;Serif" w:hAnsi="Times New Roman;Times;Serif"/>
          <w:b w:val="false"/>
          <w:i w:val="false"/>
          <w:caps w:val="false"/>
          <w:smallCaps w:val="false"/>
          <w:sz w:val="20"/>
        </w:rPr>
        <w:t>10,736, respectively, of interest expense was incurred under the debt. During the three months ended September 30, 2024 and 2023, a total of $</w:t>
      </w:r>
      <w:bookmarkStart w:id="612" w:name="xdx_90E_eus-gaap--InterestExpenseDebtExc"/>
      <w:bookmarkEnd w:id="612"/>
      <w:r>
        <w:rPr>
          <w:rFonts w:ascii="Times New Roman;Times;Serif" w:hAnsi="Times New Roman;Times;Serif"/>
          <w:b w:val="false"/>
          <w:i w:val="false"/>
          <w:caps w:val="false"/>
          <w:smallCaps w:val="false"/>
          <w:sz w:val="20"/>
        </w:rPr>
        <w:t>3,509 and $</w:t>
      </w:r>
      <w:bookmarkStart w:id="613" w:name="xdx_901_eus-gaap--InterestExpenseDebtExc"/>
      <w:bookmarkEnd w:id="613"/>
      <w:r>
        <w:rPr>
          <w:rFonts w:ascii="Times New Roman;Times;Serif" w:hAnsi="Times New Roman;Times;Serif"/>
          <w:b w:val="false"/>
          <w:i w:val="false"/>
          <w:caps w:val="false"/>
          <w:smallCaps w:val="false"/>
          <w:sz w:val="20"/>
        </w:rPr>
        <w:t>3,589, respectively, of interest expense was incurred under the debt. Amortization of the debt issuance costs amounted to $</w:t>
      </w:r>
      <w:bookmarkStart w:id="614" w:name="xdx_908_eus-gaap--AmortizationOfFinancin"/>
      <w:bookmarkEnd w:id="614"/>
      <w:r>
        <w:rPr>
          <w:rFonts w:ascii="Times New Roman;Times;Serif" w:hAnsi="Times New Roman;Times;Serif"/>
          <w:b w:val="false"/>
          <w:i w:val="false"/>
          <w:caps w:val="false"/>
          <w:smallCaps w:val="false"/>
          <w:sz w:val="20"/>
        </w:rPr>
        <w:t>4,490 and $</w:t>
      </w:r>
      <w:bookmarkStart w:id="615" w:name="xdx_901_eus-gaap--AmortizationOfFinancin"/>
      <w:bookmarkEnd w:id="615"/>
      <w:r>
        <w:rPr>
          <w:rFonts w:ascii="Times New Roman;Times;Serif" w:hAnsi="Times New Roman;Times;Serif"/>
          <w:b w:val="false"/>
          <w:i w:val="false"/>
          <w:caps w:val="false"/>
          <w:smallCaps w:val="false"/>
          <w:sz w:val="20"/>
        </w:rPr>
        <w:t>995, respectively, during the nine months ended September 30, 2024 and 2023. Amortization of the debt issuance costs amounted to $</w:t>
      </w:r>
      <w:bookmarkStart w:id="616" w:name="xdx_90F_eus-gaap--AmortizationOfFinancin"/>
      <w:bookmarkEnd w:id="616"/>
      <w:r>
        <w:rPr>
          <w:rFonts w:ascii="Times New Roman;Times;Serif" w:hAnsi="Times New Roman;Times;Serif"/>
          <w:b w:val="false"/>
          <w:i w:val="false"/>
          <w:caps w:val="false"/>
          <w:smallCaps w:val="false"/>
          <w:sz w:val="20"/>
        </w:rPr>
        <w:t>2,062 and $</w:t>
      </w:r>
      <w:bookmarkStart w:id="617" w:name="xdx_905_eus-gaap--AmortizationOfFinancin"/>
      <w:bookmarkEnd w:id="617"/>
      <w:r>
        <w:rPr>
          <w:rFonts w:ascii="Times New Roman;Times;Serif" w:hAnsi="Times New Roman;Times;Serif"/>
          <w:b w:val="false"/>
          <w:i w:val="false"/>
          <w:caps w:val="false"/>
          <w:smallCaps w:val="false"/>
          <w:sz w:val="20"/>
        </w:rPr>
        <w:t>375, respectively, during the three months ended September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balance of $</w:t>
      </w:r>
      <w:bookmarkStart w:id="618" w:name="xdx_904_eus-gaap--LongTermDebt_iI_pn3n3_"/>
      <w:bookmarkEnd w:id="618"/>
      <w:r>
        <w:rPr>
          <w:rFonts w:ascii="Times New Roman;Times;Serif" w:hAnsi="Times New Roman;Times;Serif"/>
          <w:b w:val="false"/>
          <w:i w:val="false"/>
          <w:caps w:val="false"/>
          <w:smallCaps w:val="false"/>
          <w:sz w:val="20"/>
        </w:rPr>
        <w:t>24,398 on September 30, 2024, consisted of $</w:t>
      </w:r>
      <w:bookmarkStart w:id="619" w:name="xdx_901_eus-gaap--DebtInstrumentFaceAmou"/>
      <w:bookmarkEnd w:id="619"/>
      <w:r>
        <w:rPr>
          <w:rFonts w:ascii="Times New Roman;Times;Serif" w:hAnsi="Times New Roman;Times;Serif"/>
          <w:b w:val="false"/>
          <w:i w:val="false"/>
          <w:caps w:val="false"/>
          <w:smallCaps w:val="false"/>
          <w:sz w:val="20"/>
        </w:rPr>
        <w:t>69,725 in principal, plus $</w:t>
      </w:r>
      <w:bookmarkStart w:id="620" w:name="xdx_90B_eus-gaap--PaidInKindInterest_pn3"/>
      <w:bookmarkEnd w:id="620"/>
      <w:r>
        <w:rPr>
          <w:rFonts w:ascii="Times New Roman;Times;Serif" w:hAnsi="Times New Roman;Times;Serif"/>
          <w:b w:val="false"/>
          <w:i w:val="false"/>
          <w:caps w:val="false"/>
          <w:smallCaps w:val="false"/>
          <w:sz w:val="20"/>
        </w:rPr>
        <w:t>12,719 PIK interest, less $</w:t>
      </w:r>
      <w:bookmarkStart w:id="621" w:name="xdx_907_eus-gaap--DebtInstrumentUnamorti"/>
      <w:bookmarkEnd w:id="621"/>
      <w:r>
        <w:rPr>
          <w:rFonts w:ascii="Times New Roman;Times;Serif" w:hAnsi="Times New Roman;Times;Serif"/>
          <w:b w:val="false"/>
          <w:i w:val="false"/>
          <w:caps w:val="false"/>
          <w:smallCaps w:val="false"/>
          <w:sz w:val="20"/>
        </w:rPr>
        <w:t>58,046 in unamortized debt discount related to the debt issuance costs. The carrying balance of $</w:t>
      </w:r>
      <w:bookmarkStart w:id="622" w:name="xdx_90C_eus-gaap--LongTermDebt_iI_pn3n3_"/>
      <w:bookmarkEnd w:id="622"/>
      <w:r>
        <w:rPr>
          <w:rFonts w:ascii="Times New Roman;Times;Serif" w:hAnsi="Times New Roman;Times;Serif"/>
          <w:b w:val="false"/>
          <w:i w:val="false"/>
          <w:caps w:val="false"/>
          <w:smallCaps w:val="false"/>
          <w:sz w:val="20"/>
        </w:rPr>
        <w:t>19,683 on December 31, 2023, consisted of $</w:t>
      </w:r>
      <w:bookmarkStart w:id="623" w:name="xdx_90D_eus-gaap--DebtInstrumentFaceAmou"/>
      <w:bookmarkEnd w:id="623"/>
      <w:r>
        <w:rPr>
          <w:rFonts w:ascii="Times New Roman;Times;Serif" w:hAnsi="Times New Roman;Times;Serif"/>
          <w:b w:val="false"/>
          <w:i w:val="false"/>
          <w:caps w:val="false"/>
          <w:smallCaps w:val="false"/>
          <w:sz w:val="20"/>
        </w:rPr>
        <w:t>69,725 in principal, plus $</w:t>
      </w:r>
      <w:bookmarkStart w:id="624" w:name="xdx_909_eus-gaap--PaidInKindInterest_pn3"/>
      <w:bookmarkEnd w:id="624"/>
      <w:r>
        <w:rPr>
          <w:rFonts w:ascii="Times New Roman;Times;Serif" w:hAnsi="Times New Roman;Times;Serif"/>
          <w:b w:val="false"/>
          <w:i w:val="false"/>
          <w:caps w:val="false"/>
          <w:smallCaps w:val="false"/>
          <w:sz w:val="20"/>
        </w:rPr>
        <w:t>6,130 PIK interest, less $</w:t>
      </w:r>
      <w:bookmarkStart w:id="625" w:name="xdx_90F_eus-gaap--DebtInstrumentUnamorti"/>
      <w:bookmarkEnd w:id="625"/>
      <w:r>
        <w:rPr>
          <w:rFonts w:ascii="Times New Roman;Times;Serif" w:hAnsi="Times New Roman;Times;Serif"/>
          <w:b w:val="false"/>
          <w:i w:val="false"/>
          <w:caps w:val="false"/>
          <w:smallCaps w:val="false"/>
          <w:sz w:val="20"/>
        </w:rPr>
        <w:t>56,172 in unamortized debt discount related to the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a waiver from its Administrative Agent and Term Loan Lenders (the “May 2024 Waiver”) in regards to its compliance with the Senior Leverage Ratio and Fixed Charge Coverage Ratio tests (the “Tests”) as of the last day of the quarter ended March 31, 2024. The May 2024 Waiver provided for a one-time issuance of penny warrants (the “May 2024 Penny Warrants”) to purchase up to </w:t>
      </w:r>
      <w:bookmarkStart w:id="626" w:name="xdx_904_eus-gaap--ClassOfWarrantOrRightN"/>
      <w:bookmarkEnd w:id="626"/>
      <w:r>
        <w:rPr>
          <w:rFonts w:ascii="Times New Roman;Times;Serif" w:hAnsi="Times New Roman;Times;Serif"/>
          <w:b w:val="false"/>
          <w:i w:val="false"/>
          <w:caps w:val="false"/>
          <w:smallCaps w:val="false"/>
          <w:sz w:val="20"/>
        </w:rPr>
        <w:t>2,550,000 shares of the Company’s common stock (the “May 2024 Penny Warrant Shares”). The May 2024 Penny Warrants have an exercise price of $</w:t>
      </w:r>
      <w:bookmarkStart w:id="627" w:name="xdx_90B_eus-gaap--ClassOfWarrantOrRightE"/>
      <w:bookmarkEnd w:id="627"/>
      <w:r>
        <w:rPr>
          <w:rFonts w:ascii="Times New Roman;Times;Serif" w:hAnsi="Times New Roman;Times;Serif"/>
          <w:b w:val="false"/>
          <w:i w:val="false"/>
          <w:caps w:val="false"/>
          <w:smallCaps w:val="false"/>
          <w:sz w:val="20"/>
        </w:rPr>
        <w:t>0.01 per share, were valued at $</w:t>
      </w:r>
      <w:bookmarkStart w:id="628" w:name="xdx_90B_eus-gaap--WarrantsAndRightsOutst"/>
      <w:bookmarkEnd w:id="628"/>
      <w:r>
        <w:rPr>
          <w:rFonts w:ascii="Times New Roman;Times;Serif" w:hAnsi="Times New Roman;Times;Serif"/>
          <w:b w:val="false"/>
          <w:i w:val="false"/>
          <w:caps w:val="false"/>
          <w:smallCaps w:val="false"/>
          <w:sz w:val="20"/>
        </w:rPr>
        <w:t xml:space="preserve">3,022, and recorded as a debt discount. The May 2024 Penny Warrants were issued in connection with the Term Loan Lenders’ agreement to waive the Tests under the Term Loan for the quarter ended March 31, 2024. The May 2024 Penny Warrants were immediately exercisable upon issuance and will expire </w:t>
      </w:r>
      <w:bookmarkStart w:id="629" w:name="xdx_90D_eus-gaap--WarrantsAndRightsOutst"/>
      <w:bookmarkEnd w:id="629"/>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a Limited Waiver and First Amendment to the Term Loan with the Term Loan Lenders in regards to its compliance with the Tests as of the last day of the quarter ended June 30, 2024 and certain amendments to the Term Loan. The First Amendment provided for a one-time issuance of Penny Warrants to purchase up to </w:t>
      </w:r>
      <w:bookmarkStart w:id="630" w:name="xdx_902_eus-gaap--ClassOfWarrantOrRightN"/>
      <w:bookmarkEnd w:id="630"/>
      <w:r>
        <w:rPr>
          <w:rFonts w:ascii="Times New Roman;Times;Serif" w:hAnsi="Times New Roman;Times;Serif"/>
          <w:b w:val="false"/>
          <w:i w:val="false"/>
          <w:caps w:val="false"/>
          <w:smallCaps w:val="false"/>
          <w:sz w:val="20"/>
        </w:rPr>
        <w:t>2,100,000 shares of the Company’s Common Stock at an exercise price of $</w:t>
      </w:r>
      <w:bookmarkStart w:id="631" w:name="xdx_909_eus-gaap--ClassOfWarrantOrRightE"/>
      <w:bookmarkEnd w:id="631"/>
      <w:r>
        <w:rPr>
          <w:rFonts w:ascii="Times New Roman;Times;Serif" w:hAnsi="Times New Roman;Times;Serif"/>
          <w:b w:val="false"/>
          <w:i w:val="false"/>
          <w:caps w:val="false"/>
          <w:smallCaps w:val="false"/>
          <w:sz w:val="20"/>
        </w:rPr>
        <w:t>0.01 per share (the “June 2024 Penny Warrants”), valued at $</w:t>
      </w:r>
      <w:bookmarkStart w:id="632" w:name="xdx_908_eus-gaap--WarrantsAndRightsOutst"/>
      <w:bookmarkEnd w:id="632"/>
      <w:r>
        <w:rPr>
          <w:rFonts w:ascii="Times New Roman;Times;Serif" w:hAnsi="Times New Roman;Times;Serif"/>
          <w:b w:val="false"/>
          <w:i w:val="false"/>
          <w:caps w:val="false"/>
          <w:smallCaps w:val="false"/>
          <w:sz w:val="20"/>
        </w:rPr>
        <w:t>1,767 and recorded as a debt discount. The June 2024 Penny Warrants were issued in connection with the Term Loan Lenders’ agreement to waive the Tests under the Term Loan for the quarter ended June 30, 2024 and to amend the Term Loan. The June 2024 Penny Warrants are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First Amendment (i) reduced the liquidity requirement under the Term Loan to be $</w:t>
      </w:r>
      <w:bookmarkStart w:id="633" w:name="xdx_904_eus-gaap--LongTermDebt_iI_pn5n6_"/>
      <w:bookmarkEnd w:id="633"/>
      <w:r>
        <w:rPr>
          <w:rFonts w:ascii="Times New Roman;Times;Serif" w:hAnsi="Times New Roman;Times;Serif"/>
          <w:b w:val="false"/>
          <w:i w:val="false"/>
          <w:caps w:val="false"/>
          <w:smallCaps w:val="false"/>
          <w:sz w:val="20"/>
        </w:rPr>
        <w:t>3.5 million as of the last day of the month ended June 30, 2024, and $</w:t>
      </w:r>
      <w:bookmarkStart w:id="634" w:name="xdx_90C_eus-gaap--LongTermDebt_iI_pn5n6_"/>
      <w:bookmarkEnd w:id="634"/>
      <w:r>
        <w:rPr>
          <w:rFonts w:ascii="Times New Roman;Times;Serif" w:hAnsi="Times New Roman;Times;Serif"/>
          <w:b w:val="false"/>
          <w:i w:val="false"/>
          <w:caps w:val="false"/>
          <w:smallCaps w:val="false"/>
          <w:sz w:val="20"/>
        </w:rPr>
        <w:t>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the Company, Legacy Dragonfly and Battle Born LLC entered into a Limited Waiver, Consent and Second Amendment (the “Second Amendment”) to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that would have been due to the Lenders under the Loan Agreement upon Battle Born LLC’s receipt of the Initial Licensing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 Amendment, Battle Born LLC entered into a Joinder Agreement with the Term Loan Lenders whereby Battle Born LLC became a guarantor and credit party to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2024, August 30, 2024, September 30, 2024, and October 31, 2024 the Company received waivers from its Administrative Agent and the Term Loan Lenders in regards to its compliance with the Liquidity test as of the last day of the fiscal months ended July 31, 2024, August 31, 2024, September 30, 2024, and October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the Company entered into a Limited Waiver and Third Amendment (the “Third Amendment”, together with the Original Term Loan Agreement, the First Amendment and the Second Amendment, the “Term Loan Agreement”) to the Term Loan Agreement with the Term Loan Lenders in regards to its compliance with the Tests as of the last day of the quarter ended September 30, 2024 and certain amendments to the Term Loan Agreement. The Third Amendment provided for a one-time issuance of penny warrants (the “September 2024 Penny Warrants”, collectively with the Original Penny Warrants, the May 2024 Penny Warrants and the June 2024 Penny Warrants, the “Penny Warrants”) to purchase up to </w:t>
      </w:r>
      <w:bookmarkStart w:id="635" w:name="xdx_904_eus-gaap--ClassOfWarrantOrRightN"/>
      <w:bookmarkEnd w:id="635"/>
      <w:r>
        <w:rPr>
          <w:rFonts w:ascii="Times New Roman;Times;Serif" w:hAnsi="Times New Roman;Times;Serif"/>
          <w:b w:val="false"/>
          <w:i w:val="false"/>
          <w:caps w:val="false"/>
          <w:smallCaps w:val="false"/>
          <w:sz w:val="20"/>
        </w:rPr>
        <w:t>3,000,000 shares of the Company’s Common Stock at an exercise price of $</w:t>
      </w:r>
      <w:bookmarkStart w:id="636" w:name="xdx_906_eus-gaap--ClassOfWarrantOrRightE"/>
      <w:bookmarkEnd w:id="636"/>
      <w:r>
        <w:rPr>
          <w:rFonts w:ascii="Times New Roman;Times;Serif" w:hAnsi="Times New Roman;Times;Serif"/>
          <w:b w:val="false"/>
          <w:i w:val="false"/>
          <w:caps w:val="false"/>
          <w:smallCaps w:val="false"/>
          <w:sz w:val="20"/>
        </w:rPr>
        <w:t>0.01 per share (the “September 2024 Penny Warrant Shares”, collectively with the Original Penny Warrants, and the May 2024 Penny Warrants, the “Penny Warrant Shares”), valued at $</w:t>
      </w:r>
      <w:bookmarkStart w:id="637" w:name="xdx_90C_eus-gaap--AmortizationOfDebtDisc"/>
      <w:bookmarkEnd w:id="637"/>
      <w:r>
        <w:rPr>
          <w:rFonts w:ascii="Times New Roman;Times;Serif" w:hAnsi="Times New Roman;Times;Serif"/>
          <w:b w:val="false"/>
          <w:i w:val="false"/>
          <w:caps w:val="false"/>
          <w:smallCaps w:val="false"/>
          <w:sz w:val="20"/>
        </w:rPr>
        <w:t xml:space="preserve">1,576 and recorded as a debt discount. The September 2024 Penny Warrants were issued in connection with the Term Loan Lenders’ agreement to waive the Tests under the Term Loan for the quarter ended September 30, 2024 and to amend the Term Loan Agreement. The September 2024 Penny Warrants are immediately exercisable upon issuance and will expire </w:t>
      </w:r>
      <w:bookmarkStart w:id="638" w:name="xdx_903_eus-gaap--WarrantsAndRightsOutst"/>
      <w:bookmarkEnd w:id="638"/>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Third Amendment (i) reduced the liquidity requirement under the Term Loan to be $</w:t>
      </w:r>
      <w:bookmarkStart w:id="639" w:name="xdx_905_eus-gaap--LongTermDebt_iI_pn5n6_"/>
      <w:bookmarkEnd w:id="639"/>
      <w:r>
        <w:rPr>
          <w:rFonts w:ascii="Times New Roman;Times;Serif" w:hAnsi="Times New Roman;Times;Serif"/>
          <w:b w:val="false"/>
          <w:i w:val="false"/>
          <w:caps w:val="false"/>
          <w:smallCaps w:val="false"/>
          <w:sz w:val="20"/>
        </w:rPr>
        <w:t>7.0 million as of the last day of the month ended September 30, 2024, and $</w:t>
      </w:r>
      <w:bookmarkStart w:id="640" w:name="xdx_90B_eus-gaap--LongTermDebt_iI_pn5n6_"/>
      <w:bookmarkEnd w:id="640"/>
      <w:r>
        <w:rPr>
          <w:rFonts w:ascii="Times New Roman;Times;Serif" w:hAnsi="Times New Roman;Times;Serif"/>
          <w:b w:val="false"/>
          <w:i w:val="false"/>
          <w:caps w:val="false"/>
          <w:smallCaps w:val="false"/>
          <w:sz w:val="20"/>
        </w:rPr>
        <w:t>10.0 million as of the last day of each fiscal month thereafter commencing with the fiscal month ended July 31, 2024 and (ii) On October 1, 2024, interest is payable (a) $</w:t>
      </w:r>
      <w:bookmarkStart w:id="641" w:name="xdx_90B_eus-gaap--InterestPayableCurrent"/>
      <w:bookmarkEnd w:id="641"/>
      <w:r>
        <w:rPr>
          <w:rFonts w:ascii="Times New Roman;Times;Serif" w:hAnsi="Times New Roman;Times;Serif"/>
          <w:b w:val="false"/>
          <w:i w:val="false"/>
          <w:caps w:val="false"/>
          <w:smallCaps w:val="false"/>
          <w:sz w:val="20"/>
        </w:rPr>
        <w:t>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restrictive financial covenants pertaining to Maximum Senior Leverage Ratio, Liquidity, Fixed Charge Coverage Ratio, and Capital Expenditures as defined in the Term Loan Agreement. As of September 30, 2024, the Company was not in compliance with its financial covenants pertaining to the fixed charge coverage ratio, liquidity, and the maximum senior leverage ratio. On March 31, 2024, April 29, 2024, June 28, 2024, July 31, 2024, August 30, 2024, September 30, 2024, and October 31, 2024, the Company obtained waivers from the Term Loan Lenders and administrative agent in regards to its failure to satisfy the liquidity requirement under the Term Loan for the quarters ended March 31, 2024, June 30, 2024, and September 30, 2024, and the fiscal month ended April 30, 2024, July 31, 2024, August 31, 2024, September 30, 2024, and October 31, 2024 as applicable. If the Company is unable to obtain a waiver or if the Company is unable to comply with such covenants, the Term Loan Lenders have the right to accelerate the maturity of the Term Loan Agreement. Because of this, the entire debt is classified as current instead of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2" w:name="xdx_89F_eus-gaap--ScheduleOfMaturitiesOf"/>
      <w:bookmarkEnd w:id="642"/>
      <w:r>
        <w:rPr>
          <w:rFonts w:ascii="Times New Roman;Times;Serif" w:hAnsi="Times New Roman;Times;Serif"/>
          <w:b w:val="false"/>
          <w:i w:val="false"/>
          <w:caps w:val="false"/>
          <w:smallCaps w:val="false"/>
          <w:sz w:val="20"/>
        </w:rPr>
        <w:t>At September 30, 2024 the future debt maturities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3" w:name="xdx_8BA_zKW64ZhDp8ui"/>
      <w:bookmarkEnd w:id="643"/>
      <w:r>
        <w:rPr>
          <w:rFonts w:ascii="Times New Roman;Times;Serif" w:hAnsi="Times New Roman;Times;Serif"/>
          <w:b w:val="false"/>
          <w:i w:val="false"/>
          <w:caps w:val="false"/>
          <w:smallCaps w:val="false"/>
          <w:sz w:val="20"/>
        </w:rPr>
        <w:t>SCHEDULE OF FUTURE DEBT MATURITIES</w:t>
      </w:r>
    </w:p>
    <w:tbl>
      <w:tblPr>
        <w:tblW w:w="4730" w:type="dxa"/>
        <w:jc w:val="left"/>
        <w:tblInd w:w="0" w:type="dxa"/>
        <w:tblLayout w:type="fixed"/>
        <w:tblCellMar>
          <w:top w:w="0" w:type="dxa"/>
          <w:left w:w="0" w:type="dxa"/>
          <w:bottom w:w="28" w:type="dxa"/>
          <w:right w:w="0" w:type="dxa"/>
        </w:tblCellMar>
      </w:tblPr>
      <w:tblGrid>
        <w:gridCol w:w="3665"/>
        <w:gridCol w:w="60"/>
        <w:gridCol w:w="140"/>
        <w:gridCol w:w="755"/>
        <w:gridCol w:w="110"/>
      </w:tblGrid>
      <w:tr>
        <w:trPr/>
        <w:tc>
          <w:tcPr>
            <w:tcW w:w="3665" w:type="dxa"/>
            <w:tcBorders>
              <w:bottom w:val="single" w:sz="8" w:space="0" w:color="000000"/>
            </w:tcBorders>
            <w:vAlign w:val="center"/>
          </w:tcPr>
          <w:p>
            <w:pPr>
              <w:pStyle w:val="TableContents"/>
              <w:bidi w:val="0"/>
              <w:spacing w:before="0" w:after="283"/>
              <w:jc w:val="left"/>
              <w:rPr>
                <w:b/>
              </w:rPr>
            </w:pPr>
            <w:r>
              <w:rPr>
                <w:b/>
              </w:rPr>
              <w:t>For Year Ended December 31,</w:t>
            </w:r>
          </w:p>
        </w:tc>
        <w:tc>
          <w:tcPr>
            <w:tcW w:w="60" w:type="dxa"/>
            <w:tcBorders/>
            <w:tcMar>
              <w:bottom w:w="0" w:type="dxa"/>
            </w:tcMar>
            <w:vAlign w:val="center"/>
          </w:tcPr>
          <w:p>
            <w:pPr>
              <w:pStyle w:val="TableContents"/>
              <w:bidi w:val="0"/>
              <w:spacing w:before="0" w:after="283"/>
              <w:jc w:val="left"/>
              <w:rPr/>
            </w:pPr>
            <w:r>
              <w:rPr/>
              <w:t> </w:t>
            </w:r>
            <w:bookmarkStart w:id="644" w:name="xdx_496_20240930_z04SzFCbaLSk"/>
            <w:bookmarkEnd w:id="644"/>
          </w:p>
        </w:tc>
        <w:tc>
          <w:tcPr>
            <w:tcW w:w="89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bookmarkStart w:id="645" w:name="xdx_407_eus-gaap--LongTermDebtMaturities"/>
            <w:bookmarkEnd w:id="645"/>
          </w:p>
        </w:tc>
      </w:tr>
      <w:tr>
        <w:trPr/>
        <w:tc>
          <w:tcPr>
            <w:tcW w:w="3665" w:type="dxa"/>
            <w:tcBorders/>
            <w:shd w:fill="CCEEFF" w:val="clear"/>
            <w:tcMar>
              <w:bottom w:w="0" w:type="dxa"/>
            </w:tcMar>
            <w:vAlign w:val="center"/>
          </w:tcPr>
          <w:p>
            <w:pPr>
              <w:pStyle w:val="TableContents"/>
              <w:bidi w:val="0"/>
              <w:spacing w:before="0" w:after="283"/>
              <w:jc w:val="lef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646" w:name="xdx_408_eus-gaap--LongTermDebtMaturities"/>
            <w:bookmarkEnd w:id="646"/>
          </w:p>
        </w:tc>
      </w:tr>
      <w:tr>
        <w:trPr/>
        <w:tc>
          <w:tcPr>
            <w:tcW w:w="3665" w:type="dxa"/>
            <w:tcBorders/>
            <w:shd w:fill="FFFFFF" w:val="clear"/>
            <w:tcMar>
              <w:bottom w:w="0" w:type="dxa"/>
            </w:tcMar>
            <w:vAlign w:val="center"/>
          </w:tcPr>
          <w:p>
            <w:pPr>
              <w:pStyle w:val="TableContents"/>
              <w:bidi w:val="0"/>
              <w:spacing w:before="0" w:after="283"/>
              <w:jc w:val="lef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938</w:t>
            </w:r>
          </w:p>
        </w:tc>
        <w:tc>
          <w:tcPr>
            <w:tcW w:w="110" w:type="dxa"/>
            <w:tcBorders/>
            <w:shd w:fill="FFFFFF" w:val="clear"/>
            <w:tcMar>
              <w:bottom w:w="0" w:type="dxa"/>
            </w:tcMar>
            <w:vAlign w:val="center"/>
          </w:tcPr>
          <w:p>
            <w:pPr>
              <w:pStyle w:val="TableContents"/>
              <w:bidi w:val="0"/>
              <w:spacing w:before="0" w:after="283"/>
              <w:jc w:val="left"/>
              <w:rPr/>
            </w:pPr>
            <w:r>
              <w:rPr/>
              <w:t> </w:t>
            </w:r>
            <w:bookmarkStart w:id="647" w:name="xdx_40E_eus-gaap--LongTermDebtMaturities"/>
            <w:bookmarkEnd w:id="647"/>
          </w:p>
        </w:tc>
      </w:tr>
      <w:tr>
        <w:trPr/>
        <w:tc>
          <w:tcPr>
            <w:tcW w:w="3665"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81,506</w:t>
            </w:r>
          </w:p>
        </w:tc>
        <w:tc>
          <w:tcPr>
            <w:tcW w:w="110" w:type="dxa"/>
            <w:tcBorders/>
            <w:shd w:fill="CCEEFF" w:val="clear"/>
            <w:tcMar>
              <w:bottom w:w="0" w:type="dxa"/>
            </w:tcMar>
            <w:vAlign w:val="center"/>
          </w:tcPr>
          <w:p>
            <w:pPr>
              <w:pStyle w:val="TableContents"/>
              <w:bidi w:val="0"/>
              <w:spacing w:before="0" w:after="283"/>
              <w:jc w:val="left"/>
              <w:rPr/>
            </w:pPr>
            <w:r>
              <w:rPr/>
              <w:t> </w:t>
            </w:r>
            <w:bookmarkStart w:id="648" w:name="xdx_408_ecustom--LongTermDebtMaturitiesR"/>
            <w:bookmarkEnd w:id="648"/>
          </w:p>
        </w:tc>
      </w:tr>
      <w:tr>
        <w:trPr/>
        <w:tc>
          <w:tcPr>
            <w:tcW w:w="3665" w:type="dxa"/>
            <w:tcBorders/>
            <w:shd w:fill="FFFFFF" w:val="clear"/>
            <w:tcMar>
              <w:bottom w:w="0" w:type="dxa"/>
            </w:tcMar>
            <w:vAlign w:val="center"/>
          </w:tcPr>
          <w:p>
            <w:pPr>
              <w:pStyle w:val="TableContents"/>
              <w:bidi w:val="0"/>
              <w:spacing w:before="0" w:after="283"/>
              <w:jc w:val="left"/>
              <w:rPr/>
            </w:pPr>
            <w:r>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82,444</w:t>
            </w:r>
          </w:p>
        </w:tc>
        <w:tc>
          <w:tcPr>
            <w:tcW w:w="110" w:type="dxa"/>
            <w:tcBorders/>
            <w:shd w:fill="FFFFFF" w:val="clear"/>
            <w:tcMar>
              <w:bottom w:w="0" w:type="dxa"/>
            </w:tcMar>
            <w:vAlign w:val="center"/>
          </w:tcPr>
          <w:p>
            <w:pPr>
              <w:pStyle w:val="TableContents"/>
              <w:bidi w:val="0"/>
              <w:spacing w:before="0" w:after="283"/>
              <w:jc w:val="left"/>
              <w:rPr/>
            </w:pPr>
            <w:r>
              <w:rPr/>
              <w:t> </w:t>
            </w:r>
            <w:bookmarkStart w:id="649" w:name="xdx_402_ecustom--EstimatedInterestPaidin"/>
            <w:bookmarkEnd w:id="649"/>
          </w:p>
        </w:tc>
      </w:tr>
      <w:tr>
        <w:trPr/>
        <w:tc>
          <w:tcPr>
            <w:tcW w:w="3665" w:type="dxa"/>
            <w:tcBorders/>
            <w:shd w:fill="CCEEFF" w:val="clear"/>
            <w:tcMar>
              <w:bottom w:w="0" w:type="dxa"/>
            </w:tcMar>
            <w:vAlign w:val="center"/>
          </w:tcPr>
          <w:p>
            <w:pPr>
              <w:pStyle w:val="TableContents"/>
              <w:bidi w:val="0"/>
              <w:spacing w:before="0" w:after="283"/>
              <w:jc w:val="left"/>
              <w:rPr/>
            </w:pPr>
            <w:r>
              <w:rPr/>
              <w:t>Less: Estimated interest paid-in-kind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650" w:name="xdx_401_eus-gaap--LongTermDebt_iTI_pn3n3"/>
            <w:bookmarkEnd w:id="650"/>
          </w:p>
        </w:tc>
      </w:tr>
      <w:tr>
        <w:trPr/>
        <w:tc>
          <w:tcPr>
            <w:tcW w:w="3665" w:type="dxa"/>
            <w:tcBorders/>
            <w:shd w:fill="FFFFFF" w:val="clear"/>
            <w:tcMar>
              <w:bottom w:w="0" w:type="dxa"/>
            </w:tcMar>
            <w:vAlign w:val="center"/>
          </w:tcPr>
          <w:p>
            <w:pPr>
              <w:pStyle w:val="TableContents"/>
              <w:bidi w:val="0"/>
              <w:spacing w:before="0" w:after="283"/>
              <w:jc w:val="left"/>
              <w:rPr/>
            </w:pPr>
            <w:r>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82,444</w:t>
            </w:r>
          </w:p>
        </w:tc>
        <w:tc>
          <w:tcPr>
            <w:tcW w:w="110" w:type="dxa"/>
            <w:tcBorders/>
            <w:shd w:fill="FFFFFF" w:val="clear"/>
            <w:tcMar>
              <w:bottom w:w="0" w:type="dxa"/>
            </w:tcMar>
            <w:vAlign w:val="center"/>
          </w:tcPr>
          <w:p>
            <w:pPr>
              <w:pStyle w:val="TableContents"/>
              <w:bidi w:val="0"/>
              <w:spacing w:before="0" w:after="283"/>
              <w:jc w:val="left"/>
              <w:rPr/>
            </w:pPr>
            <w:r>
              <w:rPr/>
              <w:t> </w:t>
            </w:r>
            <w:bookmarkStart w:id="651" w:name="xdx_403_eus-gaap--DebtInstrumentUnamorti"/>
            <w:bookmarkEnd w:id="651"/>
          </w:p>
        </w:tc>
      </w:tr>
      <w:tr>
        <w:trPr/>
        <w:tc>
          <w:tcPr>
            <w:tcW w:w="3665" w:type="dxa"/>
            <w:tcBorders/>
            <w:shd w:fill="CCEEFF" w:val="clear"/>
            <w:tcMar>
              <w:bottom w:w="0" w:type="dxa"/>
            </w:tcMar>
            <w:vAlign w:val="center"/>
          </w:tcPr>
          <w:p>
            <w:pPr>
              <w:pStyle w:val="TableContents"/>
              <w:bidi w:val="0"/>
              <w:spacing w:before="0" w:after="283"/>
              <w:jc w:val="left"/>
              <w:rPr/>
            </w:pPr>
            <w:r>
              <w:rPr/>
              <w:t>Less: Unamortized debt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(58,046</w:t>
            </w:r>
          </w:p>
        </w:tc>
        <w:tc>
          <w:tcPr>
            <w:tcW w:w="110" w:type="dxa"/>
            <w:tcBorders/>
            <w:shd w:fill="CCEEFF" w:val="clear"/>
            <w:tcMar>
              <w:bottom w:w="0" w:type="dxa"/>
            </w:tcMar>
            <w:vAlign w:val="center"/>
          </w:tcPr>
          <w:p>
            <w:pPr>
              <w:pStyle w:val="TableContents"/>
              <w:bidi w:val="0"/>
              <w:spacing w:before="0" w:after="283"/>
              <w:jc w:val="left"/>
              <w:rPr/>
            </w:pPr>
            <w:r>
              <w:rPr/>
              <w:t>)</w:t>
            </w:r>
            <w:bookmarkStart w:id="652" w:name="xdx_40F_eus-gaap--DebtInstrumentCarrying"/>
            <w:bookmarkEnd w:id="652"/>
          </w:p>
        </w:tc>
      </w:tr>
      <w:tr>
        <w:trPr/>
        <w:tc>
          <w:tcPr>
            <w:tcW w:w="3665" w:type="dxa"/>
            <w:tcBorders/>
            <w:shd w:fill="FFFFFF" w:val="clear"/>
            <w:tcMar>
              <w:bottom w:w="0" w:type="dxa"/>
            </w:tcMar>
            <w:vAlign w:val="center"/>
          </w:tcPr>
          <w:p>
            <w:pPr>
              <w:pStyle w:val="TableContents"/>
              <w:bidi w:val="0"/>
              <w:spacing w:before="0" w:after="283"/>
              <w:jc w:val="left"/>
              <w:rPr/>
            </w:pPr>
            <w:r>
              <w:rPr/>
              <w:t>Total carrying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24,398</w:t>
            </w:r>
          </w:p>
        </w:tc>
        <w:tc>
          <w:tcPr>
            <w:tcW w:w="110" w:type="dxa"/>
            <w:tcBorders/>
            <w:shd w:fill="FFFFFF" w:val="clear"/>
            <w:tcMar>
              <w:bottom w:w="0" w:type="dxa"/>
            </w:tcMar>
            <w:vAlign w:val="center"/>
          </w:tcPr>
          <w:p>
            <w:pPr>
              <w:pStyle w:val="TableContents"/>
              <w:bidi w:val="0"/>
              <w:spacing w:before="0" w:after="283"/>
              <w:jc w:val="left"/>
              <w:rPr/>
            </w:pPr>
            <w:r>
              <w:rPr/>
              <w:t> </w:t>
            </w:r>
            <w:bookmarkStart w:id="653" w:name="xdx_407_eus-gaap--LongTermDebtCurrent_iN"/>
            <w:bookmarkEnd w:id="653"/>
          </w:p>
        </w:tc>
      </w:tr>
      <w:tr>
        <w:trPr/>
        <w:tc>
          <w:tcPr>
            <w:tcW w:w="3665" w:type="dxa"/>
            <w:tcBorders/>
            <w:shd w:fill="CCEEFF" w:val="clear"/>
            <w:tcMar>
              <w:bottom w:w="0" w:type="dxa"/>
            </w:tcMar>
            <w:vAlign w:val="center"/>
          </w:tcPr>
          <w:p>
            <w:pPr>
              <w:pStyle w:val="TableContents"/>
              <w:bidi w:val="0"/>
              <w:spacing w:before="0" w:after="283"/>
              <w:jc w:val="left"/>
              <w:rPr/>
            </w:pPr>
            <w:r>
              <w:rPr/>
              <w:t>Less: Current portion of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(24,398</w:t>
            </w:r>
          </w:p>
        </w:tc>
        <w:tc>
          <w:tcPr>
            <w:tcW w:w="110" w:type="dxa"/>
            <w:tcBorders/>
            <w:shd w:fill="CCEEFF" w:val="clear"/>
            <w:tcMar>
              <w:bottom w:w="0" w:type="dxa"/>
            </w:tcMar>
            <w:vAlign w:val="center"/>
          </w:tcPr>
          <w:p>
            <w:pPr>
              <w:pStyle w:val="TableContents"/>
              <w:bidi w:val="0"/>
              <w:spacing w:before="0" w:after="283"/>
              <w:jc w:val="left"/>
              <w:rPr/>
            </w:pPr>
            <w:r>
              <w:rPr/>
              <w:t>)</w:t>
            </w:r>
            <w:bookmarkStart w:id="654" w:name="xdx_401_eus-gaap--LongTermDebtNoncurrent"/>
            <w:bookmarkEnd w:id="654"/>
          </w:p>
        </w:tc>
      </w:tr>
      <w:tr>
        <w:trPr/>
        <w:tc>
          <w:tcPr>
            <w:tcW w:w="3665" w:type="dxa"/>
            <w:tcBorders/>
            <w:shd w:fill="FFFFFF" w:val="clear"/>
            <w:tcMar>
              <w:bottom w:w="0" w:type="dxa"/>
            </w:tcMar>
            <w:vAlign w:val="center"/>
          </w:tcPr>
          <w:p>
            <w:pPr>
              <w:pStyle w:val="TableContents"/>
              <w:bidi w:val="0"/>
              <w:spacing w:before="0" w:after="283"/>
              <w:jc w:val="left"/>
              <w:rPr/>
            </w:pPr>
            <w:r>
              <w:rPr/>
              <w:t>Total long-term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5" w:name="xdx_8A2_z1Yez0ELs2V1"/>
      <w:bookmarkEnd w:id="655"/>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56" w:name="xdx_80D_eus-gaap--AssetAcquisitionTextBl"/>
      <w:bookmarkEnd w:id="656"/>
      <w:r>
        <w:rPr>
          <w:rFonts w:ascii="Times New Roman;Times;Serif" w:hAnsi="Times New Roman;Times;Serif"/>
          <w:b/>
          <w:i w:val="false"/>
          <w:caps/>
          <w:sz w:val="20"/>
        </w:rPr>
        <w:t xml:space="preserve">Note 7 - </w:t>
      </w:r>
      <w:bookmarkStart w:id="657" w:name="xdx_823_zsEMo0I3TG3g"/>
      <w:bookmarkEnd w:id="657"/>
      <w:r>
        <w:rPr>
          <w:rFonts w:ascii="Times New Roman;Times;Serif" w:hAnsi="Times New Roman;Times;Serif"/>
          <w:b/>
          <w:i w:val="false"/>
          <w:caps/>
          <w:sz w:val="20"/>
        </w:rPr>
        <w:t>Asset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Thomason Jones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entered into an Asset Purchase Agreement with William Thomason, Richard Jones, and Thomason Jones Company, LLC whereby the Company acquired inventory and intellectual property assets for a price not to exceed $</w:t>
      </w:r>
      <w:bookmarkStart w:id="658" w:name="xdx_900_eus-gaap--AssetAcquisitionConsid"/>
      <w:bookmarkEnd w:id="658"/>
      <w:r>
        <w:rPr>
          <w:rFonts w:ascii="Times New Roman;Times;Serif" w:hAnsi="Times New Roman;Times;Serif"/>
          <w:b w:val="false"/>
          <w:i w:val="false"/>
          <w:caps w:val="false"/>
          <w:smallCaps w:val="false"/>
          <w:sz w:val="20"/>
        </w:rPr>
        <w:t>700 cash plus contingent payments of $</w:t>
      </w:r>
      <w:bookmarkStart w:id="659" w:name="xdx_904_eus-gaap--AssetAcquisitionConsid"/>
      <w:bookmarkEnd w:id="659"/>
      <w:r>
        <w:rPr>
          <w:rFonts w:ascii="Times New Roman;Times;Serif" w:hAnsi="Times New Roman;Times;Serif"/>
          <w:b w:val="false"/>
          <w:i w:val="false"/>
          <w:caps w:val="false"/>
          <w:smallCaps w:val="false"/>
          <w:sz w:val="20"/>
        </w:rPr>
        <w:t>1,000 each to William Thomason and Richard Jones (the “Earn Out”). The transaction was determined to be a business combination under the guidance in FASB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w:t>
      </w:r>
      <w:bookmarkStart w:id="660" w:name="xdx_904_eus-gaap--AssetAcquisitionConsid"/>
      <w:bookmarkEnd w:id="660"/>
      <w:r>
        <w:rPr>
          <w:rFonts w:ascii="Times New Roman;Times;Serif" w:hAnsi="Times New Roman;Times;Serif"/>
          <w:b w:val="false"/>
          <w:i w:val="false"/>
          <w:caps w:val="false"/>
          <w:smallCaps w:val="false"/>
          <w:sz w:val="20"/>
        </w:rPr>
        <w:t>444 and was allocated in its entirety to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dated April 2022, Dragonfly Energy Corp. agreed to a contingent compensation arrangement with Mr. Thomason and Mr. Jones. According to this agreement, if Dragonfly Energy Corp. realizes $</w:t>
      </w:r>
      <w:bookmarkStart w:id="661" w:name="xdx_90D_eus-gaap--CostOfGoodsAndServices"/>
      <w:bookmarkEnd w:id="661"/>
      <w:r>
        <w:rPr>
          <w:rFonts w:ascii="Times New Roman;Times;Serif" w:hAnsi="Times New Roman;Times;Serif"/>
          <w:b w:val="false"/>
          <w:i w:val="false"/>
          <w:caps w:val="false"/>
          <w:smallCaps w:val="false"/>
          <w:sz w:val="20"/>
        </w:rPr>
        <w:t>3,000 in gross sales from products sold under the Wakespeed brand or which incorporate any portion of the Purchased Intellectual Property within twenty-four months of the acquisition, the Company is obligated to pay each of Thomason and Jones $</w:t>
      </w:r>
      <w:bookmarkStart w:id="662" w:name="xdx_903_eus-gaap--RepaymentsOfRelatedPar"/>
      <w:bookmarkEnd w:id="662"/>
      <w:r>
        <w:rPr>
          <w:rFonts w:ascii="Times New Roman;Times;Serif" w:hAnsi="Times New Roman;Times;Serif"/>
          <w:b w:val="false"/>
          <w:i w:val="false"/>
          <w:caps w:val="false"/>
          <w:smallCaps w:val="false"/>
          <w:sz w:val="20"/>
        </w:rPr>
        <w:t>1,000. The Company may satisfy this obligation in cash or by issuing common stock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 weighted expected outcome approach, considering the likelihood of reaching the gross sales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has recognized $</w:t>
      </w:r>
      <w:bookmarkStart w:id="663" w:name="xdx_90D_eus-gaap--CompensationExpenseExc"/>
      <w:bookmarkEnd w:id="663"/>
      <w:r>
        <w:rPr>
          <w:rFonts w:ascii="Times New Roman;Times;Serif" w:hAnsi="Times New Roman;Times;Serif"/>
          <w:b w:val="false"/>
          <w:i w:val="false"/>
          <w:caps w:val="false"/>
          <w:smallCaps w:val="false"/>
          <w:sz w:val="20"/>
        </w:rPr>
        <w:t>2,000 of compensation expense in connection with this arrangement. During the period January 1, 2024 through the quarter ended September 30, 2024, no compensation expense has been recognized. This expense is reflected in the statement of operations under Sales and marketing expense. The total amount was recognized as compensation expense as of December 31, 2023, since it was deemed earned and no further service performance was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64" w:name="xdx_802_ecustom--LicenseAgreementDisclos"/>
      <w:bookmarkEnd w:id="664"/>
      <w:r>
        <w:rPr>
          <w:rFonts w:ascii="Times New Roman;Times;Serif" w:hAnsi="Times New Roman;Times;Serif"/>
          <w:b/>
          <w:i w:val="false"/>
          <w:caps/>
          <w:sz w:val="20"/>
        </w:rPr>
        <w:t xml:space="preserve">Note 8 - </w:t>
      </w:r>
      <w:bookmarkStart w:id="665" w:name="xdx_825_zVhXIWqxY5I6"/>
      <w:bookmarkEnd w:id="665"/>
      <w:r>
        <w:rPr>
          <w:rFonts w:ascii="Times New Roman;Times;Serif" w:hAnsi="Times New Roman;Times;Serif"/>
          <w:b/>
          <w:i w:val="false"/>
          <w:caps/>
          <w:sz w:val="20"/>
        </w:rPr>
        <w:t>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w:t>
      </w:r>
      <w:bookmarkStart w:id="666" w:name="xdx_90D_ecustom--LicensingFee_pn3n3_c202"/>
      <w:bookmarkEnd w:id="666"/>
      <w:r>
        <w:rPr>
          <w:rFonts w:ascii="Times New Roman;Times;Serif" w:hAnsi="Times New Roman;Times;Serif"/>
          <w:b w:val="false"/>
          <w:i w:val="false"/>
          <w:caps w:val="false"/>
          <w:smallCaps w:val="false"/>
          <w:sz w:val="20"/>
        </w:rPr>
        <w:t>5,000 and will make additional mid-single digit royalty payments to be paid based on net sales to be paid quarterly utilizing the licensed trademarks, with total royalties capped at $</w:t>
      </w:r>
      <w:bookmarkStart w:id="667" w:name="xdx_906_ecustom--PaymentOfQuarterlyLicen"/>
      <w:bookmarkEnd w:id="667"/>
      <w:r>
        <w:rPr>
          <w:rFonts w:ascii="Times New Roman;Times;Serif" w:hAnsi="Times New Roman;Times;Serif"/>
          <w:b w:val="false"/>
          <w:i w:val="false"/>
          <w:caps w:val="false"/>
          <w:smallCaps w:val="false"/>
          <w:sz w:val="20"/>
        </w:rPr>
        <w:t>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w:t>
      </w:r>
      <w:bookmarkStart w:id="668" w:name="xdx_90D_ecustom--LicensingFee_pn3n3_c202"/>
      <w:bookmarkEnd w:id="668"/>
      <w:r>
        <w:rPr>
          <w:rFonts w:ascii="Times New Roman;Times;Serif" w:hAnsi="Times New Roman;Times;Serif"/>
          <w:b w:val="false"/>
          <w:i w:val="false"/>
          <w:caps w:val="false"/>
          <w:smallCaps w:val="false"/>
          <w:sz w:val="20"/>
        </w:rPr>
        <w:t xml:space="preserve">5,000 initial licensing fee is being recognized as revenue on a </w:t>
      </w:r>
      <w:bookmarkStart w:id="669" w:name="xdx_909_ecustom--InitialLicensingFeeReco"/>
      <w:bookmarkEnd w:id="669"/>
      <w:r>
        <w:rPr>
          <w:rFonts w:ascii="Times New Roman;Times;Serif" w:hAnsi="Times New Roman;Times;Serif"/>
          <w:b w:val="false"/>
          <w:i w:val="false"/>
          <w:caps w:val="false"/>
          <w:smallCaps w:val="false"/>
          <w:sz w:val="20"/>
        </w:rPr>
        <w:t>straight-line basis over five years. For the three and nine months ended September 30, 2024, the Company has recorded $</w:t>
      </w:r>
      <w:bookmarkStart w:id="670" w:name="xdx_90C_ecustom--AmortizationOfLicenseAg"/>
      <w:bookmarkStart w:id="671" w:name="xdx_90F_ecustom--AmortizationOfLicenseAg"/>
      <w:bookmarkEnd w:id="670"/>
      <w:bookmarkEnd w:id="671"/>
      <w:r>
        <w:rPr>
          <w:rFonts w:ascii="Times New Roman;Times;Serif" w:hAnsi="Times New Roman;Times;Serif"/>
          <w:b w:val="false"/>
          <w:i w:val="false"/>
          <w:caps w:val="false"/>
          <w:smallCaps w:val="false"/>
          <w:sz w:val="20"/>
        </w:rPr>
        <w:t xml:space="preserve">167 in revenue related to the amortization of the License Agreement and </w:t>
      </w:r>
      <w:bookmarkStart w:id="672" w:name="xdx_90A_eus-gaap--ProceedsFromRoyaltiesR"/>
      <w:bookmarkStart w:id="673" w:name="xdx_906_eus-gaap--ProceedsFromRoyaltiesR"/>
      <w:bookmarkEnd w:id="672"/>
      <w:bookmarkEnd w:id="673"/>
      <w:r>
        <w:rPr>
          <w:rFonts w:ascii="Times New Roman;Times;Serif" w:hAnsi="Times New Roman;Times;Serif"/>
          <w:b w:val="false"/>
          <w:i w:val="false"/>
          <w:caps w:val="false"/>
          <w:smallCaps w:val="false"/>
          <w:sz w:val="20"/>
        </w:rPr>
        <w:t>no royalty payments have been received or earned. As of September 30, 2024, the Company has recorded $</w:t>
      </w:r>
      <w:bookmarkStart w:id="674" w:name="xdx_901_ecustom--ShortTermDeferredRevenu"/>
      <w:bookmarkEnd w:id="674"/>
      <w:r>
        <w:rPr>
          <w:rFonts w:ascii="Times New Roman;Times;Serif" w:hAnsi="Times New Roman;Times;Serif"/>
          <w:b w:val="false"/>
          <w:i w:val="false"/>
          <w:caps w:val="false"/>
          <w:smallCaps w:val="false"/>
          <w:sz w:val="20"/>
        </w:rPr>
        <w:t>1,000 in short term deferred revenue and $</w:t>
      </w:r>
      <w:bookmarkStart w:id="675" w:name="xdx_90D_ecustom--LongTermDeferredRevenue"/>
      <w:bookmarkEnd w:id="675"/>
      <w:r>
        <w:rPr>
          <w:rFonts w:ascii="Times New Roman;Times;Serif" w:hAnsi="Times New Roman;Times;Serif"/>
          <w:b w:val="false"/>
          <w:i w:val="false"/>
          <w:caps w:val="false"/>
          <w:smallCaps w:val="false"/>
          <w:sz w:val="20"/>
        </w:rPr>
        <w:t>3,833 in long-term deferred revenue related to the license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676" w:name="xdx_808_eus-gaap--RelatedPartyTransactio"/>
      <w:bookmarkEnd w:id="676"/>
      <w:r>
        <w:rPr>
          <w:rFonts w:ascii="Times New Roman;Times;Serif" w:hAnsi="Times New Roman;Times;Serif"/>
          <w:b/>
          <w:i w:val="false"/>
          <w:caps/>
          <w:sz w:val="20"/>
        </w:rPr>
        <w:t xml:space="preserve">Note 9 - </w:t>
      </w:r>
      <w:bookmarkStart w:id="677" w:name="xdx_824_zuq3VyQTYR2i"/>
      <w:bookmarkEnd w:id="677"/>
      <w:r>
        <w:rPr>
          <w:rFonts w:ascii="Times New Roman;Times;Serif" w:hAnsi="Times New Roman;Times;Serif"/>
          <w:b/>
          <w:i w:val="false"/>
          <w:caps/>
          <w:sz w:val="20"/>
        </w:rPr>
        <w:t>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2022, the Company entered into a separation and release of claims agreement with its Chief Operating Officer (the “COO”). As consideration for the COO’s execution of the agreement, the Company agreed to pay the employee a lump sum payment of $</w:t>
      </w:r>
      <w:bookmarkStart w:id="678" w:name="xdx_90F_eus-gaap--RelatedPartyTransactio"/>
      <w:bookmarkEnd w:id="678"/>
      <w:r>
        <w:rPr>
          <w:rFonts w:ascii="Times New Roman;Times;Serif" w:hAnsi="Times New Roman;Times;Serif"/>
          <w:b w:val="false"/>
          <w:i w:val="false"/>
          <w:caps w:val="false"/>
          <w:smallCaps w:val="false"/>
          <w:sz w:val="20"/>
        </w:rPr>
        <w:t>100 which is included in general and administrative expenses in the statements of operations, payments equivalent to $</w:t>
      </w:r>
      <w:bookmarkStart w:id="679" w:name="xdx_902_eus-gaap--OtherLiabilities_iI_pn"/>
      <w:bookmarkEnd w:id="679"/>
      <w:r>
        <w:rPr>
          <w:rFonts w:ascii="Times New Roman;Times;Serif" w:hAnsi="Times New Roman;Times;Serif"/>
          <w:b w:val="false"/>
          <w:i w:val="false"/>
          <w:caps w:val="false"/>
          <w:smallCaps w:val="false"/>
          <w:sz w:val="20"/>
        </w:rPr>
        <w:t xml:space="preserve">1,000 divided into twenty-four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w:t>
      </w:r>
      <w:bookmarkStart w:id="680" w:name="xdx_905_eus-gaap--StockIssuedDuringPerio"/>
      <w:bookmarkEnd w:id="680"/>
      <w:r>
        <w:rPr>
          <w:rFonts w:ascii="Times New Roman;Times;Serif" w:hAnsi="Times New Roman;Times;Serif"/>
          <w:b w:val="false"/>
          <w:i w:val="false"/>
          <w:caps w:val="false"/>
          <w:smallCaps w:val="false"/>
          <w:sz w:val="20"/>
        </w:rPr>
        <w:t xml:space="preserve">100,000 options and </w:t>
      </w:r>
      <w:bookmarkStart w:id="681" w:name="xdx_90D_eus-gaap--ShareBasedCompensation"/>
      <w:bookmarkEnd w:id="681"/>
      <w:r>
        <w:rPr>
          <w:rFonts w:ascii="Times New Roman;Times;Serif" w:hAnsi="Times New Roman;Times;Serif"/>
          <w:b w:val="false"/>
          <w:i w:val="false"/>
          <w:caps w:val="false"/>
          <w:smallCaps w:val="false"/>
          <w:sz w:val="20"/>
        </w:rPr>
        <w:t>76,316 options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the Company entered into an agreement with its former COO in which the COO waived their rights to a transaction bonus resulting from the merger transaction in lieu of a Company van. The Company accounted for the cost of the van as an employee bonus, resulting in $</w:t>
      </w:r>
      <w:bookmarkStart w:id="682" w:name="xdx_904_eus-gaap--GeneralAndAdministrati"/>
      <w:bookmarkEnd w:id="682"/>
      <w:r>
        <w:rPr>
          <w:rFonts w:ascii="Times New Roman;Times;Serif" w:hAnsi="Times New Roman;Times;Serif"/>
          <w:b w:val="false"/>
          <w:i w:val="false"/>
          <w:caps w:val="false"/>
          <w:smallCaps w:val="false"/>
          <w:sz w:val="20"/>
        </w:rPr>
        <w:t>116 of general and administrative expense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the Company entered into a convertible promissory note (the “Note”) with a board member in the amount of $</w:t>
      </w:r>
      <w:bookmarkStart w:id="683" w:name="xdx_90B_eus-gaap--ConvertibleNotesPayabl"/>
      <w:bookmarkEnd w:id="683"/>
      <w:r>
        <w:rPr>
          <w:rFonts w:ascii="Times New Roman;Times;Serif" w:hAnsi="Times New Roman;Times;Serif"/>
          <w:b w:val="false"/>
          <w:i w:val="false"/>
          <w:caps w:val="false"/>
          <w:smallCaps w:val="false"/>
          <w:sz w:val="20"/>
        </w:rPr>
        <w:t>1,000, or the Principal Amount. Upon execution of the Note and funding of the original principal sum, a payment of $</w:t>
      </w:r>
      <w:bookmarkStart w:id="684" w:name="xdx_907_eus-gaap--DebtInstrumentFeeAmoun"/>
      <w:bookmarkEnd w:id="684"/>
      <w:r>
        <w:rPr>
          <w:rFonts w:ascii="Times New Roman;Times;Serif" w:hAnsi="Times New Roman;Times;Serif"/>
          <w:b w:val="false"/>
          <w:i w:val="false"/>
          <w:caps w:val="false"/>
          <w:smallCaps w:val="false"/>
          <w:sz w:val="20"/>
        </w:rPr>
        <w:t>100 (the “Loan Fee”) was fully earned as of the date of the Note and was due and payable in full in cash on April 4, 2023. The Company paid the Principal Amount and the Loan Fee on April 1, 2023 and April 4,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Company entered into a separation and release of claims agreement with its former Chief Legal Officer (the “CLO”). As consideration for the CLO’s execution of the agreement, the Company agreed to pay the employee payments equivalent to $</w:t>
      </w:r>
      <w:bookmarkStart w:id="685" w:name="xdx_906_eus-gaap--OtherLiabilities_iI_pn"/>
      <w:bookmarkEnd w:id="685"/>
      <w:r>
        <w:rPr>
          <w:rFonts w:ascii="Times New Roman;Times;Serif" w:hAnsi="Times New Roman;Times;Serif"/>
          <w:b w:val="false"/>
          <w:i w:val="false"/>
          <w:caps w:val="false"/>
          <w:smallCaps w:val="false"/>
          <w:sz w:val="20"/>
        </w:rPr>
        <w:t>720 divided into twenty-four (24) monthly payments commencing on June 1, 2023, and all outstanding equity-based compensation awards to become fully vested and exercisable at an expense of $</w:t>
      </w:r>
      <w:bookmarkStart w:id="686" w:name="xdx_902_eus-gaap--EmployeeBenefitsAndSha"/>
      <w:bookmarkEnd w:id="686"/>
      <w:r>
        <w:rPr>
          <w:rFonts w:ascii="Times New Roman;Times;Serif" w:hAnsi="Times New Roman;Times;Serif"/>
          <w:b w:val="false"/>
          <w:i w:val="false"/>
          <w:caps w:val="false"/>
          <w:smallCaps w:val="false"/>
          <w:sz w:val="20"/>
        </w:rPr>
        <w:t>76. The CLO shall have three (3) months from the termination date to exercise outstanding options. The three (3) month period ended on July 26, 2023 in which the options were not exercised and the options were forfeited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Company entered into a convertible promissory note (the “January Note”) with a board member in the amount of $</w:t>
      </w:r>
      <w:bookmarkStart w:id="687" w:name="xdx_909_eus-gaap--ConvertibleNotesPayabl"/>
      <w:bookmarkEnd w:id="687"/>
      <w:r>
        <w:rPr>
          <w:rFonts w:ascii="Times New Roman;Times;Serif" w:hAnsi="Times New Roman;Times;Serif"/>
          <w:b w:val="false"/>
          <w:i w:val="false"/>
          <w:caps w:val="false"/>
          <w:smallCaps w:val="false"/>
          <w:sz w:val="20"/>
        </w:rPr>
        <w:t>1,000, or the January Principal Amount. Upon execution of the January Note and funding of the original principal sum, a payment of $</w:t>
      </w:r>
      <w:bookmarkStart w:id="688" w:name="xdx_90E_eus-gaap--DebtInstrumentFeeAmoun"/>
      <w:bookmarkEnd w:id="688"/>
      <w:r>
        <w:rPr>
          <w:rFonts w:ascii="Times New Roman;Times;Serif" w:hAnsi="Times New Roman;Times;Serif"/>
          <w:b w:val="false"/>
          <w:i w:val="false"/>
          <w:caps w:val="false"/>
          <w:smallCaps w:val="false"/>
          <w:sz w:val="20"/>
        </w:rPr>
        <w:t>50 (the “January Loan Fee”) was fully earned as of the date of the January Note and was due and payable in full in cash on February 2, 2024. The Company paid the January Principal Amount and the January Loan Fee on February 1,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 Related Party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convertible promissory note (the “February Note”) with a board member in the amount of $</w:t>
      </w:r>
      <w:bookmarkStart w:id="689" w:name="xdx_90E_eus-gaap--ConvertibleNotesPayabl"/>
      <w:bookmarkEnd w:id="689"/>
      <w:r>
        <w:rPr>
          <w:rFonts w:ascii="Times New Roman;Times;Serif" w:hAnsi="Times New Roman;Times;Serif"/>
          <w:b w:val="false"/>
          <w:i w:val="false"/>
          <w:caps w:val="false"/>
          <w:smallCaps w:val="false"/>
          <w:sz w:val="20"/>
        </w:rPr>
        <w:t>1,700, or the February Principal Amount. Upon execution of the February Note and funding of the original principal sum, a payment of $</w:t>
      </w:r>
      <w:bookmarkStart w:id="690" w:name="xdx_907_eus-gaap--DebtInstrumentFeeAmoun"/>
      <w:bookmarkEnd w:id="690"/>
      <w:r>
        <w:rPr>
          <w:rFonts w:ascii="Times New Roman;Times;Serif" w:hAnsi="Times New Roman;Times;Serif"/>
          <w:b w:val="false"/>
          <w:i w:val="false"/>
          <w:caps w:val="false"/>
          <w:smallCaps w:val="false"/>
          <w:sz w:val="20"/>
        </w:rPr>
        <w:t>85 (the “February Loan Fee”) was fully earned as of the date of the February Note and was due and payable in full in cash on March 1, 2024. The Company paid the February Principal Amount and the February Loan Fee on March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w:t>
      </w:r>
      <w:bookmarkStart w:id="691" w:name="xdx_908_eus-gaap--PaymentOfFinancingAndS"/>
      <w:bookmarkEnd w:id="691"/>
      <w:r>
        <w:rPr>
          <w:rFonts w:ascii="Times New Roman;Times;Serif" w:hAnsi="Times New Roman;Times;Serif"/>
          <w:b w:val="false"/>
          <w:i w:val="false"/>
          <w:caps w:val="false"/>
          <w:smallCaps w:val="false"/>
          <w:sz w:val="20"/>
        </w:rPr>
        <w:t>1,532 for the Chief Executive Officer, $</w:t>
      </w:r>
      <w:bookmarkStart w:id="692" w:name="xdx_906_eus-gaap--PaymentOfFinancingAndS"/>
      <w:bookmarkEnd w:id="692"/>
      <w:r>
        <w:rPr>
          <w:rFonts w:ascii="Times New Roman;Times;Serif" w:hAnsi="Times New Roman;Times;Serif"/>
          <w:b w:val="false"/>
          <w:i w:val="false"/>
          <w:caps w:val="false"/>
          <w:smallCaps w:val="false"/>
          <w:sz w:val="20"/>
        </w:rPr>
        <w:t>490 for the Chief Revenue Officer, and $</w:t>
      </w:r>
      <w:bookmarkStart w:id="693" w:name="xdx_909_eus-gaap--PaymentOfFinancingAndS"/>
      <w:bookmarkEnd w:id="693"/>
      <w:r>
        <w:rPr>
          <w:rFonts w:ascii="Times New Roman;Times;Serif" w:hAnsi="Times New Roman;Times;Serif"/>
          <w:b w:val="false"/>
          <w:i w:val="false"/>
          <w:caps w:val="false"/>
          <w:smallCaps w:val="false"/>
          <w:sz w:val="20"/>
        </w:rPr>
        <w:t>236 for the Chief Marketing Officer), subject to approval and such other terms and conditions imposed by the compensation committee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94" w:name="xdx_80C_ecustom--WarrantLiabilitiesDiscl"/>
      <w:bookmarkEnd w:id="694"/>
      <w:r>
        <w:rPr>
          <w:rFonts w:ascii="Times New Roman;Times;Serif" w:hAnsi="Times New Roman;Times;Serif"/>
          <w:b/>
          <w:i w:val="false"/>
          <w:caps/>
          <w:sz w:val="20"/>
        </w:rPr>
        <w:t xml:space="preserve">Note 10 - </w:t>
      </w:r>
      <w:bookmarkStart w:id="695" w:name="xdx_823_zbtxEFinhGRg"/>
      <w:bookmarkEnd w:id="695"/>
      <w:r>
        <w:rPr>
          <w:rFonts w:ascii="Times New Roman;Times;Serif" w:hAnsi="Times New Roman;Times;Serif"/>
          <w:b/>
          <w:i w:val="false"/>
          <w:caps/>
          <w:sz w:val="20"/>
        </w:rPr>
        <w:t>Warrants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Public Warrants are classified as equity and as of September 30, 2024 and September 30, 2023, there were </w:t>
      </w:r>
      <w:bookmarkStart w:id="696" w:name="xdx_909_eus-gaap--ShareBasedCompensation"/>
      <w:bookmarkStart w:id="697" w:name="xdx_905_eus-gaap--ShareBasedCompensation"/>
      <w:bookmarkStart w:id="698" w:name="xdx_90B_eus-gaap--ShareBasedCompensation"/>
      <w:bookmarkStart w:id="699" w:name="xdx_908_eus-gaap--ShareBasedCompensation"/>
      <w:bookmarkEnd w:id="696"/>
      <w:bookmarkEnd w:id="697"/>
      <w:bookmarkEnd w:id="698"/>
      <w:bookmarkEnd w:id="699"/>
      <w:r>
        <w:rPr>
          <w:rFonts w:ascii="Times New Roman;Times;Serif" w:hAnsi="Times New Roman;Times;Serif"/>
          <w:b w:val="false"/>
          <w:i w:val="false"/>
          <w:caps w:val="false"/>
          <w:smallCaps w:val="false"/>
          <w:sz w:val="20"/>
        </w:rPr>
        <w:t>9,422,529 Public Warrants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w:t>
      </w:r>
      <w:bookmarkStart w:id="700" w:name="xdx_902_ecustom--StockIssuedDuringPeriod"/>
      <w:bookmarkEnd w:id="700"/>
      <w:r>
        <w:rPr>
          <w:rFonts w:ascii="Times New Roman;Times;Serif" w:hAnsi="Times New Roman;Times;Serif"/>
          <w:b w:val="false"/>
          <w:i w:val="false"/>
          <w:caps w:val="false"/>
          <w:smallCaps w:val="false"/>
          <w:sz w:val="20"/>
        </w:rPr>
        <w:t>no public warrants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year ended December 31, 2023, private placement warrant holders exercised </w:t>
      </w:r>
      <w:bookmarkStart w:id="701" w:name="xdx_90E_eus-gaap--ClassOfWarrantOrRightN"/>
      <w:bookmarkEnd w:id="701"/>
      <w:r>
        <w:rPr>
          <w:rFonts w:ascii="Times New Roman;Times;Serif" w:hAnsi="Times New Roman;Times;Serif"/>
          <w:b w:val="false"/>
          <w:i w:val="false"/>
          <w:caps w:val="false"/>
          <w:smallCaps w:val="false"/>
          <w:sz w:val="20"/>
        </w:rPr>
        <w:t xml:space="preserve">3,126,472 warrants on a cashless basis, with the Company agreeing to issue </w:t>
      </w:r>
      <w:bookmarkStart w:id="702" w:name="xdx_90C_eus-gaap--StockIssuedDuringPerio"/>
      <w:bookmarkEnd w:id="702"/>
      <w:r>
        <w:rPr>
          <w:rFonts w:ascii="Times New Roman;Times;Serif" w:hAnsi="Times New Roman;Times;Serif"/>
          <w:b w:val="false"/>
          <w:i w:val="false"/>
          <w:caps w:val="false"/>
          <w:smallCaps w:val="false"/>
          <w:sz w:val="20"/>
        </w:rPr>
        <w:t xml:space="preserve">1,100,000 shares of Common Stock in connection with such exercise. There were </w:t>
      </w:r>
      <w:bookmarkStart w:id="703" w:name="xdx_903_eus-gaap--ClassOfWarrantOrRightO"/>
      <w:bookmarkStart w:id="704" w:name="xdx_90F_eus-gaap--ClassOfWarrantOrRightO"/>
      <w:bookmarkEnd w:id="703"/>
      <w:bookmarkEnd w:id="704"/>
      <w:r>
        <w:rPr>
          <w:rFonts w:ascii="Times New Roman;Times;Serif" w:hAnsi="Times New Roman;Times;Serif"/>
          <w:b w:val="false"/>
          <w:i w:val="false"/>
          <w:caps w:val="false"/>
          <w:smallCaps w:val="false"/>
          <w:sz w:val="20"/>
        </w:rPr>
        <w:t>1,501,386 private warrants outstanding as of September 30, 2024 and December 31, 2023,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The Company determined, through use of a Binomial Lattice model, that the fair value of each Private Placement Warrant less a discount for the difference in remaining life is equivalent to that of each Public Warrant.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on October 7, 2022, and as a required term and condition thereof, </w:t>
      </w:r>
      <w:bookmarkStart w:id="705" w:name="xdx_904_ecustom--ClassOfWarrantOrRightEx"/>
      <w:bookmarkEnd w:id="705"/>
      <w:r>
        <w:rPr>
          <w:rFonts w:ascii="Times New Roman;Times;Serif" w:hAnsi="Times New Roman;Times;Serif"/>
          <w:b w:val="false"/>
          <w:i w:val="false"/>
          <w:caps w:val="false"/>
          <w:smallCaps w:val="false"/>
          <w:sz w:val="20"/>
        </w:rPr>
        <w:t xml:space="preserve">the Company issued (i) the penny warrants to the Term Loan Lenders exercisable to purchase an aggregate of </w:t>
      </w:r>
      <w:bookmarkStart w:id="706" w:name="xdx_907_eus-gaap--ClassOfWarrantOrRightN"/>
      <w:bookmarkEnd w:id="706"/>
      <w:r>
        <w:rPr>
          <w:rFonts w:ascii="Times New Roman;Times;Serif" w:hAnsi="Times New Roman;Times;Serif"/>
          <w:b w:val="false"/>
          <w:i w:val="false"/>
          <w:caps w:val="false"/>
          <w:smallCaps w:val="false"/>
          <w:sz w:val="20"/>
        </w:rPr>
        <w:t xml:space="preserve">2,593,056 shares of Common Stock (the “Original Penny Warrants”) and (ii) the $10 warrants to issue warrants to the Term Loan Lenders exercisable to purchase an aggregate of </w:t>
      </w:r>
      <w:bookmarkStart w:id="707" w:name="xdx_90E_eus-gaap--ClassOfWarrantOrRightN"/>
      <w:bookmarkEnd w:id="707"/>
      <w:r>
        <w:rPr>
          <w:rFonts w:ascii="Times New Roman;Times;Serif" w:hAnsi="Times New Roman;Times;Serif"/>
          <w:b w:val="false"/>
          <w:i w:val="false"/>
          <w:caps w:val="false"/>
          <w:smallCaps w:val="false"/>
          <w:sz w:val="20"/>
        </w:rPr>
        <w:t>1,600,000 shares of Common Stock at $10 per share (the “$10 Warrants” and, together with the Original Penny Warrants, the “Term Loan Warrants”). The $</w:t>
      </w:r>
      <w:bookmarkStart w:id="708" w:name="xdx_906_eus-gaap--SharePrice_iI_pid_c202"/>
      <w:bookmarkEnd w:id="708"/>
      <w:r>
        <w:rPr>
          <w:rFonts w:ascii="Times New Roman;Times;Serif" w:hAnsi="Times New Roman;Times;Serif"/>
          <w:b w:val="false"/>
          <w:i w:val="false"/>
          <w:caps w:val="false"/>
          <w:smallCaps w:val="false"/>
          <w:sz w:val="20"/>
        </w:rPr>
        <w:t xml:space="preserve">10 Warrants were exercised on a cashless basis on October 10, 2022, with the Company issuing </w:t>
      </w:r>
      <w:bookmarkStart w:id="709" w:name="xdx_900_eus-gaap--ClassOfWarrantOrRightN"/>
      <w:bookmarkEnd w:id="709"/>
      <w:r>
        <w:rPr>
          <w:rFonts w:ascii="Times New Roman;Times;Serif" w:hAnsi="Times New Roman;Times;Serif"/>
          <w:b w:val="false"/>
          <w:i w:val="false"/>
          <w:caps w:val="false"/>
          <w:smallCaps w:val="false"/>
          <w:sz w:val="20"/>
        </w:rPr>
        <w:t xml:space="preserve">457,142 shares of Common Stock in connection with such exercise. During the year ended December 31, 2023, Original Penny Warrant holders exercised </w:t>
      </w:r>
      <w:bookmarkStart w:id="710" w:name="xdx_90B_eus-gaap--ClassOfWarrantOrRightN"/>
      <w:bookmarkEnd w:id="710"/>
      <w:r>
        <w:rPr>
          <w:rFonts w:ascii="Times New Roman;Times;Serif" w:hAnsi="Times New Roman;Times;Serif"/>
          <w:b w:val="false"/>
          <w:i w:val="false"/>
          <w:caps w:val="false"/>
          <w:smallCaps w:val="false"/>
          <w:sz w:val="20"/>
        </w:rPr>
        <w:t xml:space="preserve">2,000,000 warrants on a cashless basis, with the Company agreeing to issue </w:t>
      </w:r>
      <w:bookmarkStart w:id="711" w:name="xdx_903_eus-gaap--ClassOfWarrantOrRightN"/>
      <w:bookmarkEnd w:id="711"/>
      <w:r>
        <w:rPr>
          <w:rFonts w:ascii="Times New Roman;Times;Serif" w:hAnsi="Times New Roman;Times;Serif"/>
          <w:b w:val="false"/>
          <w:i w:val="false"/>
          <w:caps w:val="false"/>
          <w:smallCaps w:val="false"/>
          <w:sz w:val="20"/>
        </w:rPr>
        <w:t xml:space="preserve">1,996,323 shares of Common Stock in connection with such exercise. During the year ended December 31, 2023 the Company issued additional Original Penny Warrants to purchase </w:t>
      </w:r>
      <w:bookmarkStart w:id="712" w:name="xdx_90B_eus-gaap--ClassOfWarrantOrRightN"/>
      <w:bookmarkEnd w:id="712"/>
      <w:r>
        <w:rPr>
          <w:rFonts w:ascii="Times New Roman;Times;Serif" w:hAnsi="Times New Roman;Times;Serif"/>
          <w:b w:val="false"/>
          <w:i w:val="false"/>
          <w:caps w:val="false"/>
          <w:smallCaps w:val="false"/>
          <w:sz w:val="20"/>
        </w:rPr>
        <w:t xml:space="preserve">4,783 shares of Common Stock to the Term Loan Lenders in accordance with the anti-dilution provisions of the Original Penny Warrants with respect to certain sales made by the Company under the ChEF Equity Facility. In addition, pursuant to the Company’s limited waiver agreement on December 29, 2023 between the Company and the Term Loan Lenders and lending agent, the Company agreed to issue to the lenders additional penny warrants exercisable to purchase an aggregate </w:t>
      </w:r>
      <w:bookmarkStart w:id="713" w:name="xdx_903_eus-gaap--ClassOfWarrantOrRightN"/>
      <w:bookmarkEnd w:id="713"/>
      <w:r>
        <w:rPr>
          <w:rFonts w:ascii="Times New Roman;Times;Serif" w:hAnsi="Times New Roman;Times;Serif"/>
          <w:b w:val="false"/>
          <w:i w:val="false"/>
          <w:caps w:val="false"/>
          <w:smallCaps w:val="false"/>
          <w:sz w:val="20"/>
        </w:rPr>
        <w:t>1,286,671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the May 2024 Waiver in regards to its compliance with the Tests as of the last day of the quarter ended March 31, 2024. The May 2024 Waiver provided for a one-time issuance of the May 2024 Penny Warrants to purchase up to </w:t>
      </w:r>
      <w:bookmarkStart w:id="714" w:name="xdx_903_eus-gaap--ClassOfWarrantOrRightN"/>
      <w:bookmarkEnd w:id="714"/>
      <w:r>
        <w:rPr>
          <w:rFonts w:ascii="Times New Roman;Times;Serif" w:hAnsi="Times New Roman;Times;Serif"/>
          <w:b w:val="false"/>
          <w:i w:val="false"/>
          <w:caps w:val="false"/>
          <w:smallCaps w:val="false"/>
          <w:sz w:val="20"/>
        </w:rPr>
        <w:t>2,550,000 shares of the Company’s common stock, at an exercise price of $</w:t>
      </w:r>
      <w:bookmarkStart w:id="715" w:name="xdx_903_eus-gaap--ClassOfWarrantOrRightE"/>
      <w:bookmarkEnd w:id="715"/>
      <w:r>
        <w:rPr>
          <w:rFonts w:ascii="Times New Roman;Times;Serif" w:hAnsi="Times New Roman;Times;Serif"/>
          <w:b w:val="false"/>
          <w:i w:val="false"/>
          <w:caps w:val="false"/>
          <w:smallCaps w:val="false"/>
          <w:sz w:val="20"/>
        </w:rPr>
        <w:t xml:space="preserve">0.01 per share, in connection with the Term Loan Lenders’ agreement to waive the Tests under the Term Loan for the quarter ended March 31, 2024. The May 2024 Penny Warrants were immediately exercisable upon issuance and will expire </w:t>
      </w:r>
      <w:bookmarkStart w:id="716" w:name="xdx_90A_eus-gaap--WarrantsAndRightsOutst"/>
      <w:bookmarkEnd w:id="716"/>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w:t>
      </w:r>
      <w:bookmarkStart w:id="717" w:name="xdx_901_eus-gaap--ClassOfWarrantOrRightN"/>
      <w:bookmarkEnd w:id="717"/>
      <w:r>
        <w:rPr>
          <w:rFonts w:ascii="Times New Roman;Times;Serif" w:hAnsi="Times New Roman;Times;Serif"/>
          <w:b w:val="false"/>
          <w:i w:val="false"/>
          <w:caps w:val="false"/>
          <w:smallCaps w:val="false"/>
          <w:sz w:val="20"/>
        </w:rPr>
        <w:t>2,100,000 shares of the Company’s common stock, at an exercise price of $</w:t>
      </w:r>
      <w:bookmarkStart w:id="718" w:name="xdx_90C_eus-gaap--ClassOfWarrantOrRightE"/>
      <w:bookmarkEnd w:id="718"/>
      <w:r>
        <w:rPr>
          <w:rFonts w:ascii="Times New Roman;Times;Serif" w:hAnsi="Times New Roman;Times;Serif"/>
          <w:b w:val="false"/>
          <w:i w:val="false"/>
          <w:caps w:val="false"/>
          <w:smallCaps w:val="false"/>
          <w:sz w:val="20"/>
        </w:rPr>
        <w:t>0.01 per share, in connection with the Term Loan Lenders’ agreement to waive the Tests under the Term Loan for the quarter ended June 30, 2024 and certain amendments to the Term Loan. The June 2024 Penny Warrants are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w:t>
      </w:r>
      <w:bookmarkStart w:id="719" w:name="xdx_903_eus-gaap--ClassOfWarrantOrRightN"/>
      <w:bookmarkEnd w:id="719"/>
      <w:r>
        <w:rPr>
          <w:rFonts w:ascii="Times New Roman;Times;Serif" w:hAnsi="Times New Roman;Times;Serif"/>
          <w:b w:val="false"/>
          <w:i w:val="false"/>
          <w:caps w:val="false"/>
          <w:smallCaps w:val="false"/>
          <w:sz w:val="20"/>
        </w:rPr>
        <w:t>3,000,000 shares of the Company’s Common Stock, at an exercise price of $</w:t>
      </w:r>
      <w:bookmarkStart w:id="720" w:name="xdx_905_eus-gaap--ClassOfWarrantOrRightE"/>
      <w:bookmarkEnd w:id="720"/>
      <w:r>
        <w:rPr>
          <w:rFonts w:ascii="Times New Roman;Times;Serif" w:hAnsi="Times New Roman;Times;Serif"/>
          <w:b w:val="false"/>
          <w:i w:val="false"/>
          <w:caps w:val="false"/>
          <w:smallCaps w:val="false"/>
          <w:sz w:val="20"/>
        </w:rPr>
        <w:t>0.01 per share, in connection with the Term Loan Lenders agreement to waive the Tests under the Term Loan for the quarter ended September 30, 2024 and to amend the Term Loan. The September 2024 Penny Warrants are immediately exercisable upon issuance and will expire ten years from the date of issuance. The May 2024 Penny Warrants, the June 2024 Penny Warrants, and the September 2024 Penny Warrants were valued utilizing a Black-Scholes model with the following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21" w:name="xdx_8BE_zz1ggl1nfJ1d"/>
      <w:bookmarkStart w:id="722" w:name="xdx_89E_ecustom--ScheduleOfShareBasedPay"/>
      <w:bookmarkEnd w:id="721"/>
      <w:bookmarkEnd w:id="722"/>
      <w:r>
        <w:rPr>
          <w:rFonts w:ascii="Times New Roman;Times;Serif" w:hAnsi="Times New Roman;Times;Serif"/>
          <w:b w:val="false"/>
          <w:i w:val="false"/>
          <w:caps w:val="false"/>
          <w:smallCaps w:val="false"/>
          <w:sz w:val="20"/>
        </w:rPr>
        <w:t>SCHEDULE OF PENNY WARRANTS</w:t>
      </w:r>
    </w:p>
    <w:tbl>
      <w:tblPr>
        <w:tblW w:w="10205" w:type="dxa"/>
        <w:jc w:val="left"/>
        <w:tblInd w:w="0" w:type="dxa"/>
        <w:tblLayout w:type="fixed"/>
        <w:tblCellMar>
          <w:top w:w="0" w:type="dxa"/>
          <w:left w:w="0" w:type="dxa"/>
          <w:bottom w:w="0" w:type="dxa"/>
          <w:right w:w="0" w:type="dxa"/>
        </w:tblCellMar>
      </w:tblPr>
      <w:tblGrid>
        <w:gridCol w:w="1251"/>
        <w:gridCol w:w="60"/>
        <w:gridCol w:w="603"/>
        <w:gridCol w:w="1908"/>
        <w:gridCol w:w="215"/>
        <w:gridCol w:w="60"/>
        <w:gridCol w:w="610"/>
        <w:gridCol w:w="1927"/>
        <w:gridCol w:w="215"/>
        <w:gridCol w:w="60"/>
        <w:gridCol w:w="738"/>
        <w:gridCol w:w="2324"/>
        <w:gridCol w:w="234"/>
      </w:tblGrid>
      <w:tr>
        <w:trPr/>
        <w:tc>
          <w:tcPr>
            <w:tcW w:w="12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May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2024 Penny Warrants</w:t>
            </w:r>
          </w:p>
        </w:tc>
        <w:tc>
          <w:tcPr>
            <w:tcW w:w="234" w:type="dxa"/>
            <w:tcBorders/>
            <w:vAlign w:val="center"/>
          </w:tcPr>
          <w:p>
            <w:pPr>
              <w:pStyle w:val="TableContents"/>
              <w:bidi w:val="0"/>
              <w:spacing w:before="0" w:after="283"/>
              <w:jc w:val="left"/>
              <w:rPr/>
            </w:pPr>
            <w:r>
              <w:rPr/>
              <w:t> </w:t>
            </w:r>
          </w:p>
        </w:tc>
      </w:tr>
      <w:tr>
        <w:trPr/>
        <w:tc>
          <w:tcPr>
            <w:tcW w:w="1251"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left"/>
              <w:rPr/>
            </w:pPr>
            <w:r>
              <w:rPr/>
              <w:t>$</w:t>
            </w:r>
            <w:bookmarkStart w:id="723" w:name="xdx_988_eus-gaap--SharePrice_iI_pid_c202"/>
            <w:bookmarkEnd w:id="723"/>
          </w:p>
        </w:tc>
        <w:tc>
          <w:tcPr>
            <w:tcW w:w="1908" w:type="dxa"/>
            <w:tcBorders/>
            <w:shd w:fill="CCEEFF" w:val="clear"/>
            <w:vAlign w:val="center"/>
          </w:tcPr>
          <w:p>
            <w:pPr>
              <w:pStyle w:val="TableContents"/>
              <w:bidi w:val="0"/>
              <w:spacing w:before="0" w:after="283"/>
              <w:jc w:val="right"/>
              <w:rPr/>
            </w:pPr>
            <w:r>
              <w:rPr/>
              <w:t>1.19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w:t>
            </w:r>
            <w:bookmarkStart w:id="724" w:name="xdx_984_eus-gaap--SharePrice_iI_pid_c202"/>
            <w:bookmarkEnd w:id="724"/>
          </w:p>
        </w:tc>
        <w:tc>
          <w:tcPr>
            <w:tcW w:w="1927" w:type="dxa"/>
            <w:tcBorders/>
            <w:shd w:fill="CCEEFF" w:val="clear"/>
            <w:vAlign w:val="center"/>
          </w:tcPr>
          <w:p>
            <w:pPr>
              <w:pStyle w:val="TableContents"/>
              <w:bidi w:val="0"/>
              <w:spacing w:before="0" w:after="283"/>
              <w:jc w:val="right"/>
              <w:rPr/>
            </w:pPr>
            <w:r>
              <w:rPr/>
              <w:t>0.85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w:t>
            </w:r>
            <w:bookmarkStart w:id="725" w:name="xdx_985_eus-gaap--SharePrice_iI_pid_c202"/>
            <w:bookmarkEnd w:id="725"/>
          </w:p>
        </w:tc>
        <w:tc>
          <w:tcPr>
            <w:tcW w:w="2324" w:type="dxa"/>
            <w:tcBorders/>
            <w:shd w:fill="CCEEFF" w:val="clear"/>
            <w:vAlign w:val="center"/>
          </w:tcPr>
          <w:p>
            <w:pPr>
              <w:pStyle w:val="TableContents"/>
              <w:bidi w:val="0"/>
              <w:spacing w:before="0" w:after="283"/>
              <w:jc w:val="right"/>
              <w:rPr/>
            </w:pPr>
            <w:r>
              <w:rPr/>
              <w:t>0.53</w:t>
            </w:r>
          </w:p>
        </w:tc>
        <w:tc>
          <w:tcPr>
            <w:tcW w:w="234" w:type="dxa"/>
            <w:tcBorders/>
            <w:shd w:fill="CCEEFF" w:val="clear"/>
            <w:vAlign w:val="center"/>
          </w:tcPr>
          <w:p>
            <w:pPr>
              <w:pStyle w:val="TableContents"/>
              <w:bidi w:val="0"/>
              <w:spacing w:before="0" w:after="283"/>
              <w:jc w:val="left"/>
              <w:rPr/>
            </w:pPr>
            <w:r>
              <w:rPr/>
              <w:t> </w:t>
            </w:r>
          </w:p>
        </w:tc>
      </w:tr>
      <w:tr>
        <w:trPr/>
        <w:tc>
          <w:tcPr>
            <w:tcW w:w="1251" w:type="dxa"/>
            <w:tcBorders/>
            <w:shd w:fill="FFFFFF" w:val="clear"/>
            <w:vAlign w:val="center"/>
          </w:tcPr>
          <w:p>
            <w:pPr>
              <w:pStyle w:val="TableContents"/>
              <w:bidi w:val="0"/>
              <w:spacing w:before="0" w:after="283"/>
              <w:jc w:val="left"/>
              <w:rPr/>
            </w:pPr>
            <w:r>
              <w:rPr/>
              <w:t>Strike price</w:t>
            </w:r>
          </w:p>
        </w:tc>
        <w:tc>
          <w:tcPr>
            <w:tcW w:w="6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w:t>
            </w:r>
            <w:bookmarkStart w:id="726" w:name="xdx_98E_eus-gaap--ShareBasedCompensation"/>
            <w:bookmarkEnd w:id="726"/>
          </w:p>
        </w:tc>
        <w:tc>
          <w:tcPr>
            <w:tcW w:w="1908"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w:t>
            </w:r>
            <w:bookmarkStart w:id="727" w:name="xdx_980_eus-gaap--ShareBasedCompensation"/>
            <w:bookmarkEnd w:id="727"/>
          </w:p>
        </w:tc>
        <w:tc>
          <w:tcPr>
            <w:tcW w:w="1927"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w:t>
            </w:r>
            <w:bookmarkStart w:id="728" w:name="xdx_980_eus-gaap--ShareBasedCompensation"/>
            <w:bookmarkEnd w:id="728"/>
          </w:p>
        </w:tc>
        <w:tc>
          <w:tcPr>
            <w:tcW w:w="2324" w:type="dxa"/>
            <w:tcBorders/>
            <w:shd w:fill="FFFFFF" w:val="clear"/>
            <w:vAlign w:val="center"/>
          </w:tcPr>
          <w:p>
            <w:pPr>
              <w:pStyle w:val="TableContents"/>
              <w:bidi w:val="0"/>
              <w:spacing w:before="0" w:after="283"/>
              <w:jc w:val="right"/>
              <w:rPr/>
            </w:pPr>
            <w:r>
              <w:rPr/>
              <w:t>0.01</w:t>
            </w:r>
          </w:p>
        </w:tc>
        <w:tc>
          <w:tcPr>
            <w:tcW w:w="234" w:type="dxa"/>
            <w:tcBorders/>
            <w:shd w:fill="FFFFFF" w:val="clear"/>
            <w:vAlign w:val="center"/>
          </w:tcPr>
          <w:p>
            <w:pPr>
              <w:pStyle w:val="TableContents"/>
              <w:bidi w:val="0"/>
              <w:spacing w:before="0" w:after="283"/>
              <w:jc w:val="left"/>
              <w:rPr/>
            </w:pPr>
            <w:r>
              <w:rPr/>
              <w:t> </w:t>
            </w:r>
          </w:p>
        </w:tc>
      </w:tr>
      <w:tr>
        <w:trPr/>
        <w:tc>
          <w:tcPr>
            <w:tcW w:w="1251" w:type="dxa"/>
            <w:tcBorders/>
            <w:shd w:fill="CCEEFF" w:val="clear"/>
            <w:vAlign w:val="center"/>
          </w:tcPr>
          <w:p>
            <w:pPr>
              <w:pStyle w:val="TableContents"/>
              <w:bidi w:val="0"/>
              <w:spacing w:before="0" w:after="283"/>
              <w:jc w:val="left"/>
              <w:rPr/>
            </w:pPr>
            <w:r>
              <w:rPr/>
              <w:t>Term</w:t>
            </w:r>
          </w:p>
        </w:tc>
        <w:tc>
          <w:tcPr>
            <w:tcW w:w="60"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rFonts w:ascii="Times New Roman;Times;Serif" w:hAnsi="Times New Roman;Times;Serif"/>
                <w:sz w:val="20"/>
              </w:rPr>
            </w:pPr>
            <w:bookmarkStart w:id="729" w:name="xdx_900_eus-gaap--SharebasedCompensation"/>
            <w:bookmarkEnd w:id="729"/>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1927" w:type="dxa"/>
            <w:tcBorders/>
            <w:shd w:fill="CCEEFF" w:val="clear"/>
            <w:vAlign w:val="center"/>
          </w:tcPr>
          <w:p>
            <w:pPr>
              <w:pStyle w:val="TableContents"/>
              <w:bidi w:val="0"/>
              <w:spacing w:before="0" w:after="283"/>
              <w:jc w:val="right"/>
              <w:rPr>
                <w:rFonts w:ascii="Times New Roman;Times;Serif" w:hAnsi="Times New Roman;Times;Serif"/>
                <w:sz w:val="20"/>
              </w:rPr>
            </w:pPr>
            <w:bookmarkStart w:id="730" w:name="xdx_906_eus-gaap--SharebasedCompensation"/>
            <w:bookmarkEnd w:id="730"/>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2324" w:type="dxa"/>
            <w:tcBorders/>
            <w:shd w:fill="CCEEFF" w:val="clear"/>
            <w:vAlign w:val="center"/>
          </w:tcPr>
          <w:p>
            <w:pPr>
              <w:pStyle w:val="TableContents"/>
              <w:bidi w:val="0"/>
              <w:spacing w:before="0" w:after="283"/>
              <w:jc w:val="right"/>
              <w:rPr>
                <w:rFonts w:ascii="Times New Roman;Times;Serif" w:hAnsi="Times New Roman;Times;Serif"/>
                <w:sz w:val="20"/>
              </w:rPr>
            </w:pPr>
            <w:bookmarkStart w:id="731" w:name="xdx_90D_eus-gaap--SharebasedCompensation"/>
            <w:bookmarkEnd w:id="731"/>
            <w:r>
              <w:rPr>
                <w:rFonts w:ascii="Times New Roman;Times;Serif" w:hAnsi="Times New Roman;Times;Serif"/>
                <w:sz w:val="20"/>
              </w:rPr>
              <w:t>10 years</w:t>
            </w:r>
          </w:p>
        </w:tc>
        <w:tc>
          <w:tcPr>
            <w:tcW w:w="234" w:type="dxa"/>
            <w:tcBorders/>
            <w:shd w:fill="CCEEFF" w:val="clear"/>
            <w:vAlign w:val="center"/>
          </w:tcPr>
          <w:p>
            <w:pPr>
              <w:pStyle w:val="TableContents"/>
              <w:bidi w:val="0"/>
              <w:spacing w:before="0" w:after="283"/>
              <w:jc w:val="left"/>
              <w:rPr/>
            </w:pPr>
            <w:r>
              <w:rPr/>
              <w:t> </w:t>
            </w:r>
          </w:p>
        </w:tc>
      </w:tr>
      <w:tr>
        <w:trPr/>
        <w:tc>
          <w:tcPr>
            <w:tcW w:w="1251"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bookmarkStart w:id="732" w:name="xdx_984_eus-gaap--ShareBasedCompensation"/>
            <w:bookmarkEnd w:id="732"/>
          </w:p>
        </w:tc>
        <w:tc>
          <w:tcPr>
            <w:tcW w:w="1908" w:type="dxa"/>
            <w:tcBorders/>
            <w:shd w:fill="FFFFFF" w:val="clear"/>
            <w:vAlign w:val="center"/>
          </w:tcPr>
          <w:p>
            <w:pPr>
              <w:pStyle w:val="TableContents"/>
              <w:bidi w:val="0"/>
              <w:spacing w:before="0" w:after="283"/>
              <w:jc w:val="right"/>
              <w:rPr/>
            </w:pPr>
            <w:r>
              <w:rPr/>
              <w:t>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bookmarkStart w:id="733" w:name="xdx_98F_eus-gaap--ShareBasedCompensation"/>
            <w:bookmarkEnd w:id="733"/>
          </w:p>
        </w:tc>
        <w:tc>
          <w:tcPr>
            <w:tcW w:w="1927" w:type="dxa"/>
            <w:tcBorders/>
            <w:shd w:fill="FFFFFF" w:val="clear"/>
            <w:vAlign w:val="center"/>
          </w:tcPr>
          <w:p>
            <w:pPr>
              <w:pStyle w:val="TableContents"/>
              <w:bidi w:val="0"/>
              <w:spacing w:before="0" w:after="283"/>
              <w:jc w:val="right"/>
              <w:rPr/>
            </w:pPr>
            <w:r>
              <w:rPr/>
              <w:t>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bookmarkStart w:id="734" w:name="xdx_980_eus-gaap--ShareBasedCompensation"/>
            <w:bookmarkEnd w:id="734"/>
          </w:p>
        </w:tc>
        <w:tc>
          <w:tcPr>
            <w:tcW w:w="2324" w:type="dxa"/>
            <w:tcBorders/>
            <w:shd w:fill="FFFFFF" w:val="clear"/>
            <w:vAlign w:val="center"/>
          </w:tcPr>
          <w:p>
            <w:pPr>
              <w:pStyle w:val="TableContents"/>
              <w:bidi w:val="0"/>
              <w:spacing w:before="0" w:after="283"/>
              <w:jc w:val="right"/>
              <w:rPr/>
            </w:pPr>
            <w:r>
              <w:rPr/>
              <w:t>90</w:t>
            </w:r>
          </w:p>
        </w:tc>
        <w:tc>
          <w:tcPr>
            <w:tcW w:w="234" w:type="dxa"/>
            <w:tcBorders/>
            <w:shd w:fill="FFFFFF" w:val="clear"/>
            <w:vAlign w:val="center"/>
          </w:tcPr>
          <w:p>
            <w:pPr>
              <w:pStyle w:val="TableContents"/>
              <w:bidi w:val="0"/>
              <w:spacing w:before="0" w:after="283"/>
              <w:jc w:val="left"/>
              <w:rPr/>
            </w:pPr>
            <w:r>
              <w:rPr/>
              <w:t>%</w:t>
            </w:r>
          </w:p>
        </w:tc>
      </w:tr>
      <w:tr>
        <w:trPr/>
        <w:tc>
          <w:tcPr>
            <w:tcW w:w="1251"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left"/>
              <w:rPr/>
            </w:pPr>
            <w:r>
              <w:rPr/>
              <w:t> </w:t>
            </w:r>
            <w:bookmarkStart w:id="735" w:name="xdx_980_eus-gaap--ShareBasedCompensation"/>
            <w:bookmarkEnd w:id="735"/>
          </w:p>
        </w:tc>
        <w:tc>
          <w:tcPr>
            <w:tcW w:w="1908" w:type="dxa"/>
            <w:tcBorders/>
            <w:shd w:fill="CCEEFF" w:val="clear"/>
            <w:vAlign w:val="center"/>
          </w:tcPr>
          <w:p>
            <w:pPr>
              <w:pStyle w:val="TableContents"/>
              <w:bidi w:val="0"/>
              <w:spacing w:before="0" w:after="283"/>
              <w:jc w:val="right"/>
              <w:rPr/>
            </w:pPr>
            <w:r>
              <w:rPr/>
              <w:t>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bookmarkStart w:id="736" w:name="xdx_98C_eus-gaap--ShareBasedCompensation"/>
            <w:bookmarkEnd w:id="736"/>
          </w:p>
        </w:tc>
        <w:tc>
          <w:tcPr>
            <w:tcW w:w="1927"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bookmarkStart w:id="737" w:name="xdx_98D_eus-gaap--ShareBasedCompensation"/>
            <w:bookmarkEnd w:id="737"/>
          </w:p>
        </w:tc>
        <w:tc>
          <w:tcPr>
            <w:tcW w:w="2324" w:type="dxa"/>
            <w:tcBorders/>
            <w:shd w:fill="CCEEFF" w:val="clear"/>
            <w:vAlign w:val="center"/>
          </w:tcPr>
          <w:p>
            <w:pPr>
              <w:pStyle w:val="TableContents"/>
              <w:bidi w:val="0"/>
              <w:spacing w:before="0" w:after="283"/>
              <w:jc w:val="right"/>
              <w:rPr/>
            </w:pPr>
            <w:r>
              <w:rPr/>
              <w:t>3.8</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38" w:name="xdx_8A1_zn6OeRO96s67"/>
      <w:bookmarkEnd w:id="7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9" w:name="xdx_896_ecustom--ScheduleOfShareBasedPay"/>
      <w:bookmarkEnd w:id="739"/>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40" w:name="xdx_8BD_z0v0grNlOtKd"/>
      <w:bookmarkEnd w:id="740"/>
      <w:r>
        <w:rPr>
          <w:rFonts w:ascii="Times New Roman;Times;Serif" w:hAnsi="Times New Roman;Times;Serif"/>
          <w:b w:val="false"/>
          <w:i w:val="false"/>
          <w:caps w:val="false"/>
          <w:smallCaps w:val="false"/>
          <w:sz w:val="20"/>
        </w:rPr>
        <w:t>SCHEDULE FAIR VALUE WARRANTS</w:t>
      </w:r>
    </w:p>
    <w:tbl>
      <w:tblPr>
        <w:tblW w:w="5890" w:type="dxa"/>
        <w:jc w:val="left"/>
        <w:tblInd w:w="0" w:type="dxa"/>
        <w:tblLayout w:type="fixed"/>
        <w:tblCellMar>
          <w:top w:w="0" w:type="dxa"/>
          <w:left w:w="0" w:type="dxa"/>
          <w:bottom w:w="0" w:type="dxa"/>
          <w:right w:w="0" w:type="dxa"/>
        </w:tblCellMar>
      </w:tblPr>
      <w:tblGrid>
        <w:gridCol w:w="2000"/>
        <w:gridCol w:w="60"/>
        <w:gridCol w:w="337"/>
        <w:gridCol w:w="1348"/>
        <w:gridCol w:w="215"/>
        <w:gridCol w:w="60"/>
        <w:gridCol w:w="328"/>
        <w:gridCol w:w="1312"/>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bookmarkStart w:id="741" w:name="xdx_98F_eus-gaap--SharePrice_iI_pid_c202"/>
            <w:bookmarkEnd w:id="741"/>
          </w:p>
        </w:tc>
        <w:tc>
          <w:tcPr>
            <w:tcW w:w="1348" w:type="dxa"/>
            <w:tcBorders/>
            <w:shd w:fill="CCEEFF" w:val="clear"/>
            <w:vAlign w:val="center"/>
          </w:tcPr>
          <w:p>
            <w:pPr>
              <w:pStyle w:val="TableContents"/>
              <w:bidi w:val="0"/>
              <w:spacing w:before="0" w:after="283"/>
              <w:jc w:val="right"/>
              <w:rPr/>
            </w:pPr>
            <w:r>
              <w:rPr/>
              <w:t>0.53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bookmarkStart w:id="742" w:name="xdx_987_eus-gaap--SharePrice_iI_pid_c202"/>
            <w:bookmarkEnd w:id="742"/>
          </w:p>
        </w:tc>
        <w:tc>
          <w:tcPr>
            <w:tcW w:w="1312" w:type="dxa"/>
            <w:tcBorders/>
            <w:shd w:fill="CCEEFF" w:val="clear"/>
            <w:vAlign w:val="center"/>
          </w:tcPr>
          <w:p>
            <w:pPr>
              <w:pStyle w:val="TableContents"/>
              <w:bidi w:val="0"/>
              <w:spacing w:before="0" w:after="283"/>
              <w:jc w:val="right"/>
              <w:rPr/>
            </w:pPr>
            <w:r>
              <w:rPr/>
              <w:t>0.54</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bookmarkStart w:id="743" w:name="xdx_984_eus-gaap--ShareBasedCompensation"/>
            <w:bookmarkEnd w:id="743"/>
          </w:p>
        </w:tc>
        <w:tc>
          <w:tcPr>
            <w:tcW w:w="1348" w:type="dxa"/>
            <w:tcBorders/>
            <w:shd w:fill="FFFFFF" w:val="clear"/>
            <w:vAlign w:val="center"/>
          </w:tcPr>
          <w:p>
            <w:pPr>
              <w:pStyle w:val="TableContents"/>
              <w:bidi w:val="0"/>
              <w:spacing w:before="0" w:after="283"/>
              <w:jc w:val="right"/>
              <w:rPr/>
            </w:pPr>
            <w:r>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bookmarkStart w:id="744" w:name="xdx_983_eus-gaap--ShareBasedCompensation"/>
            <w:bookmarkEnd w:id="744"/>
          </w:p>
        </w:tc>
        <w:tc>
          <w:tcPr>
            <w:tcW w:w="1312" w:type="dxa"/>
            <w:tcBorders/>
            <w:shd w:fill="FFFFFF" w:val="clear"/>
            <w:vAlign w:val="center"/>
          </w:tcPr>
          <w:p>
            <w:pPr>
              <w:pStyle w:val="TableContents"/>
              <w:bidi w:val="0"/>
              <w:spacing w:before="0" w:after="283"/>
              <w:jc w:val="right"/>
              <w:rPr/>
            </w:pPr>
            <w:r>
              <w:rPr/>
              <w:t>0.01</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bookmarkStart w:id="745" w:name="xdx_90E_eus-gaap--ShareBasedCompensation"/>
            <w:bookmarkEnd w:id="745"/>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bookmarkStart w:id="746" w:name="xdx_901_eus-gaap--ShareBasedCompensation"/>
            <w:bookmarkEnd w:id="746"/>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bookmarkStart w:id="747" w:name="xdx_907_eus-gaap--SharebasedCompensation"/>
            <w:bookmarkEnd w:id="747"/>
            <w:r>
              <w:rPr/>
              <w:t>8.02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right"/>
              <w:rPr/>
            </w:pPr>
            <w:bookmarkStart w:id="748" w:name="xdx_905_eus-gaap--SharebasedCompensation"/>
            <w:bookmarkEnd w:id="748"/>
            <w:r>
              <w:rPr/>
              <w:t>10</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bookmarkStart w:id="749" w:name="xdx_982_eus-gaap--ShareBasedCompensation"/>
            <w:bookmarkEnd w:id="749"/>
          </w:p>
        </w:tc>
        <w:tc>
          <w:tcPr>
            <w:tcW w:w="1348" w:type="dxa"/>
            <w:tcBorders/>
            <w:shd w:fill="CCEEFF" w:val="clear"/>
            <w:vAlign w:val="center"/>
          </w:tcPr>
          <w:p>
            <w:pPr>
              <w:pStyle w:val="TableContents"/>
              <w:bidi w:val="0"/>
              <w:spacing w:before="0" w:after="283"/>
              <w:jc w:val="right"/>
              <w:rPr/>
            </w:pPr>
            <w:r>
              <w:rPr/>
              <w:t>91.00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bookmarkStart w:id="750" w:name="xdx_98B_eus-gaap--ShareBasedCompensation"/>
            <w:bookmarkEnd w:id="750"/>
          </w:p>
        </w:tc>
        <w:tc>
          <w:tcPr>
            <w:tcW w:w="1312" w:type="dxa"/>
            <w:tcBorders/>
            <w:shd w:fill="CCEEFF" w:val="clear"/>
            <w:vAlign w:val="center"/>
          </w:tcPr>
          <w:p>
            <w:pPr>
              <w:pStyle w:val="TableContents"/>
              <w:bidi w:val="0"/>
              <w:spacing w:before="0" w:after="283"/>
              <w:jc w:val="right"/>
              <w:rPr/>
            </w:pPr>
            <w:r>
              <w:rPr/>
              <w:t>96.00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bookmarkStart w:id="751" w:name="xdx_98B_eus-gaap--ShareBasedCompensation"/>
            <w:bookmarkEnd w:id="751"/>
          </w:p>
        </w:tc>
        <w:tc>
          <w:tcPr>
            <w:tcW w:w="1348" w:type="dxa"/>
            <w:tcBorders/>
            <w:shd w:fill="FFFFFF" w:val="clear"/>
            <w:vAlign w:val="center"/>
          </w:tcPr>
          <w:p>
            <w:pPr>
              <w:pStyle w:val="TableContents"/>
              <w:bidi w:val="0"/>
              <w:spacing w:before="0" w:after="283"/>
              <w:jc w:val="right"/>
              <w:rPr/>
            </w:pPr>
            <w:r>
              <w:rPr/>
              <w:t>3.70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bookmarkStart w:id="752" w:name="xdx_980_eus-gaap--ShareBasedCompensation"/>
            <w:bookmarkEnd w:id="752"/>
          </w:p>
        </w:tc>
        <w:tc>
          <w:tcPr>
            <w:tcW w:w="1312"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w:t>
            </w:r>
            <w:bookmarkStart w:id="753" w:name="xdx_98A_ecustom--FairValueOfWarrant_iI_p"/>
            <w:bookmarkEnd w:id="753"/>
          </w:p>
        </w:tc>
        <w:tc>
          <w:tcPr>
            <w:tcW w:w="1348" w:type="dxa"/>
            <w:tcBorders/>
            <w:shd w:fill="CCEEFF" w:val="clear"/>
            <w:vAlign w:val="center"/>
          </w:tcPr>
          <w:p>
            <w:pPr>
              <w:pStyle w:val="TableContents"/>
              <w:bidi w:val="0"/>
              <w:spacing w:before="0" w:after="283"/>
              <w:jc w:val="right"/>
              <w:rPr/>
            </w:pPr>
            <w:r>
              <w:rPr/>
              <w:t>0.52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bookmarkStart w:id="754" w:name="xdx_980_ecustom--FairValueOfWarrant_iI_p"/>
            <w:bookmarkEnd w:id="754"/>
          </w:p>
        </w:tc>
        <w:tc>
          <w:tcPr>
            <w:tcW w:w="1312" w:type="dxa"/>
            <w:tcBorders/>
            <w:shd w:fill="CCEEFF" w:val="clear"/>
            <w:vAlign w:val="center"/>
          </w:tcPr>
          <w:p>
            <w:pPr>
              <w:pStyle w:val="TableContents"/>
              <w:bidi w:val="0"/>
              <w:spacing w:before="0" w:after="283"/>
              <w:jc w:val="right"/>
              <w:rPr/>
            </w:pPr>
            <w:r>
              <w:rPr/>
              <w:t>0.54</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Investor Warrants issued in the June 2023 Offering:</w:t>
      </w:r>
    </w:p>
    <w:p>
      <w:pPr>
        <w:pStyle w:val="TextBody"/>
        <w:bidi w:val="0"/>
        <w:spacing w:before="0" w:after="0"/>
        <w:ind w:left="0" w:right="0" w:hanging="0"/>
        <w:jc w:val="both"/>
        <w:rPr>
          <w:caps w:val="false"/>
          <w:smallCaps w:val="false"/>
        </w:rPr>
      </w:pPr>
      <w:r>
        <w:rPr>
          <w:caps w:val="false"/>
          <w:smallCaps w:val="false"/>
        </w:rPr>
        <w:t> </w:t>
      </w:r>
    </w:p>
    <w:tbl>
      <w:tblPr>
        <w:tblW w:w="5888" w:type="dxa"/>
        <w:jc w:val="left"/>
        <w:tblInd w:w="0" w:type="dxa"/>
        <w:tblLayout w:type="fixed"/>
        <w:tblCellMar>
          <w:top w:w="0" w:type="dxa"/>
          <w:left w:w="0" w:type="dxa"/>
          <w:bottom w:w="0" w:type="dxa"/>
          <w:right w:w="0" w:type="dxa"/>
        </w:tblCellMar>
      </w:tblPr>
      <w:tblGrid>
        <w:gridCol w:w="2000"/>
        <w:gridCol w:w="60"/>
        <w:gridCol w:w="287"/>
        <w:gridCol w:w="1397"/>
        <w:gridCol w:w="215"/>
        <w:gridCol w:w="60"/>
        <w:gridCol w:w="279"/>
        <w:gridCol w:w="1360"/>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755" w:name="xdx_98D_eus-gaap--SharePrice_iI_pid_c202"/>
            <w:bookmarkEnd w:id="755"/>
          </w:p>
        </w:tc>
        <w:tc>
          <w:tcPr>
            <w:tcW w:w="1397" w:type="dxa"/>
            <w:tcBorders/>
            <w:shd w:fill="CCEEFF" w:val="clear"/>
            <w:vAlign w:val="center"/>
          </w:tcPr>
          <w:p>
            <w:pPr>
              <w:pStyle w:val="TableContents"/>
              <w:bidi w:val="0"/>
              <w:spacing w:before="0" w:after="283"/>
              <w:jc w:val="right"/>
              <w:rPr/>
            </w:pPr>
            <w:r>
              <w:rPr/>
              <w:t>0.53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bookmarkStart w:id="756" w:name="xdx_988_eus-gaap--SharePrice_iI_pid_c202"/>
            <w:bookmarkEnd w:id="756"/>
          </w:p>
        </w:tc>
        <w:tc>
          <w:tcPr>
            <w:tcW w:w="1360" w:type="dxa"/>
            <w:tcBorders/>
            <w:shd w:fill="CCEEFF" w:val="clear"/>
            <w:vAlign w:val="center"/>
          </w:tcPr>
          <w:p>
            <w:pPr>
              <w:pStyle w:val="TableContents"/>
              <w:bidi w:val="0"/>
              <w:spacing w:before="0" w:after="283"/>
              <w:jc w:val="right"/>
              <w:rPr/>
            </w:pPr>
            <w:r>
              <w:rPr/>
              <w:t>0.54</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bookmarkStart w:id="757" w:name="xdx_983_eus-gaap--ShareBasedCompensation"/>
            <w:bookmarkEnd w:id="757"/>
          </w:p>
        </w:tc>
        <w:tc>
          <w:tcPr>
            <w:tcW w:w="1397" w:type="dxa"/>
            <w:tcBorders/>
            <w:shd w:fill="FFFFFF" w:val="clear"/>
            <w:vAlign w:val="center"/>
          </w:tcPr>
          <w:p>
            <w:pPr>
              <w:pStyle w:val="TableContents"/>
              <w:bidi w:val="0"/>
              <w:spacing w:before="0" w:after="283"/>
              <w:jc w:val="right"/>
              <w:rPr/>
            </w:pPr>
            <w:r>
              <w:rPr/>
              <w:t>2.00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w:t>
            </w:r>
            <w:bookmarkStart w:id="758" w:name="xdx_98B_eus-gaap--ShareBasedCompensation"/>
            <w:bookmarkEnd w:id="758"/>
          </w:p>
        </w:tc>
        <w:tc>
          <w:tcPr>
            <w:tcW w:w="1360" w:type="dxa"/>
            <w:tcBorders/>
            <w:shd w:fill="FFFFFF" w:val="clear"/>
            <w:vAlign w:val="center"/>
          </w:tcPr>
          <w:p>
            <w:pPr>
              <w:pStyle w:val="TableContents"/>
              <w:bidi w:val="0"/>
              <w:spacing w:before="0" w:after="283"/>
              <w:jc w:val="right"/>
              <w:rPr/>
            </w:pPr>
            <w:r>
              <w:rPr/>
              <w:t>2.00</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bookmarkStart w:id="759" w:name="xdx_909_eus-gaap--ShareBasedCompensation"/>
            <w:bookmarkEnd w:id="759"/>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bookmarkStart w:id="760" w:name="xdx_902_eus-gaap--ShareBasedCompensation"/>
            <w:bookmarkEnd w:id="760"/>
            <w:r>
              <w:rPr/>
              <w:t>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Term</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bookmarkStart w:id="761" w:name="xdx_905_eus-gaap--SharebasedCompensation"/>
            <w:bookmarkEnd w:id="761"/>
            <w:r>
              <w:rPr/>
              <w:t>3.72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bookmarkStart w:id="762" w:name="xdx_903_eus-gaap--SharebasedCompensation"/>
            <w:bookmarkEnd w:id="762"/>
            <w:r>
              <w:rPr/>
              <w:t>4.48</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bookmarkStart w:id="763" w:name="xdx_98A_eus-gaap--ShareBasedCompensation"/>
            <w:bookmarkEnd w:id="763"/>
          </w:p>
        </w:tc>
        <w:tc>
          <w:tcPr>
            <w:tcW w:w="1397" w:type="dxa"/>
            <w:tcBorders/>
            <w:shd w:fill="CCEEFF" w:val="clear"/>
            <w:vAlign w:val="center"/>
          </w:tcPr>
          <w:p>
            <w:pPr>
              <w:pStyle w:val="TableContents"/>
              <w:bidi w:val="0"/>
              <w:spacing w:before="0" w:after="283"/>
              <w:jc w:val="right"/>
              <w:rPr/>
            </w:pPr>
            <w:r>
              <w:rPr/>
              <w:t>101.00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bookmarkStart w:id="764" w:name="xdx_98E_eus-gaap--ShareBasedCompensation"/>
            <w:bookmarkEnd w:id="764"/>
          </w:p>
        </w:tc>
        <w:tc>
          <w:tcPr>
            <w:tcW w:w="1360" w:type="dxa"/>
            <w:tcBorders/>
            <w:shd w:fill="CCEEFF" w:val="clear"/>
            <w:vAlign w:val="center"/>
          </w:tcPr>
          <w:p>
            <w:pPr>
              <w:pStyle w:val="TableContents"/>
              <w:bidi w:val="0"/>
              <w:spacing w:before="0" w:after="283"/>
              <w:jc w:val="right"/>
              <w:rPr/>
            </w:pPr>
            <w:r>
              <w:rPr/>
              <w:t>106.00</w:t>
            </w:r>
          </w:p>
        </w:tc>
        <w:tc>
          <w:tcPr>
            <w:tcW w:w="23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bookmarkStart w:id="765" w:name="xdx_98A_eus-gaap--ShareBasedCompensation"/>
            <w:bookmarkEnd w:id="765"/>
          </w:p>
        </w:tc>
        <w:tc>
          <w:tcPr>
            <w:tcW w:w="1397" w:type="dxa"/>
            <w:tcBorders/>
            <w:shd w:fill="FFFFFF" w:val="clear"/>
            <w:vAlign w:val="center"/>
          </w:tcPr>
          <w:p>
            <w:pPr>
              <w:pStyle w:val="TableContents"/>
              <w:bidi w:val="0"/>
              <w:spacing w:before="0" w:after="283"/>
              <w:jc w:val="right"/>
              <w:rPr/>
            </w:pPr>
            <w:r>
              <w:rPr/>
              <w:t>3.60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bookmarkStart w:id="766" w:name="xdx_982_eus-gaap--ShareBasedCompensation"/>
            <w:bookmarkEnd w:id="766"/>
          </w:p>
        </w:tc>
        <w:tc>
          <w:tcPr>
            <w:tcW w:w="1360" w:type="dxa"/>
            <w:tcBorders/>
            <w:shd w:fill="FFFFFF" w:val="clear"/>
            <w:vAlign w:val="center"/>
          </w:tcPr>
          <w:p>
            <w:pPr>
              <w:pStyle w:val="TableContents"/>
              <w:bidi w:val="0"/>
              <w:spacing w:before="0" w:after="283"/>
              <w:jc w:val="right"/>
              <w:rPr/>
            </w:pPr>
            <w:r>
              <w:rPr/>
              <w:t>3.90</w:t>
            </w:r>
          </w:p>
        </w:tc>
        <w:tc>
          <w:tcPr>
            <w:tcW w:w="230" w:type="dxa"/>
            <w:tcBorders/>
            <w:shd w:fill="FFFFFF" w:val="clear"/>
            <w:vAlign w:val="center"/>
          </w:tcPr>
          <w:p>
            <w:pPr>
              <w:pStyle w:val="TableContents"/>
              <w:bidi w:val="0"/>
              <w:spacing w:before="0" w:after="283"/>
              <w:jc w:val="left"/>
              <w:rPr/>
            </w:pPr>
            <w:r>
              <w:rPr/>
              <w:t>%</w:t>
            </w:r>
          </w:p>
        </w:tc>
      </w:tr>
      <w:tr>
        <w:trPr/>
        <w:tc>
          <w:tcPr>
            <w:tcW w:w="2000" w:type="dxa"/>
            <w:tcBorders/>
            <w:shd w:fill="CCEEFF" w:val="clear"/>
            <w:vAlign w:val="center"/>
          </w:tcPr>
          <w:p>
            <w:pPr>
              <w:pStyle w:val="TableContents"/>
              <w:bidi w:val="0"/>
              <w:spacing w:before="0" w:after="283"/>
              <w:jc w:val="left"/>
              <w:rPr/>
            </w:pPr>
            <w:r>
              <w:rPr/>
              <w:t>Fair value</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bookmarkStart w:id="767" w:name="xdx_98E_ecustom--FairValueOfWarrant_iI_p"/>
            <w:bookmarkEnd w:id="767"/>
          </w:p>
        </w:tc>
        <w:tc>
          <w:tcPr>
            <w:tcW w:w="1397" w:type="dxa"/>
            <w:tcBorders/>
            <w:shd w:fill="CCEEFF" w:val="clear"/>
            <w:vAlign w:val="center"/>
          </w:tcPr>
          <w:p>
            <w:pPr>
              <w:pStyle w:val="TableContents"/>
              <w:bidi w:val="0"/>
              <w:spacing w:before="0" w:after="283"/>
              <w:jc w:val="right"/>
              <w:rPr/>
            </w:pPr>
            <w:r>
              <w:rPr/>
              <w:t>0.24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bookmarkStart w:id="768" w:name="xdx_981_ecustom--FairValueOfWarrant_iI_p"/>
            <w:bookmarkEnd w:id="768"/>
          </w:p>
        </w:tc>
        <w:tc>
          <w:tcPr>
            <w:tcW w:w="1360" w:type="dxa"/>
            <w:tcBorders/>
            <w:shd w:fill="CCEEFF" w:val="clear"/>
            <w:vAlign w:val="center"/>
          </w:tcPr>
          <w:p>
            <w:pPr>
              <w:pStyle w:val="TableContents"/>
              <w:bidi w:val="0"/>
              <w:spacing w:before="0" w:after="283"/>
              <w:jc w:val="right"/>
              <w:rPr/>
            </w:pPr>
            <w:r>
              <w:rPr/>
              <w:t>0.31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769" w:name="xdx_8AA_zEuKvaVAaMqe"/>
      <w:bookmarkEnd w:id="769"/>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10 -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Company’s warrants from January 1, 2024 to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70" w:name="xdx_8B2_zXlpfR2E3nIe"/>
      <w:bookmarkStart w:id="771" w:name="xdx_892_eus-gaap--ScheduleOfShareBasedCo"/>
      <w:bookmarkEnd w:id="770"/>
      <w:bookmarkEnd w:id="771"/>
      <w:r>
        <w:rPr>
          <w:rFonts w:ascii="Times New Roman;Times;Serif" w:hAnsi="Times New Roman;Times;Serif"/>
          <w:b w:val="false"/>
          <w:i w:val="false"/>
          <w:caps w:val="false"/>
          <w:smallCaps w:val="false"/>
          <w:sz w:val="20"/>
        </w:rPr>
        <w:t>SCHEDULE OF ROLL FORWARD IN WARRANTS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 Warrants (including Penny Warrants):</w:t>
      </w:r>
    </w:p>
    <w:p>
      <w:pPr>
        <w:pStyle w:val="TextBody"/>
        <w:bidi w:val="0"/>
        <w:spacing w:before="0" w:after="0"/>
        <w:ind w:left="0" w:right="0" w:hanging="0"/>
        <w:jc w:val="both"/>
        <w:rPr>
          <w:caps w:val="false"/>
          <w:smallCaps w:val="false"/>
        </w:rPr>
      </w:pPr>
      <w:r>
        <w:rPr>
          <w:caps w:val="false"/>
          <w:smallCaps w:val="false"/>
        </w:rPr>
        <w:t> </w:t>
      </w:r>
    </w:p>
    <w:tbl>
      <w:tblPr>
        <w:tblW w:w="5859" w:type="dxa"/>
        <w:jc w:val="left"/>
        <w:tblInd w:w="0" w:type="dxa"/>
        <w:tblLayout w:type="fixed"/>
        <w:tblCellMar>
          <w:top w:w="0" w:type="dxa"/>
          <w:left w:w="0" w:type="dxa"/>
          <w:bottom w:w="0" w:type="dxa"/>
          <w:right w:w="0" w:type="dxa"/>
        </w:tblCellMar>
      </w:tblPr>
      <w:tblGrid>
        <w:gridCol w:w="4130"/>
        <w:gridCol w:w="60"/>
        <w:gridCol w:w="92"/>
        <w:gridCol w:w="1502"/>
        <w:gridCol w:w="75"/>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72" w:name="xdx_4B5_us-gaap--StatementEquityComponen"/>
            <w:bookmarkEnd w:id="772"/>
          </w:p>
        </w:tc>
        <w:tc>
          <w:tcPr>
            <w:tcW w:w="1594" w:type="dxa"/>
            <w:gridSpan w:val="2"/>
            <w:tcBorders>
              <w:bottom w:val="single" w:sz="8" w:space="0" w:color="000000"/>
            </w:tcBorders>
            <w:tcMar>
              <w:bottom w:w="28" w:type="dxa"/>
            </w:tcMar>
            <w:vAlign w:val="center"/>
          </w:tcPr>
          <w:p>
            <w:pPr>
              <w:pStyle w:val="TableContents"/>
              <w:bidi w:val="0"/>
              <w:jc w:val="center"/>
              <w:rPr>
                <w:b/>
              </w:rPr>
            </w:pPr>
            <w:r>
              <w:rPr>
                <w:b/>
              </w:rPr>
              <w:t>Common Stock</w:t>
            </w:r>
          </w:p>
          <w:p>
            <w:pPr>
              <w:pStyle w:val="TableContents"/>
              <w:bidi w:val="0"/>
              <w:spacing w:before="0" w:after="283"/>
              <w:jc w:val="center"/>
              <w:rPr>
                <w:b/>
              </w:rPr>
            </w:pPr>
            <w:r>
              <w:rPr>
                <w:b/>
              </w:rPr>
              <w:t>Warrants</w:t>
            </w:r>
          </w:p>
        </w:tc>
        <w:tc>
          <w:tcPr>
            <w:tcW w:w="75" w:type="dxa"/>
            <w:tcBorders/>
            <w:vAlign w:val="center"/>
          </w:tcPr>
          <w:p>
            <w:pPr>
              <w:pStyle w:val="TableContents"/>
              <w:bidi w:val="0"/>
              <w:spacing w:before="0" w:after="283"/>
              <w:jc w:val="left"/>
              <w:rPr/>
            </w:pPr>
            <w:r>
              <w:rPr/>
              <w:t> </w:t>
            </w:r>
            <w:bookmarkStart w:id="773" w:name="xdx_430_c20240101__20240930_eus-gaap--Cl"/>
            <w:bookmarkEnd w:id="773"/>
          </w:p>
        </w:tc>
      </w:tr>
      <w:tr>
        <w:trPr/>
        <w:tc>
          <w:tcPr>
            <w:tcW w:w="4130" w:type="dxa"/>
            <w:tcBorders/>
            <w:shd w:fill="CCEEFF" w:val="clear"/>
            <w:vAlign w:val="center"/>
          </w:tcPr>
          <w:p>
            <w:pPr>
              <w:pStyle w:val="TableContents"/>
              <w:bidi w:val="0"/>
              <w:spacing w:before="0" w:after="283"/>
              <w:jc w:val="left"/>
              <w:rPr/>
            </w:pPr>
            <w:r>
              <w:rPr/>
              <w:t>Warrants Outstanding, January 1, 2024</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1,884,510</w:t>
            </w:r>
          </w:p>
        </w:tc>
        <w:tc>
          <w:tcPr>
            <w:tcW w:w="75" w:type="dxa"/>
            <w:tcBorders/>
            <w:shd w:fill="CCEEFF" w:val="clear"/>
            <w:vAlign w:val="center"/>
          </w:tcPr>
          <w:p>
            <w:pPr>
              <w:pStyle w:val="TableContents"/>
              <w:bidi w:val="0"/>
              <w:spacing w:before="0" w:after="283"/>
              <w:jc w:val="left"/>
              <w:rPr/>
            </w:pPr>
            <w:r>
              <w:rPr/>
              <w:t> </w:t>
            </w:r>
            <w:bookmarkStart w:id="774" w:name="xdx_404_eus-gaap--ShareBasedCompensation"/>
            <w:bookmarkEnd w:id="774"/>
          </w:p>
        </w:tc>
      </w:tr>
      <w:tr>
        <w:trPr/>
        <w:tc>
          <w:tcPr>
            <w:tcW w:w="4130" w:type="dxa"/>
            <w:tcBorders/>
            <w:shd w:fill="FFFFFF" w:val="clear"/>
            <w:vAlign w:val="center"/>
          </w:tcPr>
          <w:p>
            <w:pPr>
              <w:pStyle w:val="TableContents"/>
              <w:bidi w:val="0"/>
              <w:spacing w:before="0" w:after="283"/>
              <w:jc w:val="both"/>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775" w:name="xdx_406_ecustom--ClassOfWarrantOrRightis"/>
            <w:bookmarkEnd w:id="775"/>
          </w:p>
        </w:tc>
      </w:tr>
      <w:tr>
        <w:trPr/>
        <w:tc>
          <w:tcPr>
            <w:tcW w:w="4130" w:type="dxa"/>
            <w:tcBorders/>
            <w:shd w:fill="CCEEFF" w:val="clear"/>
            <w:vAlign w:val="center"/>
          </w:tcPr>
          <w:p>
            <w:pPr>
              <w:pStyle w:val="TableContents"/>
              <w:bidi w:val="0"/>
              <w:spacing w:before="0" w:after="283"/>
              <w:jc w:val="both"/>
              <w:rPr/>
            </w:pPr>
            <w:r>
              <w:rPr/>
              <w:t>Warrants issued</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CCEEFF" w:val="clear"/>
            <w:tcMar>
              <w:bottom w:w="28" w:type="dxa"/>
            </w:tcMar>
            <w:vAlign w:val="center"/>
          </w:tcPr>
          <w:p>
            <w:pPr>
              <w:pStyle w:val="TableContents"/>
              <w:bidi w:val="0"/>
              <w:spacing w:before="0" w:after="283"/>
              <w:jc w:val="right"/>
              <w:rPr/>
            </w:pPr>
            <w:r>
              <w:rPr/>
              <w:t>7,670,524</w:t>
            </w:r>
          </w:p>
        </w:tc>
        <w:tc>
          <w:tcPr>
            <w:tcW w:w="75" w:type="dxa"/>
            <w:tcBorders/>
            <w:shd w:fill="CCEEFF" w:val="clear"/>
            <w:vAlign w:val="center"/>
          </w:tcPr>
          <w:p>
            <w:pPr>
              <w:pStyle w:val="TableContents"/>
              <w:bidi w:val="0"/>
              <w:spacing w:before="0" w:after="283"/>
              <w:jc w:val="left"/>
              <w:rPr/>
            </w:pPr>
            <w:r>
              <w:rPr/>
              <w:t> </w:t>
            </w:r>
            <w:bookmarkStart w:id="776" w:name="xdx_43D_c20240101__20240930_eus-gaap--Cl"/>
            <w:bookmarkEnd w:id="776"/>
          </w:p>
        </w:tc>
      </w:tr>
      <w:tr>
        <w:trPr/>
        <w:tc>
          <w:tcPr>
            <w:tcW w:w="4130" w:type="dxa"/>
            <w:tcBorders/>
            <w:shd w:fill="FFFFFF" w:val="clear"/>
            <w:vAlign w:val="center"/>
          </w:tcPr>
          <w:p>
            <w:pPr>
              <w:pStyle w:val="TableContents"/>
              <w:bidi w:val="0"/>
              <w:spacing w:before="0" w:after="283"/>
              <w:jc w:val="left"/>
              <w:rPr/>
            </w:pPr>
            <w:r>
              <w:rPr/>
              <w:t>Warrants Outstanding, September 30, 2024</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FFFFFF" w:val="clear"/>
            <w:tcMar>
              <w:bottom w:w="28" w:type="dxa"/>
            </w:tcMar>
            <w:vAlign w:val="center"/>
          </w:tcPr>
          <w:p>
            <w:pPr>
              <w:pStyle w:val="TableContents"/>
              <w:bidi w:val="0"/>
              <w:spacing w:before="0" w:after="283"/>
              <w:jc w:val="right"/>
              <w:rPr/>
            </w:pPr>
            <w:r>
              <w:rPr/>
              <w:t>9,555,034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Warrants:</w:t>
      </w:r>
    </w:p>
    <w:p>
      <w:pPr>
        <w:pStyle w:val="TextBody"/>
        <w:bidi w:val="0"/>
        <w:spacing w:before="0" w:after="0"/>
        <w:ind w:left="0" w:right="0" w:hanging="0"/>
        <w:jc w:val="both"/>
        <w:rPr>
          <w:caps w:val="false"/>
          <w:smallCaps w:val="false"/>
        </w:rPr>
      </w:pPr>
      <w:r>
        <w:rPr>
          <w:caps w:val="false"/>
          <w:smallCaps w:val="false"/>
        </w:rPr>
        <w:t> </w:t>
      </w:r>
    </w:p>
    <w:tbl>
      <w:tblPr>
        <w:tblW w:w="5514" w:type="dxa"/>
        <w:jc w:val="left"/>
        <w:tblInd w:w="0" w:type="dxa"/>
        <w:tblLayout w:type="fixed"/>
        <w:tblCellMar>
          <w:top w:w="0" w:type="dxa"/>
          <w:left w:w="0" w:type="dxa"/>
          <w:bottom w:w="0" w:type="dxa"/>
          <w:right w:w="0" w:type="dxa"/>
        </w:tblCellMar>
      </w:tblPr>
      <w:tblGrid>
        <w:gridCol w:w="4070"/>
        <w:gridCol w:w="60"/>
        <w:gridCol w:w="67"/>
        <w:gridCol w:w="1242"/>
        <w:gridCol w:w="7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77" w:name="xdx_4BB_us-gaap--StatementEquityComponen"/>
            <w:bookmarkEnd w:id="777"/>
          </w:p>
        </w:tc>
        <w:tc>
          <w:tcPr>
            <w:tcW w:w="130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75" w:type="dxa"/>
            <w:tcBorders/>
            <w:vAlign w:val="center"/>
          </w:tcPr>
          <w:p>
            <w:pPr>
              <w:pStyle w:val="TableContents"/>
              <w:bidi w:val="0"/>
              <w:spacing w:before="0" w:after="283"/>
              <w:jc w:val="left"/>
              <w:rPr/>
            </w:pPr>
            <w:r>
              <w:rPr/>
              <w:t> </w:t>
            </w:r>
            <w:bookmarkStart w:id="778" w:name="xdx_43B_c20240101__20240930_eus-gaap--Cl"/>
            <w:bookmarkEnd w:id="778"/>
          </w:p>
        </w:tc>
      </w:tr>
      <w:tr>
        <w:trPr/>
        <w:tc>
          <w:tcPr>
            <w:tcW w:w="4070" w:type="dxa"/>
            <w:tcBorders/>
            <w:shd w:fill="CCEEFF" w:val="clear"/>
            <w:vAlign w:val="center"/>
          </w:tcPr>
          <w:p>
            <w:pPr>
              <w:pStyle w:val="TableContents"/>
              <w:bidi w:val="0"/>
              <w:spacing w:before="0" w:after="283"/>
              <w:jc w:val="left"/>
              <w:rPr/>
            </w:pPr>
            <w:r>
              <w:rPr/>
              <w:t>Warrants Outstanding, January 1, 2024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11,131,900</w:t>
            </w:r>
          </w:p>
        </w:tc>
        <w:tc>
          <w:tcPr>
            <w:tcW w:w="75" w:type="dxa"/>
            <w:tcBorders/>
            <w:shd w:fill="CCEEFF" w:val="clear"/>
            <w:vAlign w:val="center"/>
          </w:tcPr>
          <w:p>
            <w:pPr>
              <w:pStyle w:val="TableContents"/>
              <w:bidi w:val="0"/>
              <w:spacing w:before="0" w:after="283"/>
              <w:jc w:val="left"/>
              <w:rPr/>
            </w:pPr>
            <w:r>
              <w:rPr/>
              <w:t> </w:t>
            </w:r>
            <w:bookmarkStart w:id="779" w:name="xdx_431_c20240101__20240930_eus-gaap--Cl"/>
            <w:bookmarkEnd w:id="779"/>
          </w:p>
        </w:tc>
      </w:tr>
      <w:tr>
        <w:trPr/>
        <w:tc>
          <w:tcPr>
            <w:tcW w:w="4070" w:type="dxa"/>
            <w:tcBorders/>
            <w:shd w:fill="CCEEFF" w:val="clear"/>
            <w:vAlign w:val="center"/>
          </w:tcPr>
          <w:p>
            <w:pPr>
              <w:pStyle w:val="TableContents"/>
              <w:bidi w:val="0"/>
              <w:spacing w:before="0" w:after="283"/>
              <w:jc w:val="left"/>
              <w:rPr/>
            </w:pPr>
            <w:r>
              <w:rPr/>
              <w:t>Warrants Outstanding, Beginning</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11,131,900</w:t>
            </w:r>
          </w:p>
        </w:tc>
        <w:tc>
          <w:tcPr>
            <w:tcW w:w="75" w:type="dxa"/>
            <w:tcBorders/>
            <w:shd w:fill="CCEEFF" w:val="clear"/>
            <w:vAlign w:val="center"/>
          </w:tcPr>
          <w:p>
            <w:pPr>
              <w:pStyle w:val="TableContents"/>
              <w:bidi w:val="0"/>
              <w:spacing w:before="0" w:after="283"/>
              <w:jc w:val="left"/>
              <w:rPr/>
            </w:pPr>
            <w:r>
              <w:rPr/>
              <w:t> </w:t>
            </w:r>
            <w:bookmarkStart w:id="780" w:name="xdx_40A_ecustom--ClassOfWarrantOrRightis"/>
            <w:bookmarkEnd w:id="780"/>
          </w:p>
        </w:tc>
      </w:tr>
      <w:tr>
        <w:trPr/>
        <w:tc>
          <w:tcPr>
            <w:tcW w:w="4070" w:type="dxa"/>
            <w:tcBorders/>
            <w:shd w:fill="FFFFFF" w:val="clear"/>
            <w:vAlign w:val="center"/>
          </w:tcPr>
          <w:p>
            <w:pPr>
              <w:pStyle w:val="TableContents"/>
              <w:bidi w:val="0"/>
              <w:spacing w:before="0" w:after="283"/>
              <w:jc w:val="left"/>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781" w:name="xdx_404_eus-gaap--ShareBasedCompensation"/>
            <w:bookmarkEnd w:id="781"/>
          </w:p>
        </w:tc>
      </w:tr>
      <w:tr>
        <w:trPr/>
        <w:tc>
          <w:tcPr>
            <w:tcW w:w="407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782" w:name="xdx_43D_c20240101__20240930_eus-gaap--Cl"/>
            <w:bookmarkEnd w:id="782"/>
          </w:p>
        </w:tc>
      </w:tr>
      <w:tr>
        <w:trPr/>
        <w:tc>
          <w:tcPr>
            <w:tcW w:w="4070" w:type="dxa"/>
            <w:tcBorders/>
            <w:shd w:fill="FFFFFF" w:val="clear"/>
            <w:vAlign w:val="center"/>
          </w:tcPr>
          <w:p>
            <w:pPr>
              <w:pStyle w:val="TableContents"/>
              <w:bidi w:val="0"/>
              <w:spacing w:before="0" w:after="283"/>
              <w:jc w:val="both"/>
              <w:rPr/>
            </w:pPr>
            <w:r>
              <w:rPr/>
              <w:t>Warrants outstanding, September 30, 2024</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double" w:sz="6" w:space="0" w:color="000000"/>
            </w:tcBorders>
            <w:shd w:fill="FFFFFF" w:val="clear"/>
            <w:tcMar>
              <w:bottom w:w="28" w:type="dxa"/>
            </w:tcMar>
            <w:vAlign w:val="center"/>
          </w:tcPr>
          <w:p>
            <w:pPr>
              <w:pStyle w:val="TableContents"/>
              <w:bidi w:val="0"/>
              <w:spacing w:before="0" w:after="283"/>
              <w:jc w:val="right"/>
              <w:rPr/>
            </w:pPr>
            <w:r>
              <w:rPr/>
              <w:t>11,131,900</w:t>
            </w:r>
          </w:p>
        </w:tc>
        <w:tc>
          <w:tcPr>
            <w:tcW w:w="75" w:type="dxa"/>
            <w:tcBorders/>
            <w:shd w:fill="FFFFFF" w:val="clear"/>
            <w:vAlign w:val="center"/>
          </w:tcPr>
          <w:p>
            <w:pPr>
              <w:pStyle w:val="TableContents"/>
              <w:bidi w:val="0"/>
              <w:spacing w:before="0" w:after="283"/>
              <w:jc w:val="left"/>
              <w:rPr/>
            </w:pPr>
            <w:r>
              <w:rPr/>
              <w:t> </w:t>
            </w:r>
            <w:bookmarkStart w:id="783" w:name="xdx_435_c20240101__20240930_eus-gaap--Cl"/>
            <w:bookmarkEnd w:id="783"/>
          </w:p>
        </w:tc>
      </w:tr>
      <w:tr>
        <w:trPr/>
        <w:tc>
          <w:tcPr>
            <w:tcW w:w="4070" w:type="dxa"/>
            <w:tcBorders/>
            <w:shd w:fill="FFFFFF" w:val="clear"/>
            <w:vAlign w:val="center"/>
          </w:tcPr>
          <w:p>
            <w:pPr>
              <w:pStyle w:val="TableContents"/>
              <w:bidi w:val="0"/>
              <w:spacing w:before="0" w:after="283"/>
              <w:jc w:val="both"/>
              <w:rPr/>
            </w:pPr>
            <w:r>
              <w:rPr/>
              <w:t>Warrants outstanding, Ending</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double" w:sz="6" w:space="0" w:color="000000"/>
            </w:tcBorders>
            <w:shd w:fill="FFFFFF" w:val="clear"/>
            <w:tcMar>
              <w:bottom w:w="28" w:type="dxa"/>
            </w:tcMar>
            <w:vAlign w:val="center"/>
          </w:tcPr>
          <w:p>
            <w:pPr>
              <w:pStyle w:val="TableContents"/>
              <w:bidi w:val="0"/>
              <w:spacing w:before="0" w:after="283"/>
              <w:jc w:val="right"/>
              <w:rPr/>
            </w:pPr>
            <w:r>
              <w:rPr/>
              <w:t>11,131,900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84" w:name="xdx_8A4_zPgBoIfpz67e"/>
      <w:bookmarkEnd w:id="784"/>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85" w:name="xdx_800_eus-gaap--StockholdersEquityNote"/>
      <w:bookmarkEnd w:id="785"/>
      <w:r>
        <w:rPr>
          <w:rFonts w:ascii="Times New Roman;Times;Serif" w:hAnsi="Times New Roman;Times;Serif"/>
          <w:b/>
          <w:i w:val="false"/>
          <w:caps/>
          <w:sz w:val="20"/>
        </w:rPr>
        <w:t xml:space="preserve">Note 11 - </w:t>
      </w:r>
      <w:bookmarkStart w:id="786" w:name="xdx_822_za2uD80Fb1He"/>
      <w:bookmarkEnd w:id="786"/>
      <w:r>
        <w:rPr>
          <w:rFonts w:ascii="Times New Roman;Times;Serif" w:hAnsi="Times New Roman;Times;Serif"/>
          <w:b/>
          <w:i w:val="false"/>
          <w:caps/>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on common stock had been declared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87" w:name="xdx_89B_ecustom--SummaryOfReservedShares"/>
      <w:bookmarkEnd w:id="787"/>
      <w:r>
        <w:rPr>
          <w:rFonts w:ascii="Times New Roman;Times;Serif" w:hAnsi="Times New Roman;Times;Serif"/>
          <w:b w:val="false"/>
          <w:i w:val="false"/>
          <w:caps w:val="false"/>
          <w:smallCaps w:val="false"/>
          <w:sz w:val="20"/>
        </w:rPr>
        <w:t>For the nine months ended September 30, 2024 and 2023, the Company had reserved shares of common stock for issuance as follows:</w:t>
      </w:r>
    </w:p>
    <w:p>
      <w:pPr>
        <w:pStyle w:val="TextBody"/>
        <w:bidi w:val="0"/>
        <w:spacing w:before="0" w:after="0"/>
        <w:ind w:left="0" w:right="0" w:hanging="0"/>
        <w:jc w:val="both"/>
        <w:rPr>
          <w:caps w:val="false"/>
          <w:smallCaps w:val="false"/>
        </w:rPr>
      </w:pPr>
      <w:r>
        <w:rPr>
          <w:caps w:val="false"/>
          <w:smallCaps w:val="false"/>
        </w:rPr>
        <w:t> </w:t>
      </w:r>
      <w:bookmarkStart w:id="788" w:name="xdx_8B1_zwFQIt8ZeQ87"/>
      <w:bookmarkEnd w:id="788"/>
      <w:r>
        <w:rPr>
          <w:rFonts w:ascii="Times New Roman;Times;Serif" w:hAnsi="Times New Roman;Times;Serif"/>
          <w:b w:val="false"/>
          <w:i w:val="false"/>
          <w:caps w:val="false"/>
          <w:smallCaps w:val="false"/>
          <w:sz w:val="20"/>
        </w:rPr>
        <w:t>SUMMARY OF RESERVED SHARES OF COMMON STOCK FOR ISSUANCE</w:t>
      </w:r>
    </w:p>
    <w:tbl>
      <w:tblPr>
        <w:tblW w:w="6180" w:type="dxa"/>
        <w:jc w:val="left"/>
        <w:tblInd w:w="0" w:type="dxa"/>
        <w:tblLayout w:type="fixed"/>
        <w:tblCellMar>
          <w:top w:w="0" w:type="dxa"/>
          <w:left w:w="0" w:type="dxa"/>
          <w:bottom w:w="0" w:type="dxa"/>
          <w:right w:w="0" w:type="dxa"/>
        </w:tblCellMar>
      </w:tblPr>
      <w:tblGrid>
        <w:gridCol w:w="3365"/>
        <w:gridCol w:w="60"/>
        <w:gridCol w:w="60"/>
        <w:gridCol w:w="1220"/>
        <w:gridCol w:w="60"/>
        <w:gridCol w:w="60"/>
        <w:gridCol w:w="60"/>
        <w:gridCol w:w="1220"/>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9" w:name="xdx_495_20240930_zijAl97ibjGi"/>
            <w:bookmarkEnd w:id="789"/>
          </w:p>
        </w:tc>
        <w:tc>
          <w:tcPr>
            <w:tcW w:w="12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0" w:name="xdx_499_20230930_zM15T1LOSaB5"/>
            <w:bookmarkEnd w:id="790"/>
          </w:p>
        </w:tc>
        <w:tc>
          <w:tcPr>
            <w:tcW w:w="12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pPr>
            <w:r>
              <w:rPr/>
              <w:t> </w:t>
            </w:r>
            <w:bookmarkStart w:id="791" w:name="xdx_403_eus-gaap--ShareBasedCompensation"/>
            <w:bookmarkEnd w:id="791"/>
          </w:p>
        </w:tc>
      </w:tr>
      <w:tr>
        <w:trPr/>
        <w:tc>
          <w:tcPr>
            <w:tcW w:w="3365" w:type="dxa"/>
            <w:tcBorders/>
            <w:shd w:fill="CCEEFF" w:val="clear"/>
            <w:vAlign w:val="center"/>
          </w:tcPr>
          <w:p>
            <w:pPr>
              <w:pStyle w:val="TableContents"/>
              <w:bidi w:val="0"/>
              <w:spacing w:before="0" w:after="283"/>
              <w:jc w:val="left"/>
              <w:rPr/>
            </w:pPr>
            <w:r>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1,748,687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3,274,940</w:t>
            </w:r>
          </w:p>
        </w:tc>
        <w:tc>
          <w:tcPr>
            <w:tcW w:w="75" w:type="dxa"/>
            <w:tcBorders/>
            <w:shd w:fill="CCEEFF" w:val="clear"/>
            <w:vAlign w:val="center"/>
          </w:tcPr>
          <w:p>
            <w:pPr>
              <w:pStyle w:val="TableContents"/>
              <w:bidi w:val="0"/>
              <w:spacing w:before="0" w:after="283"/>
              <w:jc w:val="left"/>
              <w:rPr/>
            </w:pPr>
            <w:r>
              <w:rPr/>
              <w:t> </w:t>
            </w:r>
            <w:bookmarkStart w:id="792" w:name="xdx_40F_eus-gaap--CommonStockSharesOutst"/>
            <w:bookmarkEnd w:id="792"/>
          </w:p>
        </w:tc>
      </w:tr>
      <w:tr>
        <w:trPr/>
        <w:tc>
          <w:tcPr>
            <w:tcW w:w="3365" w:type="dxa"/>
            <w:tcBorders/>
            <w:shd w:fill="FFFFFF" w:val="clear"/>
            <w:vAlign w:val="center"/>
          </w:tcPr>
          <w:p>
            <w:pPr>
              <w:pStyle w:val="TableContents"/>
              <w:bidi w:val="0"/>
              <w:spacing w:before="0" w:after="283"/>
              <w:jc w:val="left"/>
              <w:rPr/>
            </w:pPr>
            <w:r>
              <w:rPr/>
              <w:t>Common stock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62,767,982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58,880,712</w:t>
            </w:r>
          </w:p>
        </w:tc>
        <w:tc>
          <w:tcPr>
            <w:tcW w:w="75" w:type="dxa"/>
            <w:tcBorders/>
            <w:shd w:fill="FFFFFF" w:val="clear"/>
            <w:vAlign w:val="center"/>
          </w:tcPr>
          <w:p>
            <w:pPr>
              <w:pStyle w:val="TableContents"/>
              <w:bidi w:val="0"/>
              <w:spacing w:before="0" w:after="283"/>
              <w:jc w:val="left"/>
              <w:rPr/>
            </w:pPr>
            <w:r>
              <w:rPr/>
              <w:t> </w:t>
            </w:r>
            <w:bookmarkStart w:id="793" w:name="xdx_406_eus-gaap--ClassOfWarrantOrRightO"/>
            <w:bookmarkEnd w:id="793"/>
          </w:p>
        </w:tc>
      </w:tr>
      <w:tr>
        <w:trPr/>
        <w:tc>
          <w:tcPr>
            <w:tcW w:w="3365" w:type="dxa"/>
            <w:tcBorders/>
            <w:shd w:fill="CCEEFF" w:val="clear"/>
            <w:vAlign w:val="center"/>
          </w:tcPr>
          <w:p>
            <w:pPr>
              <w:pStyle w:val="TableContents"/>
              <w:bidi w:val="0"/>
              <w:spacing w:before="0" w:after="283"/>
              <w:jc w:val="left"/>
              <w:rPr/>
            </w:pPr>
            <w:r>
              <w:rPr/>
              <w:t>Warrants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32,181,100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23,219,622</w:t>
            </w:r>
          </w:p>
        </w:tc>
        <w:tc>
          <w:tcPr>
            <w:tcW w:w="75" w:type="dxa"/>
            <w:tcBorders/>
            <w:shd w:fill="CCEEFF" w:val="clear"/>
            <w:vAlign w:val="center"/>
          </w:tcPr>
          <w:p>
            <w:pPr>
              <w:pStyle w:val="TableContents"/>
              <w:bidi w:val="0"/>
              <w:spacing w:before="0" w:after="283"/>
              <w:jc w:val="left"/>
              <w:rPr/>
            </w:pPr>
            <w:r>
              <w:rPr/>
              <w:t> </w:t>
            </w:r>
            <w:bookmarkStart w:id="794" w:name="xdx_403_ecustom--EarnoutShares_iI_pid_zW"/>
            <w:bookmarkEnd w:id="794"/>
          </w:p>
        </w:tc>
      </w:tr>
      <w:tr>
        <w:trPr/>
        <w:tc>
          <w:tcPr>
            <w:tcW w:w="3365" w:type="dxa"/>
            <w:tcBorders/>
            <w:shd w:fill="FFFFFF" w:val="clear"/>
            <w:vAlign w:val="center"/>
          </w:tcPr>
          <w:p>
            <w:pPr>
              <w:pStyle w:val="TableContents"/>
              <w:bidi w:val="0"/>
              <w:spacing w:before="0" w:after="283"/>
              <w:jc w:val="left"/>
              <w:rPr/>
            </w:pPr>
            <w:r>
              <w:rPr/>
              <w:t>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40,000,000</w:t>
            </w:r>
          </w:p>
        </w:tc>
        <w:tc>
          <w:tcPr>
            <w:tcW w:w="75" w:type="dxa"/>
            <w:tcBorders/>
            <w:shd w:fill="FFFFFF" w:val="clear"/>
            <w:vAlign w:val="center"/>
          </w:tcPr>
          <w:p>
            <w:pPr>
              <w:pStyle w:val="TableContents"/>
              <w:bidi w:val="0"/>
              <w:spacing w:before="0" w:after="283"/>
              <w:jc w:val="left"/>
              <w:rPr/>
            </w:pPr>
            <w:r>
              <w:rPr/>
              <w:t> </w:t>
            </w:r>
            <w:bookmarkStart w:id="795" w:name="xdx_40D_eus-gaap--ShareBasedCompensation"/>
            <w:bookmarkEnd w:id="795"/>
          </w:p>
        </w:tc>
      </w:tr>
      <w:tr>
        <w:trPr/>
        <w:tc>
          <w:tcPr>
            <w:tcW w:w="3365" w:type="dxa"/>
            <w:tcBorders/>
            <w:shd w:fill="CCEEFF" w:val="clear"/>
            <w:vAlign w:val="center"/>
          </w:tcPr>
          <w:p>
            <w:pPr>
              <w:pStyle w:val="TableContents"/>
              <w:bidi w:val="0"/>
              <w:spacing w:before="0" w:after="283"/>
              <w:jc w:val="left"/>
              <w:rPr/>
            </w:pPr>
            <w:r>
              <w:rPr/>
              <w:t>Shares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8,359,925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4,470,153</w:t>
            </w:r>
          </w:p>
        </w:tc>
        <w:tc>
          <w:tcPr>
            <w:tcW w:w="75" w:type="dxa"/>
            <w:tcBorders/>
            <w:shd w:fill="CCEEFF" w:val="clear"/>
            <w:vAlign w:val="center"/>
          </w:tcPr>
          <w:p>
            <w:pPr>
              <w:pStyle w:val="TableContents"/>
              <w:bidi w:val="0"/>
              <w:spacing w:before="0" w:after="283"/>
              <w:jc w:val="left"/>
              <w:rPr/>
            </w:pPr>
            <w:r>
              <w:rPr/>
              <w:t> </w:t>
            </w:r>
            <w:bookmarkStart w:id="796" w:name="xdx_407_eus-gaap--CommonStockCapitalShar"/>
            <w:bookmarkEnd w:id="796"/>
          </w:p>
        </w:tc>
      </w:tr>
      <w:tr>
        <w:trPr/>
        <w:tc>
          <w:tcPr>
            <w:tcW w:w="33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130,057,694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129,845,427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797" w:name="xdx_8AC_zFkGw1TNBJgb"/>
      <w:bookmarkEnd w:id="797"/>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Common Stock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w:t>
      </w:r>
      <w:bookmarkStart w:id="798" w:name="xdx_900_ecustom--PlanOfMergerMaximumAggr"/>
      <w:bookmarkEnd w:id="798"/>
      <w:r>
        <w:rPr>
          <w:rFonts w:ascii="Times New Roman;Times;Serif" w:hAnsi="Times New Roman;Times;Serif"/>
          <w:b w:val="false"/>
          <w:i w:val="false"/>
          <w:caps w:val="false"/>
          <w:smallCaps w:val="false"/>
          <w:sz w:val="20"/>
        </w:rPr>
        <w:t xml:space="preserve">150 million, pursuant to the terms of the Purchase Agreement (the “ChEF Equity Facility”). In addition, the Company appointed LifeSci Capital, LLC as “qualified independent underwriter” with respect to the transactions contemplated by the Purchase Agreement. On May 20, 2024, the Company entered into an amendment to the Original Purchase Agreement (the “A&amp;R Purchase Agreement”, together with the Original Purchase Agreement, the “Purchase Agreement”) with CCM LLC to update the volume weighted average price purchase mechanics of the equity facility to permit Intraday VWAP Purchases (as defined in the A&amp;R Purchase Agreement). Under the terms of the Purchase Agreement, the Company issued </w:t>
      </w:r>
      <w:bookmarkStart w:id="799" w:name="xdx_909_eus-gaap--StockIssuedDuringPerio"/>
      <w:bookmarkEnd w:id="799"/>
      <w:r>
        <w:rPr>
          <w:rFonts w:ascii="Times New Roman;Times;Serif" w:hAnsi="Times New Roman;Times;Serif"/>
          <w:b w:val="false"/>
          <w:i w:val="false"/>
          <w:caps w:val="false"/>
          <w:smallCaps w:val="false"/>
          <w:sz w:val="20"/>
        </w:rPr>
        <w:t>98,500 shares pursuant to the Purchase Agreement with CCM LLC for aggregate net proceeds to the Company of $</w:t>
      </w:r>
      <w:bookmarkStart w:id="800" w:name="xdx_900_eus-gaap--ProceedsFromIssuanceOf"/>
      <w:bookmarkEnd w:id="800"/>
      <w:r>
        <w:rPr>
          <w:rFonts w:ascii="Times New Roman;Times;Serif" w:hAnsi="Times New Roman;Times;Serif"/>
          <w:b w:val="false"/>
          <w:i w:val="false"/>
          <w:caps w:val="false"/>
          <w:smallCaps w:val="false"/>
          <w:sz w:val="20"/>
        </w:rPr>
        <w:t xml:space="preserve">671 from the period January 1, 2023 through September 30, 2023. The Company issued </w:t>
      </w:r>
      <w:bookmarkStart w:id="801" w:name="xdx_905_eus-gaap--StockIssuedDuringPerio"/>
      <w:bookmarkEnd w:id="801"/>
      <w:r>
        <w:rPr>
          <w:rFonts w:ascii="Times New Roman;Times;Serif" w:hAnsi="Times New Roman;Times;Serif"/>
          <w:b w:val="false"/>
          <w:i w:val="false"/>
          <w:caps w:val="false"/>
          <w:smallCaps w:val="false"/>
          <w:sz w:val="20"/>
        </w:rPr>
        <w:t>2,245,391 shares pursuant to the Purchase Agreement with CCM LLC for aggregate proceeds to the Company of $</w:t>
      </w:r>
      <w:bookmarkStart w:id="802" w:name="xdx_90E_eus-gaap--ProceedsFromIssuanceOf"/>
      <w:bookmarkEnd w:id="802"/>
      <w:r>
        <w:rPr>
          <w:rFonts w:ascii="Times New Roman;Times;Serif" w:hAnsi="Times New Roman;Times;Serif"/>
          <w:b w:val="false"/>
          <w:i w:val="false"/>
          <w:caps w:val="false"/>
          <w:smallCaps w:val="false"/>
          <w:sz w:val="20"/>
        </w:rPr>
        <w:t xml:space="preserve">1,705 from the period January 1, 2024 through September 30, 2024. In accordance with the anti-dilution provisions of the penny warrants with respect to certain sales made by the Company under the ChEF Equity Facility, </w:t>
      </w:r>
      <w:bookmarkStart w:id="803" w:name="xdx_90E_eus-gaap--ClassOfWarrantOrRightN"/>
      <w:bookmarkEnd w:id="803"/>
      <w:r>
        <w:rPr>
          <w:rFonts w:ascii="Times New Roman;Times;Serif" w:hAnsi="Times New Roman;Times;Serif"/>
          <w:b w:val="false"/>
          <w:i w:val="false"/>
          <w:caps w:val="false"/>
          <w:smallCaps w:val="false"/>
          <w:sz w:val="20"/>
        </w:rPr>
        <w:t>20,524 penny warrants were issued from the period January 1, 2024 through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804" w:name="xdx_800_eus-gaap--DisclosureOfCompensati"/>
      <w:bookmarkEnd w:id="804"/>
      <w:r>
        <w:rPr>
          <w:rFonts w:ascii="Times New Roman;Times;Serif" w:hAnsi="Times New Roman;Times;Serif"/>
          <w:b/>
          <w:i w:val="false"/>
          <w:caps/>
          <w:sz w:val="20"/>
        </w:rPr>
        <w:t xml:space="preserve">Note 12 - </w:t>
      </w:r>
      <w:bookmarkStart w:id="805" w:name="xdx_82E_zE8W8g7hfGmi"/>
      <w:bookmarkEnd w:id="805"/>
      <w:r>
        <w:rPr>
          <w:rFonts w:ascii="Times New Roman;Times;Serif" w:hAnsi="Times New Roman;Times;Serif"/>
          <w:b/>
          <w:i w:val="false"/>
          <w:caps/>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806" w:name="xdx_900_eus-gaap--AllocatedShareBasedCom"/>
      <w:bookmarkEnd w:id="806"/>
      <w:r>
        <w:rPr>
          <w:rFonts w:ascii="Times New Roman;Times;Serif" w:hAnsi="Times New Roman;Times;Serif"/>
          <w:b w:val="false"/>
          <w:i w:val="false"/>
          <w:caps w:val="false"/>
          <w:smallCaps w:val="false"/>
          <w:sz w:val="20"/>
        </w:rPr>
        <w:t>759 and $</w:t>
      </w:r>
      <w:bookmarkStart w:id="807" w:name="xdx_90C_eus-gaap--AllocatedShareBasedCom"/>
      <w:bookmarkEnd w:id="807"/>
      <w:r>
        <w:rPr>
          <w:rFonts w:ascii="Times New Roman;Times;Serif" w:hAnsi="Times New Roman;Times;Serif"/>
          <w:b w:val="false"/>
          <w:i w:val="false"/>
          <w:caps w:val="false"/>
          <w:smallCaps w:val="false"/>
          <w:sz w:val="20"/>
        </w:rPr>
        <w:t>6,387 was recognized in the Company’s consolidated statements of operations for the nine months ended September 30, 2024 and 2023, respectively. Share-based compensation expense for options and RSUs totaling $</w:t>
      </w:r>
      <w:bookmarkStart w:id="808" w:name="xdx_904_eus-gaap--AllocatedShareBasedCom"/>
      <w:bookmarkEnd w:id="808"/>
      <w:r>
        <w:rPr>
          <w:rFonts w:ascii="Times New Roman;Times;Serif" w:hAnsi="Times New Roman;Times;Serif"/>
          <w:b w:val="false"/>
          <w:i w:val="false"/>
          <w:caps w:val="false"/>
          <w:smallCaps w:val="false"/>
          <w:sz w:val="20"/>
        </w:rPr>
        <w:t>256 and $</w:t>
      </w:r>
      <w:bookmarkStart w:id="809" w:name="xdx_905_eus-gaap--AllocatedShareBasedCom"/>
      <w:bookmarkEnd w:id="809"/>
      <w:r>
        <w:rPr>
          <w:rFonts w:ascii="Times New Roman;Times;Serif" w:hAnsi="Times New Roman;Times;Serif"/>
          <w:b w:val="false"/>
          <w:i w:val="false"/>
          <w:caps w:val="false"/>
          <w:smallCaps w:val="false"/>
          <w:sz w:val="20"/>
        </w:rPr>
        <w:t>946 was recognized in the Company’s consolidated statements of operations for the three months ended September 30,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810" w:name="xdx_90C_eus-gaap--AllocatedShareBasedCom"/>
      <w:bookmarkEnd w:id="810"/>
      <w:r>
        <w:rPr>
          <w:rFonts w:ascii="Times New Roman;Times;Serif" w:hAnsi="Times New Roman;Times;Serif"/>
          <w:b w:val="false"/>
          <w:i w:val="false"/>
          <w:caps w:val="false"/>
          <w:smallCaps w:val="false"/>
          <w:sz w:val="20"/>
        </w:rPr>
        <w:t>759 of share-based compensation incurred during the nine months ended September 30, 2024, $</w:t>
      </w:r>
      <w:bookmarkStart w:id="811" w:name="xdx_90A_eus-gaap--AllocatedShareBasedCom"/>
      <w:bookmarkEnd w:id="811"/>
      <w:r>
        <w:rPr>
          <w:rFonts w:ascii="Times New Roman;Times;Serif" w:hAnsi="Times New Roman;Times;Serif"/>
          <w:b w:val="false"/>
          <w:i w:val="false"/>
          <w:caps w:val="false"/>
          <w:smallCaps w:val="false"/>
          <w:sz w:val="20"/>
        </w:rPr>
        <w:t>81 is allocated to cost of goods sold, $</w:t>
      </w:r>
      <w:bookmarkStart w:id="812" w:name="xdx_90A_eus-gaap--AllocatedShareBasedCom"/>
      <w:bookmarkEnd w:id="812"/>
      <w:r>
        <w:rPr>
          <w:rFonts w:ascii="Times New Roman;Times;Serif" w:hAnsi="Times New Roman;Times;Serif"/>
          <w:b w:val="false"/>
          <w:i w:val="false"/>
          <w:caps w:val="false"/>
          <w:smallCaps w:val="false"/>
          <w:sz w:val="20"/>
        </w:rPr>
        <w:t>136 to research and development, $</w:t>
      </w:r>
      <w:bookmarkStart w:id="813" w:name="xdx_900_eus-gaap--AllocatedShareBasedCom"/>
      <w:bookmarkEnd w:id="813"/>
      <w:r>
        <w:rPr>
          <w:rFonts w:ascii="Times New Roman;Times;Serif" w:hAnsi="Times New Roman;Times;Serif"/>
          <w:b w:val="false"/>
          <w:i w:val="false"/>
          <w:caps w:val="false"/>
          <w:smallCaps w:val="false"/>
          <w:sz w:val="20"/>
        </w:rPr>
        <w:t>198 to selling and marketing, and $</w:t>
      </w:r>
      <w:bookmarkStart w:id="814" w:name="xdx_901_eus-gaap--AllocatedShareBasedCom"/>
      <w:bookmarkEnd w:id="814"/>
      <w:r>
        <w:rPr>
          <w:rFonts w:ascii="Times New Roman;Times;Serif" w:hAnsi="Times New Roman;Times;Serif"/>
          <w:b w:val="false"/>
          <w:i w:val="false"/>
          <w:caps w:val="false"/>
          <w:smallCaps w:val="false"/>
          <w:sz w:val="20"/>
        </w:rPr>
        <w:t>344 to general and administrative expenses. Of the $</w:t>
      </w:r>
      <w:bookmarkStart w:id="815" w:name="xdx_900_eus-gaap--AllocatedShareBasedCom"/>
      <w:bookmarkEnd w:id="815"/>
      <w:r>
        <w:rPr>
          <w:rFonts w:ascii="Times New Roman;Times;Serif" w:hAnsi="Times New Roman;Times;Serif"/>
          <w:b w:val="false"/>
          <w:i w:val="false"/>
          <w:caps w:val="false"/>
          <w:smallCaps w:val="false"/>
          <w:sz w:val="20"/>
        </w:rPr>
        <w:t>6,387 of share-based compensation incurred during the nine months ended September 30, 2023, $</w:t>
      </w:r>
      <w:bookmarkStart w:id="816" w:name="xdx_90E_eus-gaap--AllocatedShareBasedCom"/>
      <w:bookmarkEnd w:id="816"/>
      <w:r>
        <w:rPr>
          <w:rFonts w:ascii="Times New Roman;Times;Serif" w:hAnsi="Times New Roman;Times;Serif"/>
          <w:b w:val="false"/>
          <w:i w:val="false"/>
          <w:caps w:val="false"/>
          <w:smallCaps w:val="false"/>
          <w:sz w:val="20"/>
        </w:rPr>
        <w:t>104 is allocated to cost of goods sold, $</w:t>
      </w:r>
      <w:bookmarkStart w:id="817" w:name="xdx_904_eus-gaap--AllocatedShareBasedCom"/>
      <w:bookmarkEnd w:id="817"/>
      <w:r>
        <w:rPr>
          <w:rFonts w:ascii="Times New Roman;Times;Serif" w:hAnsi="Times New Roman;Times;Serif"/>
          <w:b w:val="false"/>
          <w:i w:val="false"/>
          <w:caps w:val="false"/>
          <w:smallCaps w:val="false"/>
          <w:sz w:val="20"/>
        </w:rPr>
        <w:t>82 to research and development, $</w:t>
      </w:r>
      <w:bookmarkStart w:id="818" w:name="xdx_909_eus-gaap--AllocatedShareBasedCom"/>
      <w:bookmarkEnd w:id="818"/>
      <w:r>
        <w:rPr>
          <w:rFonts w:ascii="Times New Roman;Times;Serif" w:hAnsi="Times New Roman;Times;Serif"/>
          <w:b w:val="false"/>
          <w:i w:val="false"/>
          <w:caps w:val="false"/>
          <w:smallCaps w:val="false"/>
          <w:sz w:val="20"/>
        </w:rPr>
        <w:t>1,033 to selling and marketing, and $</w:t>
      </w:r>
      <w:bookmarkStart w:id="819" w:name="xdx_906_eus-gaap--AllocatedShareBasedCom"/>
      <w:bookmarkEnd w:id="819"/>
      <w:r>
        <w:rPr>
          <w:rFonts w:ascii="Times New Roman;Times;Serif" w:hAnsi="Times New Roman;Times;Serif"/>
          <w:b w:val="false"/>
          <w:i w:val="false"/>
          <w:caps w:val="false"/>
          <w:smallCaps w:val="false"/>
          <w:sz w:val="20"/>
        </w:rPr>
        <w:t>5,168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820" w:name="xdx_90D_eus-gaap--AllocatedShareBasedCom"/>
      <w:bookmarkEnd w:id="820"/>
      <w:r>
        <w:rPr>
          <w:rFonts w:ascii="Times New Roman;Times;Serif" w:hAnsi="Times New Roman;Times;Serif"/>
          <w:b w:val="false"/>
          <w:i w:val="false"/>
          <w:caps w:val="false"/>
          <w:smallCaps w:val="false"/>
          <w:sz w:val="20"/>
        </w:rPr>
        <w:t>256 of share-based compensation incurred during the three months ended September 30, 2024, $</w:t>
      </w:r>
      <w:bookmarkStart w:id="821" w:name="xdx_906_eus-gaap--AllocatedShareBasedCom"/>
      <w:bookmarkEnd w:id="821"/>
      <w:r>
        <w:rPr>
          <w:rFonts w:ascii="Times New Roman;Times;Serif" w:hAnsi="Times New Roman;Times;Serif"/>
          <w:b w:val="false"/>
          <w:i w:val="false"/>
          <w:caps w:val="false"/>
          <w:smallCaps w:val="false"/>
          <w:sz w:val="20"/>
        </w:rPr>
        <w:t>21 is allocated to cost of goods sold, $</w:t>
      </w:r>
      <w:bookmarkStart w:id="822" w:name="xdx_906_eus-gaap--AllocatedShareBasedCom"/>
      <w:bookmarkEnd w:id="822"/>
      <w:r>
        <w:rPr>
          <w:rFonts w:ascii="Times New Roman;Times;Serif" w:hAnsi="Times New Roman;Times;Serif"/>
          <w:b w:val="false"/>
          <w:i w:val="false"/>
          <w:caps w:val="false"/>
          <w:smallCaps w:val="false"/>
          <w:sz w:val="20"/>
        </w:rPr>
        <w:t>35 to research and development, $</w:t>
      </w:r>
      <w:bookmarkStart w:id="823" w:name="xdx_90F_eus-gaap--AllocatedShareBasedCom"/>
      <w:bookmarkEnd w:id="823"/>
      <w:r>
        <w:rPr>
          <w:rFonts w:ascii="Times New Roman;Times;Serif" w:hAnsi="Times New Roman;Times;Serif"/>
          <w:b w:val="false"/>
          <w:i w:val="false"/>
          <w:caps w:val="false"/>
          <w:smallCaps w:val="false"/>
          <w:sz w:val="20"/>
        </w:rPr>
        <w:t>71 to selling and marketing, and $</w:t>
      </w:r>
      <w:bookmarkStart w:id="824" w:name="xdx_90E_eus-gaap--AllocatedShareBasedCom"/>
      <w:bookmarkEnd w:id="824"/>
      <w:r>
        <w:rPr>
          <w:rFonts w:ascii="Times New Roman;Times;Serif" w:hAnsi="Times New Roman;Times;Serif"/>
          <w:b w:val="false"/>
          <w:i w:val="false"/>
          <w:caps w:val="false"/>
          <w:smallCaps w:val="false"/>
          <w:sz w:val="20"/>
        </w:rPr>
        <w:t>129 to general and administrative expenses. Of the $</w:t>
      </w:r>
      <w:bookmarkStart w:id="825" w:name="xdx_90B_eus-gaap--AllocatedShareBasedCom"/>
      <w:bookmarkEnd w:id="825"/>
      <w:r>
        <w:rPr>
          <w:rFonts w:ascii="Times New Roman;Times;Serif" w:hAnsi="Times New Roman;Times;Serif"/>
          <w:b w:val="false"/>
          <w:i w:val="false"/>
          <w:caps w:val="false"/>
          <w:smallCaps w:val="false"/>
          <w:sz w:val="20"/>
        </w:rPr>
        <w:t>946 of share-based compensation incurred during the three months ended September 30, 2023, $</w:t>
      </w:r>
      <w:bookmarkStart w:id="826" w:name="xdx_905_eus-gaap--AllocatedShareBasedCom"/>
      <w:bookmarkEnd w:id="826"/>
      <w:r>
        <w:rPr>
          <w:rFonts w:ascii="Times New Roman;Times;Serif" w:hAnsi="Times New Roman;Times;Serif"/>
          <w:b w:val="false"/>
          <w:i w:val="false"/>
          <w:caps w:val="false"/>
          <w:smallCaps w:val="false"/>
          <w:sz w:val="20"/>
        </w:rPr>
        <w:t>29 is allocated to cost of goods sold, $</w:t>
      </w:r>
      <w:bookmarkStart w:id="827" w:name="xdx_908_eus-gaap--AllocatedShareBasedCom"/>
      <w:bookmarkEnd w:id="827"/>
      <w:r>
        <w:rPr>
          <w:rFonts w:ascii="Times New Roman;Times;Serif" w:hAnsi="Times New Roman;Times;Serif"/>
          <w:b w:val="false"/>
          <w:i w:val="false"/>
          <w:caps w:val="false"/>
          <w:smallCaps w:val="false"/>
          <w:sz w:val="20"/>
        </w:rPr>
        <w:t>33 to research and development, $</w:t>
      </w:r>
      <w:bookmarkStart w:id="828" w:name="xdx_90F_eus-gaap--AllocatedShareBasedCom"/>
      <w:bookmarkEnd w:id="828"/>
      <w:r>
        <w:rPr>
          <w:rFonts w:ascii="Times New Roman;Times;Serif" w:hAnsi="Times New Roman;Times;Serif"/>
          <w:b w:val="false"/>
          <w:i w:val="false"/>
          <w:caps w:val="false"/>
          <w:smallCaps w:val="false"/>
          <w:sz w:val="20"/>
        </w:rPr>
        <w:t>62 to selling and marketing, and $</w:t>
      </w:r>
      <w:bookmarkStart w:id="829" w:name="xdx_904_eus-gaap--AllocatedShareBasedCom"/>
      <w:bookmarkEnd w:id="829"/>
      <w:r>
        <w:rPr>
          <w:rFonts w:ascii="Times New Roman;Times;Serif" w:hAnsi="Times New Roman;Times;Serif"/>
          <w:b w:val="false"/>
          <w:i w:val="false"/>
          <w:caps w:val="false"/>
          <w:smallCaps w:val="false"/>
          <w:sz w:val="20"/>
        </w:rPr>
        <w:t>822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w:t>
      </w:r>
      <w:bookmarkStart w:id="830" w:name="xdx_90B_eus-gaap--StockIssuedDuringPerio"/>
      <w:bookmarkEnd w:id="830"/>
      <w:r>
        <w:rPr>
          <w:rFonts w:ascii="Times New Roman;Times;Serif" w:hAnsi="Times New Roman;Times;Serif"/>
          <w:b w:val="false"/>
          <w:i w:val="false"/>
          <w:caps w:val="false"/>
          <w:smallCaps w:val="false"/>
          <w:sz w:val="20"/>
        </w:rPr>
        <w:t xml:space="preserve">2,464,400 shares of the Company’s common stock were initially available for issuance under the ESPP. The share limit will automatically increase on the first trading day in January of each year by an amount equal to lesser of (1) </w:t>
      </w:r>
      <w:bookmarkStart w:id="831" w:name="xdx_90D_ecustom--OutstandingSharesPercen"/>
      <w:bookmarkEnd w:id="831"/>
      <w:r>
        <w:rPr>
          <w:rFonts w:ascii="Times New Roman;Times;Serif" w:hAnsi="Times New Roman;Times;Serif"/>
          <w:b w:val="false"/>
          <w:i w:val="false"/>
          <w:caps w:val="false"/>
          <w:smallCaps w:val="false"/>
          <w:sz w:val="20"/>
        </w:rPr>
        <w:t xml:space="preserve">1% of the total number of outstanding shares of the Company’s common stock on December 31 in the prior year, (2) </w:t>
      </w:r>
      <w:bookmarkStart w:id="832" w:name="xdx_90C_eus-gaap--StockIssuedDuringPerio"/>
      <w:bookmarkEnd w:id="832"/>
      <w:r>
        <w:rPr>
          <w:rFonts w:ascii="Times New Roman;Times;Serif" w:hAnsi="Times New Roman;Times;Serif"/>
          <w:b w:val="false"/>
          <w:i w:val="false"/>
          <w:caps w:val="false"/>
          <w:smallCaps w:val="false"/>
          <w:sz w:val="20"/>
        </w:rPr>
        <w:t>1,500,000 shares, or (3) such number as determined by the Company’s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3" w:name="xdx_89A_eus-gaap--ScheduleOfShareBasedCo"/>
      <w:bookmarkEnd w:id="833"/>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4" w:name="xdx_8B2_zeejzV9Ce3jl"/>
      <w:bookmarkEnd w:id="834"/>
      <w:r>
        <w:rPr>
          <w:rFonts w:ascii="Times New Roman;Times;Serif" w:hAnsi="Times New Roman;Times;Serif"/>
          <w:b w:val="false"/>
          <w:i w:val="false"/>
          <w:caps w:val="false"/>
          <w:smallCaps w:val="false"/>
          <w:sz w:val="20"/>
        </w:rPr>
        <w:t>SCHEDULE OF OPTION ACTIVITY AND RELATED INFORMATION</w:t>
      </w:r>
    </w:p>
    <w:tbl>
      <w:tblPr>
        <w:tblW w:w="10205" w:type="dxa"/>
        <w:jc w:val="left"/>
        <w:tblInd w:w="0" w:type="dxa"/>
        <w:tblLayout w:type="fixed"/>
        <w:tblCellMar>
          <w:top w:w="0" w:type="dxa"/>
          <w:left w:w="0" w:type="dxa"/>
          <w:bottom w:w="0" w:type="dxa"/>
          <w:right w:w="0" w:type="dxa"/>
        </w:tblCellMar>
      </w:tblPr>
      <w:tblGrid>
        <w:gridCol w:w="1874"/>
        <w:gridCol w:w="60"/>
        <w:gridCol w:w="60"/>
        <w:gridCol w:w="980"/>
        <w:gridCol w:w="95"/>
        <w:gridCol w:w="60"/>
        <w:gridCol w:w="318"/>
        <w:gridCol w:w="1005"/>
        <w:gridCol w:w="60"/>
        <w:gridCol w:w="60"/>
        <w:gridCol w:w="386"/>
        <w:gridCol w:w="1218"/>
        <w:gridCol w:w="60"/>
        <w:gridCol w:w="60"/>
        <w:gridCol w:w="271"/>
        <w:gridCol w:w="2007"/>
        <w:gridCol w:w="60"/>
        <w:gridCol w:w="60"/>
        <w:gridCol w:w="286"/>
        <w:gridCol w:w="1144"/>
        <w:gridCol w:w="81"/>
      </w:tblGrid>
      <w:tr>
        <w:trPr/>
        <w:tc>
          <w:tcPr>
            <w:tcW w:w="18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8"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intrinsic value</w:t>
            </w:r>
          </w:p>
        </w:tc>
        <w:tc>
          <w:tcPr>
            <w:tcW w:w="81" w:type="dxa"/>
            <w:tcBorders/>
            <w:vAlign w:val="center"/>
          </w:tcPr>
          <w:p>
            <w:pPr>
              <w:pStyle w:val="TableContents"/>
              <w:bidi w:val="0"/>
              <w:spacing w:before="0" w:after="283"/>
              <w:jc w:val="left"/>
              <w:rPr/>
            </w:pPr>
            <w:r>
              <w:rPr/>
              <w:t> </w:t>
            </w:r>
          </w:p>
        </w:tc>
      </w:tr>
      <w:tr>
        <w:trPr/>
        <w:tc>
          <w:tcPr>
            <w:tcW w:w="1874" w:type="dxa"/>
            <w:tcBorders/>
            <w:shd w:fill="CCEEFF" w:val="clear"/>
            <w:vAlign w:val="center"/>
          </w:tcPr>
          <w:p>
            <w:pPr>
              <w:pStyle w:val="TableContents"/>
              <w:bidi w:val="0"/>
              <w:spacing w:before="0" w:after="283"/>
              <w:jc w:val="both"/>
              <w:rPr/>
            </w:pPr>
            <w:r>
              <w:rPr/>
              <w:t>Balances,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5" w:name="xdx_986_eus-gaap--ShareBasedCompensation"/>
            <w:bookmarkEnd w:id="835"/>
          </w:p>
        </w:tc>
        <w:tc>
          <w:tcPr>
            <w:tcW w:w="980" w:type="dxa"/>
            <w:tcBorders/>
            <w:shd w:fill="CCEEFF" w:val="clear"/>
            <w:vAlign w:val="center"/>
          </w:tcPr>
          <w:p>
            <w:pPr>
              <w:pStyle w:val="TableContents"/>
              <w:bidi w:val="0"/>
              <w:spacing w:before="0" w:after="283"/>
              <w:jc w:val="right"/>
              <w:rPr/>
            </w:pPr>
            <w:r>
              <w:rPr/>
              <w:t>2,364,787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bookmarkStart w:id="836" w:name="xdx_98C_eus-gaap--ShareBasedCompensation"/>
            <w:bookmarkEnd w:id="836"/>
          </w:p>
        </w:tc>
        <w:tc>
          <w:tcPr>
            <w:tcW w:w="1005" w:type="dxa"/>
            <w:tcBorders/>
            <w:shd w:fill="CCEEFF" w:val="clear"/>
            <w:vAlign w:val="center"/>
          </w:tcPr>
          <w:p>
            <w:pPr>
              <w:pStyle w:val="TableContents"/>
              <w:bidi w:val="0"/>
              <w:spacing w:before="0" w:after="283"/>
              <w:jc w:val="right"/>
              <w:rPr/>
            </w:pPr>
            <w:r>
              <w:rPr/>
              <w:t>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bookmarkStart w:id="837" w:name="xdx_98F_eus-gaap--SharebasedCompensation"/>
            <w:bookmarkEnd w:id="837"/>
          </w:p>
        </w:tc>
        <w:tc>
          <w:tcPr>
            <w:tcW w:w="1218" w:type="dxa"/>
            <w:tcBorders/>
            <w:shd w:fill="CCEEFF" w:val="clear"/>
            <w:vAlign w:val="center"/>
          </w:tcPr>
          <w:p>
            <w:pPr>
              <w:pStyle w:val="TableContents"/>
              <w:bidi w:val="0"/>
              <w:spacing w:before="0" w:after="283"/>
              <w:jc w:val="right"/>
              <w:rPr/>
            </w:pPr>
            <w:r>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2007" w:type="dxa"/>
            <w:tcBorders/>
            <w:shd w:fill="CCEEFF" w:val="clear"/>
            <w:vAlign w:val="center"/>
          </w:tcPr>
          <w:p>
            <w:pPr>
              <w:pStyle w:val="TableContents"/>
              <w:bidi w:val="0"/>
              <w:spacing w:before="0" w:after="283"/>
              <w:jc w:val="right"/>
              <w:rPr/>
            </w:pPr>
            <w:bookmarkStart w:id="838" w:name="xdx_903_ecustom--SharebasedCompensationA"/>
            <w:bookmarkEnd w:id="838"/>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bookmarkStart w:id="839" w:name="xdx_989_eus-gaap--ShareBasedCompensation"/>
            <w:bookmarkEnd w:id="839"/>
          </w:p>
        </w:tc>
        <w:tc>
          <w:tcPr>
            <w:tcW w:w="1144" w:type="dxa"/>
            <w:tcBorders/>
            <w:shd w:fill="CCEEFF" w:val="clear"/>
            <w:vAlign w:val="center"/>
          </w:tcPr>
          <w:p>
            <w:pPr>
              <w:pStyle w:val="TableContents"/>
              <w:bidi w:val="0"/>
              <w:spacing w:before="0" w:after="283"/>
              <w:jc w:val="right"/>
              <w:rPr/>
            </w:pPr>
            <w:r>
              <w:rPr/>
              <w:t>     </w:t>
            </w:r>
            <w:r>
              <w:rPr/>
              <w:t>60</w:t>
            </w:r>
          </w:p>
        </w:tc>
        <w:tc>
          <w:tcPr>
            <w:tcW w:w="81" w:type="dxa"/>
            <w:tcBorders/>
            <w:shd w:fill="CCEEFF" w:val="clear"/>
            <w:vAlign w:val="center"/>
          </w:tcPr>
          <w:p>
            <w:pPr>
              <w:pStyle w:val="TableContents"/>
              <w:bidi w:val="0"/>
              <w:spacing w:before="0" w:after="283"/>
              <w:jc w:val="left"/>
              <w:rPr/>
            </w:pPr>
            <w:r>
              <w:rPr/>
              <w:t> </w:t>
            </w:r>
          </w:p>
        </w:tc>
      </w:tr>
      <w:tr>
        <w:trPr/>
        <w:tc>
          <w:tcPr>
            <w:tcW w:w="1874" w:type="dxa"/>
            <w:tcBorders/>
            <w:shd w:fill="FFFFFF" w:val="clear"/>
            <w:vAlign w:val="center"/>
          </w:tcPr>
          <w:p>
            <w:pPr>
              <w:pStyle w:val="TableContents"/>
              <w:bidi w:val="0"/>
              <w:spacing w:before="0" w:after="283"/>
              <w:jc w:val="both"/>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0" w:name="xdx_98B_eus-gaap--ShareBasedCompensation"/>
            <w:bookmarkEnd w:id="840"/>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bookmarkStart w:id="841" w:name="xdx_986_eus-gaap--ShareBasedCompensation"/>
            <w:bookmarkEnd w:id="841"/>
          </w:p>
        </w:tc>
        <w:tc>
          <w:tcPr>
            <w:tcW w:w="10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bookmarkStart w:id="842" w:name="xdx_98F_eus-gaap--ShareBasedCompensation"/>
            <w:bookmarkEnd w:id="842"/>
          </w:p>
        </w:tc>
        <w:tc>
          <w:tcPr>
            <w:tcW w:w="12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bookmarkStart w:id="843" w:name="xdx_983_eus-gaap--ShareBasedCompensation"/>
            <w:bookmarkEnd w:id="843"/>
          </w:p>
        </w:tc>
        <w:tc>
          <w:tcPr>
            <w:tcW w:w="1144"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1874" w:type="dxa"/>
            <w:tcBorders/>
            <w:shd w:fill="CCEEFF" w:val="clear"/>
            <w:vAlign w:val="center"/>
          </w:tcPr>
          <w:p>
            <w:pPr>
              <w:pStyle w:val="TableContents"/>
              <w:bidi w:val="0"/>
              <w:spacing w:before="0" w:after="283"/>
              <w:jc w:val="both"/>
              <w:rPr/>
            </w:pPr>
            <w:r>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4" w:name="xdx_98E_eus-gaap--ShareBasedCompensation"/>
            <w:bookmarkEnd w:id="844"/>
          </w:p>
        </w:tc>
        <w:tc>
          <w:tcPr>
            <w:tcW w:w="980" w:type="dxa"/>
            <w:tcBorders/>
            <w:shd w:fill="CCEEFF" w:val="clear"/>
            <w:vAlign w:val="center"/>
          </w:tcPr>
          <w:p>
            <w:pPr>
              <w:pStyle w:val="TableContents"/>
              <w:bidi w:val="0"/>
              <w:spacing w:before="0" w:after="283"/>
              <w:jc w:val="right"/>
              <w:rPr/>
            </w:pPr>
            <w:r>
              <w:rPr/>
              <w:t>(228,888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bookmarkStart w:id="845" w:name="xdx_98A_eus-gaap--ShareBasedCompensation"/>
            <w:bookmarkEnd w:id="845"/>
          </w:p>
        </w:tc>
        <w:tc>
          <w:tcPr>
            <w:tcW w:w="1005" w:type="dxa"/>
            <w:tcBorders/>
            <w:shd w:fill="CCEEFF" w:val="clear"/>
            <w:vAlign w:val="center"/>
          </w:tcPr>
          <w:p>
            <w:pPr>
              <w:pStyle w:val="TableContents"/>
              <w:bidi w:val="0"/>
              <w:spacing w:before="0" w:after="283"/>
              <w:jc w:val="right"/>
              <w:rPr/>
            </w:pPr>
            <w:r>
              <w:rPr/>
              <w:t>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bookmarkStart w:id="846" w:name="xdx_986_eus-gaap--SharebasedCompensation"/>
            <w:bookmarkEnd w:id="846"/>
          </w:p>
        </w:tc>
        <w:tc>
          <w:tcPr>
            <w:tcW w:w="1218" w:type="dxa"/>
            <w:tcBorders/>
            <w:shd w:fill="CCEEFF" w:val="clear"/>
            <w:vAlign w:val="center"/>
          </w:tcPr>
          <w:p>
            <w:pPr>
              <w:pStyle w:val="TableContents"/>
              <w:bidi w:val="0"/>
              <w:spacing w:before="0" w:after="283"/>
              <w:jc w:val="right"/>
              <w:rPr/>
            </w:pPr>
            <w:r>
              <w:rPr/>
              <w:t>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20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bookmarkStart w:id="847" w:name="xdx_98B_ecustom--ShareBasedCompensationA"/>
            <w:bookmarkEnd w:id="847"/>
          </w:p>
        </w:tc>
        <w:tc>
          <w:tcPr>
            <w:tcW w:w="1144"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1874" w:type="dxa"/>
            <w:tcBorders/>
            <w:shd w:fill="FFFFFF" w:val="clear"/>
            <w:vAlign w:val="center"/>
          </w:tcPr>
          <w:p>
            <w:pPr>
              <w:pStyle w:val="TableContents"/>
              <w:bidi w:val="0"/>
              <w:spacing w:before="0" w:after="283"/>
              <w:jc w:val="both"/>
              <w:rPr/>
            </w:pPr>
            <w:r>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8" w:name="xdx_982_ecustom--ShareBasedCompensationA"/>
            <w:bookmarkEnd w:id="848"/>
          </w:p>
        </w:tc>
        <w:tc>
          <w:tcPr>
            <w:tcW w:w="980" w:type="dxa"/>
            <w:tcBorders/>
            <w:shd w:fill="FFFFFF" w:val="clear"/>
            <w:vAlign w:val="center"/>
          </w:tcPr>
          <w:p>
            <w:pPr>
              <w:pStyle w:val="TableContents"/>
              <w:bidi w:val="0"/>
              <w:spacing w:before="0" w:after="283"/>
              <w:jc w:val="right"/>
              <w:rPr/>
            </w:pPr>
            <w:r>
              <w:rPr/>
              <w:t>(376,121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bookmarkStart w:id="849" w:name="xdx_98E_eus-gaap--ShareBasedCompensation"/>
            <w:bookmarkEnd w:id="849"/>
          </w:p>
        </w:tc>
        <w:tc>
          <w:tcPr>
            <w:tcW w:w="1005" w:type="dxa"/>
            <w:tcBorders/>
            <w:shd w:fill="FFFFFF" w:val="clear"/>
            <w:vAlign w:val="center"/>
          </w:tcPr>
          <w:p>
            <w:pPr>
              <w:pStyle w:val="TableContents"/>
              <w:bidi w:val="0"/>
              <w:spacing w:before="0" w:after="283"/>
              <w:jc w:val="right"/>
              <w:rPr/>
            </w:pPr>
            <w:r>
              <w:rPr/>
              <w:t>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bookmarkStart w:id="850" w:name="xdx_98D_ecustom--SharebasedCompensationA"/>
            <w:bookmarkEnd w:id="850"/>
          </w:p>
        </w:tc>
        <w:tc>
          <w:tcPr>
            <w:tcW w:w="1218" w:type="dxa"/>
            <w:tcBorders/>
            <w:shd w:fill="FFFFFF" w:val="clear"/>
            <w:vAlign w:val="center"/>
          </w:tcPr>
          <w:p>
            <w:pPr>
              <w:pStyle w:val="TableContents"/>
              <w:bidi w:val="0"/>
              <w:spacing w:before="0" w:after="283"/>
              <w:jc w:val="right"/>
              <w:rPr/>
            </w:pPr>
            <w:r>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bookmarkStart w:id="851" w:name="xdx_98C_ecustom--ShareBasedCompensationA"/>
            <w:bookmarkEnd w:id="851"/>
          </w:p>
        </w:tc>
        <w:tc>
          <w:tcPr>
            <w:tcW w:w="1144" w:type="dxa"/>
            <w:tcBorders/>
            <w:shd w:fill="FFFFFF" w:val="clear"/>
            <w:vAlign w:val="center"/>
          </w:tcPr>
          <w:p>
            <w:pPr>
              <w:pStyle w:val="TableContents"/>
              <w:bidi w:val="0"/>
              <w:spacing w:before="0" w:after="283"/>
              <w:jc w:val="right"/>
              <w:rPr/>
            </w:pPr>
            <w:r>
              <w:rPr/>
              <w:t>2</w:t>
            </w:r>
          </w:p>
        </w:tc>
        <w:tc>
          <w:tcPr>
            <w:tcW w:w="81" w:type="dxa"/>
            <w:tcBorders/>
            <w:shd w:fill="FFFFFF" w:val="clear"/>
            <w:vAlign w:val="center"/>
          </w:tcPr>
          <w:p>
            <w:pPr>
              <w:pStyle w:val="TableContents"/>
              <w:bidi w:val="0"/>
              <w:spacing w:before="0" w:after="283"/>
              <w:jc w:val="left"/>
              <w:rPr/>
            </w:pPr>
            <w:r>
              <w:rPr/>
              <w:t> </w:t>
            </w:r>
          </w:p>
        </w:tc>
      </w:tr>
      <w:tr>
        <w:trPr/>
        <w:tc>
          <w:tcPr>
            <w:tcW w:w="1874" w:type="dxa"/>
            <w:tcBorders/>
            <w:shd w:fill="CCEEFF" w:val="clear"/>
            <w:vAlign w:val="center"/>
          </w:tcPr>
          <w:p>
            <w:pPr>
              <w:pStyle w:val="TableContents"/>
              <w:bidi w:val="0"/>
              <w:spacing w:before="0" w:after="283"/>
              <w:jc w:val="both"/>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2" w:name="xdx_986_eus-gaap--StockIssuedDuringPerio"/>
            <w:bookmarkEnd w:id="852"/>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(11,091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3" w:name="xdx_98D_eus-gaap--ShareBasedCompensation"/>
            <w:bookmarkEnd w:id="853"/>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pPr>
            <w:r>
              <w:rPr/>
              <w:t>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4" w:name="xdx_986_eus-gaap--SharebasedCompensation"/>
            <w:bookmarkEnd w:id="854"/>
          </w:p>
        </w:tc>
        <w:tc>
          <w:tcPr>
            <w:tcW w:w="1218" w:type="dxa"/>
            <w:tcBorders>
              <w:bottom w:val="single" w:sz="8" w:space="0" w:color="000000"/>
            </w:tcBorders>
            <w:shd w:fill="CCEEFF" w:val="clear"/>
            <w:tcMar>
              <w:bottom w:w="28" w:type="dxa"/>
            </w:tcMar>
            <w:vAlign w:val="center"/>
          </w:tcPr>
          <w:p>
            <w:pPr>
              <w:pStyle w:val="TableContents"/>
              <w:bidi w:val="0"/>
              <w:spacing w:before="0" w:after="283"/>
              <w:jc w:val="right"/>
              <w:rPr/>
            </w:pPr>
            <w:r>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5" w:name="xdx_986_eus-gaap--ShareBasedCompensation"/>
            <w:bookmarkEnd w:id="855"/>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81" w:type="dxa"/>
            <w:tcBorders/>
            <w:shd w:fill="CCEEFF" w:val="clear"/>
            <w:vAlign w:val="center"/>
          </w:tcPr>
          <w:p>
            <w:pPr>
              <w:pStyle w:val="TableContents"/>
              <w:bidi w:val="0"/>
              <w:spacing w:before="0" w:after="283"/>
              <w:jc w:val="left"/>
              <w:rPr/>
            </w:pPr>
            <w:r>
              <w:rPr/>
              <w:t> </w:t>
            </w:r>
          </w:p>
        </w:tc>
      </w:tr>
      <w:tr>
        <w:trPr/>
        <w:tc>
          <w:tcPr>
            <w:tcW w:w="1874" w:type="dxa"/>
            <w:tcBorders/>
            <w:shd w:fill="FFFFFF" w:val="clear"/>
            <w:vAlign w:val="center"/>
          </w:tcPr>
          <w:p>
            <w:pPr>
              <w:pStyle w:val="TableContents"/>
              <w:bidi w:val="0"/>
              <w:spacing w:before="0" w:after="283"/>
              <w:jc w:val="both"/>
              <w:rPr/>
            </w:pPr>
            <w:r>
              <w:rPr/>
              <w:t>Balances,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56" w:name="xdx_983_eus-gaap--ShareBasedCompensation"/>
            <w:bookmarkEnd w:id="85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1,748,687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57" w:name="xdx_989_eus-gaap--ShareBasedCompensation"/>
            <w:bookmarkEnd w:id="857"/>
          </w:p>
        </w:tc>
        <w:tc>
          <w:tcPr>
            <w:tcW w:w="1005" w:type="dxa"/>
            <w:tcBorders>
              <w:bottom w:val="double" w:sz="6" w:space="0" w:color="000000"/>
            </w:tcBorders>
            <w:shd w:fill="FFFFFF" w:val="clear"/>
            <w:tcMar>
              <w:bottom w:w="28" w:type="dxa"/>
            </w:tcMar>
            <w:vAlign w:val="center"/>
          </w:tcPr>
          <w:p>
            <w:pPr>
              <w:pStyle w:val="TableContents"/>
              <w:bidi w:val="0"/>
              <w:spacing w:before="0" w:after="283"/>
              <w:jc w:val="right"/>
              <w:rPr/>
            </w:pPr>
            <w:r>
              <w:rPr/>
              <w:t>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58" w:name="xdx_983_eus-gaap--SharebasedCompensation"/>
            <w:bookmarkEnd w:id="858"/>
          </w:p>
        </w:tc>
        <w:tc>
          <w:tcPr>
            <w:tcW w:w="1218" w:type="dxa"/>
            <w:tcBorders>
              <w:bottom w:val="double" w:sz="6" w:space="0" w:color="000000"/>
            </w:tcBorders>
            <w:shd w:fill="FFFFFF" w:val="clear"/>
            <w:tcMar>
              <w:bottom w:w="28" w:type="dxa"/>
            </w:tcMar>
            <w:vAlign w:val="center"/>
          </w:tcPr>
          <w:p>
            <w:pPr>
              <w:pStyle w:val="TableContents"/>
              <w:bidi w:val="0"/>
              <w:spacing w:before="0" w:after="283"/>
              <w:jc w:val="right"/>
              <w:rPr/>
            </w:pPr>
            <w:r>
              <w:rPr/>
              <w:t>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0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59" w:name="xdx_907_eus-gaap--SharebasedCompensation"/>
            <w:bookmarkEnd w:id="859"/>
            <w:r>
              <w:rPr/>
              <w:t>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60" w:name="xdx_980_eus-gaap--ShareBasedCompensation"/>
            <w:bookmarkEnd w:id="860"/>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pPr>
            <w:r>
              <w:rPr/>
              <w:t>55</w:t>
            </w:r>
          </w:p>
        </w:tc>
        <w:tc>
          <w:tcPr>
            <w:tcW w:w="81" w:type="dxa"/>
            <w:tcBorders/>
            <w:shd w:fill="FFFFFF" w:val="clear"/>
            <w:vAlign w:val="center"/>
          </w:tcPr>
          <w:p>
            <w:pPr>
              <w:pStyle w:val="TableContents"/>
              <w:bidi w:val="0"/>
              <w:spacing w:before="0" w:after="283"/>
              <w:jc w:val="left"/>
              <w:rPr/>
            </w:pPr>
            <w:r>
              <w:rPr/>
              <w:t> </w:t>
            </w:r>
          </w:p>
        </w:tc>
      </w:tr>
      <w:tr>
        <w:trPr/>
        <w:tc>
          <w:tcPr>
            <w:tcW w:w="187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20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874" w:type="dxa"/>
            <w:tcBorders/>
            <w:shd w:fill="FFFFFF" w:val="clear"/>
            <w:vAlign w:val="center"/>
          </w:tcPr>
          <w:p>
            <w:pPr>
              <w:pStyle w:val="TableContents"/>
              <w:bidi w:val="0"/>
              <w:spacing w:before="0" w:after="283"/>
              <w:jc w:val="both"/>
              <w:rPr/>
            </w:pPr>
            <w:r>
              <w:rPr/>
              <w:t>At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874" w:type="dxa"/>
            <w:tcBorders/>
            <w:shd w:fill="CCEEFF" w:val="clear"/>
            <w:vAlign w:val="center"/>
          </w:tcPr>
          <w:p>
            <w:pPr>
              <w:pStyle w:val="TableContents"/>
              <w:bidi w:val="0"/>
              <w:spacing w:before="0" w:after="283"/>
              <w:jc w:val="both"/>
              <w:rPr/>
            </w:pPr>
            <w:r>
              <w:rPr/>
              <w:t>Vested and Exercisable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61" w:name="xdx_982_eus-gaap--ShareBasedCompensation"/>
            <w:bookmarkEnd w:id="861"/>
          </w:p>
        </w:tc>
        <w:tc>
          <w:tcPr>
            <w:tcW w:w="980" w:type="dxa"/>
            <w:tcBorders/>
            <w:shd w:fill="CCEEFF" w:val="clear"/>
            <w:vAlign w:val="center"/>
          </w:tcPr>
          <w:p>
            <w:pPr>
              <w:pStyle w:val="TableContents"/>
              <w:bidi w:val="0"/>
              <w:spacing w:before="0" w:after="283"/>
              <w:jc w:val="right"/>
              <w:rPr/>
            </w:pPr>
            <w:r>
              <w:rPr/>
              <w:t>1,469,296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bookmarkStart w:id="862" w:name="xdx_985_eus-gaap--ShareBasedCompensation"/>
            <w:bookmarkEnd w:id="862"/>
          </w:p>
        </w:tc>
        <w:tc>
          <w:tcPr>
            <w:tcW w:w="1005" w:type="dxa"/>
            <w:tcBorders/>
            <w:shd w:fill="CCEEFF" w:val="clear"/>
            <w:vAlign w:val="center"/>
          </w:tcPr>
          <w:p>
            <w:pPr>
              <w:pStyle w:val="TableContents"/>
              <w:bidi w:val="0"/>
              <w:spacing w:before="0" w:after="283"/>
              <w:jc w:val="right"/>
              <w:rPr/>
            </w:pPr>
            <w:r>
              <w:rPr/>
              <w:t>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2007" w:type="dxa"/>
            <w:tcBorders/>
            <w:shd w:fill="CCEEFF" w:val="clear"/>
            <w:vAlign w:val="center"/>
          </w:tcPr>
          <w:p>
            <w:pPr>
              <w:pStyle w:val="TableContents"/>
              <w:bidi w:val="0"/>
              <w:spacing w:before="0" w:after="283"/>
              <w:jc w:val="right"/>
              <w:rPr/>
            </w:pPr>
            <w:bookmarkStart w:id="863" w:name="xdx_909_eus-gaap--SharebasedCompensation"/>
            <w:bookmarkEnd w:id="863"/>
            <w:r>
              <w:rPr/>
              <w:t>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bookmarkStart w:id="864" w:name="xdx_988_eus-gaap--ShareBasedCompensation"/>
            <w:bookmarkEnd w:id="864"/>
          </w:p>
        </w:tc>
        <w:tc>
          <w:tcPr>
            <w:tcW w:w="1144" w:type="dxa"/>
            <w:tcBorders/>
            <w:shd w:fill="CCEEFF" w:val="clear"/>
            <w:vAlign w:val="center"/>
          </w:tcPr>
          <w:p>
            <w:pPr>
              <w:pStyle w:val="TableContents"/>
              <w:bidi w:val="0"/>
              <w:spacing w:before="0" w:after="283"/>
              <w:jc w:val="right"/>
              <w:rPr/>
            </w:pPr>
            <w:r>
              <w:rPr/>
              <w:t>55</w:t>
            </w:r>
          </w:p>
        </w:tc>
        <w:tc>
          <w:tcPr>
            <w:tcW w:w="81" w:type="dxa"/>
            <w:tcBorders/>
            <w:shd w:fill="CCEEFF" w:val="clear"/>
            <w:vAlign w:val="center"/>
          </w:tcPr>
          <w:p>
            <w:pPr>
              <w:pStyle w:val="TableContents"/>
              <w:bidi w:val="0"/>
              <w:spacing w:before="0" w:after="283"/>
              <w:jc w:val="left"/>
              <w:rPr/>
            </w:pPr>
            <w:r>
              <w:rPr/>
              <w:t> </w:t>
            </w:r>
          </w:p>
        </w:tc>
      </w:tr>
      <w:tr>
        <w:trPr/>
        <w:tc>
          <w:tcPr>
            <w:tcW w:w="1874" w:type="dxa"/>
            <w:tcBorders/>
            <w:shd w:fill="FFFFFF" w:val="clear"/>
            <w:vAlign w:val="center"/>
          </w:tcPr>
          <w:p>
            <w:pPr>
              <w:pStyle w:val="TableContents"/>
              <w:bidi w:val="0"/>
              <w:spacing w:before="0" w:after="283"/>
              <w:jc w:val="both"/>
              <w:rPr/>
            </w:pPr>
            <w:r>
              <w:rPr/>
              <w:t>Vested and expected to vest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65" w:name="xdx_985_eus-gaap--ShareBasedCompensation"/>
            <w:bookmarkEnd w:id="865"/>
          </w:p>
        </w:tc>
        <w:tc>
          <w:tcPr>
            <w:tcW w:w="980" w:type="dxa"/>
            <w:tcBorders/>
            <w:shd w:fill="FFFFFF" w:val="clear"/>
            <w:vAlign w:val="center"/>
          </w:tcPr>
          <w:p>
            <w:pPr>
              <w:pStyle w:val="TableContents"/>
              <w:bidi w:val="0"/>
              <w:spacing w:before="0" w:after="283"/>
              <w:jc w:val="right"/>
              <w:rPr/>
            </w:pPr>
            <w:r>
              <w:rPr/>
              <w:t>1,748,687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w:t>
            </w:r>
            <w:bookmarkStart w:id="866" w:name="xdx_987_eus-gaap--ShareBasedCompensation"/>
            <w:bookmarkEnd w:id="866"/>
          </w:p>
        </w:tc>
        <w:tc>
          <w:tcPr>
            <w:tcW w:w="1005" w:type="dxa"/>
            <w:tcBorders/>
            <w:shd w:fill="FFFFFF" w:val="clear"/>
            <w:vAlign w:val="center"/>
          </w:tcPr>
          <w:p>
            <w:pPr>
              <w:pStyle w:val="TableContents"/>
              <w:bidi w:val="0"/>
              <w:spacing w:before="0" w:after="283"/>
              <w:jc w:val="right"/>
              <w:rPr/>
            </w:pPr>
            <w:r>
              <w:rPr/>
              <w:t>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07" w:type="dxa"/>
            <w:tcBorders/>
            <w:shd w:fill="FFFFFF" w:val="clear"/>
            <w:vAlign w:val="center"/>
          </w:tcPr>
          <w:p>
            <w:pPr>
              <w:pStyle w:val="TableContents"/>
              <w:bidi w:val="0"/>
              <w:spacing w:before="0" w:after="283"/>
              <w:jc w:val="right"/>
              <w:rPr/>
            </w:pPr>
            <w:bookmarkStart w:id="867" w:name="xdx_902_eus-gaap--SharebasedCompensation"/>
            <w:bookmarkEnd w:id="867"/>
            <w:r>
              <w:rPr/>
              <w:t>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w:t>
            </w:r>
            <w:bookmarkStart w:id="868" w:name="xdx_982_eus-gaap--ShareBasedCompensation"/>
            <w:bookmarkEnd w:id="868"/>
          </w:p>
        </w:tc>
        <w:tc>
          <w:tcPr>
            <w:tcW w:w="1144" w:type="dxa"/>
            <w:tcBorders/>
            <w:shd w:fill="FFFFFF" w:val="clear"/>
            <w:vAlign w:val="center"/>
          </w:tcPr>
          <w:p>
            <w:pPr>
              <w:pStyle w:val="TableContents"/>
              <w:bidi w:val="0"/>
              <w:spacing w:before="0" w:after="283"/>
              <w:jc w:val="right"/>
              <w:rPr/>
            </w:pPr>
            <w:r>
              <w:rPr/>
              <w:t>55</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69" w:name="xdx_8A6_zhYEPIcVvcl4"/>
      <w:bookmarkEnd w:id="8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2024, the Company issued </w:t>
      </w:r>
      <w:bookmarkStart w:id="870" w:name="xdx_90D_eus-gaap--StockIssuedDuringPerio"/>
      <w:bookmarkEnd w:id="870"/>
      <w:r>
        <w:rPr>
          <w:rFonts w:ascii="Times New Roman;Times;Serif" w:hAnsi="Times New Roman;Times;Serif"/>
          <w:b w:val="false"/>
          <w:i w:val="false"/>
          <w:caps w:val="false"/>
          <w:smallCaps w:val="false"/>
          <w:sz w:val="20"/>
        </w:rPr>
        <w:t>11,091 shares as a result of exercised stock options upon the receipt of proceeds of approximately $</w:t>
      </w:r>
      <w:bookmarkStart w:id="871" w:name="xdx_906_eus-gaap--StockIssuedDuringPerio"/>
      <w:bookmarkEnd w:id="871"/>
      <w:r>
        <w:rPr>
          <w:rFonts w:ascii="Times New Roman;Times;Serif" w:hAnsi="Times New Roman;Times;Serif"/>
          <w:b w:val="false"/>
          <w:i w:val="false"/>
          <w:caps w:val="false"/>
          <w:smallCaps w:val="false"/>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10, 2023, the Company granted </w:t>
      </w:r>
      <w:bookmarkStart w:id="872" w:name="xdx_90D_eus-gaap--ShareBasedCompensation"/>
      <w:bookmarkEnd w:id="872"/>
      <w:r>
        <w:rPr>
          <w:rFonts w:ascii="Times New Roman;Times;Serif" w:hAnsi="Times New Roman;Times;Serif"/>
          <w:b w:val="false"/>
          <w:i w:val="false"/>
          <w:caps w:val="false"/>
          <w:smallCaps w:val="false"/>
          <w:sz w:val="20"/>
        </w:rPr>
        <w:t>461,998 restricted stock units (“RSUs”) under the 2022 plan, which vested immediately. The fair value of these restricted stock units on the grant date was $</w:t>
      </w:r>
      <w:bookmarkStart w:id="873" w:name="xdx_90F_eus-gaap--StockIssuedDuringPerio"/>
      <w:bookmarkEnd w:id="873"/>
      <w:r>
        <w:rPr>
          <w:rFonts w:ascii="Times New Roman;Times;Serif" w:hAnsi="Times New Roman;Times;Serif"/>
          <w:b w:val="false"/>
          <w:i w:val="false"/>
          <w:caps w:val="false"/>
          <w:smallCaps w:val="false"/>
          <w:sz w:val="20"/>
        </w:rPr>
        <w:t xml:space="preserve">3,464, and the full amount was recorded as compensation expense during the nine months ended September 30, 2023. No related expense was recorded during the three months ended September 30, 2023. During the nine months ended September 30, 2023, the Company also granted </w:t>
      </w:r>
      <w:bookmarkStart w:id="874" w:name="xdx_905_eus-gaap--ShareBasedCompensation"/>
      <w:bookmarkEnd w:id="874"/>
      <w:r>
        <w:rPr>
          <w:rFonts w:ascii="Times New Roman;Times;Serif" w:hAnsi="Times New Roman;Times;Serif"/>
          <w:b w:val="false"/>
          <w:i w:val="false"/>
          <w:caps w:val="false"/>
          <w:smallCaps w:val="false"/>
          <w:sz w:val="20"/>
        </w:rPr>
        <w:t>37,000 additional RSUs. The fair value of these unvested RSUs was $</w:t>
      </w:r>
      <w:bookmarkStart w:id="875" w:name="xdx_901_ecustom--FairValueOfRestrictedSt"/>
      <w:bookmarkEnd w:id="875"/>
      <w:r>
        <w:rPr>
          <w:rFonts w:ascii="Times New Roman;Times;Serif" w:hAnsi="Times New Roman;Times;Serif"/>
          <w:b w:val="false"/>
          <w:i w:val="false"/>
          <w:caps w:val="false"/>
          <w:smallCaps w:val="false"/>
          <w:sz w:val="20"/>
        </w:rPr>
        <w:t>121, with $</w:t>
      </w:r>
      <w:bookmarkStart w:id="876" w:name="xdx_904_ecustom--FairValueOfUnvestedRest"/>
      <w:bookmarkEnd w:id="876"/>
      <w:r>
        <w:rPr>
          <w:rFonts w:ascii="Times New Roman;Times;Serif" w:hAnsi="Times New Roman;Times;Serif"/>
          <w:b w:val="false"/>
          <w:i w:val="false"/>
          <w:caps w:val="false"/>
          <w:smallCaps w:val="false"/>
          <w:sz w:val="20"/>
        </w:rPr>
        <w:t xml:space="preserve">14 of expense recorded during both the three and nine months ended September 30, 2023. Additionally, during the three months ended September 30, 2023, the Company granted another </w:t>
      </w:r>
      <w:bookmarkStart w:id="877" w:name="xdx_90E_eus-gaap--ShareBasedCompensation"/>
      <w:bookmarkEnd w:id="877"/>
      <w:r>
        <w:rPr>
          <w:rFonts w:ascii="Times New Roman;Times;Serif" w:hAnsi="Times New Roman;Times;Serif"/>
          <w:b w:val="false"/>
          <w:i w:val="false"/>
          <w:caps w:val="false"/>
          <w:smallCaps w:val="false"/>
          <w:sz w:val="20"/>
        </w:rPr>
        <w:t>9,000 RSUs. The fair value of these RSUs on the grant date was $</w:t>
      </w:r>
      <w:bookmarkStart w:id="878" w:name="xdx_904_eus-gaap--StockIssuedDuringPerio"/>
      <w:bookmarkEnd w:id="878"/>
      <w:r>
        <w:rPr>
          <w:rFonts w:ascii="Times New Roman;Times;Serif" w:hAnsi="Times New Roman;Times;Serif"/>
          <w:b w:val="false"/>
          <w:i w:val="false"/>
          <w:caps w:val="false"/>
          <w:smallCaps w:val="false"/>
          <w:sz w:val="20"/>
        </w:rPr>
        <w:t>16, and no expense was recognized for this grant during the three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5, 2024, the Company granted </w:t>
      </w:r>
      <w:bookmarkStart w:id="879" w:name="xdx_90E_eus-gaap--ShareBasedCompensation"/>
      <w:bookmarkEnd w:id="879"/>
      <w:r>
        <w:rPr>
          <w:rFonts w:ascii="Times New Roman;Times;Serif" w:hAnsi="Times New Roman;Times;Serif"/>
          <w:b w:val="false"/>
          <w:i w:val="false"/>
          <w:caps w:val="false"/>
          <w:smallCaps w:val="false"/>
          <w:sz w:val="20"/>
        </w:rPr>
        <w:t xml:space="preserve">220,000 RSUs of which </w:t>
      </w:r>
      <w:bookmarkStart w:id="880" w:name="xdx_902_eus-gaap--ShareBasedCompensation"/>
      <w:bookmarkEnd w:id="880"/>
      <w:r>
        <w:rPr>
          <w:rFonts w:ascii="Times New Roman;Times;Serif" w:hAnsi="Times New Roman;Times;Serif"/>
          <w:b w:val="false"/>
          <w:i w:val="false"/>
          <w:caps w:val="false"/>
          <w:smallCaps w:val="false"/>
          <w:sz w:val="20"/>
        </w:rPr>
        <w:t xml:space="preserve">100,000 vested immediately. The fair value of the </w:t>
      </w:r>
      <w:bookmarkStart w:id="881" w:name="xdx_90E_eus-gaap--ShareBasedCompensation"/>
      <w:bookmarkEnd w:id="881"/>
      <w:r>
        <w:rPr>
          <w:rFonts w:ascii="Times New Roman;Times;Serif" w:hAnsi="Times New Roman;Times;Serif"/>
          <w:b w:val="false"/>
          <w:i w:val="false"/>
          <w:caps w:val="false"/>
          <w:smallCaps w:val="false"/>
          <w:sz w:val="20"/>
        </w:rPr>
        <w:t>220,000 RSUs was $</w:t>
      </w:r>
      <w:bookmarkStart w:id="882" w:name="xdx_904_eus-gaap--StockIssuedDuringPerio"/>
      <w:bookmarkEnd w:id="882"/>
      <w:r>
        <w:rPr>
          <w:rFonts w:ascii="Times New Roman;Times;Serif" w:hAnsi="Times New Roman;Times;Serif"/>
          <w:b w:val="false"/>
          <w:i w:val="false"/>
          <w:caps w:val="false"/>
          <w:smallCaps w:val="false"/>
          <w:sz w:val="20"/>
        </w:rPr>
        <w:t>95 and an expense of $</w:t>
      </w:r>
      <w:bookmarkStart w:id="883" w:name="xdx_903_eus-gaap--AllocatedShareBasedCom"/>
      <w:bookmarkEnd w:id="883"/>
      <w:r>
        <w:rPr>
          <w:rFonts w:ascii="Times New Roman;Times;Serif" w:hAnsi="Times New Roman;Times;Serif"/>
          <w:b w:val="false"/>
          <w:i w:val="false"/>
          <w:caps w:val="false"/>
          <w:smallCaps w:val="false"/>
          <w:sz w:val="20"/>
        </w:rPr>
        <w:t>48 was recorded as compensation expense during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issued a total of </w:t>
      </w:r>
      <w:bookmarkStart w:id="884" w:name="xdx_90B_eus-gaap--ShareBasedCompensation"/>
      <w:bookmarkEnd w:id="884"/>
      <w:r>
        <w:rPr>
          <w:rFonts w:ascii="Times New Roman;Times;Serif" w:hAnsi="Times New Roman;Times;Serif"/>
          <w:b w:val="false"/>
          <w:i w:val="false"/>
          <w:caps w:val="false"/>
          <w:smallCaps w:val="false"/>
          <w:sz w:val="20"/>
        </w:rPr>
        <w:t xml:space="preserve">836,295 RSUs to the following employees: (i) </w:t>
      </w:r>
      <w:bookmarkStart w:id="885" w:name="xdx_905_eus-gaap--ShareBasedCompensation"/>
      <w:bookmarkEnd w:id="885"/>
      <w:r>
        <w:rPr>
          <w:rFonts w:ascii="Times New Roman;Times;Serif" w:hAnsi="Times New Roman;Times;Serif"/>
          <w:b w:val="false"/>
          <w:i w:val="false"/>
          <w:caps w:val="false"/>
          <w:smallCaps w:val="false"/>
          <w:sz w:val="20"/>
        </w:rPr>
        <w:t xml:space="preserve">567,407 RSUs to the Chief Executive Officer; (ii) </w:t>
      </w:r>
      <w:bookmarkStart w:id="886" w:name="xdx_903_eus-gaap--ShareBasedCompensation"/>
      <w:bookmarkEnd w:id="886"/>
      <w:r>
        <w:rPr>
          <w:rFonts w:ascii="Times New Roman;Times;Serif" w:hAnsi="Times New Roman;Times;Serif"/>
          <w:b w:val="false"/>
          <w:i w:val="false"/>
          <w:caps w:val="false"/>
          <w:smallCaps w:val="false"/>
          <w:sz w:val="20"/>
        </w:rPr>
        <w:t xml:space="preserve">181,481 RSUs to the Chief Revenue Officer; and (iii) </w:t>
      </w:r>
      <w:bookmarkStart w:id="887" w:name="xdx_90F_eus-gaap--ShareBasedCompensation"/>
      <w:bookmarkEnd w:id="887"/>
      <w:r>
        <w:rPr>
          <w:rFonts w:ascii="Times New Roman;Times;Serif" w:hAnsi="Times New Roman;Times;Serif"/>
          <w:b w:val="false"/>
          <w:i w:val="false"/>
          <w:caps w:val="false"/>
          <w:smallCaps w:val="false"/>
          <w:sz w:val="20"/>
        </w:rPr>
        <w:t>87,407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board of directors authorized the issuance of </w:t>
      </w:r>
      <w:bookmarkStart w:id="888" w:name="xdx_90F_eus-gaap--ShareBasedCompensation"/>
      <w:bookmarkEnd w:id="888"/>
      <w:r>
        <w:rPr>
          <w:rFonts w:ascii="Times New Roman;Times;Serif" w:hAnsi="Times New Roman;Times;Serif"/>
          <w:b w:val="false"/>
          <w:i w:val="false"/>
          <w:caps w:val="false"/>
          <w:smallCaps w:val="false"/>
          <w:sz w:val="20"/>
        </w:rPr>
        <w:t>222,222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17, 2024, the Company issued </w:t>
      </w:r>
      <w:bookmarkStart w:id="889" w:name="xdx_903_eus-gaap--StockIssuedDuringPerio"/>
      <w:bookmarkEnd w:id="889"/>
      <w:r>
        <w:rPr>
          <w:rFonts w:ascii="Times New Roman;Times;Serif" w:hAnsi="Times New Roman;Times;Serif"/>
          <w:b w:val="false"/>
          <w:i w:val="false"/>
          <w:caps w:val="false"/>
          <w:smallCaps w:val="false"/>
          <w:sz w:val="20"/>
        </w:rPr>
        <w:t xml:space="preserve">3,428 shares in exchange for </w:t>
      </w:r>
      <w:bookmarkStart w:id="890" w:name="xdx_90D_eus-gaap--StockIssuedDuringPerio"/>
      <w:bookmarkEnd w:id="890"/>
      <w:r>
        <w:rPr>
          <w:rFonts w:ascii="Times New Roman;Times;Serif" w:hAnsi="Times New Roman;Times;Serif"/>
          <w:b w:val="false"/>
          <w:i w:val="false"/>
          <w:caps w:val="false"/>
          <w:smallCaps w:val="false"/>
          <w:sz w:val="20"/>
        </w:rPr>
        <w:t>4,875 vested RSU’s less shares deducted to cover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2024, the Company issued </w:t>
      </w:r>
      <w:bookmarkStart w:id="891" w:name="xdx_90B_eus-gaap--StockIssuedDuringPerio"/>
      <w:bookmarkEnd w:id="891"/>
      <w:r>
        <w:rPr>
          <w:rFonts w:ascii="Times New Roman;Times;Serif" w:hAnsi="Times New Roman;Times;Serif"/>
          <w:b w:val="false"/>
          <w:i w:val="false"/>
          <w:caps w:val="false"/>
          <w:smallCaps w:val="false"/>
          <w:sz w:val="20"/>
        </w:rPr>
        <w:t xml:space="preserve">375 shares in exchange for </w:t>
      </w:r>
      <w:bookmarkStart w:id="892" w:name="xdx_907_eus-gaap--StockIssuedDuringPerio"/>
      <w:bookmarkEnd w:id="892"/>
      <w:r>
        <w:rPr>
          <w:rFonts w:ascii="Times New Roman;Times;Serif" w:hAnsi="Times New Roman;Times;Serif"/>
          <w:b w:val="false"/>
          <w:i w:val="false"/>
          <w:caps w:val="false"/>
          <w:smallCaps w:val="false"/>
          <w:sz w:val="20"/>
        </w:rPr>
        <w:t>375 vested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24, 2024, the Company granted </w:t>
      </w:r>
      <w:bookmarkStart w:id="893" w:name="xdx_909_eus-gaap--ShareBasedCompensation"/>
      <w:bookmarkEnd w:id="893"/>
      <w:r>
        <w:rPr>
          <w:rFonts w:ascii="Times New Roman;Times;Serif" w:hAnsi="Times New Roman;Times;Serif"/>
          <w:b w:val="false"/>
          <w:i w:val="false"/>
          <w:caps w:val="false"/>
          <w:smallCaps w:val="false"/>
          <w:sz w:val="20"/>
        </w:rPr>
        <w:t xml:space="preserve">21,750 RSUs. The fair value of the </w:t>
      </w:r>
      <w:bookmarkStart w:id="894" w:name="xdx_90F_eus-gaap--ShareBasedCompensation"/>
      <w:bookmarkEnd w:id="894"/>
      <w:r>
        <w:rPr>
          <w:rFonts w:ascii="Times New Roman;Times;Serif" w:hAnsi="Times New Roman;Times;Serif"/>
          <w:b w:val="false"/>
          <w:i w:val="false"/>
          <w:caps w:val="false"/>
          <w:smallCaps w:val="false"/>
          <w:sz w:val="20"/>
        </w:rPr>
        <w:t>2,191,377 RSUs granted during the three months ended June 30, 2024 was $</w:t>
      </w:r>
      <w:bookmarkStart w:id="895" w:name="xdx_90F_eus-gaap--StockIssuedDuringPerio"/>
      <w:bookmarkEnd w:id="895"/>
      <w:r>
        <w:rPr>
          <w:rFonts w:ascii="Times New Roman;Times;Serif" w:hAnsi="Times New Roman;Times;Serif"/>
          <w:b w:val="false"/>
          <w:i w:val="false"/>
          <w:caps w:val="false"/>
          <w:smallCaps w:val="false"/>
          <w:sz w:val="20"/>
        </w:rPr>
        <w:t>995 and an expense of $</w:t>
      </w:r>
      <w:bookmarkStart w:id="896" w:name="xdx_903_eus-gaap--AllocatedShareBasedCom"/>
      <w:bookmarkEnd w:id="896"/>
      <w:r>
        <w:rPr>
          <w:rFonts w:ascii="Times New Roman;Times;Serif" w:hAnsi="Times New Roman;Times;Serif"/>
          <w:b w:val="false"/>
          <w:i w:val="false"/>
          <w:caps w:val="false"/>
          <w:smallCaps w:val="false"/>
          <w:sz w:val="20"/>
        </w:rPr>
        <w:t>154 was recorded as compensation expense during the nine months ended September 30,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restricted stock unit awards, the Board also approved the following cash awards to the above referenced employees: (i) $</w:t>
      </w:r>
      <w:bookmarkStart w:id="897" w:name="xdx_904_eus-gaap--PaymentOfFinancingAndS"/>
      <w:bookmarkEnd w:id="897"/>
      <w:r>
        <w:rPr>
          <w:rFonts w:ascii="Times New Roman;Times;Serif" w:hAnsi="Times New Roman;Times;Serif"/>
          <w:b w:val="false"/>
          <w:i w:val="false"/>
          <w:caps w:val="false"/>
          <w:smallCaps w:val="false"/>
          <w:sz w:val="20"/>
        </w:rPr>
        <w:t>511 to the Chief Executive Officer; (ii) $</w:t>
      </w:r>
      <w:bookmarkStart w:id="898" w:name="xdx_90F_eus-gaap--PaymentOfFinancingAndS"/>
      <w:bookmarkEnd w:id="898"/>
      <w:r>
        <w:rPr>
          <w:rFonts w:ascii="Times New Roman;Times;Serif" w:hAnsi="Times New Roman;Times;Serif"/>
          <w:b w:val="false"/>
          <w:i w:val="false"/>
          <w:caps w:val="false"/>
          <w:smallCaps w:val="false"/>
          <w:sz w:val="20"/>
        </w:rPr>
        <w:t>163 to the Chief Revenue Officer; and (iii) $</w:t>
      </w:r>
      <w:bookmarkStart w:id="899" w:name="xdx_901_eus-gaap--PaymentOfFinancingAndS"/>
      <w:bookmarkEnd w:id="899"/>
      <w:r>
        <w:rPr>
          <w:rFonts w:ascii="Times New Roman;Times;Serif" w:hAnsi="Times New Roman;Times;Serif"/>
          <w:b w:val="false"/>
          <w:i w:val="false"/>
          <w:caps w:val="false"/>
          <w:smallCaps w:val="false"/>
          <w:sz w:val="20"/>
        </w:rPr>
        <w:t>79 to the Chief Marketing Officer. Each of the approved cash awards will not be paid out to the employees until the Company has achieved a minimum cash balance of $</w:t>
      </w:r>
      <w:bookmarkStart w:id="900" w:name="xdx_908_eus-gaap--Cash_iI_c20240412__us-"/>
      <w:bookmarkEnd w:id="900"/>
      <w:r>
        <w:rPr>
          <w:rFonts w:ascii="Times New Roman;Times;Serif" w:hAnsi="Times New Roman;Times;Serif"/>
          <w:b w:val="false"/>
          <w:i w:val="false"/>
          <w:caps w:val="false"/>
          <w:smallCaps w:val="false"/>
          <w:sz w:val="20"/>
        </w:rPr>
        <w:t>30,000, and are subject to each employee’s continued employment on the date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2024, the Company issued a total of </w:t>
      </w:r>
      <w:bookmarkStart w:id="901" w:name="xdx_90E_eus-gaap--ShareBasedCompensation"/>
      <w:bookmarkEnd w:id="901"/>
      <w:r>
        <w:rPr>
          <w:rFonts w:ascii="Times New Roman;Times;Serif" w:hAnsi="Times New Roman;Times;Serif"/>
          <w:b w:val="false"/>
          <w:i w:val="false"/>
          <w:caps w:val="false"/>
          <w:smallCaps w:val="false"/>
          <w:sz w:val="20"/>
        </w:rPr>
        <w:t xml:space="preserve">735,000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902" w:name="xdx_903_eus-gaap--ShareBasedCompensation"/>
      <w:bookmarkEnd w:id="902"/>
      <w:r>
        <w:rPr>
          <w:rFonts w:ascii="Times New Roman;Times;Serif" w:hAnsi="Times New Roman;Times;Serif"/>
          <w:b w:val="false"/>
          <w:i w:val="false"/>
          <w:caps w:val="false"/>
          <w:smallCaps w:val="false"/>
          <w:sz w:val="20"/>
        </w:rPr>
        <w:t>735,000 RSUs was $</w:t>
      </w:r>
      <w:bookmarkStart w:id="903" w:name="xdx_90E_eus-gaap--StockIssuedDuringPerio"/>
      <w:bookmarkEnd w:id="903"/>
      <w:r>
        <w:rPr>
          <w:rFonts w:ascii="Times New Roman;Times;Serif" w:hAnsi="Times New Roman;Times;Serif"/>
          <w:b w:val="false"/>
          <w:i w:val="false"/>
          <w:caps w:val="false"/>
          <w:smallCaps w:val="false"/>
          <w:sz w:val="20"/>
        </w:rPr>
        <w:t>448 and an expense of $</w:t>
      </w:r>
      <w:bookmarkStart w:id="904" w:name="xdx_906_eus-gaap--AllocatedShareBasedCom"/>
      <w:bookmarkEnd w:id="904"/>
      <w:r>
        <w:rPr>
          <w:rFonts w:ascii="Times New Roman;Times;Serif" w:hAnsi="Times New Roman;Times;Serif"/>
          <w:b w:val="false"/>
          <w:i w:val="false"/>
          <w:caps w:val="false"/>
          <w:smallCaps w:val="false"/>
          <w:sz w:val="20"/>
        </w:rPr>
        <w:t>17 was recorded as compensation expense during the nine months ended September 30,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a total of </w:t>
      </w:r>
      <w:bookmarkStart w:id="905" w:name="xdx_90C_eus-gaap--ShareBasedCompensation"/>
      <w:bookmarkEnd w:id="905"/>
      <w:r>
        <w:rPr>
          <w:rFonts w:ascii="Times New Roman;Times;Serif" w:hAnsi="Times New Roman;Times;Serif"/>
          <w:b w:val="false"/>
          <w:i w:val="false"/>
          <w:caps w:val="false"/>
          <w:smallCaps w:val="false"/>
          <w:sz w:val="20"/>
        </w:rPr>
        <w:t xml:space="preserve">20,000 RSUs.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906" w:name="xdx_905_eus-gaap--ShareBasedCompensation"/>
      <w:bookmarkEnd w:id="906"/>
      <w:r>
        <w:rPr>
          <w:rFonts w:ascii="Times New Roman;Times;Serif" w:hAnsi="Times New Roman;Times;Serif"/>
          <w:b w:val="false"/>
          <w:i w:val="false"/>
          <w:caps w:val="false"/>
          <w:smallCaps w:val="false"/>
          <w:sz w:val="20"/>
        </w:rPr>
        <w:t>20,000 RSUs was $</w:t>
      </w:r>
      <w:bookmarkStart w:id="907" w:name="xdx_90A_eus-gaap--StockIssuedDuringPerio"/>
      <w:bookmarkEnd w:id="907"/>
      <w:r>
        <w:rPr>
          <w:rFonts w:ascii="Times New Roman;Times;Serif" w:hAnsi="Times New Roman;Times;Serif"/>
          <w:b w:val="false"/>
          <w:i w:val="false"/>
          <w:caps w:val="false"/>
          <w:smallCaps w:val="false"/>
          <w:sz w:val="20"/>
        </w:rPr>
        <w:t xml:space="preserve">12 and </w:t>
      </w:r>
      <w:bookmarkStart w:id="908" w:name="xdx_905_eus-gaap--AllocatedShareBasedCom"/>
      <w:bookmarkEnd w:id="908"/>
      <w:r>
        <w:rPr>
          <w:rFonts w:ascii="Times New Roman;Times;Serif" w:hAnsi="Times New Roman;Times;Serif"/>
          <w:b w:val="false"/>
          <w:i w:val="false"/>
          <w:caps w:val="false"/>
          <w:smallCaps w:val="false"/>
          <w:sz w:val="20"/>
        </w:rPr>
        <w:t>no expense was recorded as compensation expense during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09" w:name="xdx_89C_eus-gaap--ScheduleOfUnvestedRest"/>
      <w:bookmarkEnd w:id="909"/>
      <w:r>
        <w:rPr>
          <w:rFonts w:ascii="Times New Roman;Times;Serif" w:hAnsi="Times New Roman;Times;Serif"/>
          <w:b w:val="false"/>
          <w:i w:val="false"/>
          <w:caps w:val="false"/>
          <w:smallCaps w:val="false"/>
          <w:sz w:val="20"/>
        </w:rPr>
        <w:t>The following table presents the RSUs activity for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10" w:name="xdx_8B7_z3eNF3Hjp0Xb"/>
      <w:bookmarkEnd w:id="910"/>
      <w:r>
        <w:rPr>
          <w:rFonts w:ascii="Times New Roman;Times;Serif" w:hAnsi="Times New Roman;Times;Serif"/>
          <w:b w:val="false"/>
          <w:i w:val="false"/>
          <w:caps w:val="false"/>
          <w:smallCaps w:val="false"/>
          <w:sz w:val="20"/>
        </w:rPr>
        <w:t>SCHEDULE OF RESTRICTED STOCK UNITS ACTIVITY</w:t>
      </w:r>
    </w:p>
    <w:tbl>
      <w:tblPr>
        <w:tblW w:w="9333" w:type="dxa"/>
        <w:jc w:val="left"/>
        <w:tblInd w:w="0" w:type="dxa"/>
        <w:tblLayout w:type="fixed"/>
        <w:tblCellMar>
          <w:top w:w="0" w:type="dxa"/>
          <w:left w:w="0" w:type="dxa"/>
          <w:bottom w:w="0" w:type="dxa"/>
          <w:right w:w="0" w:type="dxa"/>
        </w:tblCellMar>
      </w:tblPr>
      <w:tblGrid>
        <w:gridCol w:w="3605"/>
        <w:gridCol w:w="60"/>
        <w:gridCol w:w="88"/>
        <w:gridCol w:w="1446"/>
        <w:gridCol w:w="95"/>
        <w:gridCol w:w="60"/>
        <w:gridCol w:w="941"/>
        <w:gridCol w:w="2963"/>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Fair Market Value</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Unvested shares, January 1, 2024</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bookmarkStart w:id="911" w:name="xdx_98E_eus-gaap--ShareBasedCompensation"/>
            <w:bookmarkEnd w:id="911"/>
          </w:p>
        </w:tc>
        <w:tc>
          <w:tcPr>
            <w:tcW w:w="1446" w:type="dxa"/>
            <w:tcBorders/>
            <w:shd w:fill="CCEEFF" w:val="cle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w:t>
            </w:r>
            <w:bookmarkStart w:id="912" w:name="xdx_98D_eus-gaap--ShareBasedCompensation"/>
            <w:bookmarkEnd w:id="912"/>
          </w:p>
        </w:tc>
        <w:tc>
          <w:tcPr>
            <w:tcW w:w="2963" w:type="dxa"/>
            <w:tcBorders/>
            <w:shd w:fill="CCEEFF" w:val="clear"/>
            <w:vAlign w:val="center"/>
          </w:tcPr>
          <w:p>
            <w:pPr>
              <w:pStyle w:val="TableContents"/>
              <w:bidi w:val="0"/>
              <w:spacing w:before="0" w:after="283"/>
              <w:jc w:val="right"/>
              <w:rPr/>
            </w:pPr>
            <w:r>
              <w:rPr/>
              <w:t>2.69</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bookmarkStart w:id="913" w:name="xdx_989_eus-gaap--ShareBasedCompensation"/>
            <w:bookmarkEnd w:id="913"/>
          </w:p>
        </w:tc>
        <w:tc>
          <w:tcPr>
            <w:tcW w:w="1446" w:type="dxa"/>
            <w:tcBorders/>
            <w:shd w:fill="FFFFFF" w:val="clear"/>
            <w:vAlign w:val="center"/>
          </w:tcPr>
          <w:p>
            <w:pPr>
              <w:pStyle w:val="TableContents"/>
              <w:bidi w:val="0"/>
              <w:spacing w:before="0" w:after="283"/>
              <w:jc w:val="right"/>
              <w:rPr/>
            </w:pPr>
            <w:r>
              <w:rPr/>
              <w:t>3,166,377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bookmarkStart w:id="914" w:name="xdx_983_eus-gaap--ShareBasedCompensation"/>
            <w:bookmarkEnd w:id="914"/>
          </w:p>
        </w:tc>
        <w:tc>
          <w:tcPr>
            <w:tcW w:w="2963" w:type="dxa"/>
            <w:tcBorders/>
            <w:shd w:fill="FFFFFF" w:val="clear"/>
            <w:vAlign w:val="center"/>
          </w:tcPr>
          <w:p>
            <w:pPr>
              <w:pStyle w:val="TableContents"/>
              <w:bidi w:val="0"/>
              <w:spacing w:before="0" w:after="283"/>
              <w:jc w:val="right"/>
              <w:rPr/>
            </w:pPr>
            <w:r>
              <w:rPr/>
              <w:t>0.49</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bookmarkStart w:id="915" w:name="xdx_984_eus-gaap--ShareBasedCompensation"/>
            <w:bookmarkEnd w:id="915"/>
          </w:p>
        </w:tc>
        <w:tc>
          <w:tcPr>
            <w:tcW w:w="1446" w:type="dxa"/>
            <w:tcBorders/>
            <w:shd w:fill="CCEEFF" w:val="cle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bookmarkStart w:id="916" w:name="xdx_988_eus-gaap--ShareBasedCompensation"/>
            <w:bookmarkEnd w:id="916"/>
          </w:p>
        </w:tc>
        <w:tc>
          <w:tcPr>
            <w:tcW w:w="2963" w:type="dxa"/>
            <w:tcBorders/>
            <w:shd w:fill="CCEEFF" w:val="clear"/>
            <w:vAlign w:val="center"/>
          </w:tcPr>
          <w:p>
            <w:pPr>
              <w:pStyle w:val="TableContents"/>
              <w:bidi w:val="0"/>
              <w:spacing w:before="0" w:after="283"/>
              <w:jc w:val="right"/>
              <w:rPr/>
            </w:pPr>
            <w:r>
              <w:rPr/>
              <w:t>2.87</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both"/>
              <w:rPr/>
            </w:pPr>
            <w:r>
              <w:rPr/>
              <w:t>Vested</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7" w:name="xdx_984_eus-gaap--ShareBasedCompensation"/>
            <w:bookmarkEnd w:id="917"/>
          </w:p>
        </w:tc>
        <w:tc>
          <w:tcPr>
            <w:tcW w:w="1446" w:type="dxa"/>
            <w:tcBorders>
              <w:bottom w:val="single" w:sz="8" w:space="0" w:color="000000"/>
            </w:tcBorders>
            <w:shd w:fill="FFFFFF" w:val="clear"/>
            <w:tcMar>
              <w:bottom w:w="28" w:type="dxa"/>
            </w:tcMar>
            <w:vAlign w:val="center"/>
          </w:tcPr>
          <w:p>
            <w:pPr>
              <w:pStyle w:val="TableContents"/>
              <w:bidi w:val="0"/>
              <w:spacing w:before="0" w:after="283"/>
              <w:jc w:val="right"/>
              <w:rPr/>
            </w:pPr>
            <w:r>
              <w:rPr/>
              <w:t>(109,375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8" w:name="xdx_984_eus-gaap--ShareBasedCompensation"/>
            <w:bookmarkEnd w:id="918"/>
          </w:p>
        </w:tc>
        <w:tc>
          <w:tcPr>
            <w:tcW w:w="2963" w:type="dxa"/>
            <w:tcBorders>
              <w:bottom w:val="single" w:sz="8" w:space="0" w:color="000000"/>
            </w:tcBorders>
            <w:shd w:fill="FFFFFF" w:val="clear"/>
            <w:tcMar>
              <w:bottom w:w="28" w:type="dxa"/>
            </w:tcMar>
            <w:vAlign w:val="center"/>
          </w:tcPr>
          <w:p>
            <w:pPr>
              <w:pStyle w:val="TableContents"/>
              <w:bidi w:val="0"/>
              <w:spacing w:before="0" w:after="283"/>
              <w:jc w:val="right"/>
              <w:rPr/>
            </w:pPr>
            <w:r>
              <w:rPr/>
              <w:t>0.71</w:t>
            </w:r>
          </w:p>
        </w:tc>
        <w:tc>
          <w:tcPr>
            <w:tcW w:w="7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Unvested shares, September 30, 2024</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19" w:name="xdx_985_eus-gaap--ShareBasedCompensation"/>
            <w:bookmarkEnd w:id="919"/>
          </w:p>
        </w:tc>
        <w:tc>
          <w:tcPr>
            <w:tcW w:w="1446" w:type="dxa"/>
            <w:tcBorders>
              <w:bottom w:val="double" w:sz="6" w:space="0" w:color="000000"/>
            </w:tcBorders>
            <w:shd w:fill="CCEEFF" w:val="clear"/>
            <w:tcMar>
              <w:bottom w:w="28" w:type="dxa"/>
            </w:tcMar>
            <w:vAlign w:val="center"/>
          </w:tcPr>
          <w:p>
            <w:pPr>
              <w:pStyle w:val="TableContents"/>
              <w:bidi w:val="0"/>
              <w:spacing w:before="0" w:after="283"/>
              <w:jc w:val="right"/>
              <w:rPr/>
            </w:pPr>
            <w:r>
              <w:rPr/>
              <w:t>3,094,002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0" w:name="xdx_983_eus-gaap--ShareBasedCompensation"/>
            <w:bookmarkEnd w:id="920"/>
          </w:p>
        </w:tc>
        <w:tc>
          <w:tcPr>
            <w:tcW w:w="2963" w:type="dxa"/>
            <w:tcBorders>
              <w:bottom w:val="double" w:sz="6" w:space="0" w:color="000000"/>
            </w:tcBorders>
            <w:shd w:fill="CCEEFF" w:val="clear"/>
            <w:tcMar>
              <w:bottom w:w="28" w:type="dxa"/>
            </w:tcMar>
            <w:vAlign w:val="center"/>
          </w:tcPr>
          <w:p>
            <w:pPr>
              <w:pStyle w:val="TableContents"/>
              <w:bidi w:val="0"/>
              <w:spacing w:before="0" w:after="283"/>
              <w:jc w:val="right"/>
              <w:rPr/>
            </w:pPr>
            <w:r>
              <w:rPr/>
              <w:t>0.51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1" w:name="xdx_8AA_zj6aMVIa04i3"/>
      <w:bookmarkEnd w:id="9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2024 there were </w:t>
      </w:r>
      <w:bookmarkStart w:id="922" w:name="xdx_907_eus-gaap--ClassOfWarrantOrRightU"/>
      <w:bookmarkEnd w:id="922"/>
      <w:r>
        <w:rPr>
          <w:rFonts w:ascii="Times New Roman;Times;Serif" w:hAnsi="Times New Roman;Times;Serif"/>
          <w:b w:val="false"/>
          <w:i w:val="false"/>
          <w:caps w:val="false"/>
          <w:smallCaps w:val="false"/>
          <w:sz w:val="20"/>
        </w:rPr>
        <w:t>8,359,925 shares of unissued authorized and available for future awards under the 2022 Equity Incentive Plan and the ESPP.</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ESPP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 On April 24, 2024, the Company issued </w:t>
      </w:r>
      <w:bookmarkStart w:id="923" w:name="xdx_905_eus-gaap--StockIssuedDuringPerio"/>
      <w:bookmarkEnd w:id="923"/>
      <w:r>
        <w:rPr>
          <w:rFonts w:ascii="Times New Roman;Times;Serif" w:hAnsi="Times New Roman;Times;Serif"/>
          <w:b w:val="false"/>
          <w:i w:val="false"/>
          <w:caps w:val="false"/>
          <w:smallCaps w:val="false"/>
          <w:sz w:val="20"/>
        </w:rPr>
        <w:t>244,774 common shares in connection with its Employee Stock Purchase Plan for a total consideration of approximately $</w:t>
      </w:r>
      <w:bookmarkStart w:id="924" w:name="xdx_907_eus-gaap--StockIssuedDuringPerio"/>
      <w:bookmarkEnd w:id="924"/>
      <w:r>
        <w:rPr>
          <w:rFonts w:ascii="Times New Roman;Times;Serif" w:hAnsi="Times New Roman;Times;Serif"/>
          <w:b w:val="false"/>
          <w:i w:val="false"/>
          <w:caps w:val="false"/>
          <w:smallCaps w:val="false"/>
          <w:sz w:val="20"/>
        </w:rPr>
        <w:t xml:space="preserve">112. The ESPP allows employees to purchase shares at a </w:t>
      </w:r>
      <w:bookmarkStart w:id="925" w:name="xdx_904_ecustom--EmployeePurchaseSharesP"/>
      <w:bookmarkEnd w:id="925"/>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2023, and April 1, 2024, respectively. The discount resulted in an exercise price of $</w:t>
      </w:r>
      <w:bookmarkStart w:id="926" w:name="xdx_901_eus-gaap--ClassOfWarrantOrRightE"/>
      <w:bookmarkEnd w:id="926"/>
      <w:r>
        <w:rPr>
          <w:rFonts w:ascii="Times New Roman;Times;Serif" w:hAnsi="Times New Roman;Times;Serif"/>
          <w:b w:val="false"/>
          <w:i w:val="false"/>
          <w:caps w:val="false"/>
          <w:smallCaps w:val="false"/>
          <w:sz w:val="20"/>
        </w:rPr>
        <w:t xml:space="preserve">0.46 per share. During the three and nine months ended September 30, 2024, the Company did not recognize any compensation expense. On April 1, 2024, the Company commenced a second offering under the ESPP, which ran through September 30, 2024, with the same terms as the first offering. As of September 30, 2024, the Company had </w:t>
      </w:r>
      <w:bookmarkStart w:id="927" w:name="xdx_90D_eus-gaap--StockIssuedDuringPerio"/>
      <w:bookmarkEnd w:id="927"/>
      <w:r>
        <w:rPr>
          <w:rFonts w:ascii="Times New Roman;Times;Serif" w:hAnsi="Times New Roman;Times;Serif"/>
          <w:b w:val="false"/>
          <w:i w:val="false"/>
          <w:caps w:val="false"/>
          <w:smallCaps w:val="false"/>
          <w:sz w:val="20"/>
        </w:rPr>
        <w:t>305,552 shares reserved for issuance in connection with the second ESPP offering. The Company recorded a liability of approximately $</w:t>
      </w:r>
      <w:bookmarkStart w:id="928" w:name="xdx_90F_ecustom--StockIssuedDuringPeriod"/>
      <w:bookmarkEnd w:id="928"/>
      <w:r>
        <w:rPr>
          <w:rFonts w:ascii="Times New Roman;Times;Serif" w:hAnsi="Times New Roman;Times;Serif"/>
          <w:b w:val="false"/>
          <w:i w:val="false"/>
          <w:caps w:val="false"/>
          <w:smallCaps w:val="false"/>
          <w:sz w:val="20"/>
        </w:rPr>
        <w:t>186 related to employee contributions. However, $</w:t>
      </w:r>
      <w:bookmarkStart w:id="929" w:name="xdx_902_ecustom--StockDisallowedForIssua"/>
      <w:bookmarkEnd w:id="929"/>
      <w:r>
        <w:rPr>
          <w:rFonts w:ascii="Times New Roman;Times;Serif" w:hAnsi="Times New Roman;Times;Serif"/>
          <w:b w:val="false"/>
          <w:i w:val="false"/>
          <w:caps w:val="false"/>
          <w:smallCaps w:val="false"/>
          <w:sz w:val="20"/>
        </w:rPr>
        <w:t xml:space="preserve">51 of this amount was disallowed for issuance due to the </w:t>
      </w:r>
      <w:bookmarkStart w:id="930" w:name="xdx_90A_ecustom--EmployeeStockPurchaseLi"/>
      <w:bookmarkEnd w:id="930"/>
      <w:r>
        <w:rPr>
          <w:rFonts w:ascii="Times New Roman;Times;Serif" w:hAnsi="Times New Roman;Times;Serif"/>
          <w:b w:val="false"/>
          <w:i w:val="false"/>
          <w:caps w:val="false"/>
          <w:smallCaps w:val="false"/>
          <w:sz w:val="20"/>
        </w:rPr>
        <w:t>10,000-share purchase limit. The remaining $</w:t>
      </w:r>
      <w:bookmarkStart w:id="931" w:name="xdx_90D_eus-gaap--StockIssuedDuringPerio"/>
      <w:bookmarkEnd w:id="931"/>
      <w:r>
        <w:rPr>
          <w:rFonts w:ascii="Times New Roman;Times;Serif" w:hAnsi="Times New Roman;Times;Serif"/>
          <w:b w:val="false"/>
          <w:i w:val="false"/>
          <w:caps w:val="false"/>
          <w:smallCaps w:val="false"/>
          <w:sz w:val="20"/>
        </w:rPr>
        <w:t>135 was settled after the third quarter ended September 30, 2024, and the corresponding shares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32" w:name="xdx_800_eus-gaap--SupplierFinanceProgram"/>
      <w:bookmarkEnd w:id="932"/>
      <w:r>
        <w:rPr>
          <w:rFonts w:ascii="Times New Roman;Times;Serif" w:hAnsi="Times New Roman;Times;Serif"/>
          <w:b/>
          <w:i w:val="false"/>
          <w:caps/>
          <w:sz w:val="20"/>
        </w:rPr>
        <w:t xml:space="preserve">Note 13 - </w:t>
      </w:r>
      <w:bookmarkStart w:id="933" w:name="xdx_820_zdzN1RzjYpZ7"/>
      <w:bookmarkEnd w:id="933"/>
      <w:r>
        <w:rPr>
          <w:rFonts w:ascii="Times New Roman;Times;Serif" w:hAnsi="Times New Roman;Times;Serif"/>
          <w:b/>
          <w:i w:val="false"/>
          <w:caps/>
          <w:sz w:val="20"/>
        </w:rPr>
        <w:t>Supplier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34" w:name="xdx_80E_eus-gaap--ErrorCorrectionTextBlo"/>
      <w:bookmarkEnd w:id="934"/>
      <w:r>
        <w:rPr>
          <w:rFonts w:ascii="Times New Roman;Times;Serif" w:hAnsi="Times New Roman;Times;Serif"/>
          <w:b/>
          <w:i w:val="false"/>
          <w:caps/>
          <w:sz w:val="20"/>
        </w:rPr>
        <w:t xml:space="preserve">Note 14 - </w:t>
      </w:r>
      <w:bookmarkStart w:id="935" w:name="xdx_822_zLIiP3q2xO0l"/>
      <w:bookmarkEnd w:id="935"/>
      <w:r>
        <w:rPr>
          <w:rFonts w:ascii="Times New Roman;Times;Serif" w:hAnsi="Times New Roman;Times;Serif"/>
          <w:b/>
          <w:i w:val="false"/>
          <w:caps/>
          <w:sz w:val="20"/>
        </w:rPr>
        <w:t>Revisions of Previously Issued Financial Statements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revised the previously issued financial statements for the quarter ended September 30, 2023 for the underpayment of tariffs to U.S. Customs and Border Protection (“CBP”)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condensed consolidated financial statements for the quarter ended September 30, 2023 and related notes included herein to correct this error for the financial statements for the quarter ended September 30, 2023 presented.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Revisions of Previously Issued Financial Statements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36" w:name="xdx_895_eus-gaap--ScheduleOfErrorCorrect"/>
      <w:bookmarkEnd w:id="936"/>
      <w:r>
        <w:rPr>
          <w:rFonts w:ascii="Times New Roman;Times;Serif" w:hAnsi="Times New Roman;Times;Serif"/>
          <w:b w:val="false"/>
          <w:i w:val="false"/>
          <w:caps w:val="false"/>
          <w:smallCaps w:val="false"/>
          <w:sz w:val="20"/>
        </w:rPr>
        <w:t>The following tables present the effect of correcting this error on the Company’s previously issued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37" w:name="xdx_8B0_zUWEfQwRDkH9"/>
      <w:bookmarkEnd w:id="937"/>
      <w:r>
        <w:rPr>
          <w:rFonts w:ascii="Times New Roman;Times;Serif" w:hAnsi="Times New Roman;Times;Serif"/>
          <w:b/>
          <w:i w:val="false"/>
          <w:caps/>
          <w:sz w:val="20"/>
        </w:rPr>
        <w:t>SCHEDULE OF PREVIOUSLY ISSUED FINANCIAL STATEMENTS</w:t>
      </w:r>
    </w:p>
    <w:tbl>
      <w:tblPr>
        <w:tblW w:w="8261" w:type="dxa"/>
        <w:jc w:val="left"/>
        <w:tblInd w:w="0" w:type="dxa"/>
        <w:tblLayout w:type="fixed"/>
        <w:tblCellMar>
          <w:top w:w="0" w:type="dxa"/>
          <w:left w:w="0" w:type="dxa"/>
          <w:bottom w:w="28" w:type="dxa"/>
          <w:right w:w="0" w:type="dxa"/>
        </w:tblCellMar>
      </w:tblPr>
      <w:tblGrid>
        <w:gridCol w:w="3530"/>
        <w:gridCol w:w="60"/>
        <w:gridCol w:w="118"/>
        <w:gridCol w:w="1495"/>
        <w:gridCol w:w="114"/>
        <w:gridCol w:w="72"/>
        <w:gridCol w:w="177"/>
        <w:gridCol w:w="1166"/>
        <w:gridCol w:w="114"/>
        <w:gridCol w:w="72"/>
        <w:gridCol w:w="90"/>
        <w:gridCol w:w="1143"/>
        <w:gridCol w:w="110"/>
      </w:tblGrid>
      <w:tr>
        <w:trPr/>
        <w:tc>
          <w:tcPr>
            <w:tcW w:w="3530" w:type="dxa"/>
            <w:tcBorders>
              <w:bottom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tc>
        <w:tc>
          <w:tcPr>
            <w:tcW w:w="60" w:type="dxa"/>
            <w:tcBorders/>
            <w:tcMar>
              <w:bottom w:w="0" w:type="dxa"/>
            </w:tcMar>
            <w:vAlign w:val="center"/>
          </w:tcPr>
          <w:p>
            <w:pPr>
              <w:pStyle w:val="TableContents"/>
              <w:bidi w:val="0"/>
              <w:spacing w:before="0" w:after="283"/>
              <w:jc w:val="left"/>
              <w:rPr/>
            </w:pPr>
            <w:r>
              <w:rPr/>
              <w:t> </w:t>
            </w:r>
            <w:bookmarkStart w:id="938" w:name="xdx_496_20230701__20230930__srt--Restate"/>
            <w:bookmarkEnd w:id="938"/>
          </w:p>
        </w:tc>
        <w:tc>
          <w:tcPr>
            <w:tcW w:w="1613" w:type="dxa"/>
            <w:gridSpan w:val="2"/>
            <w:tcBorders>
              <w:bottom w:val="single" w:sz="8" w:space="0" w:color="000000"/>
            </w:tcBorders>
            <w:vAlign w:val="center"/>
          </w:tcPr>
          <w:p>
            <w:pPr>
              <w:pStyle w:val="TableContents"/>
              <w:bidi w:val="0"/>
              <w:jc w:val="center"/>
              <w:rPr/>
            </w:pPr>
            <w:r>
              <w:rPr/>
              <w:t>As previously</w:t>
            </w:r>
          </w:p>
          <w:p>
            <w:pPr>
              <w:pStyle w:val="TableContents"/>
              <w:bidi w:val="0"/>
              <w:spacing w:before="0" w:after="283"/>
              <w:jc w:val="center"/>
              <w:rPr/>
            </w:pPr>
            <w:r>
              <w:rPr/>
              <w:t>reported</w:t>
            </w:r>
          </w:p>
        </w:tc>
        <w:tc>
          <w:tcPr>
            <w:tcW w:w="114" w:type="dxa"/>
            <w:tcBorders/>
            <w:tcMar>
              <w:bottom w:w="0" w:type="dxa"/>
            </w:tcMar>
            <w:vAlign w:val="center"/>
          </w:tcPr>
          <w:p>
            <w:pPr>
              <w:pStyle w:val="TableContents"/>
              <w:bidi w:val="0"/>
              <w:spacing w:before="0" w:after="283"/>
              <w:jc w:val="left"/>
              <w:rPr/>
            </w:pPr>
            <w:r>
              <w:rPr/>
              <w:t> </w:t>
            </w:r>
          </w:p>
        </w:tc>
        <w:tc>
          <w:tcPr>
            <w:tcW w:w="72" w:type="dxa"/>
            <w:tcBorders/>
            <w:tcMar>
              <w:bottom w:w="0" w:type="dxa"/>
            </w:tcMar>
            <w:vAlign w:val="center"/>
          </w:tcPr>
          <w:p>
            <w:pPr>
              <w:pStyle w:val="TableContents"/>
              <w:bidi w:val="0"/>
              <w:spacing w:before="0" w:after="283"/>
              <w:jc w:val="left"/>
              <w:rPr/>
            </w:pPr>
            <w:r>
              <w:rPr/>
              <w:t> </w:t>
            </w:r>
            <w:bookmarkStart w:id="939" w:name="xdx_49F_20230701__20230930__srt--Restate"/>
            <w:bookmarkEnd w:id="939"/>
          </w:p>
        </w:tc>
        <w:tc>
          <w:tcPr>
            <w:tcW w:w="1343" w:type="dxa"/>
            <w:gridSpan w:val="2"/>
            <w:tcBorders>
              <w:bottom w:val="single" w:sz="8" w:space="0" w:color="000000"/>
            </w:tcBorders>
            <w:vAlign w:val="center"/>
          </w:tcPr>
          <w:p>
            <w:pPr>
              <w:pStyle w:val="TableContents"/>
              <w:bidi w:val="0"/>
              <w:spacing w:before="0" w:after="283"/>
              <w:jc w:val="center"/>
              <w:rPr/>
            </w:pPr>
            <w:r>
              <w:rPr/>
              <w:t>Adjustment</w:t>
            </w:r>
          </w:p>
        </w:tc>
        <w:tc>
          <w:tcPr>
            <w:tcW w:w="114" w:type="dxa"/>
            <w:tcBorders/>
            <w:tcMar>
              <w:bottom w:w="0" w:type="dxa"/>
            </w:tcMar>
            <w:vAlign w:val="center"/>
          </w:tcPr>
          <w:p>
            <w:pPr>
              <w:pStyle w:val="TableContents"/>
              <w:bidi w:val="0"/>
              <w:spacing w:before="0" w:after="283"/>
              <w:jc w:val="left"/>
              <w:rPr/>
            </w:pPr>
            <w:r>
              <w:rPr/>
              <w:t> </w:t>
            </w:r>
          </w:p>
        </w:tc>
        <w:tc>
          <w:tcPr>
            <w:tcW w:w="72" w:type="dxa"/>
            <w:tcBorders/>
            <w:tcMar>
              <w:bottom w:w="0" w:type="dxa"/>
            </w:tcMar>
            <w:vAlign w:val="center"/>
          </w:tcPr>
          <w:p>
            <w:pPr>
              <w:pStyle w:val="TableContents"/>
              <w:bidi w:val="0"/>
              <w:spacing w:before="0" w:after="283"/>
              <w:jc w:val="left"/>
              <w:rPr/>
            </w:pPr>
            <w:r>
              <w:rPr/>
              <w:t> </w:t>
            </w:r>
            <w:bookmarkStart w:id="940" w:name="xdx_493_20230701__20230930_zgv9g8FiTiB3"/>
            <w:bookmarkEnd w:id="940"/>
          </w:p>
        </w:tc>
        <w:tc>
          <w:tcPr>
            <w:tcW w:w="1233" w:type="dxa"/>
            <w:gridSpan w:val="2"/>
            <w:tcBorders>
              <w:bottom w:val="single" w:sz="8"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61" w:type="dxa"/>
            <w:gridSpan w:val="10"/>
            <w:tcBorders>
              <w:bottom w:val="single" w:sz="8" w:space="0" w:color="000000"/>
            </w:tcBorders>
            <w:vAlign w:val="center"/>
          </w:tcPr>
          <w:p>
            <w:pPr>
              <w:pStyle w:val="TableContents"/>
              <w:bidi w:val="0"/>
              <w:spacing w:before="0" w:after="283"/>
              <w:jc w:val="center"/>
              <w:rPr/>
            </w:pPr>
            <w:r>
              <w:rPr/>
              <w:t>For the three months ended September 30, 2023</w:t>
            </w:r>
          </w:p>
        </w:tc>
        <w:tc>
          <w:tcPr>
            <w:tcW w:w="110" w:type="dxa"/>
            <w:tcBorders/>
            <w:tcMar>
              <w:bottom w:w="0" w:type="dxa"/>
            </w:tcMar>
            <w:vAlign w:val="center"/>
          </w:tcPr>
          <w:p>
            <w:pPr>
              <w:pStyle w:val="TableContents"/>
              <w:bidi w:val="0"/>
              <w:spacing w:before="0" w:after="283"/>
              <w:jc w:val="left"/>
              <w:rPr/>
            </w:pPr>
            <w:r>
              <w:rPr/>
              <w:t> </w:t>
            </w:r>
          </w:p>
        </w:tc>
      </w:tr>
      <w:tr>
        <w:trPr/>
        <w:tc>
          <w:tcPr>
            <w:tcW w:w="3530" w:type="dxa"/>
            <w:tcBorders>
              <w:bottom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tc>
        <w:tc>
          <w:tcPr>
            <w:tcW w:w="60" w:type="dxa"/>
            <w:tcBorders/>
            <w:tcMar>
              <w:bottom w:w="0" w:type="dxa"/>
            </w:tcMar>
            <w:vAlign w:val="center"/>
          </w:tcPr>
          <w:p>
            <w:pPr>
              <w:pStyle w:val="TableContents"/>
              <w:bidi w:val="0"/>
              <w:spacing w:before="0" w:after="283"/>
              <w:jc w:val="left"/>
              <w:rPr/>
            </w:pPr>
            <w:r>
              <w:rPr/>
              <w:t> </w:t>
            </w:r>
          </w:p>
        </w:tc>
        <w:tc>
          <w:tcPr>
            <w:tcW w:w="1613" w:type="dxa"/>
            <w:gridSpan w:val="2"/>
            <w:tcBorders>
              <w:bottom w:val="single" w:sz="8" w:space="0" w:color="000000"/>
            </w:tcBorders>
            <w:vAlign w:val="center"/>
          </w:tcPr>
          <w:p>
            <w:pPr>
              <w:pStyle w:val="TableContents"/>
              <w:bidi w:val="0"/>
              <w:jc w:val="center"/>
              <w:rPr/>
            </w:pPr>
            <w:r>
              <w:rPr/>
              <w:t>As previously</w:t>
            </w:r>
          </w:p>
          <w:p>
            <w:pPr>
              <w:pStyle w:val="TableContents"/>
              <w:bidi w:val="0"/>
              <w:spacing w:before="0" w:after="283"/>
              <w:jc w:val="center"/>
              <w:rPr/>
            </w:pPr>
            <w:r>
              <w:rPr/>
              <w:t>reported</w:t>
            </w:r>
          </w:p>
        </w:tc>
        <w:tc>
          <w:tcPr>
            <w:tcW w:w="114" w:type="dxa"/>
            <w:tcBorders/>
            <w:tcMar>
              <w:bottom w:w="0" w:type="dxa"/>
            </w:tcMar>
            <w:vAlign w:val="center"/>
          </w:tcPr>
          <w:p>
            <w:pPr>
              <w:pStyle w:val="TableContents"/>
              <w:bidi w:val="0"/>
              <w:spacing w:before="0" w:after="283"/>
              <w:jc w:val="left"/>
              <w:rPr/>
            </w:pPr>
            <w:r>
              <w:rPr/>
              <w:t> </w:t>
            </w:r>
          </w:p>
        </w:tc>
        <w:tc>
          <w:tcPr>
            <w:tcW w:w="72" w:type="dxa"/>
            <w:tcBorders/>
            <w:tcMar>
              <w:bottom w:w="0" w:type="dxa"/>
            </w:tcMar>
            <w:vAlign w:val="center"/>
          </w:tcPr>
          <w:p>
            <w:pPr>
              <w:pStyle w:val="TableContents"/>
              <w:bidi w:val="0"/>
              <w:spacing w:before="0" w:after="283"/>
              <w:jc w:val="left"/>
              <w:rPr/>
            </w:pPr>
            <w:r>
              <w:rPr/>
              <w:t> </w:t>
            </w:r>
          </w:p>
        </w:tc>
        <w:tc>
          <w:tcPr>
            <w:tcW w:w="1343" w:type="dxa"/>
            <w:gridSpan w:val="2"/>
            <w:tcBorders>
              <w:bottom w:val="single" w:sz="8" w:space="0" w:color="000000"/>
            </w:tcBorders>
            <w:vAlign w:val="center"/>
          </w:tcPr>
          <w:p>
            <w:pPr>
              <w:pStyle w:val="TableContents"/>
              <w:bidi w:val="0"/>
              <w:spacing w:before="0" w:after="283"/>
              <w:jc w:val="center"/>
              <w:rPr/>
            </w:pPr>
            <w:r>
              <w:rPr/>
              <w:t>Adjustment</w:t>
            </w:r>
          </w:p>
        </w:tc>
        <w:tc>
          <w:tcPr>
            <w:tcW w:w="114" w:type="dxa"/>
            <w:tcBorders/>
            <w:tcMar>
              <w:bottom w:w="0" w:type="dxa"/>
            </w:tcMar>
            <w:vAlign w:val="center"/>
          </w:tcPr>
          <w:p>
            <w:pPr>
              <w:pStyle w:val="TableContents"/>
              <w:bidi w:val="0"/>
              <w:spacing w:before="0" w:after="283"/>
              <w:jc w:val="left"/>
              <w:rPr/>
            </w:pPr>
            <w:r>
              <w:rPr/>
              <w:t> </w:t>
            </w:r>
          </w:p>
        </w:tc>
        <w:tc>
          <w:tcPr>
            <w:tcW w:w="72" w:type="dxa"/>
            <w:tcBorders/>
            <w:tcMar>
              <w:bottom w:w="0" w:type="dxa"/>
            </w:tcMar>
            <w:vAlign w:val="center"/>
          </w:tcPr>
          <w:p>
            <w:pPr>
              <w:pStyle w:val="TableContents"/>
              <w:bidi w:val="0"/>
              <w:spacing w:before="0" w:after="283"/>
              <w:jc w:val="left"/>
              <w:rPr/>
            </w:pPr>
            <w:r>
              <w:rPr/>
              <w:t> </w:t>
            </w:r>
          </w:p>
        </w:tc>
        <w:tc>
          <w:tcPr>
            <w:tcW w:w="1233" w:type="dxa"/>
            <w:gridSpan w:val="2"/>
            <w:tcBorders>
              <w:bottom w:val="single" w:sz="8"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bookmarkStart w:id="941" w:name="xdx_40D_eus-gaap--CostOfGoodsAndServices"/>
            <w:bookmarkEnd w:id="941"/>
          </w:p>
        </w:tc>
      </w:tr>
      <w:tr>
        <w:trPr/>
        <w:tc>
          <w:tcPr>
            <w:tcW w:w="353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495" w:type="dxa"/>
            <w:tcBorders/>
            <w:shd w:fill="CCEEFF" w:val="clear"/>
            <w:tcMar>
              <w:bottom w:w="0" w:type="dxa"/>
            </w:tcMar>
            <w:vAlign w:val="center"/>
          </w:tcPr>
          <w:p>
            <w:pPr>
              <w:pStyle w:val="TableContents"/>
              <w:bidi w:val="0"/>
              <w:spacing w:before="0" w:after="283"/>
              <w:jc w:val="right"/>
              <w:rPr/>
            </w:pPr>
            <w:r>
              <w:rPr/>
              <w:t>11,317</w:t>
            </w:r>
          </w:p>
        </w:tc>
        <w:tc>
          <w:tcPr>
            <w:tcW w:w="114"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(26</w:t>
            </w:r>
          </w:p>
        </w:tc>
        <w:tc>
          <w:tcPr>
            <w:tcW w:w="114" w:type="dxa"/>
            <w:tcBorders/>
            <w:shd w:fill="CCEEFF" w:val="clear"/>
            <w:tcMar>
              <w:bottom w:w="0" w:type="dxa"/>
            </w:tcMar>
            <w:vAlign w:val="center"/>
          </w:tcPr>
          <w:p>
            <w:pPr>
              <w:pStyle w:val="TableContents"/>
              <w:bidi w:val="0"/>
              <w:spacing w:before="0" w:after="283"/>
              <w:jc w:val="left"/>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11,291</w:t>
            </w:r>
          </w:p>
        </w:tc>
        <w:tc>
          <w:tcPr>
            <w:tcW w:w="110" w:type="dxa"/>
            <w:tcBorders/>
            <w:shd w:fill="CCEEFF" w:val="clear"/>
            <w:tcMar>
              <w:bottom w:w="0" w:type="dxa"/>
            </w:tcMar>
            <w:vAlign w:val="center"/>
          </w:tcPr>
          <w:p>
            <w:pPr>
              <w:pStyle w:val="TableContents"/>
              <w:bidi w:val="0"/>
              <w:spacing w:before="0" w:after="283"/>
              <w:jc w:val="left"/>
              <w:rPr/>
            </w:pPr>
            <w:r>
              <w:rPr/>
              <w:t> </w:t>
            </w:r>
            <w:bookmarkStart w:id="942" w:name="xdx_408_eus-gaap--GrossProfit_zjwpO2CbXu"/>
            <w:bookmarkEnd w:id="942"/>
          </w:p>
        </w:tc>
      </w:tr>
      <w:tr>
        <w:trPr/>
        <w:tc>
          <w:tcPr>
            <w:tcW w:w="353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495" w:type="dxa"/>
            <w:tcBorders/>
            <w:shd w:fill="FFFFFF" w:val="clear"/>
            <w:tcMar>
              <w:bottom w:w="0" w:type="dxa"/>
            </w:tcMar>
            <w:vAlign w:val="center"/>
          </w:tcPr>
          <w:p>
            <w:pPr>
              <w:pStyle w:val="TableContents"/>
              <w:bidi w:val="0"/>
              <w:spacing w:before="0" w:after="283"/>
              <w:jc w:val="right"/>
              <w:rPr/>
            </w:pPr>
            <w:r>
              <w:rPr/>
              <w:t>4,572</w:t>
            </w:r>
          </w:p>
        </w:tc>
        <w:tc>
          <w:tcPr>
            <w:tcW w:w="114"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26</w:t>
            </w:r>
          </w:p>
        </w:tc>
        <w:tc>
          <w:tcPr>
            <w:tcW w:w="114"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3" w:type="dxa"/>
            <w:tcBorders/>
            <w:shd w:fill="FFFFFF" w:val="clear"/>
            <w:tcMar>
              <w:bottom w:w="0" w:type="dxa"/>
            </w:tcMar>
            <w:vAlign w:val="center"/>
          </w:tcPr>
          <w:p>
            <w:pPr>
              <w:pStyle w:val="TableContents"/>
              <w:bidi w:val="0"/>
              <w:spacing w:before="0" w:after="283"/>
              <w:jc w:val="right"/>
              <w:rPr/>
            </w:pPr>
            <w:r>
              <w:rPr/>
              <w:t>4,598</w:t>
            </w:r>
          </w:p>
        </w:tc>
        <w:tc>
          <w:tcPr>
            <w:tcW w:w="110" w:type="dxa"/>
            <w:tcBorders/>
            <w:shd w:fill="FFFFFF" w:val="clear"/>
            <w:tcMar>
              <w:bottom w:w="0" w:type="dxa"/>
            </w:tcMar>
            <w:vAlign w:val="center"/>
          </w:tcPr>
          <w:p>
            <w:pPr>
              <w:pStyle w:val="TableContents"/>
              <w:bidi w:val="0"/>
              <w:spacing w:before="0" w:after="283"/>
              <w:jc w:val="left"/>
              <w:rPr/>
            </w:pPr>
            <w:r>
              <w:rPr/>
              <w:t> </w:t>
            </w:r>
            <w:bookmarkStart w:id="943" w:name="xdx_408_eus-gaap--OperatingIncomeLoss_zQ"/>
            <w:bookmarkEnd w:id="943"/>
          </w:p>
        </w:tc>
      </w:tr>
      <w:tr>
        <w:trPr/>
        <w:tc>
          <w:tcPr>
            <w:tcW w:w="3530"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495" w:type="dxa"/>
            <w:tcBorders/>
            <w:shd w:fill="CCEEFF" w:val="clear"/>
            <w:tcMar>
              <w:bottom w:w="0" w:type="dxa"/>
            </w:tcMar>
            <w:vAlign w:val="center"/>
          </w:tcPr>
          <w:p>
            <w:pPr>
              <w:pStyle w:val="TableContents"/>
              <w:bidi w:val="0"/>
              <w:spacing w:before="0" w:after="283"/>
              <w:jc w:val="right"/>
              <w:rPr/>
            </w:pPr>
            <w:r>
              <w:rPr/>
              <w:t>(5,901</w:t>
            </w:r>
          </w:p>
        </w:tc>
        <w:tc>
          <w:tcPr>
            <w:tcW w:w="114" w:type="dxa"/>
            <w:tcBorders/>
            <w:shd w:fill="CCEEFF" w:val="clear"/>
            <w:tcMar>
              <w:bottom w:w="0" w:type="dxa"/>
            </w:tcMar>
            <w:vAlign w:val="center"/>
          </w:tcPr>
          <w:p>
            <w:pPr>
              <w:pStyle w:val="TableContents"/>
              <w:bidi w:val="0"/>
              <w:spacing w:before="0" w:after="283"/>
              <w:jc w:val="left"/>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26</w:t>
            </w:r>
          </w:p>
        </w:tc>
        <w:tc>
          <w:tcPr>
            <w:tcW w:w="114"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(5,875</w:t>
            </w:r>
          </w:p>
        </w:tc>
        <w:tc>
          <w:tcPr>
            <w:tcW w:w="110" w:type="dxa"/>
            <w:tcBorders/>
            <w:shd w:fill="CCEEFF" w:val="clear"/>
            <w:tcMar>
              <w:bottom w:w="0" w:type="dxa"/>
            </w:tcMar>
            <w:vAlign w:val="center"/>
          </w:tcPr>
          <w:p>
            <w:pPr>
              <w:pStyle w:val="TableContents"/>
              <w:bidi w:val="0"/>
              <w:spacing w:before="0" w:after="283"/>
              <w:jc w:val="left"/>
              <w:rPr/>
            </w:pPr>
            <w:r>
              <w:rPr/>
              <w:t>)</w:t>
            </w:r>
            <w:bookmarkStart w:id="944" w:name="xdx_407_eus-gaap--InterestExpense_zzQTj3"/>
            <w:bookmarkEnd w:id="944"/>
          </w:p>
        </w:tc>
      </w:tr>
      <w:tr>
        <w:trPr/>
        <w:tc>
          <w:tcPr>
            <w:tcW w:w="353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495" w:type="dxa"/>
            <w:tcBorders/>
            <w:shd w:fill="FFFFFF" w:val="clear"/>
            <w:tcMar>
              <w:bottom w:w="0" w:type="dxa"/>
            </w:tcMar>
            <w:vAlign w:val="center"/>
          </w:tcPr>
          <w:p>
            <w:pPr>
              <w:pStyle w:val="TableContents"/>
              <w:bidi w:val="0"/>
              <w:spacing w:before="0" w:after="283"/>
              <w:jc w:val="right"/>
              <w:rPr/>
            </w:pPr>
            <w:r>
              <w:rPr/>
              <w:t>(3,977</w:t>
            </w:r>
          </w:p>
        </w:tc>
        <w:tc>
          <w:tcPr>
            <w:tcW w:w="114" w:type="dxa"/>
            <w:tcBorders/>
            <w:shd w:fill="FFFFFF" w:val="clear"/>
            <w:tcMar>
              <w:bottom w:w="0" w:type="dxa"/>
            </w:tcMar>
            <w:vAlign w:val="center"/>
          </w:tcPr>
          <w:p>
            <w:pPr>
              <w:pStyle w:val="TableContents"/>
              <w:bidi w:val="0"/>
              <w:spacing w:before="0" w:after="283"/>
              <w:jc w:val="left"/>
              <w:rPr/>
            </w:pPr>
            <w:r>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(10</w:t>
            </w:r>
          </w:p>
        </w:tc>
        <w:tc>
          <w:tcPr>
            <w:tcW w:w="114" w:type="dxa"/>
            <w:tcBorders/>
            <w:shd w:fill="FFFFFF" w:val="clear"/>
            <w:tcMar>
              <w:bottom w:w="0" w:type="dxa"/>
            </w:tcMar>
            <w:vAlign w:val="center"/>
          </w:tcPr>
          <w:p>
            <w:pPr>
              <w:pStyle w:val="TableContents"/>
              <w:bidi w:val="0"/>
              <w:spacing w:before="0" w:after="283"/>
              <w:jc w:val="left"/>
              <w:rPr/>
            </w:pPr>
            <w:r>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3" w:type="dxa"/>
            <w:tcBorders/>
            <w:shd w:fill="FFFFFF" w:val="clear"/>
            <w:tcMar>
              <w:bottom w:w="0" w:type="dxa"/>
            </w:tcMar>
            <w:vAlign w:val="center"/>
          </w:tcPr>
          <w:p>
            <w:pPr>
              <w:pStyle w:val="TableContents"/>
              <w:bidi w:val="0"/>
              <w:spacing w:before="0" w:after="283"/>
              <w:jc w:val="right"/>
              <w:rPr/>
            </w:pPr>
            <w:r>
              <w:rPr/>
              <w:t>(3,987</w:t>
            </w:r>
          </w:p>
        </w:tc>
        <w:tc>
          <w:tcPr>
            <w:tcW w:w="110" w:type="dxa"/>
            <w:tcBorders/>
            <w:shd w:fill="FFFFFF" w:val="clear"/>
            <w:tcMar>
              <w:bottom w:w="0" w:type="dxa"/>
            </w:tcMar>
            <w:vAlign w:val="center"/>
          </w:tcPr>
          <w:p>
            <w:pPr>
              <w:pStyle w:val="TableContents"/>
              <w:bidi w:val="0"/>
              <w:spacing w:before="0" w:after="283"/>
              <w:jc w:val="left"/>
              <w:rPr/>
            </w:pPr>
            <w:r>
              <w:rPr/>
              <w:t>)</w:t>
            </w:r>
            <w:bookmarkStart w:id="945" w:name="xdx_40F_eus-gaap--IncomeLossFromContinui"/>
            <w:bookmarkEnd w:id="945"/>
          </w:p>
        </w:tc>
      </w:tr>
      <w:tr>
        <w:trPr/>
        <w:tc>
          <w:tcPr>
            <w:tcW w:w="3530" w:type="dxa"/>
            <w:tcBorders/>
            <w:shd w:fill="CCEEFF" w:val="clear"/>
            <w:tcMar>
              <w:bottom w:w="0" w:type="dxa"/>
            </w:tcMar>
            <w:vAlign w:val="center"/>
          </w:tcPr>
          <w:p>
            <w:pPr>
              <w:pStyle w:val="TableContents"/>
              <w:bidi w:val="0"/>
              <w:spacing w:before="0" w:after="283"/>
              <w:jc w:val="left"/>
              <w:rPr/>
            </w:pPr>
            <w:r>
              <w:rPr/>
              <w:t>Loss Before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495" w:type="dxa"/>
            <w:tcBorders/>
            <w:shd w:fill="CCEEFF" w:val="clear"/>
            <w:tcMar>
              <w:bottom w:w="0" w:type="dxa"/>
            </w:tcMar>
            <w:vAlign w:val="center"/>
          </w:tcPr>
          <w:p>
            <w:pPr>
              <w:pStyle w:val="TableContents"/>
              <w:bidi w:val="0"/>
              <w:spacing w:before="0" w:after="283"/>
              <w:jc w:val="right"/>
              <w:rPr/>
            </w:pPr>
            <w:r>
              <w:rPr/>
              <w:t>(10,023</w:t>
            </w:r>
          </w:p>
        </w:tc>
        <w:tc>
          <w:tcPr>
            <w:tcW w:w="114" w:type="dxa"/>
            <w:tcBorders/>
            <w:shd w:fill="CCEEFF" w:val="clear"/>
            <w:tcMar>
              <w:bottom w:w="0" w:type="dxa"/>
            </w:tcMar>
            <w:vAlign w:val="center"/>
          </w:tcPr>
          <w:p>
            <w:pPr>
              <w:pStyle w:val="TableContents"/>
              <w:bidi w:val="0"/>
              <w:spacing w:before="0" w:after="283"/>
              <w:jc w:val="left"/>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16</w:t>
            </w:r>
          </w:p>
        </w:tc>
        <w:tc>
          <w:tcPr>
            <w:tcW w:w="114"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(10,007</w:t>
            </w:r>
          </w:p>
        </w:tc>
        <w:tc>
          <w:tcPr>
            <w:tcW w:w="110" w:type="dxa"/>
            <w:tcBorders/>
            <w:shd w:fill="CCEEFF" w:val="clear"/>
            <w:tcMar>
              <w:bottom w:w="0" w:type="dxa"/>
            </w:tcMar>
            <w:vAlign w:val="center"/>
          </w:tcPr>
          <w:p>
            <w:pPr>
              <w:pStyle w:val="TableContents"/>
              <w:bidi w:val="0"/>
              <w:spacing w:before="0" w:after="283"/>
              <w:jc w:val="left"/>
              <w:rPr/>
            </w:pPr>
            <w:r>
              <w:rPr/>
              <w:t>)</w:t>
            </w:r>
            <w:bookmarkStart w:id="946" w:name="xdx_40F_eus-gaap--NetIncomeLoss_zlrfBAuT"/>
            <w:bookmarkEnd w:id="946"/>
          </w:p>
        </w:tc>
      </w:tr>
      <w:tr>
        <w:trPr/>
        <w:tc>
          <w:tcPr>
            <w:tcW w:w="353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495" w:type="dxa"/>
            <w:tcBorders/>
            <w:shd w:fill="FFFFFF" w:val="clear"/>
            <w:tcMar>
              <w:bottom w:w="0" w:type="dxa"/>
            </w:tcMar>
            <w:vAlign w:val="center"/>
          </w:tcPr>
          <w:p>
            <w:pPr>
              <w:pStyle w:val="TableContents"/>
              <w:bidi w:val="0"/>
              <w:spacing w:before="0" w:after="283"/>
              <w:jc w:val="right"/>
              <w:rPr/>
            </w:pPr>
            <w:r>
              <w:rPr/>
              <w:t>(10,023</w:t>
            </w:r>
          </w:p>
        </w:tc>
        <w:tc>
          <w:tcPr>
            <w:tcW w:w="114" w:type="dxa"/>
            <w:tcBorders/>
            <w:shd w:fill="FFFFFF" w:val="clear"/>
            <w:tcMar>
              <w:bottom w:w="0" w:type="dxa"/>
            </w:tcMar>
            <w:vAlign w:val="center"/>
          </w:tcPr>
          <w:p>
            <w:pPr>
              <w:pStyle w:val="TableContents"/>
              <w:bidi w:val="0"/>
              <w:spacing w:before="0" w:after="283"/>
              <w:jc w:val="left"/>
              <w:rPr/>
            </w:pPr>
            <w:r>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177" w:type="dxa"/>
            <w:tcBorders/>
            <w:shd w:fill="FFFFFF" w:val="clear"/>
            <w:tcMar>
              <w:bottom w:w="0" w:type="dxa"/>
            </w:tcMar>
            <w:vAlign w:val="center"/>
          </w:tcPr>
          <w:p>
            <w:pPr>
              <w:pStyle w:val="TableContents"/>
              <w:bidi w:val="0"/>
              <w:spacing w:before="0" w:after="283"/>
              <w:jc w:val="left"/>
              <w:rPr/>
            </w:pPr>
            <w:r>
              <w:rPr/>
              <w:t> </w:t>
            </w:r>
          </w:p>
        </w:tc>
        <w:tc>
          <w:tcPr>
            <w:tcW w:w="1166" w:type="dxa"/>
            <w:tcBorders/>
            <w:shd w:fill="FFFFFF" w:val="clear"/>
            <w:tcMar>
              <w:bottom w:w="0" w:type="dxa"/>
            </w:tcMar>
            <w:vAlign w:val="center"/>
          </w:tcPr>
          <w:p>
            <w:pPr>
              <w:pStyle w:val="TableContents"/>
              <w:bidi w:val="0"/>
              <w:spacing w:before="0" w:after="283"/>
              <w:jc w:val="right"/>
              <w:rPr/>
            </w:pPr>
            <w:r>
              <w:rPr/>
              <w:t>16</w:t>
            </w:r>
          </w:p>
        </w:tc>
        <w:tc>
          <w:tcPr>
            <w:tcW w:w="114"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3" w:type="dxa"/>
            <w:tcBorders/>
            <w:shd w:fill="FFFFFF" w:val="clear"/>
            <w:tcMar>
              <w:bottom w:w="0" w:type="dxa"/>
            </w:tcMar>
            <w:vAlign w:val="center"/>
          </w:tcPr>
          <w:p>
            <w:pPr>
              <w:pStyle w:val="TableContents"/>
              <w:bidi w:val="0"/>
              <w:spacing w:before="0" w:after="283"/>
              <w:jc w:val="right"/>
              <w:rPr/>
            </w:pPr>
            <w:r>
              <w:rPr/>
              <w:t>(10,007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530" w:type="dxa"/>
            <w:tcBorders/>
            <w:shd w:fill="CCEEFF" w:val="clear"/>
            <w:tcMar>
              <w:bottom w:w="0" w:type="dxa"/>
            </w:tcMar>
            <w:vAlign w:val="center"/>
          </w:tcPr>
          <w:p>
            <w:pPr>
              <w:pStyle w:val="TableContents"/>
              <w:bidi w:val="0"/>
              <w:spacing w:before="0" w:after="283"/>
              <w:jc w:val="left"/>
              <w:rPr/>
            </w:pPr>
            <w:r>
              <w:rPr/>
              <w:t>Net Loss per share - Basic &amp;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495" w:type="dxa"/>
            <w:tcBorders/>
            <w:shd w:fill="CCEEFF" w:val="clear"/>
            <w:tcMar>
              <w:bottom w:w="0" w:type="dxa"/>
            </w:tcMar>
            <w:vAlign w:val="center"/>
          </w:tcPr>
          <w:p>
            <w:pPr>
              <w:pStyle w:val="TableContents"/>
              <w:bidi w:val="0"/>
              <w:spacing w:before="0" w:after="283"/>
              <w:jc w:val="right"/>
              <w:rPr/>
            </w:pPr>
            <w:bookmarkStart w:id="947" w:name="xdx_90F_eus-gaap--EarningsPerShareDilute"/>
            <w:bookmarkStart w:id="948" w:name="xdx_904_eus-gaap--EarningsPerShareBasic_"/>
            <w:bookmarkEnd w:id="947"/>
            <w:bookmarkEnd w:id="948"/>
            <w:r>
              <w:rPr/>
              <w:t>(0.17</w:t>
            </w:r>
          </w:p>
        </w:tc>
        <w:tc>
          <w:tcPr>
            <w:tcW w:w="114" w:type="dxa"/>
            <w:tcBorders/>
            <w:shd w:fill="CCEEFF" w:val="clear"/>
            <w:tcMar>
              <w:bottom w:w="0" w:type="dxa"/>
            </w:tcMar>
            <w:vAlign w:val="center"/>
          </w:tcPr>
          <w:p>
            <w:pPr>
              <w:pStyle w:val="TableContents"/>
              <w:bidi w:val="0"/>
              <w:spacing w:before="0" w:after="283"/>
              <w:jc w:val="left"/>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177"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bookmarkStart w:id="949" w:name="xdx_908_eus-gaap--EarningsPerShareDilute"/>
            <w:bookmarkStart w:id="950" w:name="xdx_901_eus-gaap--EarningsPerShareBasic_"/>
            <w:bookmarkEnd w:id="949"/>
            <w:bookmarkEnd w:id="950"/>
            <w:r>
              <w:rPr/>
              <w:t>(0.0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bookmarkStart w:id="951" w:name="xdx_908_eus-gaap--EarningsPerShareDilute"/>
            <w:bookmarkStart w:id="952" w:name="xdx_907_eus-gaap--EarningsPerShareBasic_"/>
            <w:bookmarkEnd w:id="951"/>
            <w:bookmarkEnd w:id="952"/>
            <w:r>
              <w:rPr/>
              <w:t>(0.17</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rPr>
      </w:pPr>
      <w:r>
        <w:rPr>
          <w:caps/>
        </w:rPr>
        <w:t> </w:t>
      </w:r>
    </w:p>
    <w:tbl>
      <w:tblPr>
        <w:tblW w:w="8199" w:type="dxa"/>
        <w:jc w:val="left"/>
        <w:tblInd w:w="0" w:type="dxa"/>
        <w:tblLayout w:type="fixed"/>
        <w:tblCellMar>
          <w:top w:w="0" w:type="dxa"/>
          <w:left w:w="0" w:type="dxa"/>
          <w:bottom w:w="28" w:type="dxa"/>
          <w:right w:w="0" w:type="dxa"/>
        </w:tblCellMar>
      </w:tblPr>
      <w:tblGrid>
        <w:gridCol w:w="3530"/>
        <w:gridCol w:w="60"/>
        <w:gridCol w:w="116"/>
        <w:gridCol w:w="1475"/>
        <w:gridCol w:w="112"/>
        <w:gridCol w:w="71"/>
        <w:gridCol w:w="153"/>
        <w:gridCol w:w="1172"/>
        <w:gridCol w:w="112"/>
        <w:gridCol w:w="71"/>
        <w:gridCol w:w="89"/>
        <w:gridCol w:w="1128"/>
        <w:gridCol w:w="110"/>
      </w:tblGrid>
      <w:tr>
        <w:trPr/>
        <w:tc>
          <w:tcPr>
            <w:tcW w:w="3530" w:type="dxa"/>
            <w:tcBorders>
              <w:bottom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tc>
        <w:tc>
          <w:tcPr>
            <w:tcW w:w="60" w:type="dxa"/>
            <w:tcBorders/>
            <w:tcMar>
              <w:bottom w:w="0" w:type="dxa"/>
            </w:tcMar>
            <w:vAlign w:val="center"/>
          </w:tcPr>
          <w:p>
            <w:pPr>
              <w:pStyle w:val="TableContents"/>
              <w:bidi w:val="0"/>
              <w:spacing w:before="0" w:after="283"/>
              <w:jc w:val="left"/>
              <w:rPr/>
            </w:pPr>
            <w:r>
              <w:rPr/>
              <w:t> </w:t>
            </w:r>
            <w:bookmarkStart w:id="953" w:name="xdx_495_20230101__20230930__srt--Restate"/>
            <w:bookmarkEnd w:id="953"/>
          </w:p>
        </w:tc>
        <w:tc>
          <w:tcPr>
            <w:tcW w:w="1591" w:type="dxa"/>
            <w:gridSpan w:val="2"/>
            <w:tcBorders>
              <w:bottom w:val="single" w:sz="8" w:space="0" w:color="000000"/>
            </w:tcBorders>
            <w:vAlign w:val="center"/>
          </w:tcPr>
          <w:p>
            <w:pPr>
              <w:pStyle w:val="TableContents"/>
              <w:bidi w:val="0"/>
              <w:jc w:val="center"/>
              <w:rPr/>
            </w:pPr>
            <w:r>
              <w:rPr/>
              <w:t>As previously</w:t>
            </w:r>
          </w:p>
          <w:p>
            <w:pPr>
              <w:pStyle w:val="TableContents"/>
              <w:bidi w:val="0"/>
              <w:spacing w:before="0" w:after="283"/>
              <w:jc w:val="center"/>
              <w:rPr/>
            </w:pPr>
            <w:r>
              <w:rPr/>
              <w:t>reported</w:t>
            </w:r>
          </w:p>
        </w:tc>
        <w:tc>
          <w:tcPr>
            <w:tcW w:w="112"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bookmarkStart w:id="954" w:name="xdx_496_20230101__20230930__srt--Restate"/>
            <w:bookmarkEnd w:id="954"/>
          </w:p>
        </w:tc>
        <w:tc>
          <w:tcPr>
            <w:tcW w:w="1325" w:type="dxa"/>
            <w:gridSpan w:val="2"/>
            <w:tcBorders>
              <w:bottom w:val="single" w:sz="8" w:space="0" w:color="000000"/>
            </w:tcBorders>
            <w:vAlign w:val="center"/>
          </w:tcPr>
          <w:p>
            <w:pPr>
              <w:pStyle w:val="TableContents"/>
              <w:bidi w:val="0"/>
              <w:spacing w:before="0" w:after="283"/>
              <w:jc w:val="center"/>
              <w:rPr/>
            </w:pPr>
            <w:r>
              <w:rPr/>
              <w:t>Adjustment</w:t>
            </w:r>
          </w:p>
        </w:tc>
        <w:tc>
          <w:tcPr>
            <w:tcW w:w="112"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bookmarkStart w:id="955" w:name="xdx_49E_20230101__20230930_zn6K7XMdJHze"/>
            <w:bookmarkEnd w:id="955"/>
          </w:p>
        </w:tc>
        <w:tc>
          <w:tcPr>
            <w:tcW w:w="1217" w:type="dxa"/>
            <w:gridSpan w:val="2"/>
            <w:tcBorders>
              <w:bottom w:val="single" w:sz="8"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9" w:type="dxa"/>
            <w:gridSpan w:val="10"/>
            <w:tcBorders>
              <w:bottom w:val="single" w:sz="8" w:space="0" w:color="000000"/>
            </w:tcBorders>
            <w:vAlign w:val="center"/>
          </w:tcPr>
          <w:p>
            <w:pPr>
              <w:pStyle w:val="TableContents"/>
              <w:bidi w:val="0"/>
              <w:spacing w:before="0" w:after="283"/>
              <w:jc w:val="center"/>
              <w:rPr/>
            </w:pPr>
            <w:r>
              <w:rPr/>
              <w:t>For the nine months ended September 30, 2023</w:t>
            </w:r>
          </w:p>
        </w:tc>
        <w:tc>
          <w:tcPr>
            <w:tcW w:w="110" w:type="dxa"/>
            <w:tcBorders/>
            <w:tcMar>
              <w:bottom w:w="0" w:type="dxa"/>
            </w:tcMar>
            <w:vAlign w:val="center"/>
          </w:tcPr>
          <w:p>
            <w:pPr>
              <w:pStyle w:val="TableContents"/>
              <w:bidi w:val="0"/>
              <w:spacing w:before="0" w:after="283"/>
              <w:jc w:val="left"/>
              <w:rPr/>
            </w:pPr>
            <w:r>
              <w:rPr/>
              <w:t> </w:t>
            </w:r>
          </w:p>
        </w:tc>
      </w:tr>
      <w:tr>
        <w:trPr/>
        <w:tc>
          <w:tcPr>
            <w:tcW w:w="353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tc>
        <w:tc>
          <w:tcPr>
            <w:tcW w:w="60" w:type="dxa"/>
            <w:tcBorders/>
            <w:tcMar>
              <w:bottom w:w="0" w:type="dxa"/>
            </w:tcMar>
            <w:vAlign w:val="center"/>
          </w:tcPr>
          <w:p>
            <w:pPr>
              <w:pStyle w:val="TableContents"/>
              <w:bidi w:val="0"/>
              <w:spacing w:before="0" w:after="283"/>
              <w:jc w:val="left"/>
              <w:rPr/>
            </w:pPr>
            <w:r>
              <w:rPr/>
              <w:t> </w:t>
            </w:r>
          </w:p>
        </w:tc>
        <w:tc>
          <w:tcPr>
            <w:tcW w:w="1591" w:type="dxa"/>
            <w:gridSpan w:val="2"/>
            <w:tcBorders>
              <w:bottom w:val="single" w:sz="8" w:space="0" w:color="000000"/>
            </w:tcBorders>
            <w:vAlign w:val="center"/>
          </w:tcPr>
          <w:p>
            <w:pPr>
              <w:pStyle w:val="TableContents"/>
              <w:bidi w:val="0"/>
              <w:spacing w:before="0" w:after="283"/>
              <w:jc w:val="center"/>
              <w:rPr/>
            </w:pPr>
            <w:r>
              <w:rPr/>
              <w:t xml:space="preserve">As previously </w:t>
              <w:br/>
              <w:t>reported</w:t>
            </w:r>
          </w:p>
        </w:tc>
        <w:tc>
          <w:tcPr>
            <w:tcW w:w="112"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p>
        </w:tc>
        <w:tc>
          <w:tcPr>
            <w:tcW w:w="1325" w:type="dxa"/>
            <w:gridSpan w:val="2"/>
            <w:tcBorders>
              <w:bottom w:val="single" w:sz="8" w:space="0" w:color="000000"/>
            </w:tcBorders>
            <w:vAlign w:val="center"/>
          </w:tcPr>
          <w:p>
            <w:pPr>
              <w:pStyle w:val="TableContents"/>
              <w:bidi w:val="0"/>
              <w:spacing w:before="0" w:after="283"/>
              <w:jc w:val="center"/>
              <w:rPr/>
            </w:pPr>
            <w:r>
              <w:rPr/>
              <w:t>Adjustment</w:t>
            </w:r>
          </w:p>
        </w:tc>
        <w:tc>
          <w:tcPr>
            <w:tcW w:w="112"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p>
        </w:tc>
        <w:tc>
          <w:tcPr>
            <w:tcW w:w="1217" w:type="dxa"/>
            <w:gridSpan w:val="2"/>
            <w:tcBorders>
              <w:bottom w:val="single" w:sz="8"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bookmarkStart w:id="956" w:name="xdx_40B_eus-gaap--CostOfGoodsAndServices"/>
            <w:bookmarkEnd w:id="956"/>
          </w:p>
        </w:tc>
      </w:tr>
      <w:tr>
        <w:trPr/>
        <w:tc>
          <w:tcPr>
            <w:tcW w:w="353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40,541</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224</w:t>
            </w:r>
          </w:p>
        </w:tc>
        <w:tc>
          <w:tcPr>
            <w:tcW w:w="112"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40,765</w:t>
            </w:r>
          </w:p>
        </w:tc>
        <w:tc>
          <w:tcPr>
            <w:tcW w:w="110" w:type="dxa"/>
            <w:tcBorders/>
            <w:shd w:fill="CCEEFF" w:val="clear"/>
            <w:tcMar>
              <w:bottom w:w="0" w:type="dxa"/>
            </w:tcMar>
            <w:vAlign w:val="center"/>
          </w:tcPr>
          <w:p>
            <w:pPr>
              <w:pStyle w:val="TableContents"/>
              <w:bidi w:val="0"/>
              <w:spacing w:before="0" w:after="283"/>
              <w:jc w:val="left"/>
              <w:rPr/>
            </w:pPr>
            <w:r>
              <w:rPr/>
              <w:t> </w:t>
            </w:r>
            <w:bookmarkStart w:id="957" w:name="xdx_405_eus-gaap--GrossProfit_zYORoWpX55"/>
            <w:bookmarkEnd w:id="957"/>
          </w:p>
        </w:tc>
      </w:tr>
      <w:tr>
        <w:trPr/>
        <w:tc>
          <w:tcPr>
            <w:tcW w:w="353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13,413</w:t>
            </w:r>
          </w:p>
        </w:tc>
        <w:tc>
          <w:tcPr>
            <w:tcW w:w="112"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(224</w:t>
            </w:r>
          </w:p>
        </w:tc>
        <w:tc>
          <w:tcPr>
            <w:tcW w:w="112" w:type="dxa"/>
            <w:tcBorders/>
            <w:shd w:fill="FFFFFF" w:val="clear"/>
            <w:tcMar>
              <w:bottom w:w="0" w:type="dxa"/>
            </w:tcMar>
            <w:vAlign w:val="center"/>
          </w:tcPr>
          <w:p>
            <w:pPr>
              <w:pStyle w:val="TableContents"/>
              <w:bidi w:val="0"/>
              <w:spacing w:before="0" w:after="283"/>
              <w:jc w:val="left"/>
              <w:rPr/>
            </w:pPr>
            <w:r>
              <w:rPr/>
              <w:t>)</w:t>
            </w:r>
          </w:p>
        </w:tc>
        <w:tc>
          <w:tcPr>
            <w:tcW w:w="71"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13,189</w:t>
            </w:r>
          </w:p>
        </w:tc>
        <w:tc>
          <w:tcPr>
            <w:tcW w:w="110" w:type="dxa"/>
            <w:tcBorders/>
            <w:shd w:fill="FFFFFF" w:val="clear"/>
            <w:tcMar>
              <w:bottom w:w="0" w:type="dxa"/>
            </w:tcMar>
            <w:vAlign w:val="center"/>
          </w:tcPr>
          <w:p>
            <w:pPr>
              <w:pStyle w:val="TableContents"/>
              <w:bidi w:val="0"/>
              <w:spacing w:before="0" w:after="283"/>
              <w:jc w:val="left"/>
              <w:rPr/>
            </w:pPr>
            <w:r>
              <w:rPr/>
              <w:t> </w:t>
            </w:r>
            <w:bookmarkStart w:id="958" w:name="xdx_403_eus-gaap--OperatingIncomeLoss_zf"/>
            <w:bookmarkEnd w:id="958"/>
          </w:p>
        </w:tc>
      </w:tr>
      <w:tr>
        <w:trPr/>
        <w:tc>
          <w:tcPr>
            <w:tcW w:w="3530"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(24,108</w:t>
            </w:r>
          </w:p>
        </w:tc>
        <w:tc>
          <w:tcPr>
            <w:tcW w:w="112" w:type="dxa"/>
            <w:tcBorders/>
            <w:shd w:fill="CCEEFF" w:val="clear"/>
            <w:tcMar>
              <w:bottom w:w="0" w:type="dxa"/>
            </w:tcMar>
            <w:vAlign w:val="center"/>
          </w:tcPr>
          <w:p>
            <w:pPr>
              <w:pStyle w:val="TableContents"/>
              <w:bidi w:val="0"/>
              <w:spacing w:before="0" w:after="283"/>
              <w:jc w:val="left"/>
              <w:rPr/>
            </w:pPr>
            <w:r>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(224</w:t>
            </w:r>
          </w:p>
        </w:tc>
        <w:tc>
          <w:tcPr>
            <w:tcW w:w="112" w:type="dxa"/>
            <w:tcBorders/>
            <w:shd w:fill="CCEEFF" w:val="clear"/>
            <w:tcMar>
              <w:bottom w:w="0" w:type="dxa"/>
            </w:tcMar>
            <w:vAlign w:val="center"/>
          </w:tcPr>
          <w:p>
            <w:pPr>
              <w:pStyle w:val="TableContents"/>
              <w:bidi w:val="0"/>
              <w:spacing w:before="0" w:after="283"/>
              <w:jc w:val="left"/>
              <w:rPr/>
            </w:pPr>
            <w:r>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(24,332</w:t>
            </w:r>
          </w:p>
        </w:tc>
        <w:tc>
          <w:tcPr>
            <w:tcW w:w="110" w:type="dxa"/>
            <w:tcBorders/>
            <w:shd w:fill="CCEEFF" w:val="clear"/>
            <w:tcMar>
              <w:bottom w:w="0" w:type="dxa"/>
            </w:tcMar>
            <w:vAlign w:val="center"/>
          </w:tcPr>
          <w:p>
            <w:pPr>
              <w:pStyle w:val="TableContents"/>
              <w:bidi w:val="0"/>
              <w:spacing w:before="0" w:after="283"/>
              <w:jc w:val="left"/>
              <w:rPr/>
            </w:pPr>
            <w:r>
              <w:rPr/>
              <w:t>)</w:t>
            </w:r>
            <w:bookmarkStart w:id="959" w:name="xdx_40A_eus-gaap--InterestExpense_zLLrKv"/>
            <w:bookmarkEnd w:id="959"/>
          </w:p>
        </w:tc>
      </w:tr>
      <w:tr>
        <w:trPr/>
        <w:tc>
          <w:tcPr>
            <w:tcW w:w="353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(11,905</w:t>
            </w:r>
          </w:p>
        </w:tc>
        <w:tc>
          <w:tcPr>
            <w:tcW w:w="112" w:type="dxa"/>
            <w:tcBorders/>
            <w:shd w:fill="FFFFFF" w:val="clear"/>
            <w:tcMar>
              <w:bottom w:w="0" w:type="dxa"/>
            </w:tcMar>
            <w:vAlign w:val="center"/>
          </w:tcPr>
          <w:p>
            <w:pPr>
              <w:pStyle w:val="TableContents"/>
              <w:bidi w:val="0"/>
              <w:spacing w:before="0" w:after="283"/>
              <w:jc w:val="left"/>
              <w:rPr/>
            </w:pPr>
            <w:r>
              <w:rPr/>
              <w:t>)</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(76</w:t>
            </w:r>
          </w:p>
        </w:tc>
        <w:tc>
          <w:tcPr>
            <w:tcW w:w="112" w:type="dxa"/>
            <w:tcBorders/>
            <w:shd w:fill="FFFFFF" w:val="clear"/>
            <w:tcMar>
              <w:bottom w:w="0" w:type="dxa"/>
            </w:tcMar>
            <w:vAlign w:val="center"/>
          </w:tcPr>
          <w:p>
            <w:pPr>
              <w:pStyle w:val="TableContents"/>
              <w:bidi w:val="0"/>
              <w:spacing w:before="0" w:after="283"/>
              <w:jc w:val="left"/>
              <w:rPr/>
            </w:pPr>
            <w:r>
              <w:rPr/>
              <w:t>)</w:t>
            </w:r>
          </w:p>
        </w:tc>
        <w:tc>
          <w:tcPr>
            <w:tcW w:w="71"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(11,981</w:t>
            </w:r>
          </w:p>
        </w:tc>
        <w:tc>
          <w:tcPr>
            <w:tcW w:w="110" w:type="dxa"/>
            <w:tcBorders/>
            <w:shd w:fill="FFFFFF" w:val="clear"/>
            <w:tcMar>
              <w:bottom w:w="0" w:type="dxa"/>
            </w:tcMar>
            <w:vAlign w:val="center"/>
          </w:tcPr>
          <w:p>
            <w:pPr>
              <w:pStyle w:val="TableContents"/>
              <w:bidi w:val="0"/>
              <w:spacing w:before="0" w:after="283"/>
              <w:jc w:val="left"/>
              <w:rPr/>
            </w:pPr>
            <w:r>
              <w:rPr/>
              <w:t>)</w:t>
            </w:r>
            <w:bookmarkStart w:id="960" w:name="xdx_40F_eus-gaap--IncomeLossFromContinui"/>
            <w:bookmarkEnd w:id="960"/>
          </w:p>
        </w:tc>
      </w:tr>
      <w:tr>
        <w:trPr/>
        <w:tc>
          <w:tcPr>
            <w:tcW w:w="3530" w:type="dxa"/>
            <w:tcBorders/>
            <w:shd w:fill="CCEEFF" w:val="clear"/>
            <w:tcMar>
              <w:bottom w:w="0" w:type="dxa"/>
            </w:tcMar>
            <w:vAlign w:val="center"/>
          </w:tcPr>
          <w:p>
            <w:pPr>
              <w:pStyle w:val="TableContents"/>
              <w:bidi w:val="0"/>
              <w:spacing w:before="0" w:after="283"/>
              <w:jc w:val="left"/>
              <w:rPr/>
            </w:pPr>
            <w:r>
              <w:rPr/>
              <w:t>Loss Before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(16,831</w:t>
            </w:r>
          </w:p>
        </w:tc>
        <w:tc>
          <w:tcPr>
            <w:tcW w:w="112" w:type="dxa"/>
            <w:tcBorders/>
            <w:shd w:fill="CCEEFF" w:val="clear"/>
            <w:tcMar>
              <w:bottom w:w="0" w:type="dxa"/>
            </w:tcMar>
            <w:vAlign w:val="center"/>
          </w:tcPr>
          <w:p>
            <w:pPr>
              <w:pStyle w:val="TableContents"/>
              <w:bidi w:val="0"/>
              <w:spacing w:before="0" w:after="283"/>
              <w:jc w:val="left"/>
              <w:rPr/>
            </w:pPr>
            <w:r>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r>
              <w:rPr/>
              <w:t>(300</w:t>
            </w:r>
          </w:p>
        </w:tc>
        <w:tc>
          <w:tcPr>
            <w:tcW w:w="112" w:type="dxa"/>
            <w:tcBorders/>
            <w:shd w:fill="CCEEFF" w:val="clear"/>
            <w:tcMar>
              <w:bottom w:w="0" w:type="dxa"/>
            </w:tcMar>
            <w:vAlign w:val="center"/>
          </w:tcPr>
          <w:p>
            <w:pPr>
              <w:pStyle w:val="TableContents"/>
              <w:bidi w:val="0"/>
              <w:spacing w:before="0" w:after="283"/>
              <w:jc w:val="left"/>
              <w:rPr/>
            </w:pPr>
            <w:r>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(17,131</w:t>
            </w:r>
          </w:p>
        </w:tc>
        <w:tc>
          <w:tcPr>
            <w:tcW w:w="110" w:type="dxa"/>
            <w:tcBorders/>
            <w:shd w:fill="CCEEFF" w:val="clear"/>
            <w:tcMar>
              <w:bottom w:w="0" w:type="dxa"/>
            </w:tcMar>
            <w:vAlign w:val="center"/>
          </w:tcPr>
          <w:p>
            <w:pPr>
              <w:pStyle w:val="TableContents"/>
              <w:bidi w:val="0"/>
              <w:spacing w:before="0" w:after="283"/>
              <w:jc w:val="left"/>
              <w:rPr/>
            </w:pPr>
            <w:r>
              <w:rPr/>
              <w:t>)</w:t>
            </w:r>
            <w:bookmarkStart w:id="961" w:name="xdx_400_eus-gaap--NetIncomeLoss_znfYPZMz"/>
            <w:bookmarkEnd w:id="961"/>
          </w:p>
        </w:tc>
      </w:tr>
      <w:tr>
        <w:trPr/>
        <w:tc>
          <w:tcPr>
            <w:tcW w:w="353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(16,831</w:t>
            </w:r>
          </w:p>
        </w:tc>
        <w:tc>
          <w:tcPr>
            <w:tcW w:w="112" w:type="dxa"/>
            <w:tcBorders/>
            <w:shd w:fill="FFFFFF" w:val="clear"/>
            <w:tcMar>
              <w:bottom w:w="0" w:type="dxa"/>
            </w:tcMar>
            <w:vAlign w:val="center"/>
          </w:tcPr>
          <w:p>
            <w:pPr>
              <w:pStyle w:val="TableContents"/>
              <w:bidi w:val="0"/>
              <w:spacing w:before="0" w:after="283"/>
              <w:jc w:val="left"/>
              <w:rPr/>
            </w:pPr>
            <w:r>
              <w:rPr/>
              <w:t>)</w:t>
            </w:r>
          </w:p>
        </w:tc>
        <w:tc>
          <w:tcPr>
            <w:tcW w:w="71"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172" w:type="dxa"/>
            <w:tcBorders/>
            <w:shd w:fill="FFFFFF" w:val="clear"/>
            <w:tcMar>
              <w:bottom w:w="0" w:type="dxa"/>
            </w:tcMar>
            <w:vAlign w:val="center"/>
          </w:tcPr>
          <w:p>
            <w:pPr>
              <w:pStyle w:val="TableContents"/>
              <w:bidi w:val="0"/>
              <w:spacing w:before="0" w:after="283"/>
              <w:jc w:val="right"/>
              <w:rPr/>
            </w:pPr>
            <w:r>
              <w:rPr/>
              <w:t>(300</w:t>
            </w:r>
          </w:p>
        </w:tc>
        <w:tc>
          <w:tcPr>
            <w:tcW w:w="112" w:type="dxa"/>
            <w:tcBorders/>
            <w:shd w:fill="FFFFFF" w:val="clear"/>
            <w:tcMar>
              <w:bottom w:w="0" w:type="dxa"/>
            </w:tcMar>
            <w:vAlign w:val="center"/>
          </w:tcPr>
          <w:p>
            <w:pPr>
              <w:pStyle w:val="TableContents"/>
              <w:bidi w:val="0"/>
              <w:spacing w:before="0" w:after="283"/>
              <w:jc w:val="left"/>
              <w:rPr/>
            </w:pPr>
            <w:r>
              <w:rPr/>
              <w:t>)</w:t>
            </w:r>
          </w:p>
        </w:tc>
        <w:tc>
          <w:tcPr>
            <w:tcW w:w="71"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(17,131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530" w:type="dxa"/>
            <w:tcBorders/>
            <w:shd w:fill="CCEEFF" w:val="clear"/>
            <w:tcMar>
              <w:bottom w:w="0" w:type="dxa"/>
            </w:tcMar>
            <w:vAlign w:val="center"/>
          </w:tcPr>
          <w:p>
            <w:pPr>
              <w:pStyle w:val="TableContents"/>
              <w:bidi w:val="0"/>
              <w:spacing w:before="0" w:after="283"/>
              <w:jc w:val="left"/>
              <w:rPr/>
            </w:pPr>
            <w:r>
              <w:rPr/>
              <w:t>Net Loss per share - Basic &amp; Diluted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bookmarkStart w:id="962" w:name="xdx_90E_eus-gaap--EarningsPerShareDilute"/>
            <w:bookmarkStart w:id="963" w:name="xdx_90D_eus-gaap--EarningsPerShareBasic_"/>
            <w:bookmarkEnd w:id="962"/>
            <w:bookmarkEnd w:id="963"/>
            <w:r>
              <w:rPr/>
              <w:t>(0.34</w:t>
            </w:r>
          </w:p>
        </w:tc>
        <w:tc>
          <w:tcPr>
            <w:tcW w:w="112" w:type="dxa"/>
            <w:tcBorders/>
            <w:shd w:fill="CCEEFF" w:val="clear"/>
            <w:tcMar>
              <w:bottom w:w="0" w:type="dxa"/>
            </w:tcMar>
            <w:vAlign w:val="center"/>
          </w:tcPr>
          <w:p>
            <w:pPr>
              <w:pStyle w:val="TableContents"/>
              <w:bidi w:val="0"/>
              <w:spacing w:before="0" w:after="283"/>
              <w:jc w:val="left"/>
              <w:rPr/>
            </w:pPr>
            <w:r>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172" w:type="dxa"/>
            <w:tcBorders/>
            <w:shd w:fill="CCEEFF" w:val="clear"/>
            <w:tcMar>
              <w:bottom w:w="0" w:type="dxa"/>
            </w:tcMar>
            <w:vAlign w:val="center"/>
          </w:tcPr>
          <w:p>
            <w:pPr>
              <w:pStyle w:val="TableContents"/>
              <w:bidi w:val="0"/>
              <w:spacing w:before="0" w:after="283"/>
              <w:jc w:val="right"/>
              <w:rPr/>
            </w:pPr>
            <w:bookmarkStart w:id="964" w:name="xdx_90E_eus-gaap--EarningsPerShareDilute"/>
            <w:bookmarkStart w:id="965" w:name="xdx_900_eus-gaap--EarningsPerShareBasic_"/>
            <w:bookmarkEnd w:id="964"/>
            <w:bookmarkEnd w:id="965"/>
            <w:r>
              <w:rPr/>
              <w:t>(0.0</w:t>
            </w:r>
          </w:p>
        </w:tc>
        <w:tc>
          <w:tcPr>
            <w:tcW w:w="112" w:type="dxa"/>
            <w:tcBorders/>
            <w:shd w:fill="CCEEFF" w:val="clear"/>
            <w:tcMar>
              <w:bottom w:w="0" w:type="dxa"/>
            </w:tcMar>
            <w:vAlign w:val="center"/>
          </w:tcPr>
          <w:p>
            <w:pPr>
              <w:pStyle w:val="TableContents"/>
              <w:bidi w:val="0"/>
              <w:spacing w:before="0" w:after="283"/>
              <w:jc w:val="left"/>
              <w:rPr/>
            </w:pPr>
            <w:r>
              <w:rPr/>
              <w:t>)</w:t>
            </w:r>
          </w:p>
        </w:tc>
        <w:tc>
          <w:tcPr>
            <w:tcW w:w="71"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bookmarkStart w:id="966" w:name="xdx_900_eus-gaap--EarningsPerShareDilute"/>
            <w:bookmarkStart w:id="967" w:name="xdx_906_eus-gaap--EarningsPerShareBasic_"/>
            <w:bookmarkEnd w:id="966"/>
            <w:bookmarkEnd w:id="967"/>
            <w:r>
              <w:rPr/>
              <w:t>(0.34</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rPr>
      </w:pPr>
      <w:r>
        <w:rPr>
          <w:caps/>
        </w:rPr>
        <w:t> </w:t>
      </w:r>
    </w:p>
    <w:tbl>
      <w:tblPr>
        <w:tblW w:w="8977" w:type="dxa"/>
        <w:jc w:val="left"/>
        <w:tblInd w:w="0" w:type="dxa"/>
        <w:tblLayout w:type="fixed"/>
        <w:tblCellMar>
          <w:top w:w="0" w:type="dxa"/>
          <w:left w:w="0" w:type="dxa"/>
          <w:bottom w:w="28" w:type="dxa"/>
          <w:right w:w="0" w:type="dxa"/>
        </w:tblCellMar>
      </w:tblPr>
      <w:tblGrid>
        <w:gridCol w:w="4040"/>
        <w:gridCol w:w="60"/>
        <w:gridCol w:w="158"/>
        <w:gridCol w:w="2021"/>
        <w:gridCol w:w="100"/>
        <w:gridCol w:w="63"/>
        <w:gridCol w:w="136"/>
        <w:gridCol w:w="1043"/>
        <w:gridCol w:w="100"/>
        <w:gridCol w:w="63"/>
        <w:gridCol w:w="79"/>
        <w:gridCol w:w="1004"/>
        <w:gridCol w:w="110"/>
      </w:tblGrid>
      <w:tr>
        <w:trPr/>
        <w:tc>
          <w:tcPr>
            <w:tcW w:w="4040" w:type="dxa"/>
            <w:tcBorders>
              <w:bottom w:val="single" w:sz="12" w:space="0" w:color="000000"/>
            </w:tcBorders>
            <w:vAlign w:val="center"/>
          </w:tcPr>
          <w:p>
            <w:pPr>
              <w:pStyle w:val="TableContents"/>
              <w:bidi w:val="0"/>
              <w:spacing w:before="0" w:after="283"/>
              <w:jc w:val="left"/>
              <w:rPr>
                <w:b/>
              </w:rPr>
            </w:pPr>
            <w:r>
              <w:rPr>
                <w:b/>
              </w:rPr>
              <w:t>Consolidated Statements of Cash Flows</w:t>
            </w:r>
          </w:p>
        </w:tc>
        <w:tc>
          <w:tcPr>
            <w:tcW w:w="60" w:type="dxa"/>
            <w:tcBorders/>
            <w:tcMar>
              <w:bottom w:w="0" w:type="dxa"/>
            </w:tcMar>
            <w:vAlign w:val="center"/>
          </w:tcPr>
          <w:p>
            <w:pPr>
              <w:pStyle w:val="TableContents"/>
              <w:bidi w:val="0"/>
              <w:spacing w:before="0" w:after="283"/>
              <w:jc w:val="left"/>
              <w:rPr/>
            </w:pPr>
            <w:r>
              <w:rPr/>
              <w:t> </w:t>
            </w:r>
            <w:bookmarkStart w:id="968" w:name="xdx_491_20230101__20230930__srt--Restate"/>
            <w:bookmarkEnd w:id="968"/>
          </w:p>
        </w:tc>
        <w:tc>
          <w:tcPr>
            <w:tcW w:w="2179" w:type="dxa"/>
            <w:gridSpan w:val="2"/>
            <w:tcBorders>
              <w:bottom w:val="single" w:sz="12" w:space="0" w:color="000000"/>
            </w:tcBorders>
            <w:vAlign w:val="center"/>
          </w:tcPr>
          <w:p>
            <w:pPr>
              <w:pStyle w:val="TableContents"/>
              <w:bidi w:val="0"/>
              <w:spacing w:before="0" w:after="283"/>
              <w:jc w:val="center"/>
              <w:rPr/>
            </w:pPr>
            <w:r>
              <w:rPr/>
              <w:t>As previously</w:t>
              <w:br/>
              <w:t>reported</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bookmarkStart w:id="969" w:name="xdx_499_20230101__20230930__srt--Restate"/>
            <w:bookmarkEnd w:id="969"/>
          </w:p>
        </w:tc>
        <w:tc>
          <w:tcPr>
            <w:tcW w:w="1179" w:type="dxa"/>
            <w:gridSpan w:val="2"/>
            <w:tcBorders>
              <w:bottom w:val="single" w:sz="12" w:space="0" w:color="000000"/>
            </w:tcBorders>
            <w:vAlign w:val="center"/>
          </w:tcPr>
          <w:p>
            <w:pPr>
              <w:pStyle w:val="TableContents"/>
              <w:bidi w:val="0"/>
              <w:spacing w:before="0" w:after="283"/>
              <w:jc w:val="center"/>
              <w:rPr/>
            </w:pPr>
            <w:r>
              <w:rPr/>
              <w:t>Adjustment</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bookmarkStart w:id="970" w:name="xdx_492_20230101__20230930_zddvziSwkox2"/>
            <w:bookmarkEnd w:id="970"/>
          </w:p>
        </w:tc>
        <w:tc>
          <w:tcPr>
            <w:tcW w:w="1083" w:type="dxa"/>
            <w:gridSpan w:val="2"/>
            <w:tcBorders>
              <w:bottom w:val="single" w:sz="12"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767" w:type="dxa"/>
            <w:gridSpan w:val="10"/>
            <w:tcBorders>
              <w:bottom w:val="single" w:sz="8" w:space="0" w:color="000000"/>
            </w:tcBorders>
            <w:vAlign w:val="center"/>
          </w:tcPr>
          <w:p>
            <w:pPr>
              <w:pStyle w:val="TableContents"/>
              <w:bidi w:val="0"/>
              <w:spacing w:before="0" w:after="283"/>
              <w:jc w:val="center"/>
              <w:rPr/>
            </w:pPr>
            <w:r>
              <w:rPr/>
              <w:t>For the Period Ended September 30, 2023</w:t>
            </w:r>
          </w:p>
        </w:tc>
        <w:tc>
          <w:tcPr>
            <w:tcW w:w="110" w:type="dxa"/>
            <w:tcBorders/>
            <w:tcMar>
              <w:bottom w:w="0" w:type="dxa"/>
            </w:tcMar>
            <w:vAlign w:val="center"/>
          </w:tcPr>
          <w:p>
            <w:pPr>
              <w:pStyle w:val="TableContents"/>
              <w:bidi w:val="0"/>
              <w:spacing w:before="0" w:after="283"/>
              <w:jc w:val="left"/>
              <w:rPr/>
            </w:pPr>
            <w:r>
              <w:rPr/>
              <w:t> </w:t>
            </w:r>
          </w:p>
        </w:tc>
      </w:tr>
      <w:tr>
        <w:trPr/>
        <w:tc>
          <w:tcPr>
            <w:tcW w:w="4040" w:type="dxa"/>
            <w:tcBorders>
              <w:bottom w:val="single" w:sz="8" w:space="0" w:color="000000"/>
            </w:tcBorders>
            <w:vAlign w:val="center"/>
          </w:tcPr>
          <w:p>
            <w:pPr>
              <w:pStyle w:val="TableContents"/>
              <w:bidi w:val="0"/>
              <w:spacing w:before="0" w:after="283"/>
              <w:jc w:val="both"/>
              <w:rPr>
                <w:b/>
              </w:rPr>
            </w:pPr>
            <w:r>
              <w:rPr>
                <w:b/>
              </w:rPr>
              <w:t>Consolidated Statements of Cash Flows</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bottom w:val="single" w:sz="8" w:space="0" w:color="000000"/>
            </w:tcBorders>
            <w:vAlign w:val="center"/>
          </w:tcPr>
          <w:p>
            <w:pPr>
              <w:pStyle w:val="TableContents"/>
              <w:bidi w:val="0"/>
              <w:spacing w:before="0" w:after="283"/>
              <w:jc w:val="center"/>
              <w:rPr/>
            </w:pPr>
            <w:r>
              <w:rPr/>
              <w:t>As previously reported</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1179" w:type="dxa"/>
            <w:gridSpan w:val="2"/>
            <w:tcBorders>
              <w:bottom w:val="single" w:sz="8" w:space="0" w:color="000000"/>
            </w:tcBorders>
            <w:vAlign w:val="center"/>
          </w:tcPr>
          <w:p>
            <w:pPr>
              <w:pStyle w:val="TableContents"/>
              <w:bidi w:val="0"/>
              <w:spacing w:before="0" w:after="283"/>
              <w:jc w:val="center"/>
              <w:rPr/>
            </w:pPr>
            <w:r>
              <w:rPr/>
              <w:t>Adjustment</w:t>
            </w:r>
          </w:p>
        </w:tc>
        <w:tc>
          <w:tcPr>
            <w:tcW w:w="10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1083" w:type="dxa"/>
            <w:gridSpan w:val="2"/>
            <w:tcBorders>
              <w:bottom w:val="single" w:sz="8"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bookmarkStart w:id="971" w:name="xdx_405_eus-gaap--NetIncomeLoss_z9LYtnPD"/>
            <w:bookmarkEnd w:id="971"/>
          </w:p>
        </w:tc>
      </w:tr>
      <w:tr>
        <w:trPr/>
        <w:tc>
          <w:tcPr>
            <w:tcW w:w="4040" w:type="dxa"/>
            <w:tcBorders/>
            <w:shd w:fill="CCEEFF" w:val="clear"/>
            <w:tcMar>
              <w:bottom w:w="0" w:type="dxa"/>
            </w:tcMar>
            <w:vAlign w:val="center"/>
          </w:tcPr>
          <w:p>
            <w:pPr>
              <w:pStyle w:val="TableContents"/>
              <w:bidi w:val="0"/>
              <w:spacing w:before="0" w:after="283"/>
              <w:jc w:val="left"/>
              <w:rPr/>
            </w:pPr>
            <w:r>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283"/>
              <w:jc w:val="right"/>
              <w:rPr/>
            </w:pPr>
            <w:r>
              <w:rPr/>
              <w:t>(16,831</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43" w:type="dxa"/>
            <w:tcBorders/>
            <w:shd w:fill="CCEEFF" w:val="clear"/>
            <w:tcMar>
              <w:bottom w:w="0" w:type="dxa"/>
            </w:tcMar>
            <w:vAlign w:val="center"/>
          </w:tcPr>
          <w:p>
            <w:pPr>
              <w:pStyle w:val="TableContents"/>
              <w:bidi w:val="0"/>
              <w:spacing w:before="0" w:after="283"/>
              <w:jc w:val="right"/>
              <w:rPr/>
            </w:pPr>
            <w:r>
              <w:rPr/>
              <w:t>(300</w:t>
            </w:r>
          </w:p>
        </w:tc>
        <w:tc>
          <w:tcPr>
            <w:tcW w:w="100" w:type="dxa"/>
            <w:tcBorders/>
            <w:shd w:fill="CCEEFF" w:val="clear"/>
            <w:tcMar>
              <w:bottom w:w="0" w:type="dxa"/>
            </w:tcMar>
            <w:vAlign w:val="center"/>
          </w:tcPr>
          <w:p>
            <w:pPr>
              <w:pStyle w:val="TableContents"/>
              <w:bidi w:val="0"/>
              <w:spacing w:before="0" w:after="283"/>
              <w:jc w:val="left"/>
              <w:rPr/>
            </w:pPr>
            <w:r>
              <w:rPr/>
              <w:t>)</w:t>
            </w:r>
          </w:p>
        </w:tc>
        <w:tc>
          <w:tcPr>
            <w:tcW w:w="63"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spacing w:before="0" w:after="283"/>
              <w:jc w:val="right"/>
              <w:rPr/>
            </w:pPr>
            <w:r>
              <w:rPr/>
              <w:t>(17,131</w:t>
            </w:r>
          </w:p>
        </w:tc>
        <w:tc>
          <w:tcPr>
            <w:tcW w:w="110" w:type="dxa"/>
            <w:tcBorders/>
            <w:shd w:fill="CCEEFF" w:val="clear"/>
            <w:tcMar>
              <w:bottom w:w="0" w:type="dxa"/>
            </w:tcMar>
            <w:vAlign w:val="center"/>
          </w:tcPr>
          <w:p>
            <w:pPr>
              <w:pStyle w:val="TableContents"/>
              <w:bidi w:val="0"/>
              <w:spacing w:before="0" w:after="283"/>
              <w:jc w:val="left"/>
              <w:rPr/>
            </w:pPr>
            <w:r>
              <w:rPr/>
              <w:t>)</w:t>
            </w:r>
            <w:bookmarkStart w:id="972" w:name="xdx_408_ecustom--IncreaseDecreaseInAccru"/>
            <w:bookmarkEnd w:id="972"/>
          </w:p>
        </w:tc>
      </w:tr>
      <w:tr>
        <w:trPr/>
        <w:tc>
          <w:tcPr>
            <w:tcW w:w="4040" w:type="dxa"/>
            <w:tcBorders/>
            <w:shd w:fill="FFFFFF" w:val="clear"/>
            <w:tcMar>
              <w:bottom w:w="0" w:type="dxa"/>
            </w:tcMar>
            <w:vAlign w:val="center"/>
          </w:tcPr>
          <w:p>
            <w:pPr>
              <w:pStyle w:val="TableContents"/>
              <w:bidi w:val="0"/>
              <w:spacing w:before="0" w:after="283"/>
              <w:jc w:val="left"/>
              <w:rPr/>
            </w:pPr>
            <w:r>
              <w:rPr/>
              <w:t>Change in Accrued Tariffs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2021" w:type="dxa"/>
            <w:tcBorders/>
            <w:shd w:fill="FFFFFF" w:val="clear"/>
            <w:tcMar>
              <w:bottom w:w="0" w:type="dxa"/>
            </w:tcMar>
            <w:vAlign w:val="center"/>
          </w:tcPr>
          <w:p>
            <w:pPr>
              <w:pStyle w:val="TableContents"/>
              <w:bidi w:val="0"/>
              <w:spacing w:before="0" w:after="283"/>
              <w:jc w:val="right"/>
              <w:rPr/>
            </w:pPr>
            <w:r>
              <w:rPr/>
              <w:t>-</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43" w:type="dxa"/>
            <w:tcBorders/>
            <w:shd w:fill="FFFFFF" w:val="clear"/>
            <w:tcMar>
              <w:bottom w:w="0" w:type="dxa"/>
            </w:tcMar>
            <w:vAlign w:val="center"/>
          </w:tcPr>
          <w:p>
            <w:pPr>
              <w:pStyle w:val="TableContents"/>
              <w:bidi w:val="0"/>
              <w:spacing w:before="0" w:after="283"/>
              <w:jc w:val="right"/>
              <w:rPr/>
            </w:pPr>
            <w:r>
              <w:rPr/>
              <w:t>300</w:t>
            </w:r>
          </w:p>
        </w:tc>
        <w:tc>
          <w:tcPr>
            <w:tcW w:w="10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right"/>
              <w:rPr/>
            </w:pPr>
            <w:r>
              <w:rPr/>
              <w:t>300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Revisions of Previously Issued Financial Statements (Continued)</w:t>
      </w:r>
    </w:p>
    <w:p>
      <w:pPr>
        <w:pStyle w:val="TextBody"/>
        <w:bidi w:val="0"/>
        <w:spacing w:before="0" w:after="0"/>
        <w:ind w:left="0" w:right="0" w:hanging="0"/>
        <w:jc w:val="both"/>
        <w:rPr>
          <w:caps/>
        </w:rPr>
      </w:pPr>
      <w:r>
        <w:rPr>
          <w:caps/>
        </w:rPr>
        <w:t> </w:t>
      </w:r>
    </w:p>
    <w:tbl>
      <w:tblPr>
        <w:tblW w:w="8959" w:type="dxa"/>
        <w:jc w:val="left"/>
        <w:tblInd w:w="0" w:type="dxa"/>
        <w:tblLayout w:type="fixed"/>
        <w:tblCellMar>
          <w:top w:w="0" w:type="dxa"/>
          <w:left w:w="0" w:type="dxa"/>
          <w:bottom w:w="28" w:type="dxa"/>
          <w:right w:w="0" w:type="dxa"/>
        </w:tblCellMar>
      </w:tblPr>
      <w:tblGrid>
        <w:gridCol w:w="4160"/>
        <w:gridCol w:w="60"/>
        <w:gridCol w:w="158"/>
        <w:gridCol w:w="2021"/>
        <w:gridCol w:w="95"/>
        <w:gridCol w:w="60"/>
        <w:gridCol w:w="129"/>
        <w:gridCol w:w="986"/>
        <w:gridCol w:w="95"/>
        <w:gridCol w:w="60"/>
        <w:gridCol w:w="75"/>
        <w:gridCol w:w="950"/>
        <w:gridCol w:w="110"/>
      </w:tblGrid>
      <w:tr>
        <w:trPr/>
        <w:tc>
          <w:tcPr>
            <w:tcW w:w="4160"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Consolidated Statements of Stockholders’ Equity</w:t>
            </w:r>
          </w:p>
        </w:tc>
        <w:tc>
          <w:tcPr>
            <w:tcW w:w="60" w:type="dxa"/>
            <w:tcBorders/>
            <w:tcMar>
              <w:bottom w:w="0" w:type="dxa"/>
            </w:tcMar>
            <w:vAlign w:val="center"/>
          </w:tcPr>
          <w:p>
            <w:pPr>
              <w:pStyle w:val="TableContents"/>
              <w:bidi w:val="0"/>
              <w:spacing w:before="0" w:after="283"/>
              <w:jc w:val="left"/>
              <w:rPr/>
            </w:pPr>
            <w:r>
              <w:rPr/>
              <w:t> </w:t>
            </w:r>
            <w:bookmarkStart w:id="973" w:name="xdx_4B3_srt--RestatementAxis_srt--Scenar"/>
            <w:bookmarkEnd w:id="973"/>
          </w:p>
        </w:tc>
        <w:tc>
          <w:tcPr>
            <w:tcW w:w="21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74" w:name="xdx_4BC_srt--RestatementAxis_srt--Revisi"/>
            <w:bookmarkEnd w:id="974"/>
          </w:p>
        </w:tc>
        <w:tc>
          <w:tcPr>
            <w:tcW w:w="11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75" w:name="xdx_4B4_zDdVHBQd6VOe"/>
            <w:bookmarkEnd w:id="975"/>
          </w:p>
        </w:tc>
        <w:tc>
          <w:tcPr>
            <w:tcW w:w="10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As revised</w:t>
            </w:r>
          </w:p>
        </w:tc>
        <w:tc>
          <w:tcPr>
            <w:tcW w:w="110" w:type="dxa"/>
            <w:tcBorders/>
            <w:tcMar>
              <w:bottom w:w="0" w:type="dxa"/>
            </w:tcMar>
            <w:vAlign w:val="center"/>
          </w:tcPr>
          <w:p>
            <w:pPr>
              <w:pStyle w:val="TableContents"/>
              <w:bidi w:val="0"/>
              <w:spacing w:before="0" w:after="283"/>
              <w:jc w:val="left"/>
              <w:rPr/>
            </w:pPr>
            <w:r>
              <w:rPr/>
              <w:t> </w:t>
            </w:r>
          </w:p>
        </w:tc>
      </w:tr>
      <w:tr>
        <w:trPr/>
        <w:tc>
          <w:tcPr>
            <w:tcW w:w="41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29" w:type="dxa"/>
            <w:gridSpan w:val="10"/>
            <w:tcBorders>
              <w:bottom w:val="single" w:sz="8" w:space="0" w:color="000000"/>
            </w:tcBorders>
            <w:vAlign w:val="center"/>
          </w:tcPr>
          <w:p>
            <w:pPr>
              <w:pStyle w:val="TableContents"/>
              <w:bidi w:val="0"/>
              <w:spacing w:before="0" w:after="283"/>
              <w:jc w:val="center"/>
              <w:rPr/>
            </w:pPr>
            <w:r>
              <w:rPr/>
              <w:t>For the Period Ended September 30, 2023</w:t>
            </w:r>
          </w:p>
        </w:tc>
        <w:tc>
          <w:tcPr>
            <w:tcW w:w="110" w:type="dxa"/>
            <w:tcBorders/>
            <w:tcMar>
              <w:bottom w:w="0" w:type="dxa"/>
            </w:tcMar>
            <w:vAlign w:val="center"/>
          </w:tcPr>
          <w:p>
            <w:pPr>
              <w:pStyle w:val="TableContents"/>
              <w:bidi w:val="0"/>
              <w:spacing w:before="0" w:after="283"/>
              <w:jc w:val="left"/>
              <w:rPr/>
            </w:pPr>
            <w:r>
              <w:rPr/>
              <w:t> </w:t>
            </w:r>
          </w:p>
        </w:tc>
      </w:tr>
      <w:tr>
        <w:trPr/>
        <w:tc>
          <w:tcPr>
            <w:tcW w:w="416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bottom w:val="single" w:sz="8" w:space="0" w:color="000000"/>
            </w:tcBorders>
            <w:vAlign w:val="center"/>
          </w:tcPr>
          <w:p>
            <w:pPr>
              <w:pStyle w:val="TableContents"/>
              <w:bidi w:val="0"/>
              <w:spacing w:before="0" w:after="283"/>
              <w:jc w:val="center"/>
              <w:rPr/>
            </w:pPr>
            <w:r>
              <w:rPr/>
              <w:t>As previously reported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pPr>
            <w:r>
              <w:rPr/>
              <w:t>Adjustment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8" w:space="0" w:color="000000"/>
            </w:tcBorders>
            <w:vAlign w:val="center"/>
          </w:tcPr>
          <w:p>
            <w:pPr>
              <w:pStyle w:val="TableContents"/>
              <w:bidi w:val="0"/>
              <w:spacing w:before="0" w:after="283"/>
              <w:jc w:val="center"/>
              <w:rPr/>
            </w:pPr>
            <w:r>
              <w:rPr/>
              <w:t>As revised</w:t>
            </w:r>
          </w:p>
        </w:tc>
        <w:tc>
          <w:tcPr>
            <w:tcW w:w="110" w:type="dxa"/>
            <w:tcBorders/>
            <w:tcMar>
              <w:bottom w:w="0" w:type="dxa"/>
            </w:tcMar>
            <w:vAlign w:val="center"/>
          </w:tcPr>
          <w:p>
            <w:pPr>
              <w:pStyle w:val="TableContents"/>
              <w:bidi w:val="0"/>
              <w:spacing w:before="0" w:after="283"/>
              <w:jc w:val="left"/>
              <w:rPr/>
            </w:pPr>
            <w:r>
              <w:rPr/>
              <w:t> </w:t>
            </w:r>
            <w:bookmarkStart w:id="976" w:name="xdx_434_c20230101__20230331_eus-gaap--Re"/>
            <w:bookmarkEnd w:id="976"/>
          </w:p>
        </w:tc>
      </w:tr>
      <w:tr>
        <w:trPr/>
        <w:tc>
          <w:tcPr>
            <w:tcW w:w="4160" w:type="dxa"/>
            <w:tcBorders/>
            <w:shd w:fill="CCEEFF" w:val="clear"/>
            <w:tcMar>
              <w:bottom w:w="0" w:type="dxa"/>
            </w:tcMar>
            <w:vAlign w:val="center"/>
          </w:tcPr>
          <w:p>
            <w:pPr>
              <w:pStyle w:val="TableContents"/>
              <w:bidi w:val="0"/>
              <w:spacing w:before="0" w:after="283"/>
              <w:jc w:val="left"/>
              <w:rPr/>
            </w:pPr>
            <w:r>
              <w:rPr/>
              <w:t>Accumulated Deficit - January 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283"/>
              <w:jc w:val="right"/>
              <w:rPr/>
            </w:pPr>
            <w:r>
              <w:rPr/>
              <w:t>(27,133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(589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(27,722</w:t>
            </w:r>
          </w:p>
        </w:tc>
        <w:tc>
          <w:tcPr>
            <w:tcW w:w="110" w:type="dxa"/>
            <w:tcBorders/>
            <w:shd w:fill="CCEEFF" w:val="clear"/>
            <w:tcMar>
              <w:bottom w:w="0" w:type="dxa"/>
            </w:tcMar>
            <w:vAlign w:val="center"/>
          </w:tcPr>
          <w:p>
            <w:pPr>
              <w:pStyle w:val="TableContents"/>
              <w:bidi w:val="0"/>
              <w:spacing w:before="0" w:after="283"/>
              <w:jc w:val="left"/>
              <w:rPr/>
            </w:pPr>
            <w:r>
              <w:rPr/>
              <w:t>)</w:t>
            </w:r>
            <w:bookmarkStart w:id="977" w:name="xdx_40D_eus-gaap--NetIncomeLoss_zKer3jTM"/>
            <w:bookmarkEnd w:id="977"/>
          </w:p>
        </w:tc>
      </w:tr>
      <w:tr>
        <w:trPr/>
        <w:tc>
          <w:tcPr>
            <w:tcW w:w="4160" w:type="dxa"/>
            <w:tcBorders/>
            <w:shd w:fill="FFFFFF" w:val="clear"/>
            <w:tcMar>
              <w:bottom w:w="0" w:type="dxa"/>
            </w:tcMar>
            <w:vAlign w:val="center"/>
          </w:tcPr>
          <w:p>
            <w:pPr>
              <w:pStyle w:val="TableContents"/>
              <w:bidi w:val="0"/>
              <w:spacing w:before="0" w:after="283"/>
              <w:jc w:val="left"/>
              <w:rPr/>
            </w:pPr>
            <w:r>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2021" w:type="dxa"/>
            <w:tcBorders/>
            <w:shd w:fill="FFFFFF" w:val="clear"/>
            <w:tcMar>
              <w:bottom w:w="0" w:type="dxa"/>
            </w:tcMar>
            <w:vAlign w:val="center"/>
          </w:tcPr>
          <w:p>
            <w:pPr>
              <w:pStyle w:val="TableContents"/>
              <w:bidi w:val="0"/>
              <w:spacing w:before="0" w:after="283"/>
              <w:jc w:val="right"/>
              <w:rPr/>
            </w:pPr>
            <w:r>
              <w:rPr/>
              <w:t>4,892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(117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4,775</w:t>
            </w:r>
          </w:p>
        </w:tc>
        <w:tc>
          <w:tcPr>
            <w:tcW w:w="110" w:type="dxa"/>
            <w:tcBorders/>
            <w:shd w:fill="FFFFFF" w:val="clear"/>
            <w:tcMar>
              <w:bottom w:w="0" w:type="dxa"/>
            </w:tcMar>
            <w:vAlign w:val="center"/>
          </w:tcPr>
          <w:p>
            <w:pPr>
              <w:pStyle w:val="TableContents"/>
              <w:bidi w:val="0"/>
              <w:spacing w:before="0" w:after="283"/>
              <w:jc w:val="left"/>
              <w:rPr/>
            </w:pPr>
            <w:r>
              <w:rPr/>
              <w:t> </w:t>
            </w:r>
            <w:bookmarkStart w:id="978" w:name="xdx_431_c20230401__20230630_eus-gaap--Re"/>
            <w:bookmarkEnd w:id="978"/>
          </w:p>
        </w:tc>
      </w:tr>
      <w:tr>
        <w:trPr/>
        <w:tc>
          <w:tcPr>
            <w:tcW w:w="4160" w:type="dxa"/>
            <w:tcBorders/>
            <w:shd w:fill="CCEEFF" w:val="clear"/>
            <w:tcMar>
              <w:bottom w:w="0" w:type="dxa"/>
            </w:tcMar>
            <w:vAlign w:val="center"/>
          </w:tcPr>
          <w:p>
            <w:pPr>
              <w:pStyle w:val="TableContents"/>
              <w:bidi w:val="0"/>
              <w:spacing w:before="0" w:after="283"/>
              <w:jc w:val="left"/>
              <w:rPr/>
            </w:pPr>
            <w:r>
              <w:rPr/>
              <w:t>Accumulated Deficit - 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283"/>
              <w:jc w:val="right"/>
              <w:rPr/>
            </w:pPr>
            <w:r>
              <w:rPr/>
              <w:t>(22,241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(706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(22,947</w:t>
            </w:r>
          </w:p>
        </w:tc>
        <w:tc>
          <w:tcPr>
            <w:tcW w:w="110" w:type="dxa"/>
            <w:tcBorders/>
            <w:shd w:fill="CCEEFF" w:val="clear"/>
            <w:tcMar>
              <w:bottom w:w="0" w:type="dxa"/>
            </w:tcMar>
            <w:vAlign w:val="center"/>
          </w:tcPr>
          <w:p>
            <w:pPr>
              <w:pStyle w:val="TableContents"/>
              <w:bidi w:val="0"/>
              <w:spacing w:before="0" w:after="283"/>
              <w:jc w:val="left"/>
              <w:rPr/>
            </w:pPr>
            <w:r>
              <w:rPr/>
              <w:t>)</w:t>
            </w:r>
            <w:bookmarkStart w:id="979" w:name="xdx_40D_eus-gaap--NetIncomeLoss_z57v6KwR"/>
            <w:bookmarkEnd w:id="979"/>
          </w:p>
        </w:tc>
      </w:tr>
      <w:tr>
        <w:trPr/>
        <w:tc>
          <w:tcPr>
            <w:tcW w:w="416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2021" w:type="dxa"/>
            <w:tcBorders/>
            <w:shd w:fill="FFFFFF" w:val="clear"/>
            <w:tcMar>
              <w:bottom w:w="0" w:type="dxa"/>
            </w:tcMar>
            <w:vAlign w:val="center"/>
          </w:tcPr>
          <w:p>
            <w:pPr>
              <w:pStyle w:val="TableContents"/>
              <w:bidi w:val="0"/>
              <w:spacing w:before="0" w:after="283"/>
              <w:jc w:val="right"/>
              <w:rPr/>
            </w:pPr>
            <w:r>
              <w:rPr/>
              <w:t>(11,700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(199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(11,899</w:t>
            </w:r>
          </w:p>
        </w:tc>
        <w:tc>
          <w:tcPr>
            <w:tcW w:w="110" w:type="dxa"/>
            <w:tcBorders/>
            <w:shd w:fill="FFFFFF" w:val="clear"/>
            <w:tcMar>
              <w:bottom w:w="0" w:type="dxa"/>
            </w:tcMar>
            <w:vAlign w:val="center"/>
          </w:tcPr>
          <w:p>
            <w:pPr>
              <w:pStyle w:val="TableContents"/>
              <w:bidi w:val="0"/>
              <w:spacing w:before="0" w:after="283"/>
              <w:jc w:val="left"/>
              <w:rPr/>
            </w:pPr>
            <w:r>
              <w:rPr/>
              <w:t>)</w:t>
            </w:r>
            <w:bookmarkStart w:id="980" w:name="xdx_434_c20230701__20230930_eus-gaap--Re"/>
            <w:bookmarkEnd w:id="980"/>
          </w:p>
        </w:tc>
      </w:tr>
      <w:tr>
        <w:trPr/>
        <w:tc>
          <w:tcPr>
            <w:tcW w:w="4160" w:type="dxa"/>
            <w:tcBorders/>
            <w:shd w:fill="CCEEFF" w:val="clear"/>
            <w:tcMar>
              <w:bottom w:w="0" w:type="dxa"/>
            </w:tcMar>
            <w:vAlign w:val="center"/>
          </w:tcPr>
          <w:p>
            <w:pPr>
              <w:pStyle w:val="TableContents"/>
              <w:bidi w:val="0"/>
              <w:spacing w:before="0" w:after="283"/>
              <w:jc w:val="left"/>
              <w:rPr/>
            </w:pPr>
            <w:r>
              <w:rPr/>
              <w:t>Accumulated Deficit - June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283"/>
              <w:jc w:val="right"/>
              <w:rPr/>
            </w:pPr>
            <w:r>
              <w:rPr/>
              <w:t>(33,941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(905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(34,846</w:t>
            </w:r>
          </w:p>
        </w:tc>
        <w:tc>
          <w:tcPr>
            <w:tcW w:w="110" w:type="dxa"/>
            <w:tcBorders/>
            <w:shd w:fill="CCEEFF" w:val="clear"/>
            <w:tcMar>
              <w:bottom w:w="0" w:type="dxa"/>
            </w:tcMar>
            <w:vAlign w:val="center"/>
          </w:tcPr>
          <w:p>
            <w:pPr>
              <w:pStyle w:val="TableContents"/>
              <w:bidi w:val="0"/>
              <w:spacing w:before="0" w:after="283"/>
              <w:jc w:val="left"/>
              <w:rPr/>
            </w:pPr>
            <w:r>
              <w:rPr/>
              <w:t>)</w:t>
            </w:r>
            <w:bookmarkStart w:id="981" w:name="xdx_437_c20230701__20230930_eus-gaap--Re"/>
            <w:bookmarkEnd w:id="981"/>
          </w:p>
        </w:tc>
      </w:tr>
      <w:tr>
        <w:trPr/>
        <w:tc>
          <w:tcPr>
            <w:tcW w:w="4160" w:type="dxa"/>
            <w:tcBorders/>
            <w:shd w:fill="CCEEFF" w:val="clear"/>
            <w:tcMar>
              <w:bottom w:w="0" w:type="dxa"/>
            </w:tcMar>
            <w:vAlign w:val="center"/>
          </w:tcPr>
          <w:p>
            <w:pPr>
              <w:pStyle w:val="TableContents"/>
              <w:bidi w:val="0"/>
              <w:spacing w:before="0" w:after="283"/>
              <w:jc w:val="left"/>
              <w:rPr/>
            </w:pPr>
            <w:r>
              <w:rPr/>
              <w:t>Accumulated Deficit,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283"/>
              <w:jc w:val="right"/>
              <w:rPr/>
            </w:pPr>
            <w:r>
              <w:rPr/>
              <w:t>(33,941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(905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(34,846</w:t>
            </w:r>
          </w:p>
        </w:tc>
        <w:tc>
          <w:tcPr>
            <w:tcW w:w="110" w:type="dxa"/>
            <w:tcBorders/>
            <w:shd w:fill="CCEEFF" w:val="clear"/>
            <w:tcMar>
              <w:bottom w:w="0" w:type="dxa"/>
            </w:tcMar>
            <w:vAlign w:val="center"/>
          </w:tcPr>
          <w:p>
            <w:pPr>
              <w:pStyle w:val="TableContents"/>
              <w:bidi w:val="0"/>
              <w:spacing w:before="0" w:after="283"/>
              <w:jc w:val="left"/>
              <w:rPr/>
            </w:pPr>
            <w:r>
              <w:rPr/>
              <w:t>)</w:t>
            </w:r>
            <w:bookmarkStart w:id="982" w:name="xdx_40D_eus-gaap--NetIncomeLoss_zZ7gT6VI"/>
            <w:bookmarkEnd w:id="982"/>
          </w:p>
        </w:tc>
      </w:tr>
      <w:tr>
        <w:trPr/>
        <w:tc>
          <w:tcPr>
            <w:tcW w:w="4160"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2021" w:type="dxa"/>
            <w:tcBorders/>
            <w:shd w:fill="FFFFFF" w:val="clear"/>
            <w:tcMar>
              <w:bottom w:w="0" w:type="dxa"/>
            </w:tcMar>
            <w:vAlign w:val="center"/>
          </w:tcPr>
          <w:p>
            <w:pPr>
              <w:pStyle w:val="TableContents"/>
              <w:bidi w:val="0"/>
              <w:spacing w:before="0" w:after="283"/>
              <w:jc w:val="right"/>
              <w:rPr/>
            </w:pPr>
            <w:r>
              <w:rPr/>
              <w:t>(10,023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(10,007</w:t>
            </w:r>
          </w:p>
        </w:tc>
        <w:tc>
          <w:tcPr>
            <w:tcW w:w="110" w:type="dxa"/>
            <w:tcBorders/>
            <w:shd w:fill="FFFFFF" w:val="clear"/>
            <w:tcMar>
              <w:bottom w:w="0" w:type="dxa"/>
            </w:tcMar>
            <w:vAlign w:val="center"/>
          </w:tcPr>
          <w:p>
            <w:pPr>
              <w:pStyle w:val="TableContents"/>
              <w:bidi w:val="0"/>
              <w:spacing w:before="0" w:after="283"/>
              <w:jc w:val="left"/>
              <w:rPr/>
            </w:pPr>
            <w:r>
              <w:rPr/>
              <w:t>)</w:t>
            </w:r>
            <w:bookmarkStart w:id="983" w:name="xdx_401_eus-gaap--NetIncomeLoss_zzEMhNnT"/>
            <w:bookmarkEnd w:id="983"/>
          </w:p>
        </w:tc>
      </w:tr>
      <w:tr>
        <w:trPr/>
        <w:tc>
          <w:tcPr>
            <w:tcW w:w="4160" w:type="dxa"/>
            <w:tcBorders/>
            <w:shd w:fill="FFFFFF" w:val="clear"/>
            <w:tcMar>
              <w:bottom w:w="0" w:type="dxa"/>
            </w:tcMar>
            <w:vAlign w:val="center"/>
          </w:tcPr>
          <w:p>
            <w:pPr>
              <w:pStyle w:val="TableContents"/>
              <w:bidi w:val="0"/>
              <w:spacing w:before="0" w:after="283"/>
              <w:jc w:val="left"/>
              <w:rPr/>
            </w:pPr>
            <w:r>
              <w:rPr/>
              <w:t>Net Income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2021" w:type="dxa"/>
            <w:tcBorders/>
            <w:shd w:fill="FFFFFF" w:val="clear"/>
            <w:tcMar>
              <w:bottom w:w="0" w:type="dxa"/>
            </w:tcMar>
            <w:vAlign w:val="center"/>
          </w:tcPr>
          <w:p>
            <w:pPr>
              <w:pStyle w:val="TableContents"/>
              <w:bidi w:val="0"/>
              <w:spacing w:before="0" w:after="283"/>
              <w:jc w:val="right"/>
              <w:rPr/>
            </w:pPr>
            <w:r>
              <w:rPr/>
              <w:t>(10,023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986" w:type="dxa"/>
            <w:tcBorders/>
            <w:shd w:fill="FFFFFF" w:val="clear"/>
            <w:tcMar>
              <w:bottom w:w="0" w:type="dxa"/>
            </w:tcMar>
            <w:vAlign w:val="center"/>
          </w:tcPr>
          <w:p>
            <w:pPr>
              <w:pStyle w:val="TableContents"/>
              <w:bidi w:val="0"/>
              <w:spacing w:before="0" w:after="283"/>
              <w:jc w:val="right"/>
              <w:rPr/>
            </w:pPr>
            <w:r>
              <w:rPr/>
              <w:t>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(10,007</w:t>
            </w:r>
          </w:p>
        </w:tc>
        <w:tc>
          <w:tcPr>
            <w:tcW w:w="110" w:type="dxa"/>
            <w:tcBorders/>
            <w:shd w:fill="FFFFFF" w:val="clear"/>
            <w:tcMar>
              <w:bottom w:w="0" w:type="dxa"/>
            </w:tcMar>
            <w:vAlign w:val="center"/>
          </w:tcPr>
          <w:p>
            <w:pPr>
              <w:pStyle w:val="TableContents"/>
              <w:bidi w:val="0"/>
              <w:spacing w:before="0" w:after="283"/>
              <w:jc w:val="left"/>
              <w:rPr/>
            </w:pPr>
            <w:r>
              <w:rPr/>
              <w:t>)</w:t>
            </w:r>
            <w:bookmarkStart w:id="984" w:name="xdx_439_c20230701__20230930_eus-gaap--Re"/>
            <w:bookmarkEnd w:id="984"/>
          </w:p>
        </w:tc>
      </w:tr>
      <w:tr>
        <w:trPr/>
        <w:tc>
          <w:tcPr>
            <w:tcW w:w="4160" w:type="dxa"/>
            <w:tcBorders/>
            <w:shd w:fill="CCEEFF" w:val="clear"/>
            <w:tcMar>
              <w:bottom w:w="0" w:type="dxa"/>
            </w:tcMar>
            <w:vAlign w:val="center"/>
          </w:tcPr>
          <w:p>
            <w:pPr>
              <w:pStyle w:val="TableContents"/>
              <w:bidi w:val="0"/>
              <w:spacing w:before="0" w:after="283"/>
              <w:jc w:val="left"/>
              <w:rPr/>
            </w:pPr>
            <w:r>
              <w:rPr/>
              <w:t>Accumulated Deficit - September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283"/>
              <w:jc w:val="right"/>
              <w:rPr/>
            </w:pPr>
            <w:r>
              <w:rPr/>
              <w:t>(43,964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(889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(44,853</w:t>
            </w:r>
          </w:p>
        </w:tc>
        <w:tc>
          <w:tcPr>
            <w:tcW w:w="110" w:type="dxa"/>
            <w:tcBorders/>
            <w:shd w:fill="CCEEFF" w:val="clear"/>
            <w:tcMar>
              <w:bottom w:w="0" w:type="dxa"/>
            </w:tcMar>
            <w:vAlign w:val="center"/>
          </w:tcPr>
          <w:p>
            <w:pPr>
              <w:pStyle w:val="TableContents"/>
              <w:bidi w:val="0"/>
              <w:spacing w:before="0" w:after="283"/>
              <w:jc w:val="left"/>
              <w:rPr/>
            </w:pPr>
            <w:r>
              <w:rPr/>
              <w:t>)</w:t>
            </w:r>
            <w:bookmarkStart w:id="985" w:name="xdx_437_c20230701__20230930_eus-gaap--Re"/>
            <w:bookmarkEnd w:id="985"/>
          </w:p>
        </w:tc>
      </w:tr>
      <w:tr>
        <w:trPr/>
        <w:tc>
          <w:tcPr>
            <w:tcW w:w="4160" w:type="dxa"/>
            <w:tcBorders/>
            <w:shd w:fill="CCEEFF" w:val="clear"/>
            <w:tcMar>
              <w:bottom w:w="0" w:type="dxa"/>
            </w:tcMar>
            <w:vAlign w:val="center"/>
          </w:tcPr>
          <w:p>
            <w:pPr>
              <w:pStyle w:val="TableContents"/>
              <w:bidi w:val="0"/>
              <w:spacing w:before="0" w:after="283"/>
              <w:jc w:val="left"/>
              <w:rPr/>
            </w:pPr>
            <w:r>
              <w:rPr/>
              <w:t>Accumulated Deficit,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2021" w:type="dxa"/>
            <w:tcBorders/>
            <w:shd w:fill="CCEEFF" w:val="clear"/>
            <w:tcMar>
              <w:bottom w:w="0" w:type="dxa"/>
            </w:tcMar>
            <w:vAlign w:val="center"/>
          </w:tcPr>
          <w:p>
            <w:pPr>
              <w:pStyle w:val="TableContents"/>
              <w:bidi w:val="0"/>
              <w:spacing w:before="0" w:after="283"/>
              <w:jc w:val="right"/>
              <w:rPr/>
            </w:pPr>
            <w:r>
              <w:rPr/>
              <w:t>(43,964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(889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(44,853</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86" w:name="xdx_804_eus-gaap--SubsequentEventsTextBl"/>
      <w:bookmarkEnd w:id="986"/>
      <w:r>
        <w:rPr>
          <w:rFonts w:ascii="Times New Roman;Times;Serif" w:hAnsi="Times New Roman;Times;Serif"/>
          <w:b/>
          <w:i w:val="false"/>
          <w:caps/>
          <w:sz w:val="20"/>
        </w:rPr>
        <w:t xml:space="preserve">Note 15 - </w:t>
      </w:r>
      <w:bookmarkStart w:id="987" w:name="xdx_822_zImw3BYjXnNc"/>
      <w:bookmarkEnd w:id="987"/>
      <w:r>
        <w:rPr>
          <w:rFonts w:ascii="Times New Roman;Times;Serif" w:hAnsi="Times New Roman;Times;Serif"/>
          <w:b/>
          <w:i w:val="false"/>
          <w:caps/>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October 1, 2024 through November 12, 2024, the Company issued and sold approximately </w:t>
      </w:r>
      <w:bookmarkStart w:id="988" w:name="xdx_90A_eus-gaap--SaleOfStockNumberOfSha"/>
      <w:bookmarkEnd w:id="988"/>
      <w:r>
        <w:rPr>
          <w:rFonts w:ascii="Times New Roman;Times;Serif" w:hAnsi="Times New Roman;Times;Serif"/>
          <w:b w:val="false"/>
          <w:i w:val="false"/>
          <w:caps w:val="false"/>
          <w:smallCaps w:val="false"/>
          <w:sz w:val="20"/>
        </w:rPr>
        <w:t>53,719 shares of Common Stock under the ChEF Equity Facility, resulting in additional net cash proceeds of $</w:t>
      </w:r>
      <w:bookmarkStart w:id="989" w:name="xdx_900_eus-gaap--SaleOfStockConsiderati"/>
      <w:bookmarkEnd w:id="989"/>
      <w:r>
        <w:rPr>
          <w:rFonts w:ascii="Times New Roman;Times;Serif" w:hAnsi="Times New Roman;Times;Serif"/>
          <w:b w:val="false"/>
          <w:i w:val="false"/>
          <w:caps w:val="false"/>
          <w:smallCaps w:val="false"/>
          <w:sz w:val="20"/>
        </w:rPr>
        <w:t xml:space="preserve">26,660. In addition, from October 1, 2024 through November 12, 2024, the Company issued certain Penny Warrants to purchase </w:t>
      </w:r>
      <w:bookmarkStart w:id="990" w:name="xdx_90B_eus-gaap--ClassOfWarrantOrRightO"/>
      <w:bookmarkEnd w:id="990"/>
      <w:r>
        <w:rPr>
          <w:rFonts w:ascii="Times New Roman;Times;Serif" w:hAnsi="Times New Roman;Times;Serif"/>
          <w:b w:val="false"/>
          <w:i w:val="false"/>
          <w:caps w:val="false"/>
          <w:smallCaps w:val="false"/>
          <w:sz w:val="20"/>
        </w:rPr>
        <w:t>419 shares of Common Stock to the Term Loan Lenders in accordance with the anti-dilution provisions of the Penny Warrants with respect to certain sales the Company made under the ChEF Equity Facility.</w:t>
      </w:r>
    </w:p>
    <w:p>
      <w:pPr>
        <w:pStyle w:val="TextBody"/>
        <w:bidi w:val="0"/>
        <w:spacing w:before="0" w:after="0"/>
        <w:ind w:left="0" w:right="0" w:hanging="0"/>
        <w:jc w:val="both"/>
        <w:rPr>
          <w:caps w:val="false"/>
          <w:smallCaps w:val="false"/>
        </w:rPr>
      </w:pPr>
      <w:bookmarkStart w:id="991" w:name="xdx_811_z2z49ENxZpKk"/>
      <w:bookmarkEnd w:id="99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2" w:name="a_006"/>
      <w:bookmarkEnd w:id="99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this report (the “</w:t>
      </w:r>
      <w:r>
        <w:rPr>
          <w:rFonts w:ascii="Times New Roman;Times;Serif" w:hAnsi="Times New Roman;Times;Serif"/>
          <w:b/>
          <w:i/>
          <w:caps w:val="false"/>
          <w:smallCaps w:val="false"/>
          <w:sz w:val="20"/>
        </w:rPr>
        <w:t>Quarterly Report</w:t>
      </w:r>
      <w:r>
        <w:rPr>
          <w:rFonts w:ascii="Times New Roman;Times;Serif" w:hAnsi="Times New Roman;Times;Serif"/>
          <w:b w:val="false"/>
          <w:i/>
          <w:caps w:val="false"/>
          <w:smallCaps w:val="false"/>
          <w:sz w:val="20"/>
        </w:rPr>
        <w:t>”) to “we,” “us,” “our” or the “Company” refer to Dragonfly Energy Holdings Corp., a Nevada corporation. References to “Legacy Dragonfly” refer to Dragonfly Energy Corp., a Nevada corporation, one of our wholly-owned subsidiaries.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2023 included in our Annual Report on Form 10-K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caps w:val="false"/>
          <w:smallCaps w:val="false"/>
          <w:sz w:val="20"/>
        </w:rPr>
        <w:t>”) on April 16, 2024, as amended April 29, 2024 (the “</w:t>
      </w:r>
      <w:r>
        <w:rPr>
          <w:rFonts w:ascii="Times New Roman;Times;Serif" w:hAnsi="Times New Roman;Times;Serif"/>
          <w:b/>
          <w:i/>
          <w:caps w:val="false"/>
          <w:smallCaps w:val="false"/>
          <w:sz w:val="20"/>
        </w:rPr>
        <w:t>Annual Report</w:t>
      </w:r>
      <w:r>
        <w:rPr>
          <w:rFonts w:ascii="Times New Roman;Times;Serif" w:hAnsi="Times New Roman;Times;Serif"/>
          <w:b w:val="false"/>
          <w:i/>
          <w:caps w:val="false"/>
          <w:smallCaps w:val="false"/>
          <w:sz w:val="20"/>
        </w:rPr>
        <w: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Cautionary Note Regarding Forward Looking-Statements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made pursuant to the safe harbor provisions of the Private Securities Litigation Reform Act of 1995 under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 (“</w:t>
            </w:r>
            <w:r>
              <w:rPr>
                <w:rFonts w:ascii="Times New Roman;Times;Serif" w:hAnsi="Times New Roman;Times;Serif"/>
                <w:b/>
                <w:i w:val="false"/>
                <w:caps w:val="false"/>
                <w:smallCaps w:val="false"/>
                <w:sz w:val="20"/>
              </w:rPr>
              <w:t>Keystone</w:t>
            </w:r>
            <w:r>
              <w:rPr>
                <w:rFonts w:ascii="Times New Roman;Times;Serif" w:hAnsi="Times New Roman;Times;Serif"/>
                <w:b w:val="false"/>
                <w:i w:val="false"/>
                <w:caps w:val="false"/>
                <w:smallCaps w:val="false"/>
                <w:sz w:val="20"/>
              </w:rPr>
              <w:t>”)), including Keystone’s decision in July 2023, that, due to weaker demand for its products and their subsequent focus on reducing costs, it would no longer install our storage solutions as standard equipment, but rather return to offering those solutions as an option to dealers and consumers;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recent licensing arrangement with Stryten Energy LLC (“</w:t>
            </w:r>
            <w:r>
              <w:rPr>
                <w:rFonts w:ascii="Times New Roman;Times;Serif" w:hAnsi="Times New Roman;Times;Serif"/>
                <w:b/>
                <w:i w:val="false"/>
                <w:caps w:val="false"/>
                <w:smallCaps w:val="false"/>
                <w:sz w:val="20"/>
              </w:rPr>
              <w:t>Stryten</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and our public warrants on the Nasdaq Capital Market;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equity facility;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and our ability to achieve and maintain profitability;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geopolitical events, including the Russia-Ukraine conflict and Hamas’ attack on Israel, and their effects on our operations;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a single manufacturing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of our Annual Report,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recreational vehicle (“</w:t>
      </w:r>
      <w:r>
        <w:rPr>
          <w:rFonts w:ascii="Times New Roman;Times;Serif" w:hAnsi="Times New Roman;Times;Serif"/>
          <w:b/>
          <w:i w:val="false"/>
          <w:caps w:val="false"/>
          <w:smallCaps w:val="false"/>
          <w:sz w:val="20"/>
        </w:rPr>
        <w:t>RV</w:t>
      </w:r>
      <w:r>
        <w:rPr>
          <w:rFonts w:ascii="Times New Roman;Times;Serif" w:hAnsi="Times New Roman;Times;Serif"/>
          <w:b w:val="false"/>
          <w:i w:val="false"/>
          <w:caps w:val="false"/>
          <w:smallCaps w:val="false"/>
          <w:sz w:val="20"/>
        </w:rPr>
        <w:t>”), marine vessel, and solar, oil and gas and off-grid industries, with disruptive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320,000 batteries. For the quarters ended September 30, 2024, and September 30, 2023, we sold 10,283 and 14,886 batteries, respectively, and had $12.7 million and $15.9 million in net sales, respectively. For the nine months ended September 30, 2024 and September 30, 2023, we sold 32,907 and 56,183 batteries, respectively, and had $38.4 million and $54.0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and “Dragonfly” branded batteries to original equipment manufacturers (“</w:t>
      </w:r>
      <w:r>
        <w:rPr>
          <w:rFonts w:ascii="Times New Roman;Times;Serif" w:hAnsi="Times New Roman;Times;Serif"/>
          <w:b/>
          <w:i w:val="false"/>
          <w:caps w:val="false"/>
          <w:smallCaps w:val="false"/>
          <w:sz w:val="20"/>
        </w:rPr>
        <w:t>OEMs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decrease in sales is a reflection of weaker demand from both OEM and DTC customers in our core RV and marine markets due to rising interest rates and inflation.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w:t>
      </w:r>
      <w:r>
        <w:rPr>
          <w:rFonts w:ascii="Times New Roman;Times;Serif" w:hAnsi="Times New Roman;Times;Serif"/>
          <w:b/>
          <w:i w:val="false"/>
          <w:caps w:val="false"/>
          <w:smallCaps w:val="false"/>
          <w:sz w:val="20"/>
        </w:rPr>
        <w:t>LFP</w:t>
      </w:r>
      <w:r>
        <w:rPr>
          <w:rFonts w:ascii="Times New Roman;Times;Serif" w:hAnsi="Times New Roman;Times;Serif"/>
          <w:b w:val="false"/>
          <w:i w:val="false"/>
          <w:caps w:val="false"/>
          <w:smallCaps w:val="false"/>
          <w:sz w:val="20"/>
        </w:rPr>
        <w:t>”)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announced that we achieved full certification for our energy storage products to be deployed for use in oil &amp; gas operations in North America. As a result of this certification, we are working Connexa Energy Company (“</w:t>
      </w:r>
      <w:r>
        <w:rPr>
          <w:rFonts w:ascii="Times New Roman;Times;Serif" w:hAnsi="Times New Roman;Times;Serif"/>
          <w:b/>
          <w:i w:val="false"/>
          <w:caps w:val="false"/>
          <w:smallCaps w:val="false"/>
          <w:sz w:val="20"/>
        </w:rPr>
        <w:t>Connexa</w:t>
      </w:r>
      <w:r>
        <w:rPr>
          <w:rFonts w:ascii="Times New Roman;Times;Serif" w:hAnsi="Times New Roman;Times;Serif"/>
          <w:b w:val="false"/>
          <w:i w:val="false"/>
          <w:caps w:val="false"/>
          <w:smallCaps w:val="false"/>
          <w:sz w:val="20"/>
        </w:rPr>
        <w:t>”) to deliver a power product to Alegacy Equipment, LLC (“</w:t>
      </w:r>
      <w:r>
        <w:rPr>
          <w:rFonts w:ascii="Times New Roman;Times;Serif" w:hAnsi="Times New Roman;Times;Serif"/>
          <w:b/>
          <w:i w:val="false"/>
          <w:caps w:val="false"/>
          <w:smallCaps w:val="false"/>
          <w:sz w:val="20"/>
        </w:rPr>
        <w:t>Alegacy Equipment</w:t>
      </w:r>
      <w:r>
        <w:rPr>
          <w:rFonts w:ascii="Times New Roman;Times;Serif" w:hAnsi="Times New Roman;Times;Serif"/>
          <w:b w:val="false"/>
          <w:i w:val="false"/>
          <w:caps w:val="false"/>
          <w:smallCaps w:val="false"/>
          <w:sz w:val="20"/>
        </w:rPr>
        <w:t>”), a market leading natural gas compressor package company, and its affiliate Agnes Systems. The power systems, which Connexa expects to integrate, are expected to be used in natural gas compression equipment to reduce methane emissions in gas pipelines. We expect the first of these systems to be deployed in the fourth quarter of 2024 and this business line to begin contributing to net sales during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Times;Serif" w:hAnsi="Times New Roman;Times;Serif"/>
          <w:b/>
          <w:i w:val="false"/>
          <w:caps w:val="false"/>
          <w:smallCaps w:val="false"/>
          <w:sz w:val="20"/>
        </w:rPr>
        <w:t>Thomason Jones</w:t>
      </w:r>
      <w:r>
        <w:rPr>
          <w:rFonts w:ascii="Times New Roman;Times;Serif" w:hAnsi="Times New Roman;Times;Serif"/>
          <w:b w:val="false"/>
          <w:i w:val="false"/>
          <w:caps w:val="false"/>
          <w:smallCaps w:val="false"/>
          <w:sz w:val="20"/>
        </w:rPr>
        <w:t>”) and the other parties thereto, we also acquired the assets, including the Wakespeed Offshore brand (“</w:t>
      </w:r>
      <w:r>
        <w:rPr>
          <w:rFonts w:ascii="Times New Roman;Times;Serif" w:hAnsi="Times New Roman;Times;Serif"/>
          <w:b/>
          <w:i w:val="false"/>
          <w:caps w:val="false"/>
          <w:smallCaps w:val="false"/>
          <w:sz w:val="20"/>
        </w:rPr>
        <w:t>Wakespeed</w:t>
      </w:r>
      <w:r>
        <w:rPr>
          <w:rFonts w:ascii="Times New Roman;Times;Serif" w:hAnsi="Times New Roman;Times;Serif"/>
          <w:b w:val="false"/>
          <w:i w:val="false"/>
          <w:caps w:val="false"/>
          <w:smallCaps w:val="false"/>
          <w:sz w:val="20"/>
        </w:rPr>
        <w:t>”)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and expect to begin scaling production during 2025. In addition, we are currently exploring opportunities within North America as part of our efforts to build a cell manufacturing facility.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we had cash totaling $8.0 million. Our net loss for the quarter ended September 30, 2024 was $6.8 million and our net loss for the quarter ended September 30, 2023 was $10.0 million. As a result of becoming a publicly traded company, we continue to need to hire additional personnel and implement procedures and processes to address public company regulatory requirements and customary practices. We have incurred and expect to continue to incur additional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our $150 million equity facility (the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 with Chardan Capital Markets LLC (“</w:t>
      </w:r>
      <w:r>
        <w:rPr>
          <w:rFonts w:ascii="Times New Roman;Times;Serif" w:hAnsi="Times New Roman;Times;Serif"/>
          <w:b/>
          <w:i w:val="false"/>
          <w:caps w:val="false"/>
          <w:smallCaps w:val="false"/>
          <w:sz w:val="20"/>
        </w:rPr>
        <w:t>CCM LLC</w:t>
      </w:r>
      <w:r>
        <w:rPr>
          <w:rFonts w:ascii="Times New Roman;Times;Serif" w:hAnsi="Times New Roman;Times;Serif"/>
          <w:b w:val="false"/>
          <w:i w:val="false"/>
          <w:caps w:val="false"/>
          <w:smallCaps w:val="false"/>
          <w:sz w:val="20"/>
        </w:rPr>
        <w:t>”)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 with Stryten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Battery Products, LLC (“</w:t>
      </w:r>
      <w:r>
        <w:rPr>
          <w:rFonts w:ascii="Times New Roman;Times;Serif" w:hAnsi="Times New Roman;Times;Serif"/>
          <w:b/>
          <w:i w:val="false"/>
          <w:caps w:val="false"/>
          <w:smallCaps w:val="false"/>
          <w:sz w:val="20"/>
        </w:rPr>
        <w:t>Battle Born LLC</w:t>
      </w:r>
      <w:r>
        <w:rPr>
          <w:rFonts w:ascii="Times New Roman;Times;Serif" w:hAnsi="Times New Roman;Times;Serif"/>
          <w:b w:val="false"/>
          <w:i w:val="false"/>
          <w:caps w:val="false"/>
          <w:smallCaps w:val="false"/>
          <w:sz w:val="20"/>
        </w:rPr>
        <w:t>”), a newly formed wholly-owned subsidiary of Legacy Dragonfly, entered into a License Agreement (the “</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 with Stryten. Pursuant to the License Agreement, Battle Born LLC granted Stryten an exclusive, worldwide license to use certain trademarks relating to Legacy Dragonfly’s lithium-ion battery brand, Battle Born Batteries® (the “</w:t>
      </w:r>
      <w:r>
        <w:rPr>
          <w:rFonts w:ascii="Times New Roman;Times;Serif" w:hAnsi="Times New Roman;Times;Serif"/>
          <w:b/>
          <w:i w:val="false"/>
          <w:caps w:val="false"/>
          <w:smallCaps w:val="false"/>
          <w:sz w:val="20"/>
        </w:rPr>
        <w:t>Licensed Trademarks</w:t>
      </w:r>
      <w:r>
        <w:rPr>
          <w:rFonts w:ascii="Times New Roman;Times;Serif" w:hAnsi="Times New Roman;Times;Serif"/>
          <w:b w:val="false"/>
          <w:i w:val="false"/>
          <w:caps w:val="false"/>
          <w:smallCaps w:val="false"/>
          <w:sz w:val="20"/>
        </w:rPr>
        <w:t>”) for business-to-business sales of batteries to customers within the following markets: (i) automative, (ii) marine, (iii) powersports, (iv) lawn and garden, (v) golf cart, and (vi) military and defense (such industries, the “</w:t>
      </w:r>
      <w:r>
        <w:rPr>
          <w:rFonts w:ascii="Times New Roman;Times;Serif" w:hAnsi="Times New Roman;Times;Serif"/>
          <w:b/>
          <w:i w:val="false"/>
          <w:caps w:val="false"/>
          <w:smallCaps w:val="false"/>
          <w:sz w:val="20"/>
        </w:rPr>
        <w:t>Stryten Market</w:t>
      </w:r>
      <w:r>
        <w:rPr>
          <w:rFonts w:ascii="Times New Roman;Times;Serif" w:hAnsi="Times New Roman;Times;Serif"/>
          <w:b w:val="false"/>
          <w:i w:val="false"/>
          <w:caps w:val="false"/>
          <w:smallCaps w:val="false"/>
          <w:sz w:val="20"/>
        </w:rPr>
        <w:t>”). In exchange for the licensing rights, Stryten agreed to pay Battle Born LLC an initial licensing fee of five million dollars ($5,000,000) (the “</w:t>
      </w:r>
      <w:r>
        <w:rPr>
          <w:rFonts w:ascii="Times New Roman;Times;Serif" w:hAnsi="Times New Roman;Times;Serif"/>
          <w:b/>
          <w:i w:val="false"/>
          <w:caps w:val="false"/>
          <w:smallCaps w:val="false"/>
          <w:sz w:val="20"/>
        </w:rPr>
        <w:t>Initial Licensing Fee</w:t>
      </w:r>
      <w:r>
        <w:rPr>
          <w:rFonts w:ascii="Times New Roman;Times;Serif" w:hAnsi="Times New Roman;Times;Serif"/>
          <w:b w:val="false"/>
          <w:i w:val="false"/>
          <w:caps w:val="false"/>
          <w:smallCaps w:val="false"/>
          <w:sz w:val="20"/>
        </w:rPr>
        <w:t>”). 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entered into a purchase agreement with CCM LLC in connection with the ChEF Equity Facility, which was subsequently amended on May 20, 2024 (as amended,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We intend to opportunistically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2023, we entered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Roth Capital Partners, LLC, as representative of the several underwriters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pursuant to which we sold to the Underwriters, in a firm commitment underwritten public offering (the “</w:t>
      </w:r>
      <w:r>
        <w:rPr>
          <w:rFonts w:ascii="Times New Roman;Times;Serif" w:hAnsi="Times New Roman;Times;Serif"/>
          <w:b/>
          <w:i w:val="false"/>
          <w:caps w:val="false"/>
          <w:smallCaps w:val="false"/>
          <w:sz w:val="20"/>
        </w:rPr>
        <w:t>June 2023 Offering</w:t>
      </w:r>
      <w:r>
        <w:rPr>
          <w:rFonts w:ascii="Times New Roman;Times;Serif" w:hAnsi="Times New Roman;Times;Serif"/>
          <w:b w:val="false"/>
          <w:i w:val="false"/>
          <w:caps w:val="false"/>
          <w:smallCaps w:val="false"/>
          <w:sz w:val="20"/>
        </w:rPr>
        <w:t>”), an aggregate of (i) 10,000,000 shares of our common stock, par value $0.0001, and (ii) accompanying warrants to purchase up to 10,000,000 shares of common stock (the “</w:t>
      </w:r>
      <w:r>
        <w:rPr>
          <w:rFonts w:ascii="Times New Roman;Times;Serif" w:hAnsi="Times New Roman;Times;Serif"/>
          <w:b/>
          <w:i w:val="false"/>
          <w:caps w:val="false"/>
          <w:smallCaps w:val="false"/>
          <w:sz w:val="20"/>
        </w:rPr>
        <w:t>Investor Warrants</w:t>
      </w:r>
      <w:r>
        <w:rPr>
          <w:rFonts w:ascii="Times New Roman;Times;Serif" w:hAnsi="Times New Roman;Times;Serif"/>
          <w:b w:val="false"/>
          <w:i w:val="false"/>
          <w:caps w:val="false"/>
          <w:smallCaps w:val="false"/>
          <w:sz w:val="20"/>
        </w:rPr>
        <w:t>”), at the combined public offering price of $2.00 per share and accompanying Investor Warrant, less underwriting discounts and commissions, and (iii) warrants to purchase up to an aggregate of 570,250 shares of common stock (the “</w:t>
      </w:r>
      <w:r>
        <w:rPr>
          <w:rFonts w:ascii="Times New Roman;Times;Serif" w:hAnsi="Times New Roman;Times;Serif"/>
          <w:b/>
          <w:i w:val="false"/>
          <w:caps w:val="false"/>
          <w:smallCaps w:val="false"/>
          <w:sz w:val="20"/>
        </w:rPr>
        <w:t>Underwriters’ Warrants</w:t>
      </w:r>
      <w:r>
        <w:rPr>
          <w:rFonts w:ascii="Times New Roman;Times;Serif" w:hAnsi="Times New Roman;Times;Serif"/>
          <w:b w:val="false"/>
          <w:i w:val="false"/>
          <w:caps w:val="false"/>
          <w:smallCaps w:val="false"/>
          <w:sz w:val="20"/>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$20.7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we received a waiver (the “</w:t>
      </w:r>
      <w:r>
        <w:rPr>
          <w:rFonts w:ascii="Times New Roman;Times;Serif" w:hAnsi="Times New Roman;Times;Serif"/>
          <w:b/>
          <w:i w:val="false"/>
          <w:caps w:val="false"/>
          <w:smallCaps w:val="false"/>
          <w:sz w:val="20"/>
        </w:rPr>
        <w:t>December 2023 Waiver</w:t>
      </w:r>
      <w:r>
        <w:rPr>
          <w:rFonts w:ascii="Times New Roman;Times;Serif" w:hAnsi="Times New Roman;Times;Serif"/>
          <w:b w:val="false"/>
          <w:i w:val="false"/>
          <w:caps w:val="false"/>
          <w:smallCaps w:val="false"/>
          <w:sz w:val="20"/>
        </w:rPr>
        <w:t>”) from the Term Loan Lenders (as defined below) in regards to our compliance with the fixed charge coverage ratio and maximum senior leverage ratio with respect to the minimum cash requirements (the “</w:t>
      </w:r>
      <w:r>
        <w:rPr>
          <w:rFonts w:ascii="Times New Roman;Times;Serif" w:hAnsi="Times New Roman;Times;Serif"/>
          <w:b/>
          <w:i w:val="false"/>
          <w:caps w:val="false"/>
          <w:smallCaps w:val="false"/>
          <w:sz w:val="20"/>
        </w:rPr>
        <w:t>Tests</w:t>
      </w:r>
      <w:r>
        <w:rPr>
          <w:rFonts w:ascii="Times New Roman;Times;Serif" w:hAnsi="Times New Roman;Times;Serif"/>
          <w:b w:val="false"/>
          <w:i w:val="false"/>
          <w:caps w:val="false"/>
          <w:smallCaps w:val="false"/>
          <w:sz w:val="20"/>
        </w:rPr>
        <w:t>”) under the Term Loan (as defined below) as of the last day of the quarter ended December 31, 2023. The December 2023 Waiver provided for a one-time issuance of penny warrants (the “</w:t>
      </w:r>
      <w:r>
        <w:rPr>
          <w:rFonts w:ascii="Times New Roman;Times;Serif" w:hAnsi="Times New Roman;Times;Serif"/>
          <w:b/>
          <w:i w:val="false"/>
          <w:caps w:val="false"/>
          <w:smallCaps w:val="false"/>
          <w:sz w:val="20"/>
        </w:rPr>
        <w:t>December 2023 Penny Warrants</w:t>
      </w:r>
      <w:r>
        <w:rPr>
          <w:rFonts w:ascii="Times New Roman;Times;Serif" w:hAnsi="Times New Roman;Times;Serif"/>
          <w:b w:val="false"/>
          <w:i w:val="false"/>
          <w:caps w:val="false"/>
          <w:smallCaps w:val="false"/>
          <w:sz w:val="20"/>
        </w:rPr>
        <w:t>”) to purchase up to 1,286,671 shares of our common stock, at an exercise price of $0.01 per share, in connection with the Term Loan Lenders’ agreement to waive the Tests under the Term Loan for the quarter ended December 31, 2023. The December 2023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received a waiver (the “</w:t>
      </w:r>
      <w:r>
        <w:rPr>
          <w:rFonts w:ascii="Times New Roman;Times;Serif" w:hAnsi="Times New Roman;Times;Serif"/>
          <w:b/>
          <w:i w:val="false"/>
          <w:caps w:val="false"/>
          <w:smallCaps w:val="false"/>
          <w:sz w:val="20"/>
        </w:rPr>
        <w:t>May 2024 Waiver</w:t>
      </w:r>
      <w:r>
        <w:rPr>
          <w:rFonts w:ascii="Times New Roman;Times;Serif" w:hAnsi="Times New Roman;Times;Serif"/>
          <w:b w:val="false"/>
          <w:i w:val="false"/>
          <w:caps w:val="false"/>
          <w:smallCaps w:val="false"/>
          <w:sz w:val="20"/>
        </w:rPr>
        <w:t>”) from the Term Loan Lenders in regards to our compliance with the Tests as of the last day of the quarter ended March 31, 2024. The May 2024 Waiver provided for a one-time issuance of penny warrants (the “</w:t>
      </w:r>
      <w:r>
        <w:rPr>
          <w:rFonts w:ascii="Times New Roman;Times;Serif" w:hAnsi="Times New Roman;Times;Serif"/>
          <w:b/>
          <w:i w:val="false"/>
          <w:caps w:val="false"/>
          <w:smallCaps w:val="false"/>
          <w:sz w:val="20"/>
        </w:rPr>
        <w:t>May 2024 Penny Warrants</w:t>
      </w:r>
      <w:r>
        <w:rPr>
          <w:rFonts w:ascii="Times New Roman;Times;Serif" w:hAnsi="Times New Roman;Times;Serif"/>
          <w:b w:val="false"/>
          <w:i w:val="false"/>
          <w:caps w:val="false"/>
          <w:smallCaps w:val="false"/>
          <w:sz w:val="20"/>
        </w:rPr>
        <w:t>”) to purchase up to 2,550,000 shares of our common stock (the “</w:t>
      </w:r>
      <w:r>
        <w:rPr>
          <w:rFonts w:ascii="Times New Roman;Times;Serif" w:hAnsi="Times New Roman;Times;Serif"/>
          <w:b/>
          <w:i w:val="false"/>
          <w:caps w:val="false"/>
          <w:smallCaps w:val="false"/>
          <w:sz w:val="20"/>
        </w:rPr>
        <w:t>May 2024 Penny Warrant Shares</w:t>
      </w:r>
      <w:r>
        <w:rPr>
          <w:rFonts w:ascii="Times New Roman;Times;Serif" w:hAnsi="Times New Roman;Times;Serif"/>
          <w:b w:val="false"/>
          <w:i w:val="false"/>
          <w:caps w:val="false"/>
          <w:smallCaps w:val="false"/>
          <w:sz w:val="20"/>
        </w:rPr>
        <w:t>”), at an exercise price of $0.01 per share, in connection with the Term Loan Lender’s agreement to waive the Tests under the Term Loan for the quarter ended March 31, 2024. The May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2024 Private Placement and First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we received a limited waiver and first amendment (the “</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to the Term Loan Agreement (as defined below) from the Term Loan Lenders in regards to our compliance with the Tests as of the last day of the quarter ended June 30, 2024. The Amendment provided for a one-time issuance of penny warrants (the “</w:t>
      </w:r>
      <w:r>
        <w:rPr>
          <w:rFonts w:ascii="Times New Roman;Times;Serif" w:hAnsi="Times New Roman;Times;Serif"/>
          <w:b/>
          <w:i w:val="false"/>
          <w:caps w:val="false"/>
          <w:smallCaps w:val="false"/>
          <w:sz w:val="20"/>
        </w:rPr>
        <w:t>June 2024 Penny Warrants</w:t>
      </w:r>
      <w:r>
        <w:rPr>
          <w:rFonts w:ascii="Times New Roman;Times;Serif" w:hAnsi="Times New Roman;Times;Serif"/>
          <w:b w:val="false"/>
          <w:i w:val="false"/>
          <w:caps w:val="false"/>
          <w:smallCaps w:val="false"/>
          <w:sz w:val="20"/>
        </w:rPr>
        <w:t>”) to purchase up to 2,100,000 shares of our common stock (the “</w:t>
      </w:r>
      <w:r>
        <w:rPr>
          <w:rFonts w:ascii="Times New Roman;Times;Serif" w:hAnsi="Times New Roman;Times;Serif"/>
          <w:b/>
          <w:i w:val="false"/>
          <w:caps w:val="false"/>
          <w:smallCaps w:val="false"/>
          <w:sz w:val="20"/>
        </w:rPr>
        <w:t>June 2024 Penny Warrant Shares</w:t>
      </w:r>
      <w:r>
        <w:rPr>
          <w:rFonts w:ascii="Times New Roman;Times;Serif" w:hAnsi="Times New Roman;Times;Serif"/>
          <w:b w:val="false"/>
          <w:i w:val="false"/>
          <w:caps w:val="false"/>
          <w:smallCaps w:val="false"/>
          <w:sz w:val="20"/>
        </w:rPr>
        <w:t>”), at an exercise price of $0.01 per share, in connection with the Term Loan Lender’s agreement to waive the Tests under the Term Loan for the quarter ended June 30, 2024. The June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a Limited Waiver, Consent and Second Amendment to the Term Loan, Guarantee and Security Agreement (the “</w:t>
      </w:r>
      <w:r>
        <w:rPr>
          <w:rFonts w:ascii="Times New Roman;Times;Serif" w:hAnsi="Times New Roman;Times;Serif"/>
          <w:b/>
          <w:i w:val="false"/>
          <w:caps w:val="false"/>
          <w:smallCaps w:val="false"/>
          <w:sz w:val="20"/>
        </w:rPr>
        <w:t>Second Amendment</w:t>
      </w:r>
      <w:r>
        <w:rPr>
          <w:rFonts w:ascii="Times New Roman;Times;Serif" w:hAnsi="Times New Roman;Times;Serif"/>
          <w:b w:val="false"/>
          <w:i w:val="false"/>
          <w:caps w:val="false"/>
          <w:smallCaps w:val="false"/>
          <w:sz w:val="20"/>
        </w:rPr>
        <w:t>”) with the Term Loan Lenders under our Original Term Loan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Loan Agreement that would have been due to the Term Loan Lenders under the Loan Agreement upon Battle Born LLC’s receipt of the Initial Licensing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Battle Born LLC entered into a Joinder Agreement with the Term Loan Lenders (the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whereby Battle Born LLC became a guarantor and credit party to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Private Placement and Third Amendment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we received a limited waiver and third amendment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and, together with the Original Term Loan Agreement, the First Amendment and the Second Amendment,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to the Term Loan Agreement from the Term Loan Lenders in regards to our compliance with the Tests as of the last day of the quarter ended September 30, 2024. The Third Amendment provided for a one-time issuance of penny warrants (the “</w:t>
      </w:r>
      <w:r>
        <w:rPr>
          <w:rFonts w:ascii="Times New Roman;Times;Serif" w:hAnsi="Times New Roman;Times;Serif"/>
          <w:b/>
          <w:i w:val="false"/>
          <w:caps w:val="false"/>
          <w:smallCaps w:val="false"/>
          <w:sz w:val="20"/>
        </w:rPr>
        <w:t>September 2024 Penny Warrants</w:t>
      </w:r>
      <w:r>
        <w:rPr>
          <w:rFonts w:ascii="Times New Roman;Times;Serif" w:hAnsi="Times New Roman;Times;Serif"/>
          <w:b w:val="false"/>
          <w:i w:val="false"/>
          <w:caps w:val="false"/>
          <w:smallCaps w:val="false"/>
          <w:sz w:val="20"/>
        </w:rPr>
        <w:t>”) to purchase up to 3,000,000 shares of our common stock (the “</w:t>
      </w:r>
      <w:r>
        <w:rPr>
          <w:rFonts w:ascii="Times New Roman;Times;Serif" w:hAnsi="Times New Roman;Times;Serif"/>
          <w:b/>
          <w:i w:val="false"/>
          <w:caps w:val="false"/>
          <w:smallCaps w:val="false"/>
          <w:sz w:val="20"/>
        </w:rPr>
        <w:t>Septembe</w:t>
      </w:r>
      <w:r>
        <w:rPr>
          <w:rFonts w:ascii="Times New Roman;Times;Serif" w:hAnsi="Times New Roman;Times;Serif"/>
          <w:b w:val="false"/>
          <w:i w:val="false"/>
          <w:caps w:val="false"/>
          <w:smallCaps w:val="false"/>
          <w:sz w:val="20"/>
        </w:rPr>
        <w:t xml:space="preserve">r </w:t>
      </w:r>
      <w:r>
        <w:rPr>
          <w:rFonts w:ascii="Times New Roman;Times;Serif" w:hAnsi="Times New Roman;Times;Serif"/>
          <w:b/>
          <w:i w:val="false"/>
          <w:caps w:val="false"/>
          <w:smallCaps w:val="false"/>
          <w:sz w:val="20"/>
        </w:rPr>
        <w:t>2024 Penny Warrant Shares</w:t>
      </w:r>
      <w:r>
        <w:rPr>
          <w:rFonts w:ascii="Times New Roman;Times;Serif" w:hAnsi="Times New Roman;Times;Serif"/>
          <w:b w:val="false"/>
          <w:i w:val="false"/>
          <w:caps w:val="false"/>
          <w:smallCaps w:val="false"/>
          <w:sz w:val="20"/>
        </w:rPr>
        <w:t>”), at an exercise price of $0.01 per share, in connection with the Term Loan Lender’s agreement to waive the Tests under the Term Loan for the quarter ended September 30, 2024. The September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progress in developing our distribution channels. Our batteries have now received approval for installation at Daimler Truck CTS, Rush Enterprises CVS, and Fontaine Modification, all of which are PDI or modification and upfit centers. This development ensures the ready availability of batteries for shipment on new trucks and allows for their inclusion in the tractor’s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2024, we announced we entered into a partnership with Meyer Distributing, Inc. (“</w:t>
      </w:r>
      <w:r>
        <w:rPr>
          <w:rFonts w:ascii="Times New Roman;Times;Serif" w:hAnsi="Times New Roman;Times;Serif"/>
          <w:b/>
          <w:i w:val="false"/>
          <w:caps w:val="false"/>
          <w:smallCaps w:val="false"/>
          <w:sz w:val="20"/>
        </w:rPr>
        <w:t>Meyer Distributing</w:t>
      </w:r>
      <w:r>
        <w:rPr>
          <w:rFonts w:ascii="Times New Roman;Times;Serif" w:hAnsi="Times New Roman;Times;Serif"/>
          <w:b w:val="false"/>
          <w:i w:val="false"/>
          <w:caps w:val="false"/>
          <w:smallCaps w:val="false"/>
          <w:sz w:val="20"/>
        </w:rPr>
        <w:t>”), a leading distributor of specialty products across North America. We expect to leverage Meyer Distributing’s distribution network to deliver Battle Born Batteries to new business-to-business customers in the RV and surrounding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Trucking Market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we announced that we would be partnering with Highway Transport, a leader in North American liquid chemical transportation, to transition Highway Transport’s entire fleet of over 500 trucks to our Battle Born all-electric APUs. As part of the partnership, Highway Transport is expected to install the Battle Born all-electric APUs on new tractors in addition to retrofitting current models in Highway Transport’s fleet. This partnership with Highway Transport marks a major step forward for our reach in the commercial trucking sector. We believe the planned integration of the Battle Born all-electric APU into Highway Transport’s fleet paves the way for wider adoption of our clean energy solutions, accelerating the transition towards a more sustainable transportation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announced that we are now a provider of lithium based liftgate power solutions for Refreshment Services Pepsi, a privately-held independent bottler and distributor for Pepsi-Cola® products. With distribution centers across the U.S., Refreshment Services Pepsi will begin integrating our Battle Born Batteries products into their fleet to power liftgate operations. The expansion of our lithium-based power solutions to liftgate applications broadens sales opportunities within the trucking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completed a demonstration of our first off-grid methane reclamation payer system in collaboration with Alegacy Equipment and Anges Systems for the oil and gas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2024, we introduced Dragonfly IntelLigence® to the heavy-duty trucking market. This patent-pending smart battery technology provides fleets and truck drivers access to real-time system monitoring and app-based connectivity. We believe Dragonfly IntelLigence provides additional value to our Battle Born all-electric APUs by delivering enhanced visibility over our battery system.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we announced we had entered into a partnership with Keystone Automotive Operations, Inc. (“</w:t>
      </w:r>
      <w:r>
        <w:rPr>
          <w:rFonts w:ascii="Times New Roman;Times;Serif" w:hAnsi="Times New Roman;Times;Serif"/>
          <w:b/>
          <w:i w:val="false"/>
          <w:caps w:val="false"/>
          <w:smallCaps w:val="false"/>
          <w:sz w:val="20"/>
        </w:rPr>
        <w:t>Keystone Automotive</w:t>
      </w:r>
      <w:r>
        <w:rPr>
          <w:rFonts w:ascii="Times New Roman;Times;Serif" w:hAnsi="Times New Roman;Times;Serif"/>
          <w:b w:val="false"/>
          <w:i w:val="false"/>
          <w:caps w:val="false"/>
          <w:smallCaps w:val="false"/>
          <w:sz w:val="20"/>
        </w:rPr>
        <w:t>”), a leading distributor and marketer of specialty automotive equipment and accessories in North America, for the distribution of Battle Born Batteries products. This partnership is expected to increase the availability of Battle Born Batteries products by leveraging Keystone Automotive’s extensive distribution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fuel costs and energy demands (including an increasing trend towards the use of green energy), as well as overall macro-economic conditions, such as interest rates and inflation. Sales of our batteries have benefited from the increased adoption of the RV lifestyle, the demand for and inclusion of additional appliances and electronics in RVs, and the accelerating trend of solar power adoption among RV customers. However, rising fuel costs and other macro-economic conditions have caused a downward shift in decisions taken by end market consumers around spending in the RV market and in July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as a result in this change in strategy there was a material limiting effect on our revenue in 2023. Based on our ongoing discussions with customers and current forecast projections, we remain cautiously optimistic about increased revenue potential in the RV market. While the DTC segment shows continued uncertainty amid broader market conditions, we have noted progress in the OEM market, where daily revenue rates have been increasing in the third quarter of 2024. However, seasonality factors associated with the holiday period in the fourth quarter of 2024 may limit gross revenue, even as OEM demand trends positively.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significant portion of our sales come from the RV market, we also offer targeted solutions using the same products for the marine market. These solutions cater to OEMs and consumers alike, addressing the power needs of various vessels like sailboats, powerboats, and fishing boats (center console and bass). We have worked closely to follow ABYC (American Boat &amp; Yacht Council) Standards to develop systems that adhere to the recent ABYC E-13 Guidelines (Standards for Lithium Batteries). We have also begun generating sales in the trucking market in the third quarter of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other end markets that we have identified as opportunities for our LFP batteries, including medium and heavy-duty trucking, specialty and work vehicles, solar integration, oil and gas, industrial, rail, material handling,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now actively working down our inventory to more appropriate safety stock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domestic cell manufacturing,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entered into a lease on February 8, 2022 for an additional 390,240 square foot warehouse in Reno, Nevada (the “</w:t>
      </w:r>
      <w:r>
        <w:rPr>
          <w:rFonts w:ascii="Times New Roman;Times;Serif" w:hAnsi="Times New Roman;Times;Serif"/>
          <w:b/>
          <w:i w:val="false"/>
          <w:caps w:val="false"/>
          <w:smallCaps w:val="false"/>
          <w:sz w:val="20"/>
        </w:rPr>
        <w:t>Reno Warehouse</w:t>
      </w:r>
      <w:r>
        <w:rPr>
          <w:rFonts w:ascii="Times New Roman;Times;Serif" w:hAnsi="Times New Roman;Times;Serif"/>
          <w:b w:val="false"/>
          <w:i w:val="false"/>
          <w:caps w:val="false"/>
          <w:smallCaps w:val="false"/>
          <w:sz w:val="20"/>
        </w:rPr>
        <w:t>”). The commencement date for the lease for the Reno Warehouse was March 25, 2024, based on the construction project being identified as “substantially complete”. The Reno Warehouse will enable us to consolidate various operations in Reno, NV and will allow for expected expansion for new markets. We expect to begin operations in the Reno Warehouse in the fourth quarter of 2024 with the consolidation of operations expected to occur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entered into a lease agreement (the “</w:t>
      </w:r>
      <w:r>
        <w:rPr>
          <w:rFonts w:ascii="Times New Roman;Times;Serif" w:hAnsi="Times New Roman;Times;Serif"/>
          <w:b/>
          <w:i w:val="false"/>
          <w:caps w:val="false"/>
          <w:smallCaps w:val="false"/>
          <w:sz w:val="20"/>
        </w:rPr>
        <w:t>Fernley Lease Agreement</w:t>
      </w:r>
      <w:r>
        <w:rPr>
          <w:rFonts w:ascii="Times New Roman;Times;Serif" w:hAnsi="Times New Roman;Times;Serif"/>
          <w:b w:val="false"/>
          <w:i w:val="false"/>
          <w:caps w:val="false"/>
          <w:smallCaps w:val="false"/>
          <w:sz w:val="20"/>
        </w:rPr>
        <w:t>”) pursuant to which we agreed to lease an approximately 64,000 square foot facility (the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in Fernley, Nevada, to be used for general, warehousing, assembly/light manufacturing, painting of products, storage fulfillment, distribution of our products, and other uses as permitted under in the Fernley Lease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primarily focused on the advanced manufacturing of lithium-ion batteries using a dry-electrode process. We are focused on scaling the process to allow for the low-cost domestic manufacturing of cells. We are also applying the dry-electrode process to the production of solid-state lithium-ion batteries having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primarily generated from the sale of our LFP batteries to OEMs and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September 30, 2024, and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three months ended September 30, 2024 and September 30, 2023.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437" w:type="dxa"/>
        <w:jc w:val="left"/>
        <w:tblInd w:w="0" w:type="dxa"/>
        <w:tblLayout w:type="fixed"/>
        <w:tblCellMar>
          <w:top w:w="0" w:type="dxa"/>
          <w:left w:w="0" w:type="dxa"/>
          <w:bottom w:w="0" w:type="dxa"/>
          <w:right w:w="0" w:type="dxa"/>
        </w:tblCellMar>
      </w:tblPr>
      <w:tblGrid>
        <w:gridCol w:w="4460"/>
        <w:gridCol w:w="60"/>
        <w:gridCol w:w="148"/>
        <w:gridCol w:w="722"/>
        <w:gridCol w:w="100"/>
        <w:gridCol w:w="63"/>
        <w:gridCol w:w="119"/>
        <w:gridCol w:w="1130"/>
        <w:gridCol w:w="100"/>
        <w:gridCol w:w="63"/>
        <w:gridCol w:w="148"/>
        <w:gridCol w:w="802"/>
        <w:gridCol w:w="100"/>
        <w:gridCol w:w="63"/>
        <w:gridCol w:w="119"/>
        <w:gridCol w:w="1130"/>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0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07"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12,720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02" w:type="dxa"/>
            <w:tcBorders/>
            <w:shd w:fill="CCEEFF" w:val="clear"/>
            <w:vAlign w:val="center"/>
          </w:tcPr>
          <w:p>
            <w:pPr>
              <w:pStyle w:val="TableContents"/>
              <w:bidi w:val="0"/>
              <w:spacing w:before="0" w:after="283"/>
              <w:jc w:val="right"/>
              <w:rPr/>
            </w:pPr>
            <w:r>
              <w:rPr/>
              <w:t>15,889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FFFFFF" w:val="clear"/>
            <w:tcMar>
              <w:bottom w:w="28" w:type="dxa"/>
            </w:tcMar>
            <w:vAlign w:val="center"/>
          </w:tcPr>
          <w:p>
            <w:pPr>
              <w:pStyle w:val="TableContents"/>
              <w:bidi w:val="0"/>
              <w:spacing w:before="0" w:after="283"/>
              <w:jc w:val="right"/>
              <w:rPr/>
            </w:pPr>
            <w:r>
              <w:rPr/>
              <w:t>9,850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77.4</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pPr>
            <w:r>
              <w:rPr/>
              <w:t>11,291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71.1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2,870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4,598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28.9</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1,631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1,385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8.7</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4,361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34.3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6,005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37.8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2,904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22.8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pPr>
            <w:r>
              <w:rPr/>
              <w:t>3,083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19.4</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FFFFFF" w:val="clear"/>
            <w:tcMar>
              <w:bottom w:w="28" w:type="dxa"/>
            </w:tcMar>
            <w:vAlign w:val="center"/>
          </w:tcPr>
          <w:p>
            <w:pPr>
              <w:pStyle w:val="TableContents"/>
              <w:bidi w:val="0"/>
              <w:spacing w:before="0" w:after="283"/>
              <w:jc w:val="right"/>
              <w:rPr/>
            </w:pPr>
            <w:r>
              <w:rPr/>
              <w:t>8,896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69.9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pPr>
            <w:r>
              <w:rPr/>
              <w:t>10,473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65.9</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(6,026</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(47.4</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(5,875</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(5,615</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(3,987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(13</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(0.1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0.0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4,875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38.3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(0.9</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FFFFFF" w:val="clear"/>
            <w:tcMar>
              <w:bottom w:w="28" w:type="dxa"/>
            </w:tcMar>
            <w:vAlign w:val="center"/>
          </w:tcPr>
          <w:p>
            <w:pPr>
              <w:pStyle w:val="TableContents"/>
              <w:bidi w:val="0"/>
              <w:spacing w:before="0" w:after="283"/>
              <w:jc w:val="right"/>
              <w:rPr/>
            </w:pPr>
            <w:r>
              <w:rPr/>
              <w:t>(753</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(5.9</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pPr>
            <w:r>
              <w:rPr/>
              <w:t>(4,132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(26.0</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Loss Before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(6,779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(10,007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(63.0</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jc w:val="right"/>
              <w:rPr/>
            </w:pPr>
            <w:r>
              <w:rPr/>
              <w:t>(6,779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(53.3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pPr>
            <w:r>
              <w:rPr/>
              <w:t>(10,007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(63.0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631" w:type="dxa"/>
        <w:jc w:val="left"/>
        <w:tblInd w:w="0" w:type="dxa"/>
        <w:tblLayout w:type="fixed"/>
        <w:tblCellMar>
          <w:top w:w="0" w:type="dxa"/>
          <w:left w:w="0" w:type="dxa"/>
          <w:bottom w:w="0" w:type="dxa"/>
          <w:right w:w="0" w:type="dxa"/>
        </w:tblCellMar>
      </w:tblPr>
      <w:tblGrid>
        <w:gridCol w:w="1865"/>
        <w:gridCol w:w="60"/>
        <w:gridCol w:w="302"/>
        <w:gridCol w:w="1471"/>
        <w:gridCol w:w="129"/>
        <w:gridCol w:w="129"/>
        <w:gridCol w:w="129"/>
        <w:gridCol w:w="1471"/>
        <w:gridCol w:w="75"/>
      </w:tblGrid>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31"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5,153</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10,305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40.5</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64.9</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7,400</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5,584</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58.2</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35.1</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Licensing Revenue</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167</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1.3</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0.0</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12,720</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15,889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$3.2 million, or 19.9%, to $12.7 million for the three months ended September 30, 2024, as compared to $15.9 million for the three months ended September 30, 2023. This decrease was primarily due to lower DTC battery sales offset by higher OEM battery, accessory sales and licensing revenue. For the three months ended September 30, 2024, DTC revenue decreased by $5.1 million to $5.2 million, compared to $10.3 million in the third quarter of 2023 due to decreased customer demand for our products, rising interest rates, and inflation. OEM revenue increased by $1.8 million to $7.4 million, compared to $5.6 million in the third quarter of 2023. We believe this increase may be attributable to a recovering RV market, the implementation of our smart battery technology product line, and us beginning to penetrate the heavy-duty trucking market. Licensing revenue was recognized in August and September in the amount of $0.2 million. We expect our deployment of products for use in oil and gas operations in North America to begin contributing to net sales during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decreased by $1.4 million, or 12.8%, to $9.9 million for the three months ended September 30, 2024, as compared to $11.3 million for the three months ended September 30, 2023. This decrease was primarily due to lower unit volume. We expect our Cost of Goods Sold to increase in conjunction with the anticipated increase in revenue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$1.7 million, or 37.6%, to $2.9 million for the three months ended September 30, 2024, as compared to $4.6 million for the three months ended September 30, 2023. The decrease in gross profit was primarily due to a lower unit volume of sales. Gross margin decreased by 6.4% from 28.9% to 22.5%, which is a result of higher lower margin OEM sales and lower higher margin DTC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$0.2 million, or 17.8%, to $1.6 million for the three months ended September 30, 2024, as compared to $1.4 million for the three months ended September 30, 2023. The increase was primarily due to higher wage expense in the amount of $0.2 million and $0.2 million for increased lease expense for new lease offset by lower patent expense in the amount of $0.1 million and lower materials and supplies. While we expect to continue to grow the Research and Development headcount, we expect to do so at a slower rate than in prior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$1.6 million, or 27.4%, to $4.4 million for the three months ended September 30, 2024, as compared to $6.0 million for the three months ended September 30, 2023. This decrease was primarily due to employee-related costs in the amount of $1.3 million. Impacting this is a higher stock-based compensation in the amount of $0.7 million both in the prior year along with lower employee-related costs in the amount of $0.6 million due to decreased headcount. Professional services, legal, insurance expenses and travel are lower by $1.1 million. Offsetting these lower costs is an increase in computer expense related to the Reno Warehouse in the amount of $0.1 million and rent expense in the amount of $0.7 million for the Reno Warehouse, which was mostly allocated to general and administrative expenses since we have not occupied the building as of September 30, 2024. We expect General and Administrative Expenses, as a percentage of revenue, to decline over the next twelve months.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$0.2 million, or 5.8%, to $2.9 million for the three months ended September 30, 2024, as compared to $3.1 million for the three months ended September 30, 2023. This decrease is mostly related to lower shipping costs of $0.2 million, which was related to a reduction in units sold. We expect our Selling and Marketing Expenses to be relatively stable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$0.8 million for the three months ended September 30, 2024 as compared to total other expense of $4.1 million for the three months ended September 30, 2023. Other expense of $0.8 million in three months ended September 30, 2024 was comprised primarily of interest expense of $5.6 million related to our debt securities and a positive change in fair market value of warrant liability in the amount of $4.9 million. The $4.1 million of other expense in three months ended September 30, 2023 was comprised $4.0 million in interest expense related to our debt securities and a negative change in fair market value of warrant liability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three months ended September 30, 2024 or the three months ended September 30, 2023. Based on available evidence as of September 30, 2024 and September 30, 2023, management believes it is more likely than not that some or all the deferred tax assets will not be realized. Accordingly, we established a 100% valuation allowance. As a result of the full valuation allowance, we did not record a tax benefit during the three months ended September 30, 2023 or the three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$6.8 million for the three months ended September 30, 2024, as compared to net loss of $10.0 million for the three months ended September 30, 2023. As described above, this result was driven by lower sales partially offset by lower cost of goods sold, and lower operating expenses, and a decrease in other income (due to the change in fair market value of our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Nine months ended September 30, 2024 and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nine months ended September 30, 2024, and the nine months ended September 30, 2023.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4460"/>
        <w:gridCol w:w="60"/>
        <w:gridCol w:w="140"/>
        <w:gridCol w:w="756"/>
        <w:gridCol w:w="95"/>
        <w:gridCol w:w="60"/>
        <w:gridCol w:w="119"/>
        <w:gridCol w:w="1130"/>
        <w:gridCol w:w="95"/>
        <w:gridCol w:w="60"/>
        <w:gridCol w:w="140"/>
        <w:gridCol w:w="756"/>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5"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38,433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53,954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29,345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40,765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75.6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9,088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13,189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24.4</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4,495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3,332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14,878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23,114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42.8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8,329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11,075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20.5</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27,702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37,521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69.5</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(18,614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(24,332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(45.1</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(15,253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(11,981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(22.2</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3,130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pPr>
            <w:r>
              <w:rPr/>
              <w:t>19,182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35.6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Total 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(12,159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7,201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13.3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(30,773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(17,131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(31.8</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jc w:val="right"/>
              <w:rPr/>
            </w:pPr>
            <w:r>
              <w:rPr/>
              <w:t>(30,773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(80.1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jc w:val="right"/>
              <w:rPr/>
            </w:pPr>
            <w:r>
              <w:rPr/>
              <w:t>(17,131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(31.8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03" w:type="dxa"/>
        <w:jc w:val="left"/>
        <w:tblInd w:w="0" w:type="dxa"/>
        <w:tblLayout w:type="fixed"/>
        <w:tblCellMar>
          <w:top w:w="0" w:type="dxa"/>
          <w:left w:w="0" w:type="dxa"/>
          <w:bottom w:w="0" w:type="dxa"/>
          <w:right w:w="0" w:type="dxa"/>
        </w:tblCellMar>
      </w:tblPr>
      <w:tblGrid>
        <w:gridCol w:w="1670"/>
        <w:gridCol w:w="60"/>
        <w:gridCol w:w="291"/>
        <w:gridCol w:w="1416"/>
        <w:gridCol w:w="125"/>
        <w:gridCol w:w="125"/>
        <w:gridCol w:w="125"/>
        <w:gridCol w:w="1416"/>
        <w:gridCol w:w="75"/>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16,890</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30,314</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44.0</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56.2</w:t>
            </w:r>
          </w:p>
        </w:tc>
        <w:tc>
          <w:tcPr>
            <w:tcW w:w="7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21,376</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23,640</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55.6</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43.8</w:t>
            </w:r>
          </w:p>
        </w:tc>
        <w:tc>
          <w:tcPr>
            <w:tcW w:w="7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License Revenue</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167</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of Net Sales</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0.4</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16" w:type="dxa"/>
            <w:tcBorders>
              <w:bottom w:val="single" w:sz="8" w:space="0" w:color="000000"/>
            </w:tcBorders>
            <w:shd w:fill="CCEEFF" w:val="clear"/>
            <w:tcMar>
              <w:bottom w:w="28" w:type="dxa"/>
            </w:tcMar>
            <w:vAlign w:val="center"/>
          </w:tcPr>
          <w:p>
            <w:pPr>
              <w:pStyle w:val="TableContents"/>
              <w:bidi w:val="0"/>
              <w:spacing w:before="0" w:after="283"/>
              <w:jc w:val="right"/>
              <w:rPr/>
            </w:pPr>
            <w:r>
              <w:rPr/>
              <w:t>38,433</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6" w:type="dxa"/>
            <w:tcBorders>
              <w:bottom w:val="single" w:sz="8" w:space="0" w:color="000000"/>
            </w:tcBorders>
            <w:shd w:fill="CCEEFF" w:val="clear"/>
            <w:tcMar>
              <w:bottom w:w="28" w:type="dxa"/>
            </w:tcMar>
            <w:vAlign w:val="center"/>
          </w:tcPr>
          <w:p>
            <w:pPr>
              <w:pStyle w:val="TableContents"/>
              <w:bidi w:val="0"/>
              <w:spacing w:before="0" w:after="283"/>
              <w:jc w:val="right"/>
              <w:rPr/>
            </w:pPr>
            <w:r>
              <w:rPr/>
              <w:t>53,954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15.5 million, or 28.8%, to $38.4 million for the nine months ended September 30, 2024, as compared to $54.0 million for the nine months ended September 30, 2023. This decrease was mainly due to lower DTC and OEM battery and accessory sales offset by a higher average sales price and licensing revenue recognized at $0.2 million. For the nine months ended September 30, 2024, DTC revenue decreased by $13.4 million to $16.9 million due to decreased customer demand for our products related to rising interest rates and inflation. OEM revenue decreased by $2.3 million to $21.4 million primarily due to our largest RV customer changing our product from a standard offering to an option. Excluding this customer our RV OEM sales were up 33% year over year for the nine months ended September 30, 2024. We expect our deployment of products for use in oil and gas operations in North America to begin contributing to net sales during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decreased by $11.4 million, or 28.0%, to $29.3 million for the nine months ended September 30, 2024, as compared to $40.8 million for the nine months ended September 30, 2023. This decrease was primarily due to lower unit volume resulting in a $10.9 million decrease of product cost and $0.5 million decrease in labor expense associated with lower headcount. We expect our Cost of Goods Sold to increase in conjunction with the anticipated increase in revenue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$4.1 million, or 31.1%, to $9.1 million for the nine months ended September 30, 2024, as compared to $13.2 million for the nine months ended September 30, 2023. The decrease in gross profit was primarily due to a lower unit volume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$1.2 million, or 34.9%, to $4.5 million for the nine months ended September 30, 2024, as compared to $3.3 million for the nine months ended September 30, 2023. The increase was primarily due to higher wage expense in the amount of $0.8 million and $0.3 million for increased lease expense for new building in Fernley. Depreciation related to an increase in assets, which was higher by $0.1 million. While we expect to continue to grow the Research and Development headcount, we expect to do so at a slower rate than in prior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$8.2 million, or 35.6%, to $14.9 million for the nine months ended September 30, 2024, as compared to $23.1 million for the nine months ended September 30, 2023. This decrease was primarily due to lower employee related costs in the amount of $7.3 million. Impacting this is a prior year severance package in the amount of $0.7 million and lower stock-based compensation in the amount of $4.8 million along with lower employee related costs in the amount of $1.8 million due to decreased headcount. Professional services, legal and insurance expenses are lower by $2.1 million as a result of prior year public offering expenses and lower insurance premiums. Travel expenses in General and Administrative decreased by $0.5 million due to allocation to the other functional areas in 2024. Offsetting these lower expenses is a $1.7 million increase in rent expense for the Reno Warehouse, which was mostly allocated to general and administrative expenses since we have not occupied the building as of September 30, 2024. We expect General and Administrative Expenses, as a percentage of revenue, to decline over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$2.8 million, or 24.8%, to $8.3 million for the nine months ended September 30, 2024, as compared to $11.1 million for the nine months ended September 30, 2023. This decrease was primarily due to a $2.3 million decrease in wage-related expenses of which $1.2 million is related to the prior year expense for the Wakespeed earnout and $1.0 million is due to lower stock compensation and bonus expense. Lower shipping costs in the amount of $0.9 million was related to a reduction in units sold. Offsetting these lower expenses is an increase of $0.4 million other marketing expense includes travel expenses allocated from general and administrative to selling and marketing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$12.2 million for the nine months ended September 30, 2024 as compared to total other income of $7.2 million for the nine months ended September 30, 2023. Other expense for the nine months ended September 30, 2024 is comprised of a positive change in fair market value of our warrants in the amount of $3.1 million and $15.3 million in interest expense related to our debt securities. Other income for the nine months ended September 30, 2023 was comprised of a positive change in fair market value of our warrants in the amount of $19.2 million partially offset by $12.0 million in interest expense related to our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nine months ended September 30, 2024 or the nine months ended September 30, 2023. Based on available evidence as of September 30, 2024 and September 30, 2023, management believes it is more likely than not that some or all the deferred tax assets will not be realized. Accordingly, we established a 100% valuation allowance. As a result of the full valuation allowance, we did not record a tax benefit during the nine months ended September 30, 2024 or the nine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$30.8 million for the nine months ended September 30, 2024, as compared to net loss of $17.1 million for the nine months ended September 30, 2023. This was a result of an increase in other expense (primarily as a result of a change in fair market value of our warrants) and lower sales offset by decreased cost of goods sold and lower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estimates are those most critical to the judgments and estimates used in the preparation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Times;Serif" w:hAnsi="Times New Roman;Times;Serif"/>
          <w:b/>
          <w:i w:val="false"/>
          <w:caps w:val="false"/>
          <w:smallCaps w:val="false"/>
          <w:sz w:val="20"/>
        </w:rPr>
        <w:t>ASC 480</w:t>
      </w:r>
      <w:r>
        <w:rPr>
          <w:rFonts w:ascii="Times New Roman;Times;Serif" w:hAnsi="Times New Roman;Times;Serif"/>
          <w:b w:val="false"/>
          <w:i w:val="false"/>
          <w:caps w:val="false"/>
          <w:smallCaps w:val="false"/>
          <w:sz w:val="20"/>
        </w:rPr>
        <w:t>”), and ASC 815, Derivatives and Hedging (“</w:t>
      </w:r>
      <w:r>
        <w:rPr>
          <w:rFonts w:ascii="Times New Roman;Times;Serif" w:hAnsi="Times New Roman;Times;Serif"/>
          <w:b/>
          <w:i w:val="false"/>
          <w:caps w:val="false"/>
          <w:smallCaps w:val="false"/>
          <w:sz w:val="20"/>
        </w:rPr>
        <w:t>ASC 815</w:t>
      </w:r>
      <w:r>
        <w:rPr>
          <w:rFonts w:ascii="Times New Roman;Times;Serif" w:hAnsi="Times New Roman;Times;Serif"/>
          <w:b w:val="false"/>
          <w:i w:val="false"/>
          <w:caps w:val="false"/>
          <w:smallCaps w:val="false"/>
          <w:sz w:val="20"/>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Times;Serif" w:hAnsi="Times New Roman;Times;Serif"/>
          <w:b w:val="false"/>
          <w:i/>
          <w:caps w:val="false"/>
          <w:smallCaps w:val="false"/>
          <w:sz w:val="20"/>
        </w:rPr>
        <w:t>Note 9-Warrants</w:t>
      </w:r>
      <w:r>
        <w:rPr>
          <w:rFonts w:ascii="Times New Roman;Times;Serif" w:hAnsi="Times New Roman;Times;Serif"/>
          <w:b w:val="false"/>
          <w:i w:val="false"/>
          <w:caps w:val="false"/>
          <w:smallCaps w:val="false"/>
          <w:sz w:val="20"/>
        </w:rPr>
        <w:t>” in our accompanying condensed consolidated financial statements for information on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awards are valued based on the closing trading price of our common stock on the date of grant. Changes in assumptions used to estimate fair value could result in materially different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For our new Damonte lease, to be conservative in our estimate, we chose to use the high-end average as our incremental borrowing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a non-generally accepted account principles within the United States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measure that we use to supplement our results presented in accordance with U.S. GAAP. Earnings before interest tax and amortization (“</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is defined as earnings before interest and other income (expenses), income taxes, and depreciation and amortization. Adjusted EBITDA is calculated as EBITDA adjusted for stock-based compensation, employee separation expenses, costs associated with the June 2023 Offering,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three and nine months ended September 30, 2024, and September 30, 2023.</w:t>
      </w:r>
    </w:p>
    <w:p>
      <w:pPr>
        <w:pStyle w:val="TextBody"/>
        <w:bidi w:val="0"/>
        <w:spacing w:before="0" w:after="0"/>
        <w:ind w:left="0" w:right="0" w:hanging="0"/>
        <w:jc w:val="both"/>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4100"/>
        <w:gridCol w:w="60"/>
        <w:gridCol w:w="140"/>
        <w:gridCol w:w="635"/>
        <w:gridCol w:w="95"/>
        <w:gridCol w:w="60"/>
        <w:gridCol w:w="140"/>
        <w:gridCol w:w="755"/>
        <w:gridCol w:w="95"/>
        <w:gridCol w:w="60"/>
        <w:gridCol w:w="140"/>
        <w:gridCol w:w="755"/>
        <w:gridCol w:w="95"/>
        <w:gridCol w:w="60"/>
        <w:gridCol w:w="140"/>
        <w:gridCol w:w="755"/>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(30,773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(17,131</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11,981</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909</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(4,241</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i/>
              </w:rPr>
            </w:pPr>
            <w:r>
              <w:rPr>
                <w:i/>
              </w:rPr>
              <w:t>Adjusted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Stock-Based Compensation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6,387</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Separation Agreement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720</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June Offering Costs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904</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market value of warrant liability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(19,182</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(16,900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(15,412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Separation Agreement is comprised of $720 in cash severance associated with separation agreement dated April 26, 2023 between us and our former Chief Legal Officer.</w:t>
            </w:r>
          </w:p>
        </w:tc>
      </w:tr>
      <w:tr>
        <w:trPr/>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9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Offering Costs is comprised of fees and expenses, including legal, accounting, and other expenses associated with our secondary offering.</w:t>
            </w:r>
          </w:p>
        </w:tc>
      </w:tr>
      <w:tr>
        <w:trPr/>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99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January 1, 2023 through September 30, 2023 and January 1, 2024 through September 30, 2024,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2024, we had cash totaling $8.0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entered into the License with Stryten. In exchange for the licensing rights, Stryten agreed to pay Battle Born LLC the Initial Licensing Fee of five million dollars ($5,000,000). Per the License Agreement, payment for the Initial Licensing Fee is due within 30 days of the effective date of the License Agreement. We received the Initial Licensing Fee in August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capital expenditures and working capital requirements to increase materially in the near future, as we continue our research and development efforts (particularly those related to lithium-ion cell manufacturing and battery development), expand our production lines, scale up production operations and look to enter into adjacent markets for our batteries. We expect to deploy a significant amount of capital to continue our development and optimization of our solid-state battery technology, as well as continued investment to automate and increase the production capacity of our existing assembly operation, expansion of our facilities and new strategic investments, including deployment and scaling of our dry-electrode cell manufacturing processes.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contraction of our business and uncertainty around the timing of future needs, we reduced our purchase activities in 2024. As a result, our inventory balance at September 30, 2024 decreased by $14.8 million to $24.0 million, compared to $38.8 million at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and strategic initiatives.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pursuant to the Term Loan, Guarantee and Security Agreement (the “</w:t>
      </w:r>
      <w:r>
        <w:rPr>
          <w:rFonts w:ascii="Times New Roman;Times;Serif" w:hAnsi="Times New Roman;Times;Serif"/>
          <w:b/>
          <w:i w:val="false"/>
          <w:caps w:val="false"/>
          <w:smallCaps w:val="false"/>
          <w:sz w:val="20"/>
        </w:rPr>
        <w:t>Original Term Loan Agreement</w:t>
      </w:r>
      <w:r>
        <w:rPr>
          <w:rFonts w:ascii="Times New Roman;Times;Serif" w:hAnsi="Times New Roman;Times;Serif"/>
          <w:b w:val="false"/>
          <w:i w:val="false"/>
          <w:caps w:val="false"/>
          <w:smallCaps w:val="false"/>
          <w:sz w:val="20"/>
        </w:rPr>
        <w:t>”) by and among, us, Legacy Dragonfly, Alter Domus (US) LLC, as the Agent to the lenders time-to-time party thereto (such lenders,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the proceeds of which were used to repay the $45 million fixed rate senior notes, and ChEF Equity Facility. On June 28, 2024, we entered into the First Amendment with the Term Loan Lenders. The First Amendment provided for a one-time issuance of the June 2024 Penny Warrants to purchase up to 2,100,000 shares of common stock and certain amendments to the Term Loan. On July 29, 2024, we entered into the Second Amendment with the Term Loan Lenders in connection with the License Agreement. On September 30, 2024, we entered into the Third Amendment with the Term Loan Lenders, which provided for the issuance of the September 2024 Penny Warrants to purchase up to 3,000,000 shares of common stock and certain amendments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the Second Amendment (together with the Original Term Loan, the First Amendment, the Second Amendment, and the Third Amendment,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that would have been due to the Term Loan Lenders under the Term Loan Agreement upon Battle Born LLC’s receipt of the Initial Licensing Fee. In connection with the Second Amendment, Battle Born LLC entered into the Joinder.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June 28, 2024, and September 30, 2024, we obtained waivers from Alter Domus (US) LLC, as the administrative agent for the lenders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EICF Agent LLC and certain third-party financing source of our failure to satisfy the Tests under the Term Loan during the quarters ended March 31, 2023, September 30, 2023, December 31, 2023, March 31, 2024, June 30, 2024, and September 30, 2024. On March 31, 2024, April 29, 2024, June 28, 2024, July 31, 2024, August 30, 2024, September 30, 2024, and October 31, 2024 we received additional waivers from the Administrative Agent and the Term Loan Lenders in regard to our compliance with the liquidity requirement under the Term Loan as of the last day of the fiscal quarters ended March 31, 2024, June 30, 2024, and September 30, 2024, and as of the last fiscal day for the months ended April 30, 2024, June 30, 2024, July 31, 2024, August 31, 2024, September 30, 2024, and October 31,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plus 7% payable in cash plus an amount ranging from 4.5% to 6.5%, depending on our senior leverage ratio; (ii) effective April 1, 2024 and thereafter, interest payable to certain lenders subject to regulations of the U.S. Small Business Administration (“</w:t>
      </w:r>
      <w:r>
        <w:rPr>
          <w:rFonts w:ascii="Times New Roman;Times;Serif" w:hAnsi="Times New Roman;Times;Serif"/>
          <w:b/>
          <w:i w:val="false"/>
          <w:caps w:val="false"/>
          <w:smallCaps w:val="false"/>
          <w:sz w:val="20"/>
        </w:rPr>
        <w:t>SBA</w:t>
      </w:r>
      <w:r>
        <w:rPr>
          <w:rFonts w:ascii="Times New Roman;Times;Serif" w:hAnsi="Times New Roman;Times;Serif"/>
          <w:b w:val="false"/>
          <w:i w:val="false"/>
          <w:caps w:val="false"/>
          <w:smallCaps w:val="false"/>
          <w:sz w:val="20"/>
        </w:rPr>
        <w:t>”)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based on the Term Loan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Interest payable on April 1, 2024, was paid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Interest payable on July 1, 2024, became payable-in-kind.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Interest payable on October 1, 2024, became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each payment date occurring on or after January 1, 2025, interest will be payable in cash.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foregoing cases, adjusted SOFR will be no less than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exercisable to purchase an aggregate of 2,593,056 shares at an exercise price of $0.01 per share, and (ii) warrants exercisable to purchase 1,600,000 shares of common stock at an exercise price of $10.00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The purchase price of the shares of common stock that we elect to sell to CCM LLC pursuant to the Purchase Agreement will be determined by reference to the VWAP of the common stock during the applicable VWAP Purchase Date (as defined in the Purchase Agreement) on which we have timely delivered written notice to CCM LLC directing it to purchase shares of common stock under the Purchase Agreement, less a fixed 3.5% discount to such VWAP. As consideration for its commitment to purchase shares of our common stock under the Purchase Agreement, we have agreed to pay a commitment fee of $1 million to CCM LLC (the “</w:t>
      </w:r>
      <w:r>
        <w:rPr>
          <w:rFonts w:ascii="Times New Roman;Times;Serif" w:hAnsi="Times New Roman;Times;Serif"/>
          <w:b/>
          <w:i w:val="false"/>
          <w:caps w:val="false"/>
          <w:smallCaps w:val="false"/>
          <w:sz w:val="20"/>
        </w:rPr>
        <w:t>Commitment Fee</w:t>
      </w:r>
      <w:r>
        <w:rPr>
          <w:rFonts w:ascii="Times New Roman;Times;Serif" w:hAnsi="Times New Roman;Times;Serif"/>
          <w:b w:val="false"/>
          <w:i w:val="false"/>
          <w:caps w:val="false"/>
          <w:smallCaps w:val="false"/>
          <w:sz w:val="20"/>
        </w:rPr>
        <w:t>”), payable by way of an additional 3.0% discount to such VWAP until the Commitment Fee has been paid in full. In connection with the ChEF Equity Facility, we filed a registration statement registering the resale of up to 21,512,027 shares that may be resold into the public markets by CCM LLC, which represented approximately 36% of the shares of our common stock outstanding as of December 31, 2023. During the year ended December 31, 2023, we issued and sold approximately 588,500 shares of our common stock under this facility, resulting in net cash proceeds of $1,278,566. During the nine months ended September 30, 2024, we issued and sold approximately 2,245,391 shares of our common stock under the ChEF Equity Facility, resulting in net cash proceeds of $1,705,193. From October 1, 2024 through the November 12, 2024, we issued and sold approximately 53,719 shares of our common stock under the ChEF Equity Facility, resulting in additional net cash proceeds of $26,660. Any sales of such shares into the public market could have a significant negative impact on the trading price of our common stock.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a note in the principal amount of $1.0 million (the “</w:t>
      </w:r>
      <w:r>
        <w:rPr>
          <w:rFonts w:ascii="Times New Roman;Times;Serif" w:hAnsi="Times New Roman;Times;Serif"/>
          <w:b/>
          <w:i w:val="false"/>
          <w:caps w:val="false"/>
          <w:smallCaps w:val="false"/>
          <w:sz w:val="20"/>
        </w:rPr>
        <w:t>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w:t>
      </w:r>
      <w:r>
        <w:rPr>
          <w:rFonts w:ascii="Times New Roman;Times;Serif" w:hAnsi="Times New Roman;Times;Serif"/>
          <w:b/>
          <w:i w:val="false"/>
          <w:caps w:val="false"/>
          <w:smallCaps w:val="false"/>
          <w:sz w:val="20"/>
        </w:rPr>
        <w:t>March Note</w:t>
      </w:r>
      <w:r>
        <w:rPr>
          <w:rFonts w:ascii="Times New Roman;Times;Serif" w:hAnsi="Times New Roman;Times;Serif"/>
          <w:b w:val="false"/>
          <w:i w:val="false"/>
          <w:caps w:val="false"/>
          <w:smallCaps w:val="false"/>
          <w:sz w:val="20"/>
        </w:rPr>
        <w:t>”). The March Note became due and payable in full on April 1, 2023. We were also obligated to pay a fee in the amount of $100,000 (the “</w:t>
      </w:r>
      <w:r>
        <w:rPr>
          <w:rFonts w:ascii="Times New Roman;Times;Serif" w:hAnsi="Times New Roman;Times;Serif"/>
          <w:b/>
          <w:i w:val="false"/>
          <w:caps w:val="false"/>
          <w:smallCaps w:val="false"/>
          <w:sz w:val="20"/>
        </w:rPr>
        <w:t>March Loan Fee</w:t>
      </w:r>
      <w:r>
        <w:rPr>
          <w:rFonts w:ascii="Times New Roman;Times;Serif" w:hAnsi="Times New Roman;Times;Serif"/>
          <w:b w:val="false"/>
          <w:i w:val="false"/>
          <w:caps w:val="false"/>
          <w:smallCaps w:val="false"/>
          <w:sz w:val="20"/>
        </w:rPr>
        <w:t>”) to Mr. Nelson on April 4, 2023. The Principal Amount of the March Note was paid in full on April 1, 2023 and the March Loan Fee was paid in full on April 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w:t>
      </w:r>
      <w:r>
        <w:rPr>
          <w:rFonts w:ascii="Times New Roman;Times;Serif" w:hAnsi="Times New Roman;Times;Serif"/>
          <w:b/>
          <w:i w:val="false"/>
          <w:caps w:val="false"/>
          <w:smallCaps w:val="false"/>
          <w:sz w:val="20"/>
        </w:rPr>
        <w:t>January Note</w:t>
      </w:r>
      <w:r>
        <w:rPr>
          <w:rFonts w:ascii="Times New Roman;Times;Serif" w:hAnsi="Times New Roman;Times;Serif"/>
          <w:b w:val="false"/>
          <w:i w:val="false"/>
          <w:caps w:val="false"/>
          <w:smallCaps w:val="false"/>
          <w:sz w:val="20"/>
        </w:rPr>
        <w:t>”) in the principal amount of $1.0 million (the “</w:t>
      </w:r>
      <w:r>
        <w:rPr>
          <w:rFonts w:ascii="Times New Roman;Times;Serif" w:hAnsi="Times New Roman;Times;Serif"/>
          <w:b/>
          <w:i w:val="false"/>
          <w:caps w:val="false"/>
          <w:smallCaps w:val="false"/>
          <w:sz w:val="20"/>
        </w:rPr>
        <w:t>January Principal Amount</w:t>
      </w:r>
      <w:r>
        <w:rPr>
          <w:rFonts w:ascii="Times New Roman;Times;Serif" w:hAnsi="Times New Roman;Times;Serif"/>
          <w:b w:val="false"/>
          <w:i w:val="false"/>
          <w:caps w:val="false"/>
          <w:smallCaps w:val="false"/>
          <w:sz w:val="20"/>
        </w:rPr>
        <w:t>”) to Brian Nelson, one of our directors, in a private placement in exchange for cash in an equal amount. The January Note became due and payable in full on February 2, 2024. We were also obligated to pay $50,000 (the “</w:t>
      </w:r>
      <w:r>
        <w:rPr>
          <w:rFonts w:ascii="Times New Roman;Times;Serif" w:hAnsi="Times New Roman;Times;Serif"/>
          <w:b/>
          <w:i w:val="false"/>
          <w:caps w:val="false"/>
          <w:smallCaps w:val="false"/>
          <w:sz w:val="20"/>
        </w:rPr>
        <w:t>January Loan Fee</w:t>
      </w:r>
      <w:r>
        <w:rPr>
          <w:rFonts w:ascii="Times New Roman;Times;Serif" w:hAnsi="Times New Roman;Times;Serif"/>
          <w:b w:val="false"/>
          <w:i w:val="false"/>
          <w:caps w:val="false"/>
          <w:smallCaps w:val="false"/>
          <w:sz w:val="20"/>
        </w:rPr>
        <w:t>”) to Mr. Nelson on February 2, 2024. We paid the January Principal Amount and the January Loan Fee in full on February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a convertible promissory (the “</w:t>
      </w:r>
      <w:r>
        <w:rPr>
          <w:rFonts w:ascii="Times New Roman;Times;Serif" w:hAnsi="Times New Roman;Times;Serif"/>
          <w:b/>
          <w:i w:val="false"/>
          <w:caps w:val="false"/>
          <w:smallCaps w:val="false"/>
          <w:sz w:val="20"/>
        </w:rPr>
        <w:t>February Note</w:t>
      </w:r>
      <w:r>
        <w:rPr>
          <w:rFonts w:ascii="Times New Roman;Times;Serif" w:hAnsi="Times New Roman;Times;Serif"/>
          <w:b w:val="false"/>
          <w:i w:val="false"/>
          <w:caps w:val="false"/>
          <w:smallCaps w:val="false"/>
          <w:sz w:val="20"/>
        </w:rPr>
        <w:t>”) in the amount of $1.7 million (the “</w:t>
      </w:r>
      <w:r>
        <w:rPr>
          <w:rFonts w:ascii="Times New Roman;Times;Serif" w:hAnsi="Times New Roman;Times;Serif"/>
          <w:b/>
          <w:i w:val="false"/>
          <w:caps w:val="false"/>
          <w:smallCaps w:val="false"/>
          <w:sz w:val="20"/>
        </w:rPr>
        <w:t>February Principal Amount</w:t>
      </w:r>
      <w:r>
        <w:rPr>
          <w:rFonts w:ascii="Times New Roman;Times;Serif" w:hAnsi="Times New Roman;Times;Serif"/>
          <w:b w:val="false"/>
          <w:i w:val="false"/>
          <w:caps w:val="false"/>
          <w:smallCaps w:val="false"/>
          <w:sz w:val="20"/>
        </w:rPr>
        <w:t>”) to Mr. Nelson, in a private placement in exchange for cash in an equal amount. The February Note became due and payable in full on March 1, 2024. We were also obligated to pay a $85,000 loan fee (the “</w:t>
      </w:r>
      <w:r>
        <w:rPr>
          <w:rFonts w:ascii="Times New Roman;Times;Serif" w:hAnsi="Times New Roman;Times;Serif"/>
          <w:b/>
          <w:i w:val="false"/>
          <w:caps w:val="false"/>
          <w:smallCaps w:val="false"/>
          <w:sz w:val="20"/>
        </w:rPr>
        <w:t>February Loan Fee</w:t>
      </w:r>
      <w:r>
        <w:rPr>
          <w:rFonts w:ascii="Times New Roman;Times;Serif" w:hAnsi="Times New Roman;Times;Serif"/>
          <w:b w:val="false"/>
          <w:i w:val="false"/>
          <w:caps w:val="false"/>
          <w:smallCaps w:val="false"/>
          <w:sz w:val="20"/>
        </w:rPr>
        <w:t>”) to Mr. Nelson on March 1, 2024. We paid the February Principal Amount and the February Loan Fee on March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we completed the June 2023 Offering which provided net proceeds to us, including the partial over-allotment option exercise, of approximately $20.7 million. In July 2023, upon a request from our Term Loan Lenders under the Term Loan Agreement, we repaid $5.3 million to satisfy a portion of our outstanding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identified an underpayment of tariffs to U.S. Customs and Border Protection (“</w:t>
      </w:r>
      <w:r>
        <w:rPr>
          <w:rFonts w:ascii="Times New Roman;Times;Serif" w:hAnsi="Times New Roman;Times;Serif"/>
          <w:b/>
          <w:i w:val="false"/>
          <w:caps w:val="false"/>
          <w:smallCaps w:val="false"/>
          <w:sz w:val="20"/>
        </w:rPr>
        <w:t>CBP</w:t>
      </w:r>
      <w:r>
        <w:rPr>
          <w:rFonts w:ascii="Times New Roman;Times;Serif" w:hAnsi="Times New Roman;Times;Serif"/>
          <w:b w:val="false"/>
          <w:i w:val="false"/>
          <w:caps w:val="false"/>
          <w:smallCaps w:val="false"/>
          <w:sz w:val="20"/>
        </w:rPr>
        <w:t>”) in the amount of approximately $1.66 million in the aggregate, related to the improper classification and valuation of certain of the products used in our batteries. We have reported the underpayment to CBP.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September 30, 2024, we generated a net loss of $6.8 million and had a negative cash flow from operations. As of September 30, 2024, we had approximately $8.0 million in cash and cash equivalents and working capital deficit of $9.6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29, 2023, September 29, 2023, December 29, 2023, May 13, 2024, June 28, 2024, July 31, 2024, August 30, 2024 and September 30, 2024, we obtained waivers from our Administrative Agent and the Term Loan Lenders in regards to our failure to satisfy the Tests with respect to the minimum cash requirements under the Term Loan for the quarters ended, March 31, 2023, September 30, 2023, December 31, 2024, March 31, 2024, June 30, 2024 and September 30, 2024. On March 31, 2024, April 29, 2024, June 28, 2024, July 31, 2024, August 30, 2024, September 30, 2024, and October 31, 2024, we received additional waivers from our Administrative Agent and the Term Loan Lenders in regards to our compliance with the liquidity requirement under the Term Loan as of the last day of the fiscal quarters ended March 31, 2024, June 30, 2024 and September 30, 2024 and as of the last day of the fiscal months ended April 30, 2024, June 30, 2024, July 31, 2024, August 31, 2024, September 30, 2024, and October 31, 2024.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Nine months ended September 30, 2024, and September 30, 2023</w:t>
      </w:r>
    </w:p>
    <w:p>
      <w:pPr>
        <w:pStyle w:val="TextBody"/>
        <w:bidi w:val="0"/>
        <w:spacing w:before="0" w:after="0"/>
        <w:ind w:left="0" w:right="0" w:hanging="0"/>
        <w:jc w:val="both"/>
        <w:rPr>
          <w:caps w:val="false"/>
          <w:smallCaps w:val="false"/>
        </w:rPr>
      </w:pPr>
      <w:r>
        <w:rPr>
          <w:caps w:val="false"/>
          <w:smallCaps w:val="false"/>
        </w:rPr>
        <w:t> </w:t>
      </w:r>
    </w:p>
    <w:tbl>
      <w:tblPr>
        <w:tblW w:w="6732" w:type="dxa"/>
        <w:jc w:val="left"/>
        <w:tblInd w:w="0" w:type="dxa"/>
        <w:tblLayout w:type="fixed"/>
        <w:tblCellMar>
          <w:top w:w="0" w:type="dxa"/>
          <w:left w:w="0" w:type="dxa"/>
          <w:bottom w:w="0" w:type="dxa"/>
          <w:right w:w="0" w:type="dxa"/>
        </w:tblCellMar>
      </w:tblPr>
      <w:tblGrid>
        <w:gridCol w:w="3065"/>
        <w:gridCol w:w="60"/>
        <w:gridCol w:w="268"/>
        <w:gridCol w:w="1217"/>
        <w:gridCol w:w="182"/>
        <w:gridCol w:w="115"/>
        <w:gridCol w:w="268"/>
        <w:gridCol w:w="1447"/>
        <w:gridCol w:w="11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82"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7"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Net Cash (used in)/provided by:</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217" w:type="dxa"/>
            <w:tcBorders/>
            <w:shd w:fill="FFFFFF" w:val="clear"/>
            <w:vAlign w:val="center"/>
          </w:tcPr>
          <w:p>
            <w:pPr>
              <w:pStyle w:val="TableContents"/>
              <w:bidi w:val="0"/>
              <w:spacing w:before="0" w:after="283"/>
              <w:jc w:val="right"/>
              <w:rPr/>
            </w:pPr>
            <w:r>
              <w:rPr/>
              <w:t>(4,712</w:t>
            </w:r>
          </w:p>
        </w:tc>
        <w:tc>
          <w:tcPr>
            <w:tcW w:w="182" w:type="dxa"/>
            <w:tcBorders/>
            <w:shd w:fill="FFFFFF" w:val="clear"/>
            <w:vAlign w:val="center"/>
          </w:tcPr>
          <w:p>
            <w:pPr>
              <w:pStyle w:val="TableContents"/>
              <w:bidi w:val="0"/>
              <w:spacing w:before="0" w:after="283"/>
              <w:jc w:val="left"/>
              <w:rPr/>
            </w:pPr>
            <w:r>
              <w:rPr/>
              <w:t>)</w:t>
            </w:r>
          </w:p>
        </w:tc>
        <w:tc>
          <w:tcPr>
            <w:tcW w:w="11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447" w:type="dxa"/>
            <w:tcBorders/>
            <w:shd w:fill="FFFFFF" w:val="clear"/>
            <w:vAlign w:val="center"/>
          </w:tcPr>
          <w:p>
            <w:pPr>
              <w:pStyle w:val="TableContents"/>
              <w:bidi w:val="0"/>
              <w:spacing w:before="0" w:after="283"/>
              <w:jc w:val="right"/>
              <w:rPr/>
            </w:pPr>
            <w:r>
              <w:rPr/>
              <w:t>(16,727</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(1,691</w:t>
            </w:r>
          </w:p>
        </w:tc>
        <w:tc>
          <w:tcPr>
            <w:tcW w:w="182" w:type="dxa"/>
            <w:tcBorders/>
            <w:shd w:fill="CCEEFF" w:val="clear"/>
            <w:vAlign w:val="center"/>
          </w:tcPr>
          <w:p>
            <w:pPr>
              <w:pStyle w:val="TableContents"/>
              <w:bidi w:val="0"/>
              <w:spacing w:before="0" w:after="283"/>
              <w:jc w:val="left"/>
              <w:rPr/>
            </w:pPr>
            <w:r>
              <w:rPr/>
              <w:t>)</w:t>
            </w:r>
          </w:p>
        </w:tc>
        <w:tc>
          <w:tcPr>
            <w:tcW w:w="115"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447" w:type="dxa"/>
            <w:tcBorders/>
            <w:shd w:fill="CCEEFF" w:val="clear"/>
            <w:vAlign w:val="center"/>
          </w:tcPr>
          <w:p>
            <w:pPr>
              <w:pStyle w:val="TableContents"/>
              <w:bidi w:val="0"/>
              <w:spacing w:before="0" w:after="283"/>
              <w:jc w:val="right"/>
              <w:rPr/>
            </w:pPr>
            <w:r>
              <w:rPr/>
              <w:t>(6,507</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217" w:type="dxa"/>
            <w:tcBorders/>
            <w:shd w:fill="FFFFFF" w:val="clear"/>
            <w:vAlign w:val="center"/>
          </w:tcPr>
          <w:p>
            <w:pPr>
              <w:pStyle w:val="TableContents"/>
              <w:bidi w:val="0"/>
              <w:spacing w:before="0" w:after="283"/>
              <w:jc w:val="right"/>
              <w:rPr/>
            </w:pPr>
            <w:r>
              <w:rPr/>
              <w:t>1,709</w:t>
            </w:r>
          </w:p>
        </w:tc>
        <w:tc>
          <w:tcPr>
            <w:tcW w:w="18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447" w:type="dxa"/>
            <w:tcBorders/>
            <w:shd w:fill="FFFFFF" w:val="clear"/>
            <w:vAlign w:val="center"/>
          </w:tcPr>
          <w:p>
            <w:pPr>
              <w:pStyle w:val="TableContents"/>
              <w:bidi w:val="0"/>
              <w:spacing w:before="0" w:after="283"/>
              <w:jc w:val="right"/>
              <w:rPr/>
            </w:pPr>
            <w:r>
              <w:rPr/>
              <w:t>18,688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$4.7 million for the nine months ended September 30, 2024, primarily due to a net loss of $30.8 million partially offset by $4.8 million in deferred revenue related to the License Agreement, $6.6 million of payment in-kind interest accrued on the Term Loan and $14.8 million decrease in inventory as a result of management’s decision to lower overall stocking levels to adjust for more modest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$16.7 million for nine months ended September 30, 2023, primarily due to a net loss of $17.1 million and an increase in accounts receivable partially offset by lower inventory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$1.7 million for the nine months ended September 30, 2024, as compared to net cash used in investing activities of $6.5 million for the nine months ended September 30, 2023. The decrease in cash used in investing activities was primarily due to a decrease in capital equipment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$1.7 million net cash provided in financing activities, primarily from proceeds of issuing and selling shares under ChEF Equity Facility for the nine months ended September 30, 2024, as compared to net cash provided by financing activities of $18.7 million for the nine months ended September 30, 2023 was primarily due to net proceeds of $21.1 million from the June 2023 Offering partially offset by a $5.3 million principal payment of our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September 30, 2024, we had $2.9 million in short-term operating lease liabilities and $23.3 million in long-term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September 30, 2024, the principal amount outstanding under the Term Loan was $69.7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3" w:name="a_007"/>
      <w:bookmarkEnd w:id="99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4" w:name="a_008"/>
      <w:bookmarkEnd w:id="994"/>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as our principal executive officer, and Interim Chief Financial Officer, as our principal financial officer, to allow timely decisions regarding required disclosure.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Quarterly Report on Form 10-Q for the quarter ended September 30, 2024, our management, with the participation of our Chief Executive Officer and Interim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described in our Annual Report, our management identified a material weakness in our internal control over financial reporting as a result of our failure to capture, and record, and pay tariffs correctly related to the imported merchandise on previously filed 2022 and 2021 financial statements. Based upon the evaluation described above, our Chief Executive Officer and Interim Chief Financial Officer concluded that, due to the material weakness previously reported in our Annual Report that has not yet been remediated, our disclosure controls and procedures were not effective as of September 30,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described a plan to remediate the material weakness within our Annual Report. Management, with the assistance of a third-party service provider, continues to design and implement additional internal controls. Additionally, management continued its risk assessment to identify risks and objectives. There were no other changes in our internal controls over financial reporting that occurred during the quarter ended September 30, 2024 that materially affected, or are reasonably likely to materially affect, our internal control over financial reporting. Management will continue to evaluate and enhance our processes as noted in the remediation plan described within our Annual Report. The elements of our remediation plan can only be accomplished over time, and we can offer no assurance that these will ultimately have the intended effects.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5" w:name="a_009"/>
      <w:bookmarkEnd w:id="995"/>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6" w:name="a_010"/>
      <w:bookmarkEnd w:id="996"/>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7" w:name="a_011"/>
      <w:bookmarkEnd w:id="99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8" w:name="a_012"/>
      <w:bookmarkEnd w:id="99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2024, we issued certain additional Penny Warrants to purchase 12,849 shares of common stock to the Term Loan Lenders in accordance with the anti-dilution provisions of the Penny Warrants with respect to certain sales we made under the ChEF Equity Facility. In addition, October 1, 2024 to November 12, 2024 we issued certain Penny Warrants to purchase 419 shares of common of common stock to the Term Loan Lenders in accordance with the anti-dilution provisions of the Penny Warrants with respect to certain sales we made under the ChEF Equity Facility. The Penny Warrants were immediately exercisable upon issuance and will expire ten years from the date of issuance. The Penny Warrants and the shares of common stock underlying the Penny Warrants have not been registered under the Securities Act and were offered pursuant to the exemption provided in Section 4(a)(2)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9" w:name="a_013"/>
      <w:bookmarkEnd w:id="99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0" w:name="a_014"/>
      <w:bookmarkEnd w:id="100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1" w:name="a_015"/>
      <w:bookmarkEnd w:id="1001"/>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September 30, 2024, none of our directors or “officers” (as defined in Rule 16a-1(f) under the Exchange Act) </w:t>
            </w:r>
            <w:bookmarkStart w:id="1002" w:name="xdx_902_eecd--NonRule10b51ArrAdoptedFlag"/>
            <w:bookmarkStart w:id="1003" w:name="xdx_909_eecd--Rule10b51ArrAdoptedFlag_db"/>
            <w:bookmarkEnd w:id="1002"/>
            <w:bookmarkEnd w:id="1003"/>
            <w:r>
              <w:rPr>
                <w:rFonts w:ascii="Times New Roman;Times;Serif" w:hAnsi="Times New Roman;Times;Serif"/>
                <w:b w:val="false"/>
                <w:i w:val="false"/>
                <w:caps w:val="false"/>
                <w:smallCaps w:val="false"/>
                <w:sz w:val="20"/>
              </w:rPr>
              <w:t xml:space="preserve">adopted or </w:t>
            </w:r>
            <w:bookmarkStart w:id="1004" w:name="xdx_90F_eecd--NonRule10b51ArrTrmntdFlag_"/>
            <w:bookmarkStart w:id="1005" w:name="xdx_90B_eecd--Rule10b51ArrTrmntdFlag_dbF"/>
            <w:bookmarkEnd w:id="1004"/>
            <w:bookmarkEnd w:id="1005"/>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6" w:name="a_016"/>
      <w:bookmarkEnd w:id="1006"/>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
        <w:gridCol w:w="60"/>
        <w:gridCol w:w="7377"/>
        <w:gridCol w:w="60"/>
        <w:gridCol w:w="509"/>
        <w:gridCol w:w="60"/>
        <w:gridCol w:w="656"/>
        <w:gridCol w:w="60"/>
        <w:gridCol w:w="674"/>
      </w:tblGrid>
      <w:tr>
        <w:trPr/>
        <w:tc>
          <w:tcPr>
            <w:tcW w:w="7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9"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7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September 2024 Penny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Trademark License Agreement, by and among Dragonfly Energy Corp., Battle Born Battery Products, LLC, and Stryten Energy LLC,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Trademark Transfer and License-Back Agreement, by and between Dragonfly Energy Corp. and Battle Born Battery Products, LLC,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Limited Waiver, Consent and Second Amendment to Term Loan, Guarantee and Security Agreement, dated as of July 29, 2024, by and among Dragonfly Energy Corp., Dragonfly Energy Holdings Corp., Battle Born Battery Products, LLC, the lenders from time-to-time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Joinder Agreement, by Battle Born Battery Products, LLC and acknowledged by Dragonfly Energy Corp., and Dragonfly Energy Holdings Corp., dated as of July 29,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08/01/2024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Limited Waiver and Third Amendment to Term Loan, Guarantee and Security Agreement, dated as of September 30, 2024, by and among Dragonfly Energy Holdings Corp., Dragonfly Energy Corp., the lenders from time to time party thereto and Alter Domus (US)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10/07/2024</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as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these exhibits have been omitted pursuant to Regulation S-K Item 601(a)(5) promulgated under the Exchange Act. The Registrant agrees to furnish supplementally a copy of any omitted schedules and or exhibits to the SEC upon request.</w:t>
            </w:r>
          </w:p>
        </w:tc>
      </w:tr>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this exhibit, pursuant to Regulation S-K Item 601(b)(10)(iv) promulgated under the Exchange Act, marked by brackets, have been omitted because the omitted information (i) is not material and (ii) the Registrant customarily and actually treats such information as private or confidential. The Registrant agrees to furnish supplementally a copy of any omitted information to the SEC upon request.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07" w:name="a_017"/>
      <w:bookmarkEnd w:id="100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685" w:type="dxa"/>
        <w:jc w:val="left"/>
        <w:tblInd w:w="0" w:type="dxa"/>
        <w:tblLayout w:type="fixed"/>
        <w:tblCellMar>
          <w:top w:w="0" w:type="dxa"/>
          <w:left w:w="0" w:type="dxa"/>
          <w:bottom w:w="0" w:type="dxa"/>
          <w:right w:w="0" w:type="dxa"/>
        </w:tblCellMar>
      </w:tblPr>
      <w:tblGrid>
        <w:gridCol w:w="2120"/>
        <w:gridCol w:w="320"/>
        <w:gridCol w:w="6245"/>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65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Interim Chief Financial Officer</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both"/>
        <w:rPr>
          <w:caps w:val="false"/>
          <w:smallCaps w:val="false"/>
        </w:rPr>
      </w:pPr>
      <w:bookmarkStart w:id="1008" w:name="ex31-1.htm"/>
      <w:bookmarkStart w:id="1009" w:name="ksex311"/>
      <w:bookmarkEnd w:id="1008"/>
      <w:bookmarkEnd w:id="100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for the period ended September 30, 2024 of Dragonfly Energy Holdings Corp.; </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0"/>
        <w:jc w:val="both"/>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bookmarkStart w:id="1010" w:name="ex31-2.htm"/>
      <w:bookmarkStart w:id="1011" w:name="ksex312"/>
      <w:bookmarkEnd w:id="1010"/>
      <w:bookmarkEnd w:id="10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September 30, 2024 of Dragonfly Energy Holdings Corp.;</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left"/>
        <w:rPr/>
      </w:pPr>
      <w:bookmarkStart w:id="1012" w:name="ex32-1.htm"/>
      <w:bookmarkStart w:id="1013" w:name="ksex321"/>
      <w:bookmarkEnd w:id="1012"/>
      <w:bookmarkEnd w:id="101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 the quarter ended September 30, 2024 (the “</w:t>
      </w:r>
      <w:r>
        <w:rPr>
          <w:rFonts w:ascii="Times New Roman;Times;Serif" w:hAnsi="Times New Roman;Times;Serif"/>
          <w:b/>
          <w:i w:val="false"/>
          <w:caps w:val="false"/>
          <w:smallCaps w:val="false"/>
          <w:sz w:val="20"/>
        </w:rPr>
        <w:t>Quarterly Report</w:t>
      </w:r>
      <w:r>
        <w:rPr>
          <w:rFonts w:ascii="Times New Roman;Times;Serif" w:hAnsi="Times New Roman;Times;Serif"/>
          <w:b w:val="false"/>
          <w:i w:val="false"/>
          <w:caps w:val="false"/>
          <w:smallCaps w:val="false"/>
          <w:sz w:val="20"/>
        </w:rPr>
        <w:t>”), Denis Phares, as Chief Executive Officer and Interim Chief Financial Officer, certifies in his capacity as such officer of the Company, that to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320"/>
        <w:gridCol w:w="4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any purpose, nor shall it be deemed to be incorporated by reference into any filing under the Securities Act of 1933 or the Exchange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49315223010262/ex3-1.htm" TargetMode="External"/><Relationship Id="rId3" Type="http://schemas.openxmlformats.org/officeDocument/2006/relationships/hyperlink" Target="https://www.sec.gov/Archives/edgar/data/1847986/000149315223010262/ex3-2.htm" TargetMode="External"/><Relationship Id="rId4" Type="http://schemas.openxmlformats.org/officeDocument/2006/relationships/hyperlink" Target="https://www.sec.gov/Archives/edgar/data/1847986/000149315224040278/ex4-1.htm" TargetMode="External"/><Relationship Id="rId5" Type="http://schemas.openxmlformats.org/officeDocument/2006/relationships/hyperlink" Target="https://www.sec.gov/Archives/edgar/data/1847986/000149315224029924/ex10-1.htm" TargetMode="External"/><Relationship Id="rId6" Type="http://schemas.openxmlformats.org/officeDocument/2006/relationships/hyperlink" Target="https://www.sec.gov/Archives/edgar/data/1847986/000149315224029924/ex10-2.htm" TargetMode="External"/><Relationship Id="rId7" Type="http://schemas.openxmlformats.org/officeDocument/2006/relationships/hyperlink" Target="https://www.sec.gov/Archives/edgar/data/1847986/000149315224029924/ex10-3.htm" TargetMode="External"/><Relationship Id="rId8" Type="http://schemas.openxmlformats.org/officeDocument/2006/relationships/hyperlink" Target="https://www.sec.gov/Archives/edgar/data/1847986/000149315224029924/ex10-4.htm" TargetMode="External"/><Relationship Id="rId9" Type="http://schemas.openxmlformats.org/officeDocument/2006/relationships/hyperlink" Target="https://www.sec.gov/Archives/edgar/data/1847986/000149315224040278/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32235</Words>
  <Characters>171089</Characters>
  <CharactersWithSpaces>205321</CharactersWithSpaces>
  <Paragraphs>7717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