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4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28, 2024,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limited waiver and first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its Term Loan, Guarantee and Security Agreement (as amended,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with the lenders in regards to its compliance with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as of the last day of the quarter ending June 30, 2024 and certain amendments to the Loan Agreement. The Amendment provided for a one-time issuance of penny warrants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to purchase up to 2,100,000 shares of the Company’s common stock, par value $0.0001 per share (the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at an exercise price of $0.01 per share, in connection with the lenders’ agreement to waive the Tests under the Loan Agreement for the quarter ending June 30, 2024 and to amend the Loan Agreement. The Penny Warrants are immediately exercisable upon issuance and will expire ten years from the date of issuance.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Amendment (i) reduced the liquidity requirement under the Loan Agreement to be $3.5 million as of the last day of the month ending June 30, 2024, and $10.0 million as of the last day of each fiscal month thereafter commencing with the fiscal month ending July 31, 2024 and (ii) provided for the interest to be paid on the Payment Date (as defined in the Loan Agreement) occurring on July 1, 2024 to be solely payable-in-kind.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provisions of the Amendment and the Penny Warrants does not purport to be complete and is qualified in its entirety by reference to the full text of the Amendment and form of Penny Warrant, copies of which are filed as Exhibits 4.1 and 10.1, respectively to this Current Report on Form 8-K and are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above in Item 1.01 related to the Amendment, Penny Warrant and Penny Warrant Shares is hereby incorporated by reference into this Item 3.02. The Penny Warrant and the Penny Warrant Shares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are instead being offered pursuant to the exemption provided in Section 4(a)(2) under the Securities Act.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Penny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Limited Waiver and First Amendment to Term Loan, Guarantee and Security Agreement, dated as of June 28, 2024, by and among</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Dragonfly Energy Holdings Corp., Dragonfly Energy Corp., the lenders from time to time party thereto and Alter Domus (US) LLC.</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5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28, 2024</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580" w:type="dxa"/>
            <w:vAlign w:val="bottom"/>
          </w:tcPr>
          <w:p>
            <w:pPr>
              <w:spacing w:after="0"/>
              <w:rPr>
                <w:sz w:val="17"/>
                <w:szCs w:val="17"/>
                <w:color w:val="auto"/>
              </w:rPr>
            </w:pPr>
          </w:p>
        </w:tc>
        <w:tc>
          <w:tcPr>
            <w:tcW w:w="262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9"/>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PENNY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p>
      <w:pPr>
        <w:spacing w:after="0"/>
        <w:tabs>
          <w:tab w:leader="none" w:pos="9340" w:val="left"/>
        </w:tabs>
        <w:rPr>
          <w:sz w:val="20"/>
          <w:szCs w:val="20"/>
          <w:color w:val="auto"/>
        </w:rPr>
      </w:pPr>
      <w:r>
        <w:rPr>
          <w:rFonts w:ascii="Times New Roman" w:cs="Times New Roman" w:eastAsia="Times New Roman" w:hAnsi="Times New Roman"/>
          <w:sz w:val="18"/>
          <w:szCs w:val="18"/>
          <w:b w:val="1"/>
          <w:bCs w:val="1"/>
          <w:color w:val="auto"/>
        </w:rPr>
        <w:t>NUMBER ___</w:t>
      </w:r>
      <w:r>
        <w:rPr>
          <w:sz w:val="20"/>
          <w:szCs w:val="20"/>
          <w:color w:val="auto"/>
        </w:rPr>
        <w:tab/>
      </w:r>
      <w:r>
        <w:rPr>
          <w:rFonts w:ascii="Times New Roman" w:cs="Times New Roman" w:eastAsia="Times New Roman" w:hAnsi="Times New Roman"/>
          <w:sz w:val="17"/>
          <w:szCs w:val="17"/>
          <w:b w:val="1"/>
          <w:bCs w:val="1"/>
          <w:color w:val="auto"/>
        </w:rPr>
        <w:t>_________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WARRANT CERTIFIES THAT, for value received </w:t>
      </w:r>
      <w:r>
        <w:rPr>
          <w:rFonts w:ascii="Times New Roman" w:cs="Times New Roman" w:eastAsia="Times New Roman" w:hAnsi="Times New Roman"/>
          <w:sz w:val="18"/>
          <w:szCs w:val="18"/>
          <w:b w:val="1"/>
          <w:bCs w:val="1"/>
          <w:color w:val="auto"/>
        </w:rPr>
        <w:t>________________</w:t>
      </w:r>
      <w:r>
        <w:rPr>
          <w:rFonts w:ascii="Times New Roman" w:cs="Times New Roman" w:eastAsia="Times New Roman" w:hAnsi="Times New Roman"/>
          <w:sz w:val="18"/>
          <w:szCs w:val="18"/>
          <w:color w:val="auto"/>
        </w:rPr>
        <w:t xml:space="preserve"> is the registered 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of a warrant or warrants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is entitled to purchase up to ______________ fully paid and non-assessable shares of common stock, par value $0.0001 per share</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of $0.01 per share (as adjusted from time to time in accordance with this Warrant). This Warrant is issued in connection with that certain (i) Term Loan, Guarantee and Security Agreement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(ii) Limited Waiver and First Amendment to Term Loan, Guarantee and Security Agreement among Alter Domus (US) LLC, Dragonfly Energy Corp. and the other parties signatory thereto (the “</w:t>
      </w: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The Warrant represented by this certificate is referred to herein as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delivery of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legal@dragonflyenergy.com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972"/>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25" w:lineRule="exact"/>
        <w:rPr>
          <w:sz w:val="20"/>
          <w:szCs w:val="20"/>
          <w:color w:val="auto"/>
        </w:rPr>
      </w:pPr>
    </w:p>
    <w:p>
      <w:pPr>
        <w:jc w:val="both"/>
        <w:ind w:left="972" w:hanging="324"/>
        <w:spacing w:after="0" w:line="255" w:lineRule="auto"/>
        <w:tabs>
          <w:tab w:leader="none" w:pos="9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5" w:name="page6"/>
    <w:bookmarkEnd w:id="5"/>
    <w:p>
      <w:pPr>
        <w:jc w:val="both"/>
        <w:ind w:left="972" w:hanging="324"/>
        <w:spacing w:after="0" w:line="25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187"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6" w:name="page7"/>
    <w:bookmarkEnd w:id="6"/>
    <w:p>
      <w:pPr>
        <w:ind w:left="332" w:hanging="332"/>
        <w:spacing w:after="0"/>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6" w:lineRule="auto"/>
        <w:tabs>
          <w:tab w:leader="none" w:pos="16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59" w:lineRule="exact"/>
        <w:rPr>
          <w:sz w:val="20"/>
          <w:szCs w:val="20"/>
          <w:color w:val="auto"/>
        </w:rPr>
      </w:pPr>
    </w:p>
    <w:p>
      <w:pPr>
        <w:ind w:left="495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S x [(OS + D) / (OS + PS)]</w:t>
      </w:r>
    </w:p>
    <w:p>
      <w:pPr>
        <w:spacing w:after="0" w:line="11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new number of Shares issuable upon exercise of this Warrant</w:t>
      </w:r>
    </w:p>
    <w:p>
      <w:pPr>
        <w:spacing w:after="0" w:line="241"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D = the maximum number of Shares deliverable upon issuance of such securities</w:t>
      </w:r>
    </w:p>
    <w:p>
      <w:pPr>
        <w:spacing w:after="0" w:line="225" w:lineRule="exact"/>
        <w:rPr>
          <w:sz w:val="20"/>
          <w:szCs w:val="20"/>
          <w:color w:val="auto"/>
        </w:rPr>
      </w:pPr>
    </w:p>
    <w:p>
      <w:pPr>
        <w:ind w:left="972"/>
        <w:spacing w:after="0" w:line="282"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62" w:lineRule="exact"/>
        <w:rPr>
          <w:sz w:val="20"/>
          <w:szCs w:val="20"/>
          <w:color w:val="auto"/>
        </w:rPr>
      </w:pPr>
    </w:p>
    <w:p>
      <w:pPr>
        <w:jc w:val="both"/>
        <w:ind w:left="972" w:hanging="324"/>
        <w:spacing w:after="0" w:line="253" w:lineRule="auto"/>
        <w:tabs>
          <w:tab w:leader="none" w:pos="9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7" w:name="page8"/>
    <w:bookmarkEnd w:id="7"/>
    <w:p>
      <w:pPr>
        <w:jc w:val="both"/>
        <w:ind w:left="324" w:hanging="324"/>
        <w:spacing w:after="0" w:line="258"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 w:name="page9"/>
    <w:bookmarkEnd w:id="8"/>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9" w:name="page10"/>
    <w:bookmarkEnd w:id="9"/>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0" w:name="page11"/>
    <w:bookmarkEnd w:id="10"/>
    <w:p>
      <w:pPr>
        <w:jc w:val="both"/>
        <w:ind w:left="324" w:hanging="324"/>
        <w:spacing w:after="0" w:line="258"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269875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1" w:name="page12"/>
    <w:bookmarkEnd w:id="11"/>
    <w:p>
      <w:pPr>
        <w:jc w:val="both"/>
        <w:ind w:left="972" w:hanging="324"/>
        <w:spacing w:after="0" w:line="253"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2" w:name="page13"/>
    <w:bookmarkEnd w:id="12"/>
    <w:p>
      <w:pPr>
        <w:jc w:val="both"/>
        <w:ind w:left="972"/>
        <w:spacing w:after="0" w:line="256" w:lineRule="auto"/>
        <w:rPr>
          <w:sz w:val="20"/>
          <w:szCs w:val="20"/>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87" w:lineRule="exact"/>
        <w:rPr>
          <w:sz w:val="20"/>
          <w:szCs w:val="20"/>
          <w:color w:val="auto"/>
        </w:rPr>
      </w:pPr>
    </w:p>
    <w:p>
      <w:pPr>
        <w:jc w:val="both"/>
        <w:ind w:left="332" w:hanging="332"/>
        <w:spacing w:after="0" w:line="253"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Binding Obligation</w:t>
      </w:r>
      <w:r>
        <w:rPr>
          <w:rFonts w:ascii="Times New Roman" w:cs="Times New Roman" w:eastAsia="Times New Roman" w:hAnsi="Times New Roman"/>
          <w:sz w:val="18"/>
          <w:szCs w:val="18"/>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94"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3" w:name="page14"/>
    <w:bookmarkEnd w:id="13"/>
    <w:p>
      <w:pPr>
        <w:jc w:val="both"/>
        <w:ind w:left="972" w:hanging="324"/>
        <w:spacing w:after="0" w:line="254"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4" w:name="page15"/>
    <w:bookmarkEnd w:id="14"/>
    <w:p>
      <w:pPr>
        <w:jc w:val="both"/>
        <w:ind w:left="972" w:hanging="324"/>
        <w:spacing w:after="0" w:line="253"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r>
        <w:rPr>
          <w:rFonts w:ascii="Times New Roman" w:cs="Times New Roman" w:eastAsia="Times New Roman" w:hAnsi="Times New Roman"/>
          <w:sz w:val="18"/>
          <w:szCs w:val="18"/>
          <w:u w:val="single" w:color="auto"/>
          <w:color w:val="auto"/>
        </w:rPr>
        <w:t>.</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 purchase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issuable upon the exercise of such Warrants, and requests that Certificates for such shares shall be issued in the name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purchase the Shares issuable upon the exercise of such Warrants, </w:t>
      </w:r>
      <w:r>
        <w:rPr>
          <w:rFonts w:ascii="Times New Roman" w:cs="Times New Roman" w:eastAsia="Times New Roman" w:hAnsi="Times New Roman"/>
          <w:sz w:val="18"/>
          <w:szCs w:val="18"/>
          <w:b w:val="1"/>
          <w:bCs w:val="1"/>
          <w:color w:val="auto"/>
        </w:rPr>
        <w:t>using the Cashless Exercise method, resulting in the issuance of ______ Shares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 has calculated the number of Shares to be issued to it in accordance with the following formula set forth in Section 1(d)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Where the Fair Market Value of one Share is $[__],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requests that Certificates for such shares shall be issued in the name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 AND 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LOAN, GUARANTEE AND SECURITY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LIMITED WAIVER AND FIRST AMENDMENT TO TERM LOAN, GUARANTEE AND SECURITY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June 28, 2024, by and among DRAGONFLY ENERGY CORP.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DRAGONFLY ENERGY HOLDINGS CORP. (F/K/A CHARDAN NEXTECH ACQUISITION 2 CORP)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signatory hereto (the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and ALTER DOMUS (US) LLC, as agent on behalf of the Lenders under the Loan Agreement (as hereinafter defined)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Borrower, Holdings, the Required Lenders and the Agent are parties to that certain Term Loan, Guarantee and Security Agreement, dated as of October 7, 2022 (as amended, modified, extended, restated, replaced, and/or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Loan Agreement, the Credit Parties are required to measure the Senior Leverage Ratio as of the last day of the Fiscal Quarter ending June 30, 2024 (the “</w:t>
      </w:r>
      <w:r>
        <w:rPr>
          <w:rFonts w:ascii="Times New Roman" w:cs="Times New Roman" w:eastAsia="Times New Roman" w:hAnsi="Times New Roman"/>
          <w:sz w:val="18"/>
          <w:szCs w:val="18"/>
          <w:u w:val="single" w:color="auto"/>
          <w:color w:val="auto"/>
        </w:rPr>
        <w:t>Senior Leverage Ratio Test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Loan Agreement, the Credit Parties are required to measure the Fixed Charge Coverage Ratio for the trailing four (4) Fiscal Quarter period ending on June 30, 2024 if Liquidity is less than $15,000,000 as of the last day of the Fiscal Quarter ending June 30, 2024 (the “</w:t>
      </w:r>
      <w:r>
        <w:rPr>
          <w:rFonts w:ascii="Times New Roman" w:cs="Times New Roman" w:eastAsia="Times New Roman" w:hAnsi="Times New Roman"/>
          <w:sz w:val="18"/>
          <w:szCs w:val="18"/>
          <w:u w:val="single" w:color="auto"/>
          <w:color w:val="auto"/>
        </w:rPr>
        <w:t>Fixed Charge Coverage Ratio Test</w:t>
      </w:r>
      <w:r>
        <w:rPr>
          <w:rFonts w:ascii="Times New Roman" w:cs="Times New Roman" w:eastAsia="Times New Roman" w:hAnsi="Times New Roman"/>
          <w:sz w:val="18"/>
          <w:szCs w:val="18"/>
          <w:color w:val="auto"/>
        </w:rPr>
        <w:t>” and together with the Senior Leverage Ratio Test, the “</w:t>
      </w:r>
      <w:r>
        <w:rPr>
          <w:rFonts w:ascii="Times New Roman" w:cs="Times New Roman" w:eastAsia="Times New Roman" w:hAnsi="Times New Roman"/>
          <w:sz w:val="18"/>
          <w:szCs w:val="18"/>
          <w:u w:val="single" w:color="auto"/>
          <w:color w:val="auto"/>
        </w:rPr>
        <w:t>Tests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Credit Parties have requested that the Agent and the Required Lenders (i) waive the Tests for the Fiscal Quarter ending June 30, 2024 and (ii) amend certain provisions of the Loan Agreement and, subject to the satisfaction of the conditions set forth below, each of the Agent and the Required Lenders are willing to waive the Tests for the Fiscal Quarter ending June 30, 2024 and amend the Loan Agreement on the terms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Credit Parties, the Required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but not otherwise defined herein have the meanings assigned to them in the Loan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each of the Agent (acting at the direction of the Required Lenders) and the Required Lenders hereby waives the Tests for the Fiscal Quarter ending June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is applicable only to the Tests for the Fiscal Quarter ending June 30, 2024 and to no other current or prospective financial covenants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firstLine="656"/>
        <w:spacing w:after="0" w:line="282"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Loan Agreement</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Loan Agreement is hereby amended as of the date hereof as follows:</w:t>
      </w:r>
    </w:p>
    <w:p>
      <w:pPr>
        <w:spacing w:after="0" w:line="162"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(Interest) shall be amended by amending and restating clause (b) thereof to read as follows: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2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interest to Agent for the pro rata benefit of the Lenders on the outstanding balance of the Loan on a quarterly basis. Interest shall be payable on the balance of the Loan (i) quarterly in arrears and shall be due on the first Business Day of each Fiscal Quarter, (ii) on the Maturity Date of the Loan, and (iii) if any interest accrues or remains payable after the Maturity Date of the Loan, upon demand by Agent. For each Payment Date from the Closing Date until and including October 1, 2024 (other than the Payment Date occurring on July 1, 2024 which is governed by the provided clause at the end of this sentence), interest shall be payable partly in cash and payable partly in-kind at a rate per annum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with the portion payable in-kind at the Applicable PIK Rate which shall be capitalized, compounded and thereby increase the outstanding principal amount of the Loan on a quarterly basis on each such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the Payment Date occurring on July 1, 2024, all interest payable on such Payment Date shall be payable in-kind at a per annum rate equal to Adjusted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Applicable Margin </w:t>
      </w:r>
      <w:r>
        <w:rPr>
          <w:rFonts w:ascii="Times New Roman" w:cs="Times New Roman" w:eastAsia="Times New Roman" w:hAnsi="Times New Roman"/>
          <w:sz w:val="18"/>
          <w:szCs w:val="18"/>
          <w:color w:val="auto"/>
        </w:rPr>
        <w:t>which shall be capitalized, compounded and thereby increase the outstanding principal amount of the Loan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Payment Date. For each Payment Date occurring on and after January 1, 2025 (for the avoidance of doubt, including all interest accruing for the period beginning October 1, 2024 and ending December 31, 2024), all interest shall be payable in cash at a rate per annum equal to Adjusted Term SOFR </w:t>
      </w:r>
      <w:r>
        <w:rPr>
          <w:rFonts w:ascii="Times New Roman" w:cs="Times New Roman" w:eastAsia="Times New Roman" w:hAnsi="Times New Roman"/>
          <w:sz w:val="18"/>
          <w:szCs w:val="18"/>
          <w:i w:val="1"/>
          <w:iCs w:val="1"/>
          <w:color w:val="auto"/>
        </w:rPr>
        <w:t>plus the Applicable Margin.</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 (Financial Covenants) shall be amended by amending and restating clause (b) thereof to read as follows: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The Credit Parties shall not permit their Liquidity (determined on a consolidated basis) to be less than (i) $3,500,000 as of the last day of the Fiscal Month ending June 30, 2024 and (ii) $10,000,000 as of the last day of each Fiscal Month thereafter (commencing with the Fiscal Month ending July 31, 2024).</w:t>
      </w:r>
    </w:p>
    <w:p>
      <w:pPr>
        <w:spacing w:after="0" w:line="176" w:lineRule="exact"/>
        <w:rPr>
          <w:sz w:val="20"/>
          <w:szCs w:val="20"/>
          <w:color w:val="auto"/>
        </w:rPr>
      </w:pPr>
    </w:p>
    <w:p>
      <w:pPr>
        <w:ind w:firstLine="656"/>
        <w:spacing w:after="0" w:line="282" w:lineRule="auto"/>
        <w:tabs>
          <w:tab w:leader="none" w:pos="8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upon the satisfaction of the below:</w:t>
      </w:r>
    </w:p>
    <w:p>
      <w:pPr>
        <w:spacing w:after="0" w:line="162" w:lineRule="exact"/>
        <w:rPr>
          <w:sz w:val="20"/>
          <w:szCs w:val="20"/>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shall have been executed and delivered by the Credit Parties, the Agent and the Required Lenders;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issued to the Lenders, on or about the date of this Amendment, penny warrants exercisable to purchase 2,100,000 shares of Holdings’ common stock, which penny warrants shall be in form and substance satisfactory to the Lenders;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656"/>
        <w:spacing w:after="0" w:line="266" w:lineRule="auto"/>
        <w:tabs>
          <w:tab w:leader="none" w:pos="9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the legal fees and expenses of Chapman and Cutler LLP, counsel for the Required Lenders, incurred in connection with the preparation, negotiation, execution and delivery of this Amendment and other services rendered in connection with the Loan Agreement prior to the date hereof;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w:t>
      </w:r>
    </w:p>
    <w:p>
      <w:pPr>
        <w:spacing w:after="0" w:line="176" w:lineRule="exact"/>
        <w:rPr>
          <w:sz w:val="20"/>
          <w:szCs w:val="20"/>
          <w:color w:val="auto"/>
        </w:rPr>
      </w:pPr>
    </w:p>
    <w:p>
      <w:pPr>
        <w:ind w:left="840" w:hanging="184"/>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no Default or Event of Default will have occurred and be continuing on and as of the Effective Date.</w:t>
      </w:r>
    </w:p>
    <w:p>
      <w:pPr>
        <w:spacing w:after="0" w:line="162" w:lineRule="exact"/>
        <w:rPr>
          <w:sz w:val="20"/>
          <w:szCs w:val="20"/>
          <w:color w:val="auto"/>
        </w:rPr>
      </w:pPr>
    </w:p>
    <w:p>
      <w:pPr>
        <w:jc w:val="both"/>
        <w:ind w:firstLine="656"/>
        <w:spacing w:after="0" w:line="266" w:lineRule="auto"/>
        <w:tabs>
          <w:tab w:leader="none" w:pos="8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Credit Parties shall deliver to the Lenders (or their counsel) by no later than July 12, 2024, original, wet ink signed pages (signed by Holdings) to the warrants referred to in Section 3(b) above. It shall be an immediate Event of Default under the Loan Agreement if the Lenders (or their counsel) have not received such signed pages by July 12, 2024.</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Amendment is designated a Loan Document by the Agent.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2" w:lineRule="auto"/>
        <w:tabs>
          <w:tab w:leader="none" w:pos="8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Amendment are for the purposes of reference only and shall not affect the construction of this Amendment.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Required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Each of the Required Lenders, by their execution of this Amendment, hereby directs the Agent to execute this Amendment. In doing so, the Agent shall be entitled to all of its rights, benefits and protections set forth in the Loan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Limited Waiver to be duly executed by their duly authorized officers, all as of the date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A0A0A"/>
              </w:rPr>
              <w:t>BORROWER:</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DRAGONFLY ENERGY CORP</w:t>
            </w:r>
            <w:r>
              <w:rPr>
                <w:rFonts w:ascii="Times New Roman" w:cs="Times New Roman" w:eastAsia="Times New Roman" w:hAnsi="Times New Roman"/>
                <w:sz w:val="18"/>
                <w:szCs w:val="18"/>
                <w:b w:val="1"/>
                <w:bCs w:val="1"/>
                <w:color w:val="0A0A0A"/>
              </w:rPr>
              <w:t>.</w:t>
            </w:r>
          </w:p>
        </w:tc>
      </w:tr>
      <w:tr>
        <w:trPr>
          <w:trHeight w:val="473"/>
        </w:trPr>
        <w:tc>
          <w:tcPr>
            <w:tcW w:w="1020" w:type="dxa"/>
            <w:vAlign w:val="bottom"/>
            <w:tcBorders>
              <w:top w:val="single" w:sz="8" w:color="0A0A0A"/>
            </w:tcBorders>
          </w:tcPr>
          <w:p>
            <w:pPr>
              <w:spacing w:after="0"/>
              <w:rPr>
                <w:sz w:val="24"/>
                <w:szCs w:val="24"/>
                <w:color w:val="auto"/>
              </w:rPr>
            </w:pPr>
          </w:p>
        </w:tc>
        <w:tc>
          <w:tcPr>
            <w:tcW w:w="80" w:type="dxa"/>
            <w:vAlign w:val="bottom"/>
            <w:tcBorders>
              <w:top w:val="single" w:sz="8" w:color="0A0A0A"/>
            </w:tcBorders>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0A0A0A"/>
              </w:rPr>
              <w:t>/s/ Denis Phares</w:t>
            </w:r>
          </w:p>
        </w:tc>
      </w:tr>
      <w:tr>
        <w:trPr>
          <w:trHeight w:val="198"/>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2"/>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A0A0A"/>
              </w:rPr>
              <w:t>HOLDINGS :</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DRAGONFLY ENERGY HOLDINGS CORP. (F/K/A CHARDAN</w:t>
            </w:r>
          </w:p>
        </w:tc>
      </w:tr>
      <w:tr>
        <w:trPr>
          <w:trHeight w:val="237"/>
        </w:trPr>
        <w:tc>
          <w:tcPr>
            <w:tcW w:w="1020" w:type="dxa"/>
            <w:vAlign w:val="bottom"/>
            <w:tcBorders>
              <w:top w:val="single" w:sz="8" w:color="0A0A0A"/>
            </w:tcBorders>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NEXTECH ACQUISITION 2 CORP.)</w:t>
            </w:r>
          </w:p>
        </w:tc>
      </w:tr>
      <w:tr>
        <w:trPr>
          <w:trHeight w:val="45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0A0A0A"/>
              </w:rPr>
              <w:t>/s/ Denis Phares</w:t>
            </w:r>
          </w:p>
        </w:tc>
      </w:tr>
      <w:tr>
        <w:trPr>
          <w:trHeight w:val="198"/>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ALTER DOMUS (US)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Pinju Chiu</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Counsel</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A0A0A"/>
              </w:rPr>
              <w:t>LENDERS: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A0A0A"/>
              </w:rPr>
              <w:t>ENERGY IMPACT CREDIT FUND I LP</w:t>
            </w:r>
          </w:p>
        </w:tc>
      </w:tr>
      <w:tr>
        <w:trPr>
          <w:trHeight w:val="453"/>
        </w:trPr>
        <w:tc>
          <w:tcPr>
            <w:tcW w:w="860" w:type="dxa"/>
            <w:vAlign w:val="bottom"/>
            <w:tcBorders>
              <w:top w:val="single" w:sz="8" w:color="0A0A0A"/>
            </w:tcBorders>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 GP LLC, its general partner</w:t>
            </w:r>
          </w:p>
        </w:tc>
      </w:tr>
      <w:tr>
        <w:trPr>
          <w:trHeight w:val="439"/>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0A0A0A"/>
              </w:rPr>
              <w:t>/s/ Harry Giovani</w:t>
            </w:r>
          </w:p>
        </w:tc>
      </w:tr>
      <w:tr>
        <w:trPr>
          <w:trHeight w:val="198"/>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A0A0A"/>
              </w:rPr>
              <w:t>ENERGY IMPACT CREDIT FUND II LP</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II GP LLC, its general partner</w:t>
            </w:r>
          </w:p>
        </w:tc>
      </w:tr>
      <w:tr>
        <w:trPr>
          <w:trHeight w:val="439"/>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0A0A0A"/>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0A0A0A"/>
              </w:rPr>
              <w:t>/s/ Harry Giovani</w:t>
            </w:r>
          </w:p>
        </w:tc>
      </w:tr>
      <w:tr>
        <w:trPr>
          <w:trHeight w:val="198"/>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8"/>
          <w:szCs w:val="18"/>
          <w:b w:val="1"/>
          <w:bCs w:val="1"/>
          <w:color w:val="0A0A0A"/>
        </w:rPr>
        <w:t>BP HOLDINGS XVII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BPC AS Cayman LLC, its General Partner</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BPC AS LLC, its Manager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0A0A0A"/>
        </w:rPr>
        <w:t>By:</w:t>
      </w:r>
      <w:r>
        <w:rPr>
          <w:sz w:val="20"/>
          <w:szCs w:val="20"/>
          <w:color w:val="auto"/>
        </w:rPr>
        <w:tab/>
      </w:r>
      <w:r>
        <w:rPr>
          <w:rFonts w:ascii="Times New Roman" w:cs="Times New Roman" w:eastAsia="Times New Roman" w:hAnsi="Times New Roman"/>
          <w:sz w:val="18"/>
          <w:szCs w:val="18"/>
          <w:i w:val="1"/>
          <w:iCs w:val="1"/>
          <w:color w:val="0A0A0A"/>
        </w:rPr>
        <w:t>/s/ Allan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Allan Schweitzer</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Portfolio 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lvl w:ilvl="1">
      <w:lvlJc w:val="left"/>
      <w:lvlText w:val="(%2)"/>
      <w:numFmt w:val="lowerLetter"/>
      <w:start w:val="1"/>
    </w:lvl>
  </w:abstractNum>
  <w:abstractNum w:abstractNumId="2">
    <w:nsid w:val="6B68079A"/>
    <w:multiLevelType w:val="hybridMultilevel"/>
    <w:lvl w:ilvl="0">
      <w:lvlJc w:val="left"/>
      <w:lvlText w:val="%1"/>
      <w:numFmt w:val="decimal"/>
      <w:start w:val="1"/>
    </w:lvl>
    <w:lvl w:ilvl="1">
      <w:lvlJc w:val="left"/>
      <w:lvlText w:val="(%2)"/>
      <w:numFmt w:val="lowerLetter"/>
      <w:start w:val="4"/>
    </w:lvl>
  </w:abstractNum>
  <w:abstractNum w:abstractNumId="3">
    <w:nsid w:val="4E6AFB66"/>
    <w:multiLevelType w:val="hybridMultilevel"/>
    <w:lvl w:ilvl="0">
      <w:lvlJc w:val="left"/>
      <w:lvlText w:val="%1."/>
      <w:numFmt w:val="decimal"/>
      <w:start w:val="2"/>
    </w:lvl>
    <w:lvl w:ilvl="1">
      <w:lvlJc w:val="left"/>
      <w:lvlText w:val="(%2)"/>
      <w:numFmt w:val="lowerLetter"/>
      <w:start w:val="1"/>
    </w:lvl>
  </w:abstractNum>
  <w:abstractNum w:abstractNumId="4">
    <w:nsid w:val="25E45D32"/>
    <w:multiLevelType w:val="hybridMultilevel"/>
    <w:lvl w:ilvl="0">
      <w:lvlJc w:val="left"/>
      <w:lvlText w:val="%1"/>
      <w:numFmt w:val="decimal"/>
      <w:start w:val="1"/>
    </w:lvl>
    <w:lvl w:ilvl="1">
      <w:lvlJc w:val="left"/>
      <w:lvlText w:val="(%2)"/>
      <w:numFmt w:val="lowerLetter"/>
      <w:start w:val="3"/>
    </w:lvl>
  </w:abstractNum>
  <w:abstractNum w:abstractNumId="5">
    <w:nsid w:val="519B500D"/>
    <w:multiLevelType w:val="hybridMultilevel"/>
    <w:lvl w:ilvl="0">
      <w:lvlJc w:val="left"/>
      <w:lvlText w:val="%1."/>
      <w:numFmt w:val="decimal"/>
      <w:start w:val="3"/>
    </w:lvl>
    <w:lvl w:ilvl="1">
      <w:lvlJc w:val="left"/>
      <w:lvlText w:val="(%2)"/>
      <w:numFmt w:val="lowerLetter"/>
      <w:start w:val="1"/>
    </w:lvl>
  </w:abstractNum>
  <w:abstractNum w:abstractNumId="6">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1)"/>
      <w:numFmt w:val="lowerLetter"/>
      <w:start w:val="4"/>
    </w:lvl>
  </w:abstractNum>
  <w:abstractNum w:abstractNumId="9">
    <w:nsid w:val="257130A3"/>
    <w:multiLevelType w:val="hybridMultilevel"/>
    <w:lvl w:ilvl="0">
      <w:lvlJc w:val="left"/>
      <w:lvlText w:val="%1."/>
      <w:numFmt w:val="decimal"/>
      <w:start w:val="5"/>
    </w:lvl>
    <w:lvl w:ilvl="1">
      <w:lvlJc w:val="left"/>
      <w:lvlText w:val="(%2)"/>
      <w:numFmt w:val="lowerLetter"/>
      <w:start w:val="1"/>
    </w:lvl>
  </w:abstractNum>
  <w:abstractNum w:abstractNumId="10">
    <w:nsid w:val="62BBD95A"/>
    <w:multiLevelType w:val="hybridMultilevel"/>
    <w:lvl w:ilvl="0">
      <w:lvlJc w:val="left"/>
      <w:lvlText w:val="(%1)"/>
      <w:numFmt w:val="lowerLetter"/>
      <w:start w:val="4"/>
    </w:lvl>
    <w:lvl w:ilvl="1">
      <w:lvlJc w:val="left"/>
      <w:lvlText w:val="%2."/>
      <w:numFmt w:val="lowerRoman"/>
      <w:start w:val="1"/>
    </w:lvl>
  </w:abstractNum>
  <w:abstractNum w:abstractNumId="11">
    <w:nsid w:val="436C6125"/>
    <w:multiLevelType w:val="hybridMultilevel"/>
    <w:lvl w:ilvl="0">
      <w:lvlJc w:val="left"/>
      <w:lvlText w:val="(%1)"/>
      <w:numFmt w:val="lowerLetter"/>
      <w:start w:val="6"/>
    </w:lvl>
  </w:abstractNum>
  <w:abstractNum w:abstractNumId="12">
    <w:nsid w:val="628C895D"/>
    <w:multiLevelType w:val="hybridMultilevel"/>
    <w:lvl w:ilvl="0">
      <w:lvlJc w:val="left"/>
      <w:lvlText w:val="%1"/>
      <w:numFmt w:val="decimal"/>
      <w:start w:val="1"/>
    </w:lvl>
    <w:lvl w:ilvl="1">
      <w:lvlJc w:val="left"/>
      <w:lvlText w:val="(%2)"/>
      <w:numFmt w:val="lowerLetter"/>
      <w:start w:val="11"/>
    </w:lvl>
  </w:abstractNum>
  <w:abstractNum w:abstractNumId="13">
    <w:nsid w:val="333AB105"/>
    <w:multiLevelType w:val="hybridMultilevel"/>
    <w:lvl w:ilvl="0">
      <w:lvlJc w:val="left"/>
      <w:lvlText w:val="%1."/>
      <w:numFmt w:val="decimal"/>
      <w:start w:val="6"/>
    </w:lvl>
    <w:lvl w:ilvl="1">
      <w:lvlJc w:val="left"/>
      <w:lvlText w:val="(%2)"/>
      <w:numFmt w:val="lowerLetter"/>
      <w:start w:val="1"/>
    </w:lvl>
  </w:abstractNum>
  <w:abstractNum w:abstractNumId="14">
    <w:nsid w:val="721DA317"/>
    <w:multiLevelType w:val="hybridMultilevel"/>
    <w:lvl w:ilvl="0">
      <w:lvlJc w:val="left"/>
      <w:lvlText w:val="%1."/>
      <w:numFmt w:val="decimal"/>
      <w:start w:val="7"/>
    </w:lvl>
    <w:lvl w:ilvl="1">
      <w:lvlJc w:val="left"/>
      <w:lvlText w:val="(%2)"/>
      <w:numFmt w:val="lowerLetter"/>
      <w:start w:val="1"/>
    </w:lvl>
  </w:abstractNum>
  <w:abstractNum w:abstractNumId="15">
    <w:nsid w:val="2443A858"/>
    <w:multiLevelType w:val="hybridMultilevel"/>
    <w:lvl w:ilvl="0">
      <w:lvlJc w:val="left"/>
      <w:lvlText w:val="%1"/>
      <w:numFmt w:val="decimal"/>
      <w:start w:val="1"/>
    </w:lvl>
    <w:lvl w:ilvl="1">
      <w:lvlJc w:val="left"/>
      <w:lvlText w:val="(%2)"/>
      <w:numFmt w:val="lowerLetter"/>
      <w:start w:val="4"/>
    </w:lvl>
  </w:abstractNum>
  <w:abstractNum w:abstractNumId="16">
    <w:nsid w:val="2D1D5AE9"/>
    <w:multiLevelType w:val="hybridMultilevel"/>
    <w:lvl w:ilvl="0">
      <w:lvlJc w:val="left"/>
      <w:lvlText w:val="%1."/>
      <w:numFmt w:val="decimal"/>
      <w:start w:val="10"/>
    </w:lvl>
    <w:lvl w:ilvl="1">
      <w:lvlJc w:val="left"/>
      <w:lvlText w:val="(%2)"/>
      <w:numFmt w:val="lowerLetter"/>
      <w:start w:val="1"/>
    </w:lvl>
  </w:abstractNum>
  <w:abstractNum w:abstractNumId="17">
    <w:nsid w:val="6763845E"/>
    <w:multiLevelType w:val="hybridMultilevel"/>
    <w:lvl w:ilvl="0">
      <w:lvlJc w:val="left"/>
      <w:lvlText w:val="%1"/>
      <w:numFmt w:val="decimal"/>
      <w:start w:val="1"/>
    </w:lvl>
    <w:lvl w:ilvl="1">
      <w:lvlJc w:val="left"/>
      <w:lvlText w:val="(%2)"/>
      <w:numFmt w:val="lowerLetter"/>
      <w:start w:val="2"/>
    </w:lvl>
  </w:abstractNum>
  <w:abstractNum w:abstractNumId="18">
    <w:nsid w:val="75A2A8D4"/>
    <w:multiLevelType w:val="hybridMultilevel"/>
    <w:lvl w:ilvl="0">
      <w:lvlJc w:val="left"/>
      <w:lvlText w:val="%1."/>
      <w:numFmt w:val="decimal"/>
      <w:start w:val="12"/>
    </w:lvl>
    <w:lvl w:ilvl="1">
      <w:lvlJc w:val="left"/>
      <w:lvlText w:val="%2"/>
      <w:numFmt w:val="lowerLetter"/>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lowerLetter"/>
      <w:start w:val="1"/>
    </w:lvl>
    <w:lvl w:ilvl="1">
      <w:lvlJc w:val="left"/>
      <w:lvlText w:val="(%2)"/>
      <w:numFmt w:val="lowerLetter"/>
      <w:start w:val="2"/>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6"/>
    </w:lvl>
  </w:abstractNum>
  <w:abstractNum w:abstractNumId="28">
    <w:nsid w:val="2901D8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2024-07-01T05:19:10Z</dcterms:created>
  <dcterms:modified xsi:type="dcterms:W3CDTF">2024-07-01T05:19:10Z</dcterms:modified>
</cp:coreProperties>
</file>