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State Street, 21st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Chardan NexTech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2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16,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0001847986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Grossman: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 filed May 16,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 to give prominence to the disclosure that the Sponsor and</w:t>
      </w:r>
    </w:p>
    <w:p>
      <w:pPr>
        <w:ind w:left="5900"/>
        <w:spacing w:after="0" w:line="238" w:lineRule="auto"/>
        <w:tabs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directors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executive officers have interests in the business combination that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different from,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 to those of your shareholders.</w:t>
      </w: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 to disclose the equity ownership of the public stockholders,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investors and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 w:right="4119" w:hanging="736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Sponsor upon completion of the business combination. QUESTIONS AND ANSWERS ABOUT THE PROPOSALS, page 10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highlight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risks to public warrant holders, including those arising from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LastNameJonas Grossman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2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2022NameChardan NexTech Acquisition 2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differences between private and public warrants. Clarify whether recent common stock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prices exceed the threshold that would allow the company to redeem public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warrants. Clearly explain the steps, if any, the company will take to notify all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shareholders, including beneficial owners, regarding when the warrants become eligible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redemption.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certain shareholders agreed to waive their redemption rights. Please describe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consideration provided in exchange for this agreement.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 a question and answer that addresses the positive and negative factors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considered when determining to enter into the business combination agreement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rationale for approving the transaction. Risk Factor Summary, page 39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risk factor summary to ensure that it is no more than two pages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length. Refer to Item 105(b) of Regulation S-K. Fairness Opinion of Duff &amp; Phelps, page 93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5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the "Duff &amp; Phelps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Opinion was furnished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and benefit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Chardan Board in connection with the Business Combination and was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intended to,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does not, confer any rights or remedies upon any other person, and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not intended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used, and may not be used, by any other person or for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purpose, without Duff</w:t>
      </w:r>
    </w:p>
    <w:p>
      <w:pPr>
        <w:ind w:left="96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Phelps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express consent." Please also refer to similar language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contained in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fairness opinion. This disclosure suggests that shareholders may not consider or rely 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in the opinion. Because it is inconsistent with the disclosures relating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opinion, the limitation should be deleted.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Certain Persons in the Business Combination, page 123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the fact that Mr. Grossman, sole member of Chardan NexTech Invesments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II LLC, may have interests in the completion of the business combination that may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different from Chardan's public stockholders due to Chardan NexTech Investments II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LLC participating in the PIPE and Sponsor agreements. Background of the Business Combination, page 126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in this section to include negotiations relating to material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the transaction, including, but not limited to, structure, consideration, proposals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counter-proposals and size of PIPE. In your revised disclosure, please explain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the terms, each party's position on the issues, and how you reached agreement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final terms. Please also discuss the negotiations related to the material ancillary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related to the business combination.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Chardan's Management's Discussion and Analysis of Financial Condition and Results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855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Operations Jonas Grossman</w:t>
      </w:r>
    </w:p>
    <w:p>
      <w:pPr>
        <w:ind w:right="63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LastNameJonas Grossman Chardan NexTech Acquisition 2 Corp. Comapany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2022NameChardan NexTech Acquisition 2 Corp. June 9,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2022 Page 3 FirstName LastName Critical Accounting Policies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Accounting Standards, page 176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here and in the notes to your financial statements that ASU 2020-06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 for you on January 1, 2024 and that you early adopted on January 1,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2021. Please reconcile these disclosures with your statement on page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ASU 2020-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06 is effective January 1, 2022 and you are currently assessing the impact of adoption.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PROJECTED FINANCIAL INFORMATION OF DRAGONFLY, page 205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financial projections are based on numerous assumptions.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to disclose whether the projections are in line with historic operating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trends. Address why the change in trends is appropriate or assumptions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reasonable. Clearly describe the basis for projecting this growth and the factors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contingencies that would affect such growth ultimately materializing. Description of the Business Combination, page 209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the Penny Warrants are exercisable for 3.6% of fully-diluted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shares or whether they are exercisable for 1,536,367 shares post closing.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describe any other material terms of the Penny Warrants. Unaudited Pro Forma Condensed Combined Financial Information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Pro Forma Condensed Combined Financial Information Note 3. Adjustments to Unaudited Pro Forma Condensed Combined Financial Information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 to Unaudited Pro Forma Condensed Combined Balance Sheet, page 216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adjustment D. Please tell us where you reflected the elimination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Dragonfly's historical debt. In this regard, we note adjustments to cash for the use of cash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payoff the debt and to notes payable, current portion, but we note no adjustment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payable, non-current portion.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adjustment I. Please tell us where this adjustment is reflected in the pro forma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sheet, as we note no adjustment labeled "I."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 to Unaudited Pro Forma Condensed Combined Statements of Operations, page 217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adjustment EE to provide your calculation of interest expense under the new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 Loan Facility.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your disclosure in note D that the pro forma balance sheet reflects the repayment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Dragonfly's historical debt and the write off of unamortized debt discount, it is not clear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us why the pro forma statement of operations does not reflect the non-recurring loss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$6.1 million that will result from the debt extinguishment. Please clarify or revise.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339" w:hanging="105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4. Net Loss per Share, page 217 Jonas Grossman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3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LastNameJonas Grossman Chardan NexTech Acquisition 2 Corp. Comapany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2022NameChardan NexTech Acquisition 2 Corp. June 9,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823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4 2022 Page 4 FirstName LastName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note 4 to clarify that the pro forma loss per share calculations also exclude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 million additional shares of common stock that may be issued as a result of the Earnout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OWNERSHIP OF SECURITIES, page 250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sponsor and its affiliates' total potential interest in the combined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company, assuming exercise and conversion of all securities. Financial Statements, page F-1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financial statements and all related disclosures in accordance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8-08 of Regulation S-X. Please also provide updated financial statements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disclosures for Dragonfly, the predecessor, in accordance with Rule 8-08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SPAC IPO underwriter performed additional services after the IPO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 of the IPO underwriting fee was deferred and conditioned on the completion of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 Please quantify the aggregate fees payable to the SPAC IPO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underwriter that are contingent on completion of a business combination.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 and how your business segments, products, lines of service,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projects, or operations are materially impacted by supply chain disruptions. For example,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whether you have or expect to: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suspend the production, purchase, sale or maintenance of certain items due to a lack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raw materials, parts, or equipment; inventory shortages; closed factories or stores;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reduced headcount; or delayed projects;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 labor shortages that impact your business;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 cybersecurity attacks in your supply chain;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 higher costs due to constrained capacity or increased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commodity prices 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challenges sourcing materials (e.g., nickel, palladium, neon, cobalt, iron, platinum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380" w:right="1819" w:firstLine="105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other raw material sourced from Russia, Belarus, or Ukraine); experience surges or declines in consumer demand for which you are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unable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adequately adjust your supply; or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unable to supply products at competitive prices or at all due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export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restrictions, sanctions, tariffs, trade barriers, or political or trade tensions among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countries, or the ongoing invasion.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whether and how you have undertaken efforts to mitigate the impact and where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 quantify the impact to your business. In this regard, we note your disclosure that,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result of global supply chain disruptions, you have "experienced a build-up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 and a significant increase in prepaid inventory as suppliers have required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upfront deposits."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reliance on a single source supplier for your proprietary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battery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system. Please tell us what consideration you gave to Item 601(b)(10)(ii)(B)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all material terms of the Equity Facility Letter Agreement, including all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terms of the Equity Facility Commitment Shares.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Heather Clark, Staff Accountant, at (202) 551-3624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McConnell, Staff Accountant, at (202) 551-3709 if you have questions regarding comments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financial statements and related matters. Please contact Bradley Ecker, Staff Attorney, 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551-4985 or Sherry Haywood, Staff Attorney, at (202) 551-3345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LastNameJonas Grossman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NameChardan NexTech Acquisition 2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42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Corporation Finance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9, 2022 Page 5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8"/>
    </w:lvl>
    <w:lvl w:ilvl="1">
      <w:lvlJc w:val="left"/>
      <w:lvlText w:val="%2"/>
      <w:numFmt w:val="upperLetter"/>
      <w:start w:val="1"/>
    </w:lvl>
  </w:abstractNum>
  <w:abstractNum w:abstractNumId="3">
    <w:nsid w:val="3D1B58BA"/>
    <w:multiLevelType w:val="hybridMultilevel"/>
    <w:lvl w:ilvl="0">
      <w:lvlJc w:val="left"/>
      <w:lvlText w:val="%1"/>
      <w:numFmt w:val="decimal"/>
      <w:start w:val="172"/>
    </w:lvl>
    <w:lvl w:ilvl="1">
      <w:lvlJc w:val="left"/>
      <w:lvlText w:val="%2"/>
      <w:numFmt w:val="upperLetter"/>
      <w:start w:val="1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2"/>
    </w:lvl>
  </w:abstractNum>
  <w:abstractNum w:abstractNumId="6">
    <w:nsid w:val="41B71EFB"/>
    <w:multiLevelType w:val="hybridMultilevel"/>
    <w:lvl w:ilvl="0">
      <w:lvlJc w:val="left"/>
      <w:lvlText w:val="%1."/>
      <w:numFmt w:val="decimal"/>
      <w:start w:val="2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2022-11-07T00:53:41Z</dcterms:created>
  <dcterms:modified xsi:type="dcterms:W3CDTF">2022-11-07T00:53:41Z</dcterms:modified>
</cp:coreProperties>
</file>