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March 21,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1"/>
        </w:trPr>
        <w:tc>
          <w:tcPr>
            <w:tcW w:w="4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40" w:type="dxa"/>
            <w:vAlign w:val="bottom"/>
          </w:tcPr>
          <w:p>
            <w:pPr>
              <w:spacing w:after="0"/>
              <w:rPr>
                <w:sz w:val="16"/>
                <w:szCs w:val="16"/>
                <w:color w:val="auto"/>
              </w:rPr>
            </w:pPr>
          </w:p>
        </w:tc>
        <w:tc>
          <w:tcPr>
            <w:tcW w:w="22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4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24, 2025, Dragonfly Energy Holdings Corp. (the “Company”) issued an earnings release disclosing certain information regarding its results of operations for the fourth quarter and year ended December 31, 2024. As previously announced, following the publication of the press release, the Company will host an earnings call at 4:30 p.m. (Eastern Time) on March 24, 2025, via a webcast. During the webcast, the Company’s financial results for the fourth quarter and year ended December 31, 2024 will be discussed. A copy of the press release is attached as Exhibit 99.1 hereto and incorporated in this Item 2.02 by reference.</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4.01.</w:t>
      </w:r>
      <w:r>
        <w:rPr>
          <w:sz w:val="20"/>
          <w:szCs w:val="20"/>
          <w:color w:val="auto"/>
        </w:rPr>
        <w:tab/>
      </w:r>
      <w:r>
        <w:rPr>
          <w:rFonts w:ascii="Times New Roman" w:cs="Times New Roman" w:eastAsia="Times New Roman" w:hAnsi="Times New Roman"/>
          <w:sz w:val="17"/>
          <w:szCs w:val="17"/>
          <w:b w:val="1"/>
          <w:bCs w:val="1"/>
          <w:color w:val="auto"/>
        </w:rPr>
        <w:t>Changes in Registrant’s Certifying Accountant.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 2024, CBIZ CPAs P.C. (“CBIZ”) acquired the attest business of Marcum LLP (“Marcum”). As a result of the acquisition of the Marcum attestation business, on March 21, 2025, the Company was notified by Marcum that Marcum will resign effective immediately upon the filing of the Company’s Form 10-K for the fiscal year ended December 31, 2024. Concurrently with the Marcum notification, on March 21, 2025, the Company, with the approval of the Audit Committee of the Company’s Board of Directors has engaged CBIZ as the Company’s independent registered public accounting firm for the fiscal year ending December 31,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report of Marcum regarding the Company’s financial statements for the fiscal year ended December 31, 2023 did not contain any adverse opinion or disclaimer of opinion and was not qualified or modified as to uncertainty, audit scope, or accounting principles, except for the inclusion of an explanatory paragraph regarding the substantial doubt about the Company’s ability to continue as a going concern.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2024 and 2023, and through March 21, 2025, the date Marcum informed the Company of their resignation, there were (a) no disagreements (as defined in Item 304(a)(1)(iv) of Regulation S-K and the related instructions) with Marcum on any matter of accounting principles or practices, financial statement disclosure, or auditing scope or procedures, which disagreements, if not resolved to the satisfaction of Marcum, would have caused Marcum to make reference to such disagreement in its report and (b) no “reportable events” (as defined in Item 304(a)(1)(v) of Regulation S-K and the related instructions, except for the material weakness in the Company’s internal control over financial reporting related to financial reporting as disclosed in the Company’s Annual Report for the fiscal year ended December 31, 2023).</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fiscal years ended December 31, 2024 and 2023 and through March 21, 2025, the date Marcum informed the Company of their resignation, neither the Company nor anyone on the Company’s behalf consulted with CBIZ regarding (i) the application of accounting principles to a specific completed or contemplated transaction or regarding the type of audit opinions that might be rendered by CBIZ on the Company’s financial statements, and CBIZ did not provide any written or oral advice that was an important factor considered by the Company in reaching a decision as to any such accounting, auditing, or financial reporting issue or (ii) any matter that was either the subject of a disagreement (as defined in Item 304(a)(1)(iv) of Regulation S-K and the related instructions), as that term is described in Item 304(a)(1)(iv) of Regulation S-K, or a reportable event, as that term is defined in Item 304(a)(1)(v) of Regulation 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provided Marcum with a copy of this Current Report on Form 8-K prior to its filing with the U.S. Securities and Exchange Commission (the “SEC”) and requested that Marcum furnish the Company with a letter addressed to the SEC, pursuant to Item 304(a)(3) of Regulation S-K, stating whether it agrees with the above statements and, if it does not agree, the respects in which it does not agree. A copy of the letter, dated March 21, 2025, is filed as Exhibit 16.1 (which is incorporated by reference herein) to this Current Report on Form 8-K.</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2.02 Results of Operation and Financial Condition” above.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under Items 2.02 and 7.01, including the information contained in Exhibit 99.1, is being furnished to the SEC, and shall not be deemed to be “filed” for the purposes of Section 18 of the Securities Exchange Act of 1934, as amended (the “Exchange Act”), or otherwise subject to the liabilities of that section, and shall not be deemed to be incorporated by reference into any filing under the Securities Act of 1933, as amended, or the Exchange Act, except as shall be expressly set forth by a specific reference in such filing.</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120" w:type="dxa"/>
            <w:vAlign w:val="bottom"/>
            <w:tcBorders>
              <w:top w:val="single" w:sz="8" w:color="auto"/>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rPr>
              <w:t>Letter from Marcum dated March 21, 2025</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7"/>
                <w:szCs w:val="17"/>
                <w:color w:val="auto"/>
              </w:rPr>
            </w:pPr>
          </w:p>
        </w:tc>
        <w:tc>
          <w:tcPr>
            <w:tcW w:w="54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 of Dragonfly Energy Holdings Corp., dated March 24, 2025.</w:t>
            </w:r>
          </w:p>
        </w:tc>
        <w:tc>
          <w:tcPr>
            <w:tcW w:w="4740" w:type="dxa"/>
            <w:vAlign w:val="bottom"/>
          </w:tcPr>
          <w:p>
            <w:pPr>
              <w:spacing w:after="0"/>
              <w:rPr>
                <w:sz w:val="17"/>
                <w:szCs w:val="17"/>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Dated: March 24, 2025</w:t>
            </w: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660" w:type="dxa"/>
            <w:vAlign w:val="bottom"/>
          </w:tcPr>
          <w:p>
            <w:pPr>
              <w:spacing w:after="0"/>
              <w:rPr>
                <w:sz w:val="16"/>
                <w:szCs w:val="16"/>
                <w:color w:val="auto"/>
              </w:rPr>
            </w:pPr>
          </w:p>
        </w:tc>
        <w:tc>
          <w:tcPr>
            <w:tcW w:w="2540" w:type="dxa"/>
            <w:vAlign w:val="bottom"/>
          </w:tcPr>
          <w:p>
            <w:pPr>
              <w:ind w:left="198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660" w:type="dxa"/>
            <w:vAlign w:val="bottom"/>
          </w:tcPr>
          <w:p>
            <w:pPr>
              <w:spacing w:after="0"/>
              <w:rPr>
                <w:sz w:val="18"/>
                <w:szCs w:val="18"/>
                <w:color w:val="auto"/>
              </w:rPr>
            </w:pPr>
          </w:p>
        </w:tc>
        <w:tc>
          <w:tcPr>
            <w:tcW w:w="254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156845</wp:posOffset>
            </wp:positionV>
            <wp:extent cx="4286250" cy="11226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Dragonfly Energy Holdings Corp. under Item 4.01 of its Form 8-K dated March 24, 2025. We agree with the statements concerning our Firm in such Form 8-K; we are not in a position to agree or disagree with other statements of Dragonfly Energy Holdings Corp.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Marcum llp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730 Third Avenue 11th Floor New York, NY 10017</w:t>
      </w:r>
      <w:r>
        <w:rPr>
          <w:rFonts w:ascii="Times New Roman" w:cs="Times New Roman" w:eastAsia="Times New Roman" w:hAnsi="Times New Roman"/>
          <w:sz w:val="18"/>
          <w:szCs w:val="18"/>
          <w:b w:val="1"/>
          <w:bCs w:val="1"/>
          <w:color w:val="auto"/>
        </w:rPr>
        <w:t xml:space="preserve"> Phone </w:t>
      </w:r>
      <w:r>
        <w:rPr>
          <w:rFonts w:ascii="Times New Roman" w:cs="Times New Roman" w:eastAsia="Times New Roman" w:hAnsi="Times New Roman"/>
          <w:sz w:val="18"/>
          <w:szCs w:val="18"/>
          <w:color w:val="auto"/>
        </w:rPr>
        <w:t>212.485.5500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marcumllp.com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156845</wp:posOffset>
            </wp:positionV>
            <wp:extent cx="170561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0561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Reports Fourth Quarter and Full Year 2024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Quarter Revenue Growth of 17% Led by Significant OEM Growth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Restructuring and Concurrent Capital Raise Enhance Financial Position and Liquidity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Initiates Corporate Optimization Program</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Guides to First Quarter 2025 Net Sales of Approximately $13.3 Million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Targets Positive Adjusted EBITDA in Fourth Quarter 2025</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RENO, NEVADA (March 24, 2025) </w:t>
      </w:r>
      <w:r>
        <w:rPr>
          <w:rFonts w:ascii="Times New Roman" w:cs="Times New Roman" w:eastAsia="Times New Roman" w:hAnsi="Times New Roman"/>
          <w:sz w:val="18"/>
          <w:szCs w:val="18"/>
          <w:color w:val="auto"/>
        </w:rPr>
        <w:t>— Dragonfly Energy Holdings Corp. (“Dragonfly Energy” or the “Company”) (Nasdaq: DFLI), an industry leader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energy storage and battery technology, today reported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financial and operational results for the fourth quarter and full year ended December 31,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Fourth Quarter and Full Year 2024 Financial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$12.2 million and $50.6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OEM net sales of $6.2 million and $27.6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20.8% and 23.0%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$(9.8) million and $(40.6) million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$(2.0) million and $(18.5) million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quarter end, we were very pleased to have successfully negotiated a significant debt restructuring with our lenders, allowing for covenant relief while pushing off the maturity date. With this action, our debt will be classified as long-term debt on our balance sheet. Concurrent with the debt restructuring, we also secured additional capital through a strategic investor,” commented Dr. Denis Phares, Chief Executive Officer. “We believe these actions greatly strengthen our near-term financial position, allowing us to focus on executing on our key strategic initiatives for 2025, including achieving positive anticipated Adjusted EBITDA in the fourth quarter.”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launched a corporate optimization program to establish a more efficient cost structure, aligning our operations with near-term revenue growth opportunities, which we believe will provide us with a path to profitability. As part of this initiative, we have promoted Dr. Vick Singh to Chief Operating Officer, where he will oversee the program while also driving operational efficiencies across the company.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ongoing challenges in the RV market, our fourth-quarter net sales grew approximately 17%, marking a return to year-over-year growth, driven by increased adoption among OEM customers,” continued Dr. Phares. “Throughout the year, we have made significant strides in expanding our customer base beyond the RV sector, leveraging strategic partnerships in trucking and industrial markets. We believe the strong order activity from our recently announced partnerships reinforces this strategy, and we anticipate meaningful revenue contributions in 2025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Fourth Quarter 2024 Financial and Operating Results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result comparisons made are against the prior-year period unless otherwise noted)</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Net Sales by Customer Type</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0" w:type="dxa"/>
            <w:vAlign w:val="bottom"/>
            <w:gridSpan w:val="5"/>
          </w:tcPr>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Fiscal Quarter Ended</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gridSpan w:val="2"/>
          </w:tcPr>
          <w:p>
            <w:pPr>
              <w:jc w:val="right"/>
              <w:ind w:right="64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230"/>
              <w:spacing w:after="0" w:line="188"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4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 (YoY)</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DTC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OEM</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6,236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12,212</w:t>
            </w:r>
          </w:p>
        </w:tc>
        <w:tc>
          <w:tcPr>
            <w:tcW w:w="320" w:type="dxa"/>
            <w:vAlign w:val="bottom"/>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320" w:type="dxa"/>
            <w:vAlign w:val="bottom"/>
            <w:vMerge w:val="continue"/>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increased 17.0% to $12.2 million. OEM net sales grew 61% to $6.2 million, driven by increased adoption of existing products and new customer acquisitions. DTC net sales were $5.7 million compared to $6.6 million, reflecting ongoing macroeconomic pressures.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increased 12.5% to $2.6 million. Gross Margin was 20.8%, compared to 21.6%, due to higher material costs and a shift in mix to OEM sales. Operating Expenses were $(6.3) million, compared to $(5.4) million. The increase was primarily due to one-time expenses related to patent litigation and the reverse stock split. We also incurred expenses associated with moving into our new 400,000 square foot facility. This strategic relocation is expected to drive long-term operational efficiencies as we centralize operations previously spread across multiple locations.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a Net Loss of $(9.8) million, or $(1.39) per diluted share, compared to Net Income of $3.3 million or $0.50 per diluted share. Adjusted EBITDA excluding stock-based compensation, changes in the fair market value of our warrants, and other one-time expenses, was negative $(2.3) million, compared to negative $(1.8)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Full Year 2024 Financial and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financial result comparisons made are against the prior-year period unless otherwise noted)</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Net Sales by Customer Type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00" w:type="dxa"/>
            <w:vAlign w:val="bottom"/>
            <w:gridSpan w:val="5"/>
          </w:tcPr>
          <w:p>
            <w:pPr>
              <w:jc w:val="right"/>
              <w:ind w:right="146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1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3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 (YoY)</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DTC</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3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OEM</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27,612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27,517</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Licensing</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4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50,645</w:t>
            </w: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320" w:type="dxa"/>
            <w:vAlign w:val="bottom"/>
            <w:vMerge w:val="continue"/>
          </w:tcPr>
          <w:p>
            <w:pPr>
              <w:spacing w:after="0"/>
              <w:rPr>
                <w:sz w:val="19"/>
                <w:szCs w:val="19"/>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414"/>
        </w:trPr>
        <w:tc>
          <w:tcPr>
            <w:tcW w:w="5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Net Sales were $50.6 million, compared to $64.4 million. OEM net sales of $27.6 million were flat year-over-year, as increased adoption of existing products and new customer acquisitions were offset by the impact of our largest customer transitioning our product from a standard offering to an option. DTC net sales declined to $22.6 million, from $36.9 million, reflecting continued softness in the RV market due to continued macroeconomic pressures.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Profit was $11.6 million, with a gross margin of 23.0%, compared to gross profit of $15.4 million, with a gross margin of 24.0%. The year-over-year declines were primarily attributable to lower sales volume. Operating Expenses were $(34.0) million, compared to $(42.9) million, led by lower employee-related costs and lower stock-based compensation, partially offset by higher R&amp;D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reported a Net Loss of $(40.6) million, or $(5.91) per diluted share, compared to a Net Loss of $(13.8) million or $(2.36) per diluted share. Adjusted EBITDA excluding stock-based compensation, changes in the fair market value of our warrants, and other one-time expenses, was negative $(18.5) million, compared to negative $(17.1)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10-K Filing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firm’s audit report with respect to the Company’s fiscal year-end financial statements will not be issued until the Company files its annual report on Form 10-K. Accordingly, the financial results reported in this earnings release are pending completion of the audit.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and Outlook</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“Dragonfly Energy is advancing energy storage with innovative lithium battery technology, delivering safe, reliable, and efficient power solutions for industries that demand superior performance,” commented Dr. Denis Phares. “As we look ahead to 2025, our focus remains on driving shareholder value through growth, diversification across end markets, and continued product innovation. We anticipate continued year-over-year growth in the first quarter with revenue of approximately $13.3 million. And with the resumption of revenue growth alongside our corporate optimization program, we expect to achieve positive Adjusted EBITDA by the fourth quarter of this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1Q25 </w:t>
      </w:r>
      <w:r>
        <w:rPr>
          <w:rFonts w:ascii="Times New Roman" w:cs="Times New Roman" w:eastAsia="Times New Roman" w:hAnsi="Times New Roman"/>
          <w:sz w:val="18"/>
          <w:szCs w:val="18"/>
          <w:b w:val="1"/>
          <w:bCs w:val="1"/>
          <w:color w:val="auto"/>
        </w:rPr>
        <w:t>Guidance</w:t>
      </w:r>
    </w:p>
    <w:p>
      <w:pPr>
        <w:spacing w:after="0" w:line="229"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of approximately $13.3 million</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approximately $(3.8)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Webcast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Dragonfly Energy management team will host a conference call to discuss its fourth quarter and full year 2024 financial and operational results this afternoon, March 24, 2025. The call can be accessed live via webcast by clicking </w:t>
      </w:r>
      <w:r>
        <w:rPr>
          <w:rFonts w:ascii="Times New Roman" w:cs="Times New Roman" w:eastAsia="Times New Roman" w:hAnsi="Times New Roman"/>
          <w:sz w:val="18"/>
          <w:szCs w:val="18"/>
          <w:u w:val="single" w:color="auto"/>
          <w:color w:val="auto"/>
        </w:rPr>
        <w:t>here</w:t>
      </w:r>
      <w:r>
        <w:rPr>
          <w:rFonts w:ascii="Times New Roman" w:cs="Times New Roman" w:eastAsia="Times New Roman" w:hAnsi="Times New Roman"/>
          <w:sz w:val="18"/>
          <w:szCs w:val="18"/>
          <w:color w:val="auto"/>
        </w:rPr>
        <w:t xml:space="preserve">, or through the Events and Presentations page within the Investor Relations section of Dragonfly Energy’s website at </w:t>
      </w:r>
      <w:r>
        <w:rPr>
          <w:rFonts w:ascii="Times New Roman" w:cs="Times New Roman" w:eastAsia="Times New Roman" w:hAnsi="Times New Roman"/>
          <w:sz w:val="18"/>
          <w:szCs w:val="18"/>
          <w:u w:val="single" w:color="auto"/>
          <w:color w:val="auto"/>
        </w:rPr>
        <w:t>https://investors.dragonflyenergy.com/events-and-presentations/default.aspx.</w:t>
      </w:r>
      <w:r>
        <w:rPr>
          <w:rFonts w:ascii="Times New Roman" w:cs="Times New Roman" w:eastAsia="Times New Roman" w:hAnsi="Times New Roman"/>
          <w:sz w:val="18"/>
          <w:szCs w:val="18"/>
          <w:color w:val="auto"/>
        </w:rPr>
        <w:t xml:space="preserve"> The call can also be accessed live via telephone by dialing (646) 564-2877, toll-free in North America (800) 549-8228, or for international callers +1 (289) 819-1520, and referencing conference ID: 85219. Please log in to the webcast or dial in to the call at least 10 minutes prior to the start of the event.</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archive of the webcast will be available for a period of time shortly after the call on the Events and Presentations page on the Investor Relations section of Dragonfly Energy’s website, along with the earnings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Dragonfly Energy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Dragonfly Energy Holdings Corp. (Nasdaq: DFLI) is a comprehensive lithium battery technology company, specializing in cell manufacturing, battery pack assembly, and full system integration. Through its renowned Battle Born Batteries® brand, Dragonfly Energy has established itself as a frontrunner in the lithium battery industry, with hundreds of thousands of reliable battery packs deployed in the field through top-tier OEMs and a diverse retail customer base. At the forefront of domestic lithium battery cell production, Dragonfly Energy’s patented dry electrode manufacturing process can deliver chemistry-agnostic power solutions for a broad spectrum of applications, including energy storage systems, electric vehicles, and consumer electronics. The Company’s overarching mission is the future deployment of its proprietary, nonflammable, all-solid-state battery cells.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about Dragonfly Energy and its commitment to clean energy advancements, visit </w:t>
      </w:r>
      <w:r>
        <w:rPr>
          <w:rFonts w:ascii="Times New Roman" w:cs="Times New Roman" w:eastAsia="Times New Roman" w:hAnsi="Times New Roman"/>
          <w:sz w:val="18"/>
          <w:szCs w:val="18"/>
          <w:u w:val="single" w:color="auto"/>
          <w:color w:val="auto"/>
        </w:rPr>
        <w:t>https://investors.dragonflyenergy.com/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United States Private Securities Litigation Reform Act of 1995. Forward-looking statements include all statements that are not historical statements of fact and statements regarding the Company’s intent, belief or expectations, including, but not limited to, statements regarding the Company’s guidance for 2025, results of operations and financial position, planned products and services, business strategy and plans, market size and growth opportunities, competitive position and technological and market trends. Some of these forward-looking statements can be identified by the use of forward-looking words, including “may,” “should,” “expect,” “intend,” “will,” “estimate,” “anticipate,” “believe,” “predict,” “plan,” “targets,” “projects,” “could,” “would,” “continue,” “forecast” or the negatives of these terms or variations of them or similar expressions.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These forward-looking statements are subject to risks, uncertainties, and other factors (some of which are beyond the Company’s control) which could cause actual results to differ materially from those expressed or implied by such forward-looking statements. Factors that may impact such forward-looking statements include, but are not limited to: improved recovery in the Company’s core markets, including the RV market; the Company’s ability to successfully increase market penetration into target markets; the Company’s ability to penetrate the heavy-duty trucking and other new markets; the growth of the addressable markets that the Company intends to target; the Company’s ability to retain members of its senior management team and other key personnel; the Company’s ability to maintain relationships with key suppliers including suppliers in China; the Company’s ability to maintain relationships with key customers; the Company’s ability to access capital as and when needed under its $150 million ChEF Equity Facility; the Company’s ability to protect its patents and other intellectual property; the Company’s ability to successfully utilize its patented dry electrode battery manufacturing process and optimize solid state cells as well as to produce commercially viable solid state cells in a timely manner or at all, and to scale to mass production; the Company’s ability to timely achieve the anticipated benefits of its licensing arrangement with Stryten Energy LLC; the Company’s ability to achieve the anticipated benefits of its customer arrangements with THOR Industries and THOR Industries’ affiliated brands (including Keystone RV Company); the Company’s ability to maintain the listing of its common stock and public warrants on the Nasdaq Capital Market; the Russian/Ukrainian conflict; the Company’s ability to generate revenue from future product sales and its ability to achieve and maintain profitability; and the Company’s ability to compete with other manufacturers in the industry and its ability to engage target customers and successfully convert these customers into meaningful orders in the future. These and other risks and uncertainties are described more fully in the sections entitled “Risk Factors” and “Cautionary Note Regarding Forward-Looking Statements” in the Company’s Annual Report on Form 10-K for the year ended December 31, 2024 to be filed with the SEC and in the Company’s subsequent filings with the SEC available at </w:t>
      </w:r>
      <w:r>
        <w:rPr>
          <w:rFonts w:ascii="Times New Roman" w:cs="Times New Roman" w:eastAsia="Times New Roman" w:hAnsi="Times New Roman"/>
          <w:sz w:val="18"/>
          <w:szCs w:val="18"/>
          <w:u w:val="single" w:color="auto"/>
          <w:color w:val="auto"/>
        </w:rPr>
        <w:t>www.sec.gov.</w:t>
      </w:r>
    </w:p>
    <w:p>
      <w:pPr>
        <w:spacing w:after="0" w:line="19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these risks materialize or any of the Company’s assumptions prove incorrect, actual results could differ materially from the results implied by these forward-looking statements. There may be additional risks that the Company presently does not know or that it currently believes are immaterial that could also cause actual results to differ from those contained in the forward-looking statements. All forward-looking statements contained in this press release speak only as of the date they were made. Except to the extent required by law,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Financial Tables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4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As of</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6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60" w:type="dxa"/>
            <w:vAlign w:val="bottom"/>
            <w:gridSpan w:val="2"/>
          </w:tcPr>
          <w:p>
            <w:pPr>
              <w:jc w:val="right"/>
              <w:ind w:right="481"/>
              <w:spacing w:after="0"/>
              <w:rPr>
                <w:sz w:val="20"/>
                <w:szCs w:val="20"/>
                <w:color w:val="auto"/>
              </w:rPr>
            </w:pPr>
            <w:r>
              <w:rPr>
                <w:rFonts w:ascii="Times New Roman" w:cs="Times New Roman" w:eastAsia="Times New Roman" w:hAnsi="Times New Roman"/>
                <w:sz w:val="18"/>
                <w:szCs w:val="18"/>
                <w:color w:val="auto"/>
              </w:rPr>
              <w:t>December 31, 2024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4,849</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12,713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2,416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1,639</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21,716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38,778</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1,381</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307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Assets held of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825</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9"/>
                <w:szCs w:val="19"/>
                <w:color w:val="auto"/>
              </w:rPr>
            </w:pPr>
          </w:p>
        </w:tc>
      </w:tr>
      <w:tr>
        <w:trPr>
          <w:trHeight w:val="209"/>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32,925</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22,107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15,969</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19,737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shd w:val="clear" w:color="auto" w:fill="CCEEFF"/>
          </w:tcPr>
          <w:p>
            <w:pPr>
              <w:spacing w:after="0"/>
              <w:rPr>
                <w:sz w:val="18"/>
                <w:szCs w:val="18"/>
                <w:color w:val="auto"/>
              </w:rPr>
            </w:pP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445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r>
      <w:tr>
        <w:trPr>
          <w:trHeight w:val="209"/>
        </w:trPr>
        <w:tc>
          <w:tcPr>
            <w:tcW w:w="6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75,214</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75,204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10,716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10,258</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4,129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7,107</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settlement, current portion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19,683</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2,926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1,288</w:t>
            </w:r>
          </w:p>
        </w:tc>
        <w:tc>
          <w:tcPr>
            <w:tcW w:w="80" w:type="dxa"/>
            <w:vAlign w:val="bottom"/>
          </w:tcPr>
          <w:p>
            <w:pPr>
              <w:spacing w:after="0"/>
              <w:rPr>
                <w:sz w:val="18"/>
                <w:szCs w:val="18"/>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CEEFF"/>
          </w:tcPr>
          <w:p>
            <w:pPr>
              <w:spacing w:after="0"/>
              <w:rPr>
                <w:sz w:val="19"/>
                <w:szCs w:val="19"/>
                <w:color w:val="auto"/>
              </w:rPr>
            </w:pPr>
          </w:p>
        </w:tc>
      </w:tr>
      <w:tr>
        <w:trPr>
          <w:trHeight w:val="210"/>
        </w:trPr>
        <w:tc>
          <w:tcPr>
            <w:tcW w:w="6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21,855</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3,583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5,133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4,463</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long-term</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settlement, net of current portion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1,750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non current portion, net of debt issuance costs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29,646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22,588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2,234</w:t>
            </w:r>
          </w:p>
        </w:tc>
        <w:tc>
          <w:tcPr>
            <w:tcW w:w="80" w:type="dxa"/>
            <w:vAlign w:val="bottom"/>
            <w:shd w:val="clear" w:color="auto" w:fill="CCEEFF"/>
          </w:tcPr>
          <w:p>
            <w:pPr>
              <w:spacing w:after="0"/>
              <w:rPr>
                <w:sz w:val="18"/>
                <w:szCs w:val="18"/>
                <w:color w:val="auto"/>
              </w:rPr>
            </w:pPr>
          </w:p>
        </w:tc>
      </w:tr>
      <w:tr>
        <w:trPr>
          <w:trHeight w:val="229"/>
        </w:trPr>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9"/>
                <w:szCs w:val="19"/>
                <w:color w:val="auto"/>
              </w:rPr>
            </w:pPr>
          </w:p>
        </w:tc>
      </w:tr>
      <w:tr>
        <w:trPr>
          <w:trHeight w:val="210"/>
        </w:trPr>
        <w:tc>
          <w:tcPr>
            <w:tcW w:w="686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62,763</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6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84,618</w:t>
            </w:r>
          </w:p>
        </w:tc>
        <w:tc>
          <w:tcPr>
            <w:tcW w:w="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47,292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at $0.0001 par value, authorized, no shares issued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of December 31, 2024 and December 31, 2023, respectively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686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7,232,650 and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6,695,587 shares issued and outstanding as of December 31, 2024 and December 31, 2023,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4"/>
        </w:trPr>
        <w:tc>
          <w:tcPr>
            <w:tcW w:w="6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0"/>
                <w:szCs w:val="20"/>
                <w:color w:val="auto"/>
              </w:rPr>
            </w:pP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72,749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69,445</w:t>
            </w:r>
          </w:p>
        </w:tc>
        <w:tc>
          <w:tcPr>
            <w:tcW w:w="80" w:type="dxa"/>
            <w:vAlign w:val="bottom"/>
            <w:shd w:val="clear" w:color="auto" w:fill="CCEEFF"/>
          </w:tcPr>
          <w:p>
            <w:pPr>
              <w:spacing w:after="0"/>
              <w:rPr>
                <w:sz w:val="18"/>
                <w:szCs w:val="18"/>
                <w:color w:val="auto"/>
              </w:rPr>
            </w:pPr>
          </w:p>
        </w:tc>
      </w:tr>
      <w:tr>
        <w:trPr>
          <w:trHeight w:val="229"/>
        </w:trPr>
        <w:tc>
          <w:tcPr>
            <w:tcW w:w="68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(82,154)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(41,539)</w:t>
            </w: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(9,404</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27,912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 Equity</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75,214</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75,204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Interim Consolidated Statement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 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98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01"/>
        </w:trPr>
        <w:tc>
          <w:tcPr>
            <w:tcW w:w="4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281"/>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261"/>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7"/>
                <w:szCs w:val="17"/>
                <w:color w:val="auto"/>
              </w:rPr>
            </w:pPr>
          </w:p>
        </w:tc>
      </w:tr>
      <w:tr>
        <w:trPr>
          <w:trHeight w:val="238"/>
        </w:trPr>
        <w:tc>
          <w:tcPr>
            <w:tcW w:w="4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12,212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50,645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64,392</w:t>
            </w:r>
          </w:p>
        </w:tc>
      </w:tr>
      <w:tr>
        <w:trPr>
          <w:trHeight w:val="209"/>
        </w:trPr>
        <w:tc>
          <w:tcPr>
            <w:tcW w:w="4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9,674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8,181</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39,019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48,946</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11,626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15,446</w:t>
            </w:r>
          </w:p>
        </w:tc>
      </w:tr>
      <w:tr>
        <w:trPr>
          <w:trHeight w:val="216"/>
        </w:trPr>
        <w:tc>
          <w:tcPr>
            <w:tcW w:w="4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531</w:t>
            </w:r>
          </w:p>
        </w:tc>
        <w:tc>
          <w:tcPr>
            <w:tcW w:w="120" w:type="dxa"/>
            <w:vAlign w:val="bottom"/>
          </w:tcPr>
          <w:p>
            <w:pPr>
              <w:spacing w:after="0"/>
              <w:rPr>
                <w:sz w:val="18"/>
                <w:szCs w:val="18"/>
                <w:color w:val="auto"/>
              </w:rPr>
            </w:pP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5,451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3,863</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3,658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3,275</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18,536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26,389</w:t>
            </w: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1,696</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1,548</w:t>
            </w:r>
          </w:p>
        </w:tc>
        <w:tc>
          <w:tcPr>
            <w:tcW w:w="120" w:type="dxa"/>
            <w:vAlign w:val="bottom"/>
          </w:tcPr>
          <w:p>
            <w:pPr>
              <w:spacing w:after="0"/>
              <w:rPr>
                <w:sz w:val="19"/>
                <w:szCs w:val="19"/>
                <w:color w:val="auto"/>
              </w:rPr>
            </w:pP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10,025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12,623</w:t>
            </w:r>
          </w:p>
        </w:tc>
      </w:tr>
      <w:tr>
        <w:trPr>
          <w:trHeight w:val="209"/>
        </w:trPr>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6,310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5,354</w:t>
            </w:r>
          </w:p>
        </w:tc>
        <w:tc>
          <w:tcPr>
            <w:tcW w:w="120" w:type="dxa"/>
            <w:vAlign w:val="bottom"/>
          </w:tcPr>
          <w:p>
            <w:pPr>
              <w:spacing w:after="0"/>
              <w:rPr>
                <w:sz w:val="19"/>
                <w:szCs w:val="19"/>
                <w:color w:val="auto"/>
              </w:rPr>
            </w:pP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34,012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42,875</w:t>
            </w: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(3,772)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(22,386)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(27,429)</w:t>
            </w:r>
          </w:p>
        </w:tc>
      </w:tr>
      <w:tr>
        <w:trPr>
          <w:trHeight w:val="216"/>
        </w:trPr>
        <w:tc>
          <w:tcPr>
            <w:tcW w:w="4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(6,251)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(21,504)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(16,015)</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(Expense) Income</w:t>
            </w:r>
          </w:p>
        </w:tc>
        <w:tc>
          <w:tcPr>
            <w:tcW w:w="120" w:type="dxa"/>
            <w:vAlign w:val="bottom"/>
          </w:tcPr>
          <w:p>
            <w:pPr>
              <w:spacing w:after="0"/>
              <w:rPr>
                <w:sz w:val="18"/>
                <w:szCs w:val="18"/>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settlement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120" w:type="dxa"/>
            <w:vAlign w:val="bottom"/>
          </w:tcPr>
          <w:p>
            <w:pPr>
              <w:spacing w:after="0"/>
              <w:rPr>
                <w:sz w:val="18"/>
                <w:szCs w:val="18"/>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6,684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29,582</w:t>
            </w:r>
          </w:p>
        </w:tc>
      </w:tr>
      <w:tr>
        <w:trPr>
          <w:trHeight w:val="209"/>
        </w:trPr>
        <w:tc>
          <w:tcPr>
            <w:tcW w:w="47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1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(18,229</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100" w:type="dxa"/>
            <w:vAlign w:val="bottom"/>
            <w:tcBorders>
              <w:bottom w:val="single" w:sz="8" w:color="CCEEFF"/>
            </w:tcBorders>
          </w:tcPr>
          <w:p>
            <w:pPr>
              <w:spacing w:after="0"/>
              <w:rPr>
                <w:sz w:val="18"/>
                <w:szCs w:val="18"/>
                <w:color w:val="auto"/>
              </w:rPr>
            </w:pPr>
          </w:p>
        </w:tc>
      </w:tr>
      <w:tr>
        <w:trPr>
          <w:trHeight w:val="210"/>
        </w:trPr>
        <w:tc>
          <w:tcPr>
            <w:tcW w:w="4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 Before Taxes</w:t>
            </w:r>
          </w:p>
        </w:tc>
        <w:tc>
          <w:tcPr>
            <w:tcW w:w="120" w:type="dxa"/>
            <w:vAlign w:val="bottom"/>
          </w:tcPr>
          <w:p>
            <w:pPr>
              <w:spacing w:after="0"/>
              <w:rPr>
                <w:sz w:val="19"/>
                <w:szCs w:val="19"/>
                <w:color w:val="auto"/>
              </w:rPr>
            </w:pP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(9,842)</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3,288</w:t>
            </w:r>
          </w:p>
        </w:tc>
        <w:tc>
          <w:tcPr>
            <w:tcW w:w="120" w:type="dxa"/>
            <w:vAlign w:val="bottom"/>
          </w:tcPr>
          <w:p>
            <w:pPr>
              <w:spacing w:after="0"/>
              <w:rPr>
                <w:sz w:val="19"/>
                <w:szCs w:val="19"/>
                <w:color w:val="auto"/>
              </w:rPr>
            </w:pP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(40,615)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(13,843)</w:t>
            </w: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 Expense</w:t>
            </w:r>
          </w:p>
        </w:tc>
        <w:tc>
          <w:tcPr>
            <w:tcW w:w="120" w:type="dxa"/>
            <w:vAlign w:val="bottom"/>
          </w:tcPr>
          <w:p>
            <w:pPr>
              <w:spacing w:after="0"/>
              <w:rPr>
                <w:sz w:val="19"/>
                <w:szCs w:val="19"/>
                <w:color w:val="auto"/>
              </w:rPr>
            </w:pPr>
          </w:p>
        </w:tc>
        <w:tc>
          <w:tcPr>
            <w:tcW w:w="14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14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(9,842)</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(40,615)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(13,843)</w:t>
            </w:r>
          </w:p>
        </w:tc>
      </w:tr>
      <w:tr>
        <w:trPr>
          <w:trHeight w:val="197"/>
        </w:trPr>
        <w:tc>
          <w:tcPr>
            <w:tcW w:w="4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8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Gain Per Share- Basic &amp; Diluted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(5.91)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(2.36)</w:t>
            </w:r>
          </w:p>
        </w:tc>
      </w:tr>
      <w:tr>
        <w:trPr>
          <w:trHeight w:val="197"/>
        </w:trPr>
        <w:tc>
          <w:tcPr>
            <w:tcW w:w="47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Shares- Basic &amp; Diluted</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7,085,956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6,621,115</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6,866,826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5,865,165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0" w:name="page11"/>
    <w:bookmarkEnd w:id="10"/>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p>
        </w:tc>
        <w:tc>
          <w:tcPr>
            <w:tcW w:w="1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(40,615)</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7,241</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(6,684)</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(29,582)</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Non-cash interest expense (paid-in-kind)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10,058</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4,938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1,237</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2,231</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873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Write-off of prepaid inventory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17,062</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11,411</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852</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(707)</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(5,365)</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settlement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4,583</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9"/>
        </w:trPr>
        <w:tc>
          <w:tcPr>
            <w:tcW w:w="6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(7,182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(16,527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0" w:type="dxa"/>
            <w:vAlign w:val="bottom"/>
          </w:tcPr>
          <w:p>
            <w:pPr>
              <w:spacing w:after="0"/>
              <w:rPr>
                <w:sz w:val="1"/>
                <w:szCs w:val="1"/>
                <w:color w:val="auto"/>
              </w:rPr>
            </w:pPr>
          </w:p>
        </w:tc>
      </w:tr>
      <w:tr>
        <w:trPr>
          <w:trHeight w:val="210"/>
        </w:trPr>
        <w:tc>
          <w:tcPr>
            <w:tcW w:w="68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(2,729</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(6,885</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6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(Continued)</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24,177</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public offering costs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 (ATM), net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(5,275)</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Investor Warrants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8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2,047</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19,523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(7,864)</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0" w:type="dxa"/>
            <w:vAlign w:val="bottom"/>
          </w:tcPr>
          <w:p>
            <w:pPr>
              <w:spacing w:after="0"/>
              <w:rPr>
                <w:sz w:val="1"/>
                <w:szCs w:val="1"/>
                <w:color w:val="auto"/>
              </w:rPr>
            </w:pPr>
          </w:p>
        </w:tc>
      </w:tr>
      <w:tr>
        <w:trPr>
          <w:trHeight w:val="230"/>
        </w:trPr>
        <w:tc>
          <w:tcPr>
            <w:tcW w:w="6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63"/>
        </w:trPr>
        <w:tc>
          <w:tcPr>
            <w:tcW w:w="68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18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4,849</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13,892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63"/>
        </w:trPr>
        <w:tc>
          <w:tcPr>
            <w:tcW w:w="6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bottom w:val="single" w:sz="8" w:color="CCEEFF"/>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6,288</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68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Non-Cash Items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144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1,703</w:t>
            </w:r>
          </w:p>
        </w:tc>
        <w:tc>
          <w:tcPr>
            <w:tcW w:w="5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197"/>
        </w:trPr>
        <w:tc>
          <w:tcPr>
            <w:tcW w:w="680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60" w:type="dxa"/>
            <w:vAlign w:val="bottom"/>
            <w:tcBorders>
              <w:top w:val="single" w:sz="8" w:color="auto"/>
              <w:bottom w:val="single" w:sz="8" w:color="auto"/>
            </w:tcBorders>
            <w:shd w:val="clear" w:color="auto" w:fill="CCEEFF"/>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18,653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Recognition of leasehold improvements obtained in exchange for operating lease liability</w:t>
            </w:r>
          </w:p>
        </w:tc>
        <w:tc>
          <w:tcPr>
            <w:tcW w:w="18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4,683</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8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Recognition of warrant liability - Penny Warrants</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7,354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Recognition of warrant liability - Investor Warrants</w:t>
            </w:r>
          </w:p>
        </w:tc>
        <w:tc>
          <w:tcPr>
            <w:tcW w:w="18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13,762</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800" w:type="dxa"/>
            <w:vAlign w:val="bottom"/>
            <w:tcBorders>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Settlement of accrued liability for employee liability for employee stock purchase plan</w:t>
            </w:r>
          </w:p>
        </w:tc>
        <w:tc>
          <w:tcPr>
            <w:tcW w:w="1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Reclassification of assets held for sale</w:t>
            </w:r>
          </w:p>
        </w:tc>
        <w:tc>
          <w:tcPr>
            <w:tcW w:w="180" w:type="dxa"/>
            <w:vAlign w:val="bottom"/>
            <w:vMerge w:val="restart"/>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80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jc w:val="right"/>
              <w:ind w:right="10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644</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40" w:type="dxa"/>
            <w:vAlign w:val="bottom"/>
            <w:tcBorders>
              <w:bottom w:val="single" w:sz="8" w:color="auto"/>
            </w:tcBorders>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6800" w:type="dxa"/>
            <w:vAlign w:val="bottom"/>
            <w:shd w:val="clear" w:color="auto" w:fill="CCEEFF"/>
          </w:tcPr>
          <w:p>
            <w:pPr>
              <w:ind w:left="180"/>
              <w:spacing w:after="0" w:line="192" w:lineRule="exact"/>
              <w:rPr>
                <w:sz w:val="20"/>
                <w:szCs w:val="20"/>
                <w:color w:val="auto"/>
              </w:rPr>
            </w:pPr>
            <w:r>
              <w:rPr>
                <w:rFonts w:ascii="Times New Roman" w:cs="Times New Roman" w:eastAsia="Times New Roman" w:hAnsi="Times New Roman"/>
                <w:sz w:val="18"/>
                <w:szCs w:val="18"/>
                <w:color w:val="auto"/>
              </w:rPr>
              <w:t>Non-cash impact of cash exercise of liability classified warrants</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107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50"/>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900" w:orient="portrait"/>
          <w:cols w:equalWidth="0" w:num="1">
            <w:col w:w="11240"/>
          </w:cols>
          <w:pgMar w:left="320" w:top="684" w:right="339" w:bottom="0" w:gutter="0" w:footer="0" w:header="0"/>
        </w:sectPr>
      </w:pPr>
    </w:p>
    <w:bookmarkStart w:id="11" w:name="page12"/>
    <w:bookmarkEnd w:id="11"/>
    <w:p>
      <w:pPr>
        <w:spacing w:after="0"/>
        <w:tabs>
          <w:tab w:leader="none" w:pos="6780" w:val="left"/>
          <w:tab w:leader="none" w:pos="8640" w:val="left"/>
          <w:tab w:leader="none" w:pos="9020" w:val="left"/>
          <w:tab w:leader="none" w:pos="10440" w:val="left"/>
        </w:tabs>
        <w:rPr>
          <w:sz w:val="20"/>
          <w:szCs w:val="20"/>
          <w:color w:val="auto"/>
        </w:rPr>
      </w:pPr>
      <w:r>
        <w:rPr>
          <w:rFonts w:ascii="Times New Roman" w:cs="Times New Roman" w:eastAsia="Times New Roman" w:hAnsi="Times New Roman"/>
          <w:sz w:val="18"/>
          <w:szCs w:val="18"/>
          <w:color w:val="auto"/>
        </w:rPr>
        <w:t>Cashless exercise of liability classified warrants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12,629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4322445</wp:posOffset>
            </wp:positionH>
            <wp:positionV relativeFrom="paragraph">
              <wp:posOffset>34290</wp:posOffset>
            </wp:positionV>
            <wp:extent cx="263144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26035"/>
                    </a:xfrm>
                    <a:prstGeom prst="rect">
                      <a:avLst/>
                    </a:prstGeom>
                    <a:noFill/>
                  </pic:spPr>
                </pic:pic>
              </a:graphicData>
            </a:graphic>
          </wp:anchor>
        </w:drawing>
        <w:drawing>
          <wp:anchor simplePos="0" relativeHeight="251657728" behindDoc="1" locked="0" layoutInCell="0" allowOverlap="1">
            <wp:simplePos x="0" y="0"/>
            <wp:positionH relativeFrom="column">
              <wp:posOffset>-108585</wp:posOffset>
            </wp:positionH>
            <wp:positionV relativeFrom="paragraph">
              <wp:posOffset>334645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500" w:top="121" w:right="4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80" w:type="dxa"/>
            <w:vAlign w:val="bottom"/>
            <w:gridSpan w:val="6"/>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98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01"/>
        </w:trPr>
        <w:tc>
          <w:tcPr>
            <w:tcW w:w="47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jc w:val="right"/>
              <w:ind w:right="34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ind w:right="70"/>
              <w:spacing w:after="0" w:line="201"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Pr>
          <w:p>
            <w:pPr>
              <w:spacing w:after="0"/>
              <w:rPr>
                <w:sz w:val="17"/>
                <w:szCs w:val="17"/>
                <w:color w:val="auto"/>
              </w:rPr>
            </w:pPr>
          </w:p>
        </w:tc>
      </w:tr>
      <w:tr>
        <w:trPr>
          <w:trHeight w:val="238"/>
        </w:trPr>
        <w:tc>
          <w:tcPr>
            <w:tcW w:w="47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Calculation</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Before Taxes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(9,842)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3,314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(40,615)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(13,817)</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4,034</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21,504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16,015</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381</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1,372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1,237</w:t>
            </w: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7,650</w:t>
            </w:r>
          </w:p>
        </w:tc>
        <w:tc>
          <w:tcPr>
            <w:tcW w:w="3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Secondary offering costs</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Separation Agreement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Tariff Investigation</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Litigation</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Reverse Stock Split</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Stryten Agreement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Settlement</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Write off of Prepaid Inventory</w:t>
            </w:r>
          </w:p>
        </w:tc>
        <w:tc>
          <w:tcPr>
            <w:tcW w:w="1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596</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r>
      <w:tr>
        <w:trPr>
          <w:trHeight w:val="23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(3,554)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(10,400)</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(6,684)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(29,582)</w:t>
            </w:r>
          </w:p>
        </w:tc>
      </w:tr>
      <w:tr>
        <w:trPr>
          <w:trHeight w:val="228"/>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3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100" w:type="dxa"/>
            <w:vAlign w:val="bottom"/>
          </w:tcPr>
          <w:p>
            <w:pPr>
              <w:spacing w:after="0"/>
              <w:rPr>
                <w:sz w:val="19"/>
                <w:szCs w:val="19"/>
                <w:color w:val="auto"/>
              </w:rPr>
            </w:pPr>
          </w:p>
        </w:tc>
      </w:tr>
      <w:tr>
        <w:trPr>
          <w:trHeight w:val="414"/>
        </w:trPr>
        <w:tc>
          <w:tcPr>
            <w:tcW w:w="4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Adjusted earnings before interest, taxes, depreciation and amortization (adjusted EBITDA)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 March 31,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Financial Guidance</w:t>
            </w: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Loss(1)</w:t>
            </w:r>
          </w:p>
        </w:tc>
        <w:tc>
          <w:tcPr>
            <w:tcW w:w="56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5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w:t>
            </w:r>
          </w:p>
        </w:tc>
      </w:tr>
      <w:tr>
        <w:trPr>
          <w:trHeight w:val="20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5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(4,546)</w:t>
            </w: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EBITDA</w:t>
            </w:r>
          </w:p>
        </w:tc>
        <w:tc>
          <w:tcPr>
            <w:tcW w:w="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6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ATW Deal expenses</w:t>
            </w:r>
          </w:p>
        </w:tc>
        <w:tc>
          <w:tcPr>
            <w:tcW w:w="5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Patent Litigation expenses</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r>
      <w:tr>
        <w:trPr>
          <w:trHeight w:val="22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560" w:type="dxa"/>
            <w:vAlign w:val="bottom"/>
            <w:tcBorders>
              <w:top w:val="single" w:sz="8" w:color="auto"/>
            </w:tcBorders>
          </w:tcPr>
          <w:p>
            <w:pPr>
              <w:jc w:val="right"/>
              <w:ind w:right="3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(3,809)</w:t>
            </w:r>
          </w:p>
        </w:tc>
        <w:tc>
          <w:tcPr>
            <w:tcW w:w="60" w:type="dxa"/>
            <w:vAlign w:val="bottom"/>
          </w:tcPr>
          <w:p>
            <w:pPr>
              <w:spacing w:after="0"/>
              <w:rPr>
                <w:sz w:val="19"/>
                <w:szCs w:val="19"/>
                <w:color w:val="auto"/>
              </w:rPr>
            </w:pPr>
          </w:p>
        </w:tc>
      </w:tr>
    </w:tbl>
    <w:p>
      <w:pPr>
        <w:spacing w:after="0" w:line="179" w:lineRule="exact"/>
        <w:rPr>
          <w:sz w:val="20"/>
          <w:szCs w:val="20"/>
          <w:color w:val="auto"/>
        </w:rPr>
      </w:pPr>
    </w:p>
    <w:p>
      <w:pPr>
        <w:jc w:val="both"/>
        <w:ind w:firstLine="8"/>
        <w:spacing w:after="0" w:line="266" w:lineRule="auto"/>
        <w:tabs>
          <w:tab w:leader="none" w:pos="25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net loss is the most directly comparable GAAP measure, this table reconciles adjusted EBITDA to operating loss because we are not able to calculate forward-looking net loss without unreasonable efforts due to significant uncertainties with respect to the impact of accounting for our change in fair market value of the Company’s warrant liability.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Prouty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Szymon Serowiecki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AdvisIRy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DragonflyIR@advisiry.com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2025-03-24T15:52:28Z</dcterms:created>
  <dcterms:modified xsi:type="dcterms:W3CDTF">2025-03-24T15:52:28Z</dcterms:modified>
</cp:coreProperties>
</file>