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November 13, 2023</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DRAGONFLY ENERGY HOLDINGS CORP.</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3020" w:type="dxa"/>
            <w:vAlign w:val="bottom"/>
          </w:tcPr>
          <w:p>
            <w:pPr>
              <w:jc w:val="center"/>
              <w:ind w:left="510"/>
              <w:spacing w:after="0"/>
              <w:rPr>
                <w:sz w:val="20"/>
                <w:szCs w:val="20"/>
                <w:color w:val="auto"/>
              </w:rPr>
            </w:pPr>
            <w:r>
              <w:rPr>
                <w:rFonts w:ascii="Arial" w:cs="Arial" w:eastAsia="Arial" w:hAnsi="Arial"/>
                <w:sz w:val="18"/>
                <w:szCs w:val="18"/>
                <w:b w:val="1"/>
                <w:bCs w:val="1"/>
                <w:color w:val="auto"/>
                <w:w w:val="90"/>
              </w:rPr>
              <w:t>Nevada</w:t>
            </w:r>
          </w:p>
        </w:tc>
        <w:tc>
          <w:tcPr>
            <w:tcW w:w="3160" w:type="dxa"/>
            <w:vAlign w:val="bottom"/>
            <w:gridSpan w:val="4"/>
          </w:tcPr>
          <w:p>
            <w:pPr>
              <w:jc w:val="center"/>
              <w:ind w:left="1970"/>
              <w:spacing w:after="0"/>
              <w:rPr>
                <w:sz w:val="20"/>
                <w:szCs w:val="20"/>
                <w:color w:val="auto"/>
              </w:rPr>
            </w:pPr>
            <w:r>
              <w:rPr>
                <w:rFonts w:ascii="Arial" w:cs="Arial" w:eastAsia="Arial" w:hAnsi="Arial"/>
                <w:sz w:val="18"/>
                <w:szCs w:val="18"/>
                <w:b w:val="1"/>
                <w:bCs w:val="1"/>
                <w:color w:val="auto"/>
                <w:w w:val="90"/>
              </w:rPr>
              <w:t>001-40730</w:t>
            </w:r>
          </w:p>
        </w:tc>
        <w:tc>
          <w:tcPr>
            <w:tcW w:w="1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6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85-1873463</w:t>
            </w:r>
          </w:p>
        </w:tc>
      </w:tr>
      <w:tr>
        <w:trPr>
          <w:trHeight w:val="202"/>
        </w:trPr>
        <w:tc>
          <w:tcPr>
            <w:tcW w:w="3020" w:type="dxa"/>
            <w:vAlign w:val="bottom"/>
            <w:tcBorders>
              <w:top w:val="single" w:sz="8" w:color="auto"/>
            </w:tcBorders>
          </w:tcPr>
          <w:p>
            <w:pPr>
              <w:jc w:val="center"/>
              <w:ind w:left="510"/>
              <w:spacing w:after="0" w:line="201" w:lineRule="exact"/>
              <w:rPr>
                <w:sz w:val="20"/>
                <w:szCs w:val="20"/>
                <w:color w:val="auto"/>
              </w:rPr>
            </w:pPr>
            <w:r>
              <w:rPr>
                <w:rFonts w:ascii="Arial" w:cs="Arial" w:eastAsia="Arial" w:hAnsi="Arial"/>
                <w:sz w:val="18"/>
                <w:szCs w:val="18"/>
                <w:color w:val="auto"/>
                <w:w w:val="92"/>
              </w:rPr>
              <w:t>(State or other jurisdiction</w:t>
            </w:r>
          </w:p>
        </w:tc>
        <w:tc>
          <w:tcPr>
            <w:tcW w:w="6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2380" w:type="dxa"/>
            <w:vAlign w:val="bottom"/>
            <w:tcBorders>
              <w:top w:val="single" w:sz="8" w:color="auto"/>
            </w:tcBorders>
            <w:gridSpan w:val="2"/>
          </w:tcPr>
          <w:p>
            <w:pPr>
              <w:jc w:val="center"/>
              <w:ind w:right="1220"/>
              <w:spacing w:after="0" w:line="201" w:lineRule="exact"/>
              <w:rPr>
                <w:sz w:val="20"/>
                <w:szCs w:val="20"/>
                <w:color w:val="auto"/>
              </w:rPr>
            </w:pPr>
            <w:r>
              <w:rPr>
                <w:rFonts w:ascii="Arial" w:cs="Arial" w:eastAsia="Arial" w:hAnsi="Arial"/>
                <w:sz w:val="18"/>
                <w:szCs w:val="18"/>
                <w:color w:val="auto"/>
                <w:w w:val="91"/>
              </w:rPr>
              <w:t>(Commission</w:t>
            </w:r>
          </w:p>
        </w:tc>
        <w:tc>
          <w:tcPr>
            <w:tcW w:w="2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3360" w:type="dxa"/>
            <w:vAlign w:val="bottom"/>
            <w:tcBorders>
              <w:top w:val="single" w:sz="8" w:color="auto"/>
            </w:tcBorders>
          </w:tcPr>
          <w:p>
            <w:pPr>
              <w:jc w:val="center"/>
              <w:ind w:right="130"/>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3020" w:type="dxa"/>
            <w:vAlign w:val="bottom"/>
          </w:tcPr>
          <w:p>
            <w:pPr>
              <w:jc w:val="center"/>
              <w:ind w:left="510"/>
              <w:spacing w:after="0"/>
              <w:rPr>
                <w:sz w:val="20"/>
                <w:szCs w:val="20"/>
                <w:color w:val="auto"/>
              </w:rPr>
            </w:pPr>
            <w:r>
              <w:rPr>
                <w:rFonts w:ascii="Arial" w:cs="Arial" w:eastAsia="Arial" w:hAnsi="Arial"/>
                <w:sz w:val="18"/>
                <w:szCs w:val="18"/>
                <w:color w:val="auto"/>
                <w:w w:val="93"/>
              </w:rPr>
              <w:t>of incorporation)</w:t>
            </w: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580" w:type="dxa"/>
            <w:vAlign w:val="bottom"/>
            <w:gridSpan w:val="3"/>
          </w:tcPr>
          <w:p>
            <w:pPr>
              <w:jc w:val="center"/>
              <w:ind w:right="1420"/>
              <w:spacing w:after="0"/>
              <w:rPr>
                <w:sz w:val="20"/>
                <w:szCs w:val="20"/>
                <w:color w:val="auto"/>
              </w:rPr>
            </w:pPr>
            <w:r>
              <w:rPr>
                <w:rFonts w:ascii="Arial" w:cs="Arial" w:eastAsia="Arial" w:hAnsi="Arial"/>
                <w:sz w:val="18"/>
                <w:szCs w:val="18"/>
                <w:color w:val="auto"/>
                <w:w w:val="92"/>
              </w:rPr>
              <w:t>File Number)</w:t>
            </w:r>
          </w:p>
        </w:tc>
        <w:tc>
          <w:tcPr>
            <w:tcW w:w="240" w:type="dxa"/>
            <w:vAlign w:val="bottom"/>
          </w:tcPr>
          <w:p>
            <w:pPr>
              <w:spacing w:after="0"/>
              <w:rPr>
                <w:sz w:val="20"/>
                <w:szCs w:val="20"/>
                <w:color w:val="auto"/>
              </w:rPr>
            </w:pPr>
          </w:p>
        </w:tc>
        <w:tc>
          <w:tcPr>
            <w:tcW w:w="3360" w:type="dxa"/>
            <w:vAlign w:val="bottom"/>
          </w:tcPr>
          <w:p>
            <w:pPr>
              <w:jc w:val="center"/>
              <w:ind w:right="13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7640" w:type="dxa"/>
            <w:vAlign w:val="bottom"/>
            <w:gridSpan w:val="7"/>
          </w:tcPr>
          <w:p>
            <w:pPr>
              <w:jc w:val="center"/>
              <w:spacing w:after="0"/>
              <w:rPr>
                <w:sz w:val="20"/>
                <w:szCs w:val="20"/>
                <w:color w:val="auto"/>
              </w:rPr>
            </w:pPr>
            <w:r>
              <w:rPr>
                <w:rFonts w:ascii="Arial" w:cs="Arial" w:eastAsia="Arial" w:hAnsi="Arial"/>
                <w:sz w:val="18"/>
                <w:szCs w:val="18"/>
                <w:b w:val="1"/>
                <w:bCs w:val="1"/>
                <w:color w:val="auto"/>
                <w:w w:val="91"/>
              </w:rPr>
              <w:t>1190 Trademark Drive, #108</w:t>
            </w:r>
          </w:p>
        </w:tc>
        <w:tc>
          <w:tcPr>
            <w:tcW w:w="24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241"/>
        </w:trPr>
        <w:tc>
          <w:tcPr>
            <w:tcW w:w="3020" w:type="dxa"/>
            <w:vAlign w:val="bottom"/>
          </w:tcPr>
          <w:p>
            <w:pPr>
              <w:spacing w:after="0"/>
              <w:rPr>
                <w:sz w:val="20"/>
                <w:szCs w:val="20"/>
                <w:color w:val="auto"/>
              </w:rPr>
            </w:pPr>
          </w:p>
        </w:tc>
        <w:tc>
          <w:tcPr>
            <w:tcW w:w="4620" w:type="dxa"/>
            <w:vAlign w:val="bottom"/>
            <w:gridSpan w:val="6"/>
          </w:tcPr>
          <w:p>
            <w:pPr>
              <w:jc w:val="center"/>
              <w:ind w:right="3000"/>
              <w:spacing w:after="0"/>
              <w:rPr>
                <w:sz w:val="20"/>
                <w:szCs w:val="20"/>
                <w:color w:val="auto"/>
              </w:rPr>
            </w:pPr>
            <w:r>
              <w:rPr>
                <w:rFonts w:ascii="Arial" w:cs="Arial" w:eastAsia="Arial" w:hAnsi="Arial"/>
                <w:sz w:val="18"/>
                <w:szCs w:val="18"/>
                <w:b w:val="1"/>
                <w:bCs w:val="1"/>
                <w:color w:val="auto"/>
                <w:w w:val="89"/>
              </w:rPr>
              <w:t>Reno, Nevada</w:t>
            </w:r>
          </w:p>
        </w:tc>
        <w:tc>
          <w:tcPr>
            <w:tcW w:w="3600" w:type="dxa"/>
            <w:vAlign w:val="bottom"/>
            <w:gridSpan w:val="2"/>
          </w:tcPr>
          <w:p>
            <w:pPr>
              <w:jc w:val="right"/>
              <w:ind w:right="1370"/>
              <w:spacing w:after="0"/>
              <w:rPr>
                <w:sz w:val="20"/>
                <w:szCs w:val="20"/>
                <w:color w:val="auto"/>
              </w:rPr>
            </w:pPr>
            <w:r>
              <w:rPr>
                <w:rFonts w:ascii="Arial" w:cs="Arial" w:eastAsia="Arial" w:hAnsi="Arial"/>
                <w:sz w:val="18"/>
                <w:szCs w:val="18"/>
                <w:b w:val="1"/>
                <w:bCs w:val="1"/>
                <w:color w:val="auto"/>
              </w:rPr>
              <w:t>89521</w:t>
            </w:r>
          </w:p>
        </w:tc>
      </w:tr>
      <w:tr>
        <w:trPr>
          <w:trHeight w:val="230"/>
        </w:trPr>
        <w:tc>
          <w:tcPr>
            <w:tcW w:w="7640" w:type="dxa"/>
            <w:vAlign w:val="bottom"/>
            <w:tcBorders>
              <w:top w:val="single" w:sz="8" w:color="auto"/>
            </w:tcBorders>
            <w:gridSpan w:val="7"/>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40" w:type="dxa"/>
            <w:vAlign w:val="bottom"/>
          </w:tcPr>
          <w:p>
            <w:pPr>
              <w:spacing w:after="0"/>
              <w:rPr>
                <w:sz w:val="20"/>
                <w:szCs w:val="20"/>
                <w:color w:val="auto"/>
              </w:rPr>
            </w:pPr>
          </w:p>
        </w:tc>
        <w:tc>
          <w:tcPr>
            <w:tcW w:w="3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r>
        <w:trPr>
          <w:trHeight w:val="377"/>
        </w:trPr>
        <w:tc>
          <w:tcPr>
            <w:tcW w:w="3020" w:type="dxa"/>
            <w:vAlign w:val="bottom"/>
          </w:tcPr>
          <w:p>
            <w:pPr>
              <w:spacing w:after="0"/>
              <w:rPr>
                <w:sz w:val="24"/>
                <w:szCs w:val="24"/>
                <w:color w:val="auto"/>
              </w:rPr>
            </w:pPr>
          </w:p>
        </w:tc>
        <w:tc>
          <w:tcPr>
            <w:tcW w:w="2040" w:type="dxa"/>
            <w:vAlign w:val="bottom"/>
            <w:gridSpan w:val="3"/>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(775) 622-3448</w:t>
            </w: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237"/>
        </w:trPr>
        <w:tc>
          <w:tcPr>
            <w:tcW w:w="30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20" w:type="dxa"/>
            <w:vAlign w:val="bottom"/>
            <w:gridSpan w:val="5"/>
          </w:tcPr>
          <w:p>
            <w:pPr>
              <w:jc w:val="center"/>
              <w:ind w:right="20"/>
              <w:spacing w:after="0"/>
              <w:rPr>
                <w:sz w:val="20"/>
                <w:szCs w:val="20"/>
                <w:color w:val="auto"/>
              </w:rPr>
            </w:pPr>
            <w:r>
              <w:rPr>
                <w:rFonts w:ascii="Arial" w:cs="Arial" w:eastAsia="Arial" w:hAnsi="Arial"/>
                <w:sz w:val="18"/>
                <w:szCs w:val="18"/>
                <w:color w:val="auto"/>
                <w:w w:val="89"/>
              </w:rPr>
              <w:t>Registrant’s telephone number, including area code</w:t>
            </w:r>
          </w:p>
        </w:tc>
        <w:tc>
          <w:tcPr>
            <w:tcW w:w="240" w:type="dxa"/>
            <w:vAlign w:val="bottom"/>
          </w:tcPr>
          <w:p>
            <w:pPr>
              <w:spacing w:after="0"/>
              <w:rPr>
                <w:sz w:val="20"/>
                <w:szCs w:val="20"/>
                <w:color w:val="auto"/>
              </w:rPr>
            </w:pPr>
          </w:p>
        </w:tc>
        <w:tc>
          <w:tcPr>
            <w:tcW w:w="336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0" w:lineRule="auto"/>
        <w:tabs>
          <w:tab w:leader="none" w:pos="3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51"/>
        </w:trPr>
        <w:tc>
          <w:tcPr>
            <w:tcW w:w="458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Title of each class</w:t>
            </w:r>
          </w:p>
        </w:tc>
        <w:tc>
          <w:tcPr>
            <w:tcW w:w="206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Trading Symbol(s)</w:t>
            </w:r>
          </w:p>
        </w:tc>
        <w:tc>
          <w:tcPr>
            <w:tcW w:w="460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02"/>
        </w:trPr>
        <w:tc>
          <w:tcPr>
            <w:tcW w:w="436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Common stock, par value $0.0001 per share</w:t>
            </w:r>
          </w:p>
        </w:tc>
        <w:tc>
          <w:tcPr>
            <w:tcW w:w="220" w:type="dxa"/>
            <w:vAlign w:val="bottom"/>
          </w:tcPr>
          <w:p>
            <w:pPr>
              <w:spacing w:after="0"/>
              <w:rPr>
                <w:sz w:val="17"/>
                <w:szCs w:val="17"/>
                <w:color w:val="auto"/>
              </w:rPr>
            </w:pPr>
          </w:p>
        </w:tc>
        <w:tc>
          <w:tcPr>
            <w:tcW w:w="184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rPr>
              <w:t>DFLI</w:t>
            </w:r>
          </w:p>
        </w:tc>
        <w:tc>
          <w:tcPr>
            <w:tcW w:w="220" w:type="dxa"/>
            <w:vAlign w:val="bottom"/>
          </w:tcPr>
          <w:p>
            <w:pPr>
              <w:spacing w:after="0"/>
              <w:rPr>
                <w:sz w:val="17"/>
                <w:szCs w:val="17"/>
                <w:color w:val="auto"/>
              </w:rPr>
            </w:pPr>
          </w:p>
        </w:tc>
        <w:tc>
          <w:tcPr>
            <w:tcW w:w="46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1"/>
              </w:rPr>
              <w:t>The Nasdaq Global Market</w:t>
            </w:r>
          </w:p>
        </w:tc>
      </w:tr>
      <w:tr>
        <w:trPr>
          <w:trHeight w:val="216"/>
        </w:trPr>
        <w:tc>
          <w:tcPr>
            <w:tcW w:w="458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Redeemable warrants, exercisable for common stock at an</w:t>
            </w:r>
          </w:p>
        </w:tc>
        <w:tc>
          <w:tcPr>
            <w:tcW w:w="206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DFLIW</w:t>
            </w:r>
          </w:p>
        </w:tc>
        <w:tc>
          <w:tcPr>
            <w:tcW w:w="4600" w:type="dxa"/>
            <w:vAlign w:val="bottom"/>
          </w:tcPr>
          <w:p>
            <w:pPr>
              <w:jc w:val="center"/>
              <w:spacing w:after="0"/>
              <w:rPr>
                <w:sz w:val="20"/>
                <w:szCs w:val="20"/>
                <w:color w:val="auto"/>
              </w:rPr>
            </w:pPr>
            <w:r>
              <w:rPr>
                <w:rFonts w:ascii="Arial" w:cs="Arial" w:eastAsia="Arial" w:hAnsi="Arial"/>
                <w:sz w:val="18"/>
                <w:szCs w:val="18"/>
                <w:color w:val="auto"/>
                <w:w w:val="91"/>
              </w:rPr>
              <w:t>The Nasdaq Capital Market</w:t>
            </w:r>
          </w:p>
        </w:tc>
      </w:tr>
      <w:tr>
        <w:trPr>
          <w:trHeight w:val="230"/>
        </w:trPr>
        <w:tc>
          <w:tcPr>
            <w:tcW w:w="458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exercise price of $11.50 per share, subject to adjustment</w:t>
            </w:r>
          </w:p>
        </w:tc>
        <w:tc>
          <w:tcPr>
            <w:tcW w:w="1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0" w:type="dxa"/>
            <w:vAlign w:val="bottom"/>
          </w:tcPr>
          <w:p>
            <w:pPr>
              <w:spacing w:after="0"/>
              <w:rPr>
                <w:sz w:val="20"/>
                <w:szCs w:val="20"/>
                <w:color w:val="auto"/>
              </w:rPr>
            </w:pPr>
          </w:p>
        </w:tc>
      </w:tr>
    </w:tbl>
    <w:p>
      <w:pPr>
        <w:spacing w:after="0" w:line="202"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70" w:lineRule="exact"/>
        <w:rPr>
          <w:sz w:val="24"/>
          <w:szCs w:val="24"/>
          <w:color w:val="auto"/>
        </w:rPr>
      </w:pPr>
    </w:p>
    <w:p>
      <w:pPr>
        <w:jc w:val="both"/>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471170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5"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On November 13, 2023, Dragonfly Energy Holdings Corp. (the “</w:t>
      </w:r>
      <w:r>
        <w:rPr>
          <w:rFonts w:ascii="Arial" w:cs="Arial" w:eastAsia="Arial" w:hAnsi="Arial"/>
          <w:sz w:val="17"/>
          <w:szCs w:val="17"/>
          <w:b w:val="1"/>
          <w:bCs w:val="1"/>
          <w:color w:val="auto"/>
        </w:rPr>
        <w:t>Company</w:t>
      </w:r>
      <w:r>
        <w:rPr>
          <w:rFonts w:ascii="Arial" w:cs="Arial" w:eastAsia="Arial" w:hAnsi="Arial"/>
          <w:sz w:val="17"/>
          <w:szCs w:val="17"/>
          <w:color w:val="auto"/>
        </w:rPr>
        <w:t>”) issued an earnings release disclosing certain information regarding its results of operations for the third quarter ended September 30, 2023. Following the publication of the press release, the Company will host an earnings call at 5:00 p.m. (Eastern Time) on November 13, 2023, via a webcast. During the webcast, the Company’s financial results for the third quarter ended September 30, 2023 will be discussed. A copy of the press release is attached as Exhibit 99.1 to this Current Report on Form 8-K.</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“Item 2.02 Results of Operation and Financial Condition” above.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information in this Current Report on Form 8-K under Items 2.02 and 7.01, including the information contained in Exhibit 99.1, is being furnished to the Securities and Exchange Commission (the “</w:t>
      </w:r>
      <w:r>
        <w:rPr>
          <w:rFonts w:ascii="Arial" w:cs="Arial" w:eastAsia="Arial" w:hAnsi="Arial"/>
          <w:sz w:val="18"/>
          <w:szCs w:val="18"/>
          <w:b w:val="1"/>
          <w:bCs w:val="1"/>
          <w:color w:val="auto"/>
        </w:rPr>
        <w:t>SEC</w:t>
      </w:r>
      <w:r>
        <w:rPr>
          <w:rFonts w:ascii="Arial" w:cs="Arial" w:eastAsia="Arial" w:hAnsi="Arial"/>
          <w:sz w:val="18"/>
          <w:szCs w:val="18"/>
          <w:color w:val="auto"/>
        </w:rPr>
        <w:t>”), and shall not be deemed to be “filed” for the purposes of Section 18 of the Securities Exchange Act of 1934, as amended (the “</w:t>
      </w:r>
      <w:r>
        <w:rPr>
          <w:rFonts w:ascii="Arial" w:cs="Arial" w:eastAsia="Arial" w:hAnsi="Arial"/>
          <w:sz w:val="18"/>
          <w:szCs w:val="18"/>
          <w:b w:val="1"/>
          <w:bCs w:val="1"/>
          <w:color w:val="auto"/>
        </w:rPr>
        <w:t>Exchange Act</w:t>
      </w:r>
      <w:r>
        <w:rPr>
          <w:rFonts w:ascii="Arial" w:cs="Arial" w:eastAsia="Arial" w:hAnsi="Arial"/>
          <w:sz w:val="18"/>
          <w:szCs w:val="18"/>
          <w:color w:val="auto"/>
        </w:rPr>
        <w:t>”), or otherwise subject to the liabilities of that section, and shall not be deemed to be incorporated by reference into any filing under the Securities Act of 1933, as amended, or the Exchange Act, except as shall be expressly set forth by a specific reference in such filing.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00" w:type="dxa"/>
            <w:vAlign w:val="bottom"/>
            <w:gridSpan w:val="2"/>
          </w:tcPr>
          <w:p>
            <w:pPr>
              <w:spacing w:after="0"/>
              <w:rPr>
                <w:sz w:val="20"/>
                <w:szCs w:val="20"/>
                <w:color w:val="auto"/>
              </w:rPr>
            </w:pPr>
            <w:r>
              <w:rPr>
                <w:rFonts w:ascii="Arial" w:cs="Arial" w:eastAsia="Arial" w:hAnsi="Arial"/>
                <w:sz w:val="18"/>
                <w:szCs w:val="18"/>
                <w:color w:val="auto"/>
              </w:rPr>
              <w:t>(d) Exhibits.</w:t>
            </w:r>
          </w:p>
        </w:tc>
        <w:tc>
          <w:tcPr>
            <w:tcW w:w="5680" w:type="dxa"/>
            <w:vAlign w:val="bottom"/>
          </w:tcPr>
          <w:p>
            <w:pPr>
              <w:spacing w:after="0"/>
              <w:rPr>
                <w:sz w:val="20"/>
                <w:szCs w:val="20"/>
                <w:color w:val="auto"/>
              </w:rPr>
            </w:pPr>
          </w:p>
        </w:tc>
        <w:tc>
          <w:tcPr>
            <w:tcW w:w="4460" w:type="dxa"/>
            <w:vAlign w:val="bottom"/>
          </w:tcPr>
          <w:p>
            <w:pPr>
              <w:spacing w:after="0"/>
              <w:rPr>
                <w:sz w:val="20"/>
                <w:szCs w:val="20"/>
                <w:color w:val="auto"/>
              </w:rPr>
            </w:pPr>
          </w:p>
        </w:tc>
      </w:tr>
      <w:tr>
        <w:trPr>
          <w:trHeight w:val="452"/>
        </w:trPr>
        <w:tc>
          <w:tcPr>
            <w:tcW w:w="1100" w:type="dxa"/>
            <w:vAlign w:val="bottom"/>
            <w:gridSpan w:val="2"/>
          </w:tcPr>
          <w:p>
            <w:pPr>
              <w:spacing w:after="0"/>
              <w:rPr>
                <w:sz w:val="20"/>
                <w:szCs w:val="20"/>
                <w:color w:val="auto"/>
              </w:rPr>
            </w:pPr>
            <w:r>
              <w:rPr>
                <w:rFonts w:ascii="Arial" w:cs="Arial" w:eastAsia="Arial" w:hAnsi="Arial"/>
                <w:sz w:val="18"/>
                <w:szCs w:val="18"/>
                <w:color w:val="auto"/>
              </w:rPr>
              <w:t>Exhibit No.</w:t>
            </w:r>
          </w:p>
        </w:tc>
        <w:tc>
          <w:tcPr>
            <w:tcW w:w="10140" w:type="dxa"/>
            <w:vAlign w:val="bottom"/>
            <w:gridSpan w:val="2"/>
          </w:tcPr>
          <w:p>
            <w:pPr>
              <w:spacing w:after="0"/>
              <w:rPr>
                <w:sz w:val="20"/>
                <w:szCs w:val="20"/>
                <w:color w:val="auto"/>
              </w:rPr>
            </w:pPr>
            <w:r>
              <w:rPr>
                <w:rFonts w:ascii="Arial" w:cs="Arial" w:eastAsia="Arial" w:hAnsi="Arial"/>
                <w:sz w:val="18"/>
                <w:szCs w:val="18"/>
                <w:color w:val="auto"/>
              </w:rPr>
              <w:t>Description</w:t>
            </w:r>
          </w:p>
        </w:tc>
      </w:tr>
      <w:tr>
        <w:trPr>
          <w:trHeight w:val="176"/>
        </w:trPr>
        <w:tc>
          <w:tcPr>
            <w:tcW w:w="980" w:type="dxa"/>
            <w:vAlign w:val="bottom"/>
            <w:tcBorders>
              <w:top w:val="single" w:sz="8" w:color="auto"/>
            </w:tcBorders>
          </w:tcPr>
          <w:p>
            <w:pPr>
              <w:spacing w:after="0" w:line="176" w:lineRule="exact"/>
              <w:rPr>
                <w:sz w:val="20"/>
                <w:szCs w:val="20"/>
                <w:color w:val="auto"/>
              </w:rPr>
            </w:pPr>
            <w:r>
              <w:rPr>
                <w:rFonts w:ascii="Arial" w:cs="Arial" w:eastAsia="Arial" w:hAnsi="Arial"/>
                <w:sz w:val="18"/>
                <w:szCs w:val="18"/>
                <w:color w:val="auto"/>
              </w:rPr>
              <w:t>99.1</w:t>
            </w:r>
          </w:p>
        </w:tc>
        <w:tc>
          <w:tcPr>
            <w:tcW w:w="120" w:type="dxa"/>
            <w:vAlign w:val="bottom"/>
          </w:tcPr>
          <w:p>
            <w:pPr>
              <w:spacing w:after="0"/>
              <w:rPr>
                <w:sz w:val="15"/>
                <w:szCs w:val="15"/>
                <w:color w:val="auto"/>
              </w:rPr>
            </w:pPr>
          </w:p>
        </w:tc>
        <w:tc>
          <w:tcPr>
            <w:tcW w:w="10140" w:type="dxa"/>
            <w:vAlign w:val="bottom"/>
            <w:tcBorders>
              <w:top w:val="single" w:sz="8" w:color="auto"/>
            </w:tcBorders>
            <w:gridSpan w:val="2"/>
          </w:tcPr>
          <w:p>
            <w:pPr>
              <w:spacing w:after="0" w:line="176" w:lineRule="exact"/>
              <w:rPr>
                <w:sz w:val="20"/>
                <w:szCs w:val="20"/>
                <w:color w:val="auto"/>
              </w:rPr>
            </w:pPr>
            <w:r>
              <w:rPr>
                <w:rFonts w:ascii="Arial" w:cs="Arial" w:eastAsia="Arial" w:hAnsi="Arial"/>
                <w:sz w:val="18"/>
                <w:szCs w:val="18"/>
                <w:color w:val="0000EE"/>
              </w:rPr>
              <w:t>Press Release of Dragonfly Energy Holdings Corp., dated November 13, 2023.</w:t>
            </w: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80" w:type="dxa"/>
            <w:vAlign w:val="bottom"/>
            <w:shd w:val="clear" w:color="auto" w:fill="0000EE"/>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r>
      <w:tr>
        <w:trPr>
          <w:trHeight w:val="237"/>
        </w:trPr>
        <w:tc>
          <w:tcPr>
            <w:tcW w:w="980" w:type="dxa"/>
            <w:vAlign w:val="bottom"/>
          </w:tcPr>
          <w:p>
            <w:pPr>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0"/>
                <w:szCs w:val="20"/>
                <w:color w:val="auto"/>
              </w:rPr>
            </w:pPr>
          </w:p>
        </w:tc>
        <w:tc>
          <w:tcPr>
            <w:tcW w:w="1014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439"/>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8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DRAGONFLY ENERGY HOLDINGS CORP.</w:t>
      </w:r>
    </w:p>
    <w:p>
      <w:pPr>
        <w:spacing w:after="0" w:line="229" w:lineRule="exact"/>
        <w:rPr>
          <w:sz w:val="20"/>
          <w:szCs w:val="20"/>
          <w:color w:val="auto"/>
        </w:rPr>
      </w:pPr>
    </w:p>
    <w:p>
      <w:pPr>
        <w:spacing w:after="0"/>
        <w:tabs>
          <w:tab w:leader="none" w:pos="5620" w:val="left"/>
          <w:tab w:leader="none" w:pos="6180" w:val="left"/>
        </w:tabs>
        <w:rPr>
          <w:sz w:val="20"/>
          <w:szCs w:val="20"/>
          <w:color w:val="auto"/>
        </w:rPr>
      </w:pPr>
      <w:r>
        <w:rPr>
          <w:rFonts w:ascii="Arial" w:cs="Arial" w:eastAsia="Arial" w:hAnsi="Arial"/>
          <w:sz w:val="18"/>
          <w:szCs w:val="18"/>
          <w:color w:val="auto"/>
        </w:rPr>
        <w:t>Dated: November 13,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Denis Phares</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Denis Phares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-130175</wp:posOffset>
            </wp:positionV>
            <wp:extent cx="320611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7"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President, Chief  Executive  Officer  and  Interim  Chief  Financial</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 w:name="page4"/>
    <w:bookmarkEnd w:id="3"/>
    <w:p>
      <w:pPr>
        <w:ind w:left="10320"/>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2979420</wp:posOffset>
            </wp:positionH>
            <wp:positionV relativeFrom="paragraph">
              <wp:posOffset>168910</wp:posOffset>
            </wp:positionV>
            <wp:extent cx="1191260" cy="8058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91260" cy="80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Dragonfly Energy Reports Third Quarter 2023 Financial and Operational Results</w:t>
      </w:r>
    </w:p>
    <w:p>
      <w:pPr>
        <w:spacing w:after="0" w:line="229" w:lineRule="exact"/>
        <w:rPr>
          <w:sz w:val="20"/>
          <w:szCs w:val="20"/>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Achieved successful deposition of cathode electrodes, and double-sided dry deposition of both anode and cathode electrodes, at scale, using the Company’s patented dry electrode battery manufacturing process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Dragonfly Energy remains on track to achieve delivery of sample domestic battery cells, across a variety of lithium chemistries, to potential customers by year end</w:t>
      </w:r>
    </w:p>
    <w:p>
      <w:pPr>
        <w:spacing w:after="0" w:line="170"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i w:val="1"/>
          <w:iCs w:val="1"/>
          <w:color w:val="auto"/>
        </w:rPr>
        <w:t>Launched new all-electric APU, a comprehensive solution to the trucking industry that enables compliance with increasing anti-idling regulations while potentially saving billions of dollars in fuel costs, increasing uptime and payload, and reducing harmful emissions during idle periods</w:t>
      </w:r>
    </w:p>
    <w:p>
      <w:pPr>
        <w:spacing w:after="0" w:line="12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RENO, NEVADA (November 13, 2023) </w:t>
      </w:r>
      <w:r>
        <w:rPr>
          <w:rFonts w:ascii="Arial" w:cs="Arial" w:eastAsia="Arial" w:hAnsi="Arial"/>
          <w:sz w:val="18"/>
          <w:szCs w:val="18"/>
          <w:color w:val="auto"/>
        </w:rPr>
        <w:t>— Dragonfly Energy Holdings Corp. (“Dragonfly Energy” or the “Company”) (Nasdaq: DFLI), an industry</w:t>
      </w:r>
      <w:r>
        <w:rPr>
          <w:rFonts w:ascii="Arial" w:cs="Arial" w:eastAsia="Arial" w:hAnsi="Arial"/>
          <w:sz w:val="18"/>
          <w:szCs w:val="18"/>
          <w:b w:val="1"/>
          <w:bCs w:val="1"/>
          <w:color w:val="auto"/>
        </w:rPr>
        <w:t xml:space="preserve"> </w:t>
      </w:r>
      <w:r>
        <w:rPr>
          <w:rFonts w:ascii="Arial" w:cs="Arial" w:eastAsia="Arial" w:hAnsi="Arial"/>
          <w:sz w:val="18"/>
          <w:szCs w:val="18"/>
          <w:color w:val="auto"/>
        </w:rPr>
        <w:t>leader in energy storage and producer of deep cycle lithium-ion storage batteries, today reported its financial and operational results for the third quarter ended September 30, 2023.</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2023 Financial Highlights</w:t>
      </w:r>
    </w:p>
    <w:p>
      <w:pPr>
        <w:spacing w:after="0" w:line="229"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Sales were $15.9 million, compared to $26.1 million in Q3 2022</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Gross Profit was $4.6 million, compared to $7.0 million in Q3 2022</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Operating expenses were $(10.5) million, compared to $(10.4) million in Q3 2022</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Loss of $(10.0) million, compared to a Net Loss of $(3.7) million in Q3 2022</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Diluted Loss per share was $(0.17), compared to $(0.10) in Q3 2022</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Adjusted EBITDA was $(4.6) million, compared to $(2.7) million in Q3 2022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and Business Highlights</w:t>
      </w:r>
    </w:p>
    <w:p>
      <w:pPr>
        <w:spacing w:after="0" w:line="229" w:lineRule="exact"/>
        <w:rPr>
          <w:sz w:val="20"/>
          <w:szCs w:val="20"/>
          <w:color w:val="auto"/>
        </w:rPr>
      </w:pPr>
    </w:p>
    <w:p>
      <w:pPr>
        <w:ind w:left="660" w:hanging="328"/>
        <w:spacing w:after="0" w:line="258"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Announced entrance into heavy-duty trucking market, with new Battle Born All-Electric APU (auxiliary power unit), enabling reduced fuel costs, increased uptime and payload, and lower harmful emissions (</w:t>
      </w:r>
      <w:r>
        <w:rPr>
          <w:rFonts w:ascii="Arial" w:cs="Arial" w:eastAsia="Arial" w:hAnsi="Arial"/>
          <w:sz w:val="18"/>
          <w:szCs w:val="18"/>
          <w:u w:val="single" w:color="auto"/>
          <w:color w:val="auto"/>
        </w:rPr>
        <w:t>link</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Announced successful cathode electrode dry deposition, at scale, for American made lithium batteries (</w:t>
      </w:r>
      <w:r>
        <w:rPr>
          <w:rFonts w:ascii="Arial" w:cs="Arial" w:eastAsia="Arial" w:hAnsi="Arial"/>
          <w:sz w:val="18"/>
          <w:szCs w:val="18"/>
          <w:u w:val="single" w:color="auto"/>
          <w:color w:val="auto"/>
        </w:rPr>
        <w:t>link</w:t>
      </w: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660" w:hanging="328"/>
        <w:spacing w:after="0" w:line="236"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Announced successful manufacture of lithium battery cell using high-purity recycled battery materials (</w:t>
      </w:r>
      <w:r>
        <w:rPr>
          <w:rFonts w:ascii="Arial" w:cs="Arial" w:eastAsia="Arial" w:hAnsi="Arial"/>
          <w:sz w:val="18"/>
          <w:szCs w:val="18"/>
          <w:u w:val="single" w:color="auto"/>
          <w:color w:val="auto"/>
        </w:rPr>
        <w:t>link</w:t>
      </w:r>
      <w:r>
        <w:rPr>
          <w:rFonts w:ascii="Arial" w:cs="Arial" w:eastAsia="Arial" w:hAnsi="Arial"/>
          <w:sz w:val="18"/>
          <w:szCs w:val="18"/>
          <w:color w:val="auto"/>
        </w:rPr>
        <w:t>)</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Announced expansion of business with new distributor and location in the Midwest (link)</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Announced new program win at nuCamp, continuing to gain share in the RV market (link)</w:t>
      </w:r>
    </w:p>
    <w:p>
      <w:pPr>
        <w:spacing w:after="0" w:line="20" w:lineRule="exact"/>
        <w:rPr>
          <w:rFonts w:ascii="Arial" w:cs="Arial" w:eastAsia="Arial" w:hAnsi="Arial"/>
          <w:sz w:val="18"/>
          <w:szCs w:val="18"/>
          <w:color w:val="auto"/>
        </w:rPr>
      </w:pPr>
    </w:p>
    <w:p>
      <w:pPr>
        <w:ind w:left="660" w:hanging="328"/>
        <w:spacing w:after="0" w:line="26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Announced U.S. Patent for innovative battery pack assembly design, enabling flexible custom installation solutions and increased energy density (</w:t>
      </w:r>
      <w:r>
        <w:rPr>
          <w:rFonts w:ascii="Arial" w:cs="Arial" w:eastAsia="Arial" w:hAnsi="Arial"/>
          <w:sz w:val="18"/>
          <w:szCs w:val="18"/>
          <w:u w:val="single" w:color="auto"/>
          <w:color w:val="auto"/>
        </w:rPr>
        <w:t>link</w:t>
      </w:r>
      <w:r>
        <w:rPr>
          <w:rFonts w:ascii="Arial" w:cs="Arial" w:eastAsia="Arial" w:hAnsi="Arial"/>
          <w:sz w:val="18"/>
          <w:szCs w:val="18"/>
          <w:color w:val="auto"/>
        </w:rPr>
        <w:t>)</w:t>
      </w:r>
    </w:p>
    <w:p>
      <w:pPr>
        <w:spacing w:after="0" w:line="18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have achieved a number of important milestones since our last call, including new customer wins within the RV market and the launch of our new all-electric APU, furthering our expansion efforts into the heavy-duty and fleet trucking markets. On the technology front, we completed our domestic cell manufacturing pilot line and announced the successful production of both anode and cathode material at scale, putting us on track to deliver sample battery cells using our patented dry electrode manufacturing process to prospective customers, by year end,” said Denis Phares, Chief Executive Officer of Dragonfly Energy. “While recent financial results continue to experience near-term market headwinds, Dragonfly Energy is executing on our plan by continuing to expand our revenue opportunities in existing and adjacent markets, while bringing new products and new capabilities to market. We remain excited about what lies ahead and sharing more about our progress in the coming quarters.”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259080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Third Quarter 2023 Financial Results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Third quarter 2023 Net Sales were $15.9 million, compared to $26.1 million in the third quarter of 2022. The year-over-year decline in revenue was due to lower OEM and DTC battery and accessory sales compared to the same quarter a year ago. OEM revenue declined by $8.3 million in the quarter. As discussed on our last earnings call, we were notified that due to weaker demand for its products, our largest OEM customer decided to switch from installing our storage solutions as a standard feature to an option on its products. As expected, this had a material adverse impact on our OEM sales in the third quarter of 2023. DTC revenue decreased by $1.9 million compared to the same quarter a year ago, as a result of decreased demand for our products due to ongoing macro-economic factors, such as higher interest rates and inflation.</w:t>
      </w:r>
    </w:p>
    <w:p>
      <w:pPr>
        <w:spacing w:after="0" w:line="17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Third quarter 2023 Gross Profit was $4.6 million, compared to $7.0 million in the third quarter of 2022. The decrease was primarily due to lower overall sales and unit volumes, offset by a positive change in revenue mix, with a greater percentage of higher margin DTC sales in the current year quarter.</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Operating Expenses in the third quarter of 2023 were $(10.5) million, compared to $(10.4) million in the prior year quarter, as higher research and development costs were largely offset by decreased general, administrative, sales and marketing expenses.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Other Expenses were $(4.1) million, compared to $(1.2) million in the prior year period. The increase was primarily due to higher interest rate expenses related to the Company’s debt securities.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had a Net Loss of $(10.0) million, or $(0.17) per diluted share in the third quarter of 2023, compared to a Net Loss of $(3.7) million or $(0.10) per diluted share in the prior year quarter. Net Income in the current quarter was impacted by lower sales, lower gross profit, and increased other expense.</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Third quarter 2023 EBITDA was $(5.7) million, compared to EBITDA of $(3.1) million in the third quarter of 2022. Third quarter 2023 Adjusted EBITDA, excluding stock-based compensation, the change in the fair market value of the Company’s warrants, and other one-time expenses, was a negative $(4.6) million in the quarter, compared to $(2.7) million in the same quarter a year ago.</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ended the third quarter of 2023 with $13.2 million in cash. Dragonfly Energy retains strong financial flexibility with access to a largely undrawn $150 million equity line of credit.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Q4 2023 Outlook</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continues to face headwinds in its core markets, which are dominated by consumer discretionary spending. The RV industry, in particular, is undergoing more severe unit declines than previously expected, and while the Company continues to win share within the RV market, these unit declines continue to negatively impact growth over the near-term. Additionally, as previously discussed, our largest RV customer, in an effort to reduce costs, has changed our storage offering from a standard installation to a dealer option. While this customer is not moving to a different solution or competitor, we do expect this change in strategy to continue to have a material limiting effect on our revenue throughout the remainder of 2023 and potentially into 2024.</w:t>
      </w:r>
    </w:p>
    <w:p>
      <w:pPr>
        <w:spacing w:after="0" w:line="161"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Net Sales are expected to range between $10.0 - $14.0 million, negatively impacted by continued softer demand from the overall RV market</w:t>
      </w:r>
    </w:p>
    <w:p>
      <w:pPr>
        <w:spacing w:after="0" w:line="34" w:lineRule="exact"/>
        <w:rPr>
          <w:rFonts w:ascii="Arial" w:cs="Arial" w:eastAsia="Arial" w:hAnsi="Arial"/>
          <w:sz w:val="17"/>
          <w:szCs w:val="17"/>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Gross Margin is expected in the range of 21.0% - 26.0%</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Operating Expenses are expected to be in a range of $(9.0) - $(12.0) million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Income (Expense) is expected be an expense in the range of $(3.5) - $(4.5) million</w:t>
      </w:r>
    </w:p>
    <w:p>
      <w:pPr>
        <w:spacing w:after="0" w:line="9" w:lineRule="exact"/>
        <w:rPr>
          <w:rFonts w:ascii="Arial" w:cs="Arial" w:eastAsia="Arial" w:hAnsi="Arial"/>
          <w:sz w:val="18"/>
          <w:szCs w:val="18"/>
          <w:color w:val="auto"/>
        </w:rPr>
      </w:pPr>
    </w:p>
    <w:p>
      <w:pPr>
        <w:ind w:left="660" w:hanging="328"/>
        <w:spacing w:after="0" w:line="26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Net Losses are expected to be between $(9.0) - $(14.5) million for the quarter, or $(0.15) - $(0.24) per share based on approximately 60.0 million shares outstanding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Webcast Information</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The Dragonfly Energy management team will host a conference call to discuss its third quarter 2023 financial results this afternoon, Monday, November 13, 2023, at 5:00 pm ET. The call can also be accessed live via telephone by dialing (206) 962-3782, toll-free in North America (888) 259-6580, or for international callers (416) 764-8624, and referencing Dragonfly Energy. Please log in to the webcast or dial in to the call at least 10 minutes prior to the start of the event. The live webcast of the conference will also be available at </w:t>
      </w:r>
      <w:r>
        <w:rPr>
          <w:rFonts w:ascii="Arial" w:cs="Arial" w:eastAsia="Arial" w:hAnsi="Arial"/>
          <w:sz w:val="17"/>
          <w:szCs w:val="17"/>
          <w:u w:val="single" w:color="auto"/>
          <w:color w:val="auto"/>
        </w:rPr>
        <w:t>https://investors.dragonflyenergy.com/events-and-presentations/default.aspx</w:t>
      </w:r>
      <w:r>
        <w:rPr>
          <w:rFonts w:ascii="Arial" w:cs="Arial" w:eastAsia="Arial" w:hAnsi="Arial"/>
          <w:sz w:val="17"/>
          <w:szCs w:val="17"/>
          <w:color w:val="auto"/>
        </w:rPr>
        <w:t xml:space="preserve"> on the Events and Presentations page on the Investor Relations section of Dragonfly’s website.</w:t>
      </w:r>
    </w:p>
    <w:p>
      <w:pPr>
        <w:spacing w:after="0" w:line="17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An archive of the webcast will be available for a period of time shortly after the call on the Events and Presentations page on the Investor Relations section of Dragonfly Energy’s website, along with the earnings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About Dragonfly Energy</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Dragonfly Energy Holdings Corp. (Nasdaq: DFLI) headquartered in Reno, Nevada, is a leading supplier of deep cycle lithium-ion batteries. Dragonfly Energy’s research and development initiatives are revolutionizing the energy storage industry through innovative technologies and manufacturing processes. Today, Dragonfly Energy’s non-toxic deep cycle lithium-ion batteries are displacing lead-acid batteries across a wide range of end-markets, including RVs, marine vessels, off-grid installations, and other storage applications. Dragonfly Energy is also focused on delivering an energy storage solution to enable a more sustainable and reliable smart grid through the future deployment of the Company’s proprietary and patented solid-state cell technology. To learn more, visit </w:t>
      </w:r>
      <w:r>
        <w:rPr>
          <w:rFonts w:ascii="Arial" w:cs="Arial" w:eastAsia="Arial" w:hAnsi="Arial"/>
          <w:sz w:val="18"/>
          <w:szCs w:val="18"/>
          <w:u w:val="single" w:color="auto"/>
          <w:color w:val="auto"/>
        </w:rPr>
        <w:t>www.dragonflyenergy.com/investors</w:t>
      </w:r>
      <w:r>
        <w:rPr>
          <w:rFonts w:ascii="Arial" w:cs="Arial" w:eastAsia="Arial" w:hAnsi="Arial"/>
          <w:sz w:val="18"/>
          <w:szCs w:val="18"/>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This press release contains forward-looking statements within the meaning of the United States Private Securities Litigation Reform Act of 1995. Forward-looking statements include all statements that are not historical statements of fact and statements regarding the Company’s intent, belief or expectations, including, but not limited to, statements regarding the Company’s guidance for 2023 results of operations and financial position, planned products and services, business strategy and plans, market size and growth opportunities, competitive position and technological and market trends. Some of these forward-looking statements can be identified by the use of forward-looking words, including “may,” “should,” “expect,” “intend,” “will,” “estimate,” “anticipate,” “believe,” “predict,” “plan,” “targets,” “projects,” “could,” “would,” “continue,” “forecast” or the negatives of these terms or variations of them or similar expressions.</w:t>
      </w:r>
    </w:p>
    <w:p>
      <w:pPr>
        <w:spacing w:after="0" w:line="19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These forward-looking statements are subject to risks, uncertainties, and other factors (some of which are beyond the Company’s control) which could cause actual results to differ materially from those expressed or implied by such forward-looking statements. Factors that may impact such forward-looking statements include, but are not limited to: headwinds in the Company’s core markets, including the RV market; the Company’s ability to successfully increase market penetration into target markets; the growth of the addressable markets that the Company intends to target; the Company’s ability to retain members of its senior management team and other key personnel; the Company’s ability to maintain relationships with key suppliers including suppliers in China; the Company’s ability to maintain relationships with key customers; the Company’s ability to access capital as and when needed under its $150 million ChEF Equity Facility; the Company’s ability to protect its patents and other intellectual property; the Company’s ability to successfully optimize solid state cells and to produce commercially viable solid state cells in a timely manner or at all, and to scale to mass production; the Company’s ability to achieve the anticipated benefits of its customer arrangements with THOR Industries and THOR Industries’ affiliated brands (including Keystone RV Company); the impact of the coronavirus disease pandemic, including any mutations or variants thereof and/or the Russian/Ukrainian conflict; the Company’s ability to generate revenue from future product sales and its ability to achieve and maintain profitability; and the Company’s ability to compete with other manufacturers in the industry and its ability to engage target customers and successfully convert these customers into meaningful orders in the future. These and other risks and uncertainties are described more fully in the sections entitled “Risk Factors” and “Cautionary Note Regarding Forward-Looking Statements” in the Company’s Annual Report on Form 10-K for the year ended December 31, 2022 and in the Company’s subsequent filings with the SEC available at </w:t>
      </w:r>
      <w:r>
        <w:rPr>
          <w:rFonts w:ascii="Arial" w:cs="Arial" w:eastAsia="Arial" w:hAnsi="Arial"/>
          <w:sz w:val="17"/>
          <w:szCs w:val="17"/>
          <w:u w:val="single" w:color="auto"/>
          <w:color w:val="auto"/>
        </w:rPr>
        <w:t>www.sec.gov</w:t>
      </w:r>
      <w:r>
        <w:rPr>
          <w:rFonts w:ascii="Arial" w:cs="Arial" w:eastAsia="Arial" w:hAnsi="Arial"/>
          <w:sz w:val="17"/>
          <w:szCs w:val="17"/>
          <w:color w:val="auto"/>
        </w:rPr>
        <w:t>.</w:t>
      </w:r>
    </w:p>
    <w:p>
      <w:pPr>
        <w:spacing w:after="0" w:line="18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If any of these risks materialize or any of the Company’s assumptions prove incorrect, actual results could differ materially from the results implied by these forward-looking statements. There may be additional risks that the Company presently does not know or that it currently believes are immaterial that could also cause actual results to differ from those contained in the forward-looking statements. All forward-looking statements contained in this press release speak only as of the date they were made. Except to the extent required by law, the Company undertakes no obligation to update such statements to reflect events that occur or circumstances that exist after the date on which they were made.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Sioban Hickie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DragonflyIR@icrinc.com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Dragonfly Energy Holdings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Dollars in Thousands, except share and per share data)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91"/>
              </w:rPr>
              <w:t>September 30, 2023</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6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w w:val="92"/>
              </w:rPr>
              <w:t>December 31, 2022</w:t>
            </w:r>
          </w:p>
        </w:tc>
      </w:tr>
      <w:tr>
        <w:trPr>
          <w:trHeight w:val="216"/>
        </w:trPr>
        <w:tc>
          <w:tcPr>
            <w:tcW w:w="6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760" w:type="dxa"/>
            <w:vAlign w:val="bottom"/>
          </w:tcPr>
          <w:p>
            <w:pPr>
              <w:ind w:left="180"/>
              <w:spacing w:after="0"/>
              <w:rPr>
                <w:sz w:val="20"/>
                <w:szCs w:val="20"/>
                <w:color w:val="auto"/>
              </w:rPr>
            </w:pPr>
            <w:r>
              <w:rPr>
                <w:rFonts w:ascii="Arial" w:cs="Arial" w:eastAsia="Arial" w:hAnsi="Arial"/>
                <w:sz w:val="18"/>
                <w:szCs w:val="18"/>
                <w:color w:val="auto"/>
              </w:rPr>
              <w:t>Cash</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80" w:type="dxa"/>
            <w:vAlign w:val="bottom"/>
            <w:gridSpan w:val="2"/>
          </w:tcPr>
          <w:p>
            <w:pPr>
              <w:jc w:val="right"/>
              <w:ind w:right="320"/>
              <w:spacing w:after="0"/>
              <w:rPr>
                <w:sz w:val="20"/>
                <w:szCs w:val="20"/>
                <w:color w:val="auto"/>
              </w:rPr>
            </w:pPr>
            <w:r>
              <w:rPr>
                <w:rFonts w:ascii="Arial" w:cs="Arial" w:eastAsia="Arial" w:hAnsi="Arial"/>
                <w:sz w:val="18"/>
                <w:szCs w:val="18"/>
                <w:color w:val="auto"/>
              </w:rPr>
              <w:t>13,235</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17,781</w:t>
            </w:r>
          </w:p>
        </w:tc>
        <w:tc>
          <w:tcPr>
            <w:tcW w:w="80" w:type="dxa"/>
            <w:vAlign w:val="bottom"/>
          </w:tcPr>
          <w:p>
            <w:pPr>
              <w:spacing w:after="0"/>
              <w:rPr>
                <w:sz w:val="18"/>
                <w:szCs w:val="18"/>
                <w:color w:val="auto"/>
              </w:rPr>
            </w:pPr>
          </w:p>
        </w:tc>
      </w:tr>
      <w:tr>
        <w:trPr>
          <w:trHeight w:val="216"/>
        </w:trPr>
        <w:tc>
          <w:tcPr>
            <w:tcW w:w="6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receivable, net of allowance for credit losses</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4,336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1,444</w:t>
            </w:r>
          </w:p>
        </w:tc>
        <w:tc>
          <w:tcPr>
            <w:tcW w:w="80" w:type="dxa"/>
            <w:vAlign w:val="bottom"/>
            <w:shd w:val="clear" w:color="auto" w:fill="CCEEFF"/>
          </w:tcPr>
          <w:p>
            <w:pPr>
              <w:spacing w:after="0"/>
              <w:rPr>
                <w:sz w:val="18"/>
                <w:szCs w:val="18"/>
                <w:color w:val="auto"/>
              </w:rPr>
            </w:pPr>
          </w:p>
        </w:tc>
      </w:tr>
      <w:tr>
        <w:trPr>
          <w:trHeight w:val="216"/>
        </w:trPr>
        <w:tc>
          <w:tcPr>
            <w:tcW w:w="6760" w:type="dxa"/>
            <w:vAlign w:val="bottom"/>
          </w:tcPr>
          <w:p>
            <w:pPr>
              <w:ind w:left="180"/>
              <w:spacing w:after="0"/>
              <w:rPr>
                <w:sz w:val="20"/>
                <w:szCs w:val="20"/>
                <w:color w:val="auto"/>
              </w:rPr>
            </w:pPr>
            <w:r>
              <w:rPr>
                <w:rFonts w:ascii="Arial" w:cs="Arial" w:eastAsia="Arial" w:hAnsi="Arial"/>
                <w:sz w:val="18"/>
                <w:szCs w:val="18"/>
                <w:color w:val="auto"/>
              </w:rPr>
              <w:t>Inventory</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80" w:type="dxa"/>
            <w:vAlign w:val="bottom"/>
            <w:gridSpan w:val="2"/>
          </w:tcPr>
          <w:p>
            <w:pPr>
              <w:jc w:val="right"/>
              <w:ind w:right="320"/>
              <w:spacing w:after="0"/>
              <w:rPr>
                <w:sz w:val="20"/>
                <w:szCs w:val="20"/>
                <w:color w:val="auto"/>
              </w:rPr>
            </w:pPr>
            <w:r>
              <w:rPr>
                <w:rFonts w:ascii="Arial" w:cs="Arial" w:eastAsia="Arial" w:hAnsi="Arial"/>
                <w:sz w:val="18"/>
                <w:szCs w:val="18"/>
                <w:color w:val="auto"/>
              </w:rPr>
              <w:t>41,907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49,846</w:t>
            </w:r>
          </w:p>
        </w:tc>
        <w:tc>
          <w:tcPr>
            <w:tcW w:w="80" w:type="dxa"/>
            <w:vAlign w:val="bottom"/>
          </w:tcPr>
          <w:p>
            <w:pPr>
              <w:spacing w:after="0"/>
              <w:rPr>
                <w:sz w:val="18"/>
                <w:szCs w:val="18"/>
                <w:color w:val="auto"/>
              </w:rPr>
            </w:pPr>
          </w:p>
        </w:tc>
      </w:tr>
      <w:tr>
        <w:trPr>
          <w:trHeight w:val="216"/>
        </w:trPr>
        <w:tc>
          <w:tcPr>
            <w:tcW w:w="6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823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1,624</w:t>
            </w:r>
          </w:p>
        </w:tc>
        <w:tc>
          <w:tcPr>
            <w:tcW w:w="80" w:type="dxa"/>
            <w:vAlign w:val="bottom"/>
            <w:shd w:val="clear" w:color="auto" w:fill="CCEEFF"/>
          </w:tcPr>
          <w:p>
            <w:pPr>
              <w:spacing w:after="0"/>
              <w:rPr>
                <w:sz w:val="18"/>
                <w:szCs w:val="18"/>
                <w:color w:val="auto"/>
              </w:rPr>
            </w:pPr>
          </w:p>
        </w:tc>
      </w:tr>
      <w:tr>
        <w:trPr>
          <w:trHeight w:val="216"/>
        </w:trPr>
        <w:tc>
          <w:tcPr>
            <w:tcW w:w="6760" w:type="dxa"/>
            <w:vAlign w:val="bottom"/>
          </w:tcPr>
          <w:p>
            <w:pPr>
              <w:ind w:left="180"/>
              <w:spacing w:after="0"/>
              <w:rPr>
                <w:sz w:val="20"/>
                <w:szCs w:val="20"/>
                <w:color w:val="auto"/>
              </w:rPr>
            </w:pPr>
            <w:r>
              <w:rPr>
                <w:rFonts w:ascii="Arial" w:cs="Arial" w:eastAsia="Arial" w:hAnsi="Arial"/>
                <w:sz w:val="18"/>
                <w:szCs w:val="18"/>
                <w:color w:val="auto"/>
              </w:rPr>
              <w:t>Prepaid inventory</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80" w:type="dxa"/>
            <w:vAlign w:val="bottom"/>
            <w:gridSpan w:val="2"/>
          </w:tcPr>
          <w:p>
            <w:pPr>
              <w:jc w:val="right"/>
              <w:ind w:right="320"/>
              <w:spacing w:after="0"/>
              <w:rPr>
                <w:sz w:val="20"/>
                <w:szCs w:val="20"/>
                <w:color w:val="auto"/>
              </w:rPr>
            </w:pPr>
            <w:r>
              <w:rPr>
                <w:rFonts w:ascii="Arial" w:cs="Arial" w:eastAsia="Arial" w:hAnsi="Arial"/>
                <w:sz w:val="18"/>
                <w:szCs w:val="18"/>
                <w:color w:val="auto"/>
              </w:rPr>
              <w:t>2,074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2,002</w:t>
            </w:r>
          </w:p>
        </w:tc>
        <w:tc>
          <w:tcPr>
            <w:tcW w:w="80" w:type="dxa"/>
            <w:vAlign w:val="bottom"/>
          </w:tcPr>
          <w:p>
            <w:pPr>
              <w:spacing w:after="0"/>
              <w:rPr>
                <w:sz w:val="18"/>
                <w:szCs w:val="18"/>
                <w:color w:val="auto"/>
              </w:rPr>
            </w:pPr>
          </w:p>
        </w:tc>
      </w:tr>
      <w:tr>
        <w:trPr>
          <w:trHeight w:val="216"/>
        </w:trPr>
        <w:tc>
          <w:tcPr>
            <w:tcW w:w="6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income tax</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529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525</w:t>
            </w:r>
          </w:p>
        </w:tc>
        <w:tc>
          <w:tcPr>
            <w:tcW w:w="80" w:type="dxa"/>
            <w:vAlign w:val="bottom"/>
            <w:shd w:val="clear" w:color="auto" w:fill="CCEEFF"/>
          </w:tcPr>
          <w:p>
            <w:pPr>
              <w:spacing w:after="0"/>
              <w:rPr>
                <w:sz w:val="18"/>
                <w:szCs w:val="18"/>
                <w:color w:val="auto"/>
              </w:rPr>
            </w:pPr>
          </w:p>
        </w:tc>
      </w:tr>
      <w:tr>
        <w:trPr>
          <w:trHeight w:val="237"/>
        </w:trPr>
        <w:tc>
          <w:tcPr>
            <w:tcW w:w="6760" w:type="dxa"/>
            <w:vAlign w:val="bottom"/>
          </w:tcPr>
          <w:p>
            <w:pPr>
              <w:ind w:left="180"/>
              <w:spacing w:after="0"/>
              <w:rPr>
                <w:sz w:val="20"/>
                <w:szCs w:val="20"/>
                <w:color w:val="auto"/>
              </w:rPr>
            </w:pPr>
            <w:r>
              <w:rPr>
                <w:rFonts w:ascii="Arial" w:cs="Arial" w:eastAsia="Arial" w:hAnsi="Arial"/>
                <w:sz w:val="18"/>
                <w:szCs w:val="18"/>
                <w:color w:val="auto"/>
              </w:rPr>
              <w:t>Other current assets</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80" w:type="dxa"/>
            <w:vAlign w:val="bottom"/>
            <w:gridSpan w:val="2"/>
          </w:tcPr>
          <w:p>
            <w:pPr>
              <w:jc w:val="right"/>
              <w:ind w:right="320"/>
              <w:spacing w:after="0"/>
              <w:rPr>
                <w:sz w:val="20"/>
                <w:szCs w:val="20"/>
                <w:color w:val="auto"/>
              </w:rPr>
            </w:pPr>
            <w:r>
              <w:rPr>
                <w:rFonts w:ascii="Arial" w:cs="Arial" w:eastAsia="Arial" w:hAnsi="Arial"/>
                <w:sz w:val="18"/>
                <w:szCs w:val="18"/>
                <w:color w:val="auto"/>
              </w:rPr>
              <w:t>118</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267</w:t>
            </w:r>
          </w:p>
        </w:tc>
        <w:tc>
          <w:tcPr>
            <w:tcW w:w="80" w:type="dxa"/>
            <w:vAlign w:val="bottom"/>
          </w:tcPr>
          <w:p>
            <w:pPr>
              <w:spacing w:after="0"/>
              <w:rPr>
                <w:sz w:val="20"/>
                <w:szCs w:val="20"/>
                <w:color w:val="auto"/>
              </w:rPr>
            </w:pPr>
          </w:p>
        </w:tc>
      </w:tr>
      <w:tr>
        <w:trPr>
          <w:trHeight w:val="236"/>
        </w:trPr>
        <w:tc>
          <w:tcPr>
            <w:tcW w:w="676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Current Assets</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63,022</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73,489</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6760" w:type="dxa"/>
            <w:vAlign w:val="bottom"/>
          </w:tcPr>
          <w:p>
            <w:pPr>
              <w:spacing w:after="0" w:line="203" w:lineRule="exact"/>
              <w:rPr>
                <w:sz w:val="20"/>
                <w:szCs w:val="20"/>
                <w:color w:val="auto"/>
              </w:rPr>
            </w:pPr>
            <w:r>
              <w:rPr>
                <w:rFonts w:ascii="Arial" w:cs="Arial" w:eastAsia="Arial" w:hAnsi="Arial"/>
                <w:sz w:val="18"/>
                <w:szCs w:val="18"/>
                <w:b w:val="1"/>
                <w:bCs w:val="1"/>
                <w:color w:val="auto"/>
              </w:rPr>
              <w:t>Property and Equipment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6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Machinery and equipment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16,337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10,214</w:t>
            </w:r>
          </w:p>
        </w:tc>
        <w:tc>
          <w:tcPr>
            <w:tcW w:w="80" w:type="dxa"/>
            <w:vAlign w:val="bottom"/>
            <w:shd w:val="clear" w:color="auto" w:fill="CCEEFF"/>
          </w:tcPr>
          <w:p>
            <w:pPr>
              <w:spacing w:after="0"/>
              <w:rPr>
                <w:sz w:val="18"/>
                <w:szCs w:val="18"/>
                <w:color w:val="auto"/>
              </w:rPr>
            </w:pPr>
          </w:p>
        </w:tc>
      </w:tr>
      <w:tr>
        <w:trPr>
          <w:trHeight w:val="216"/>
        </w:trPr>
        <w:tc>
          <w:tcPr>
            <w:tcW w:w="6760" w:type="dxa"/>
            <w:vAlign w:val="bottom"/>
          </w:tcPr>
          <w:p>
            <w:pPr>
              <w:ind w:left="180"/>
              <w:spacing w:after="0"/>
              <w:rPr>
                <w:sz w:val="20"/>
                <w:szCs w:val="20"/>
                <w:color w:val="auto"/>
              </w:rPr>
            </w:pPr>
            <w:r>
              <w:rPr>
                <w:rFonts w:ascii="Arial" w:cs="Arial" w:eastAsia="Arial" w:hAnsi="Arial"/>
                <w:sz w:val="18"/>
                <w:szCs w:val="18"/>
                <w:color w:val="auto"/>
              </w:rPr>
              <w:t>Office furniture and equipment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80" w:type="dxa"/>
            <w:vAlign w:val="bottom"/>
            <w:gridSpan w:val="2"/>
          </w:tcPr>
          <w:p>
            <w:pPr>
              <w:jc w:val="right"/>
              <w:ind w:right="320"/>
              <w:spacing w:after="0"/>
              <w:rPr>
                <w:sz w:val="20"/>
                <w:szCs w:val="20"/>
                <w:color w:val="auto"/>
              </w:rPr>
            </w:pPr>
            <w:r>
              <w:rPr>
                <w:rFonts w:ascii="Arial" w:cs="Arial" w:eastAsia="Arial" w:hAnsi="Arial"/>
                <w:sz w:val="18"/>
                <w:szCs w:val="18"/>
                <w:color w:val="auto"/>
              </w:rPr>
              <w:t>275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275</w:t>
            </w:r>
          </w:p>
        </w:tc>
        <w:tc>
          <w:tcPr>
            <w:tcW w:w="80" w:type="dxa"/>
            <w:vAlign w:val="bottom"/>
          </w:tcPr>
          <w:p>
            <w:pPr>
              <w:spacing w:after="0"/>
              <w:rPr>
                <w:sz w:val="18"/>
                <w:szCs w:val="18"/>
                <w:color w:val="auto"/>
              </w:rPr>
            </w:pPr>
          </w:p>
        </w:tc>
      </w:tr>
      <w:tr>
        <w:trPr>
          <w:trHeight w:val="216"/>
        </w:trPr>
        <w:tc>
          <w:tcPr>
            <w:tcW w:w="6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Leasehold improvements</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1,727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1,709</w:t>
            </w:r>
          </w:p>
        </w:tc>
        <w:tc>
          <w:tcPr>
            <w:tcW w:w="80" w:type="dxa"/>
            <w:vAlign w:val="bottom"/>
            <w:shd w:val="clear" w:color="auto" w:fill="CCEEFF"/>
          </w:tcPr>
          <w:p>
            <w:pPr>
              <w:spacing w:after="0"/>
              <w:rPr>
                <w:sz w:val="18"/>
                <w:szCs w:val="18"/>
                <w:color w:val="auto"/>
              </w:rPr>
            </w:pPr>
          </w:p>
        </w:tc>
      </w:tr>
      <w:tr>
        <w:trPr>
          <w:trHeight w:val="237"/>
        </w:trPr>
        <w:tc>
          <w:tcPr>
            <w:tcW w:w="6760" w:type="dxa"/>
            <w:vAlign w:val="bottom"/>
          </w:tcPr>
          <w:p>
            <w:pPr>
              <w:ind w:left="180"/>
              <w:spacing w:after="0"/>
              <w:rPr>
                <w:sz w:val="20"/>
                <w:szCs w:val="20"/>
                <w:color w:val="auto"/>
              </w:rPr>
            </w:pPr>
            <w:r>
              <w:rPr>
                <w:rFonts w:ascii="Arial" w:cs="Arial" w:eastAsia="Arial" w:hAnsi="Arial"/>
                <w:sz w:val="18"/>
                <w:szCs w:val="18"/>
                <w:color w:val="auto"/>
              </w:rPr>
              <w:t>Vehicle</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80" w:type="dxa"/>
            <w:vAlign w:val="bottom"/>
            <w:gridSpan w:val="2"/>
          </w:tcPr>
          <w:p>
            <w:pPr>
              <w:jc w:val="right"/>
              <w:ind w:right="320"/>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195</w:t>
            </w:r>
          </w:p>
        </w:tc>
        <w:tc>
          <w:tcPr>
            <w:tcW w:w="80" w:type="dxa"/>
            <w:vAlign w:val="bottom"/>
          </w:tcPr>
          <w:p>
            <w:pPr>
              <w:spacing w:after="0"/>
              <w:rPr>
                <w:sz w:val="20"/>
                <w:szCs w:val="20"/>
                <w:color w:val="auto"/>
              </w:rPr>
            </w:pPr>
          </w:p>
        </w:tc>
      </w:tr>
      <w:tr>
        <w:trPr>
          <w:trHeight w:val="216"/>
        </w:trPr>
        <w:tc>
          <w:tcPr>
            <w:tcW w:w="676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18,372</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12,393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37"/>
        </w:trPr>
        <w:tc>
          <w:tcPr>
            <w:tcW w:w="6760" w:type="dxa"/>
            <w:vAlign w:val="bottom"/>
          </w:tcPr>
          <w:p>
            <w:pPr>
              <w:ind w:left="180"/>
              <w:spacing w:after="0"/>
              <w:rPr>
                <w:sz w:val="20"/>
                <w:szCs w:val="20"/>
                <w:color w:val="auto"/>
              </w:rPr>
            </w:pPr>
            <w:r>
              <w:rPr>
                <w:rFonts w:ascii="Arial" w:cs="Arial" w:eastAsia="Arial" w:hAnsi="Arial"/>
                <w:sz w:val="18"/>
                <w:szCs w:val="18"/>
                <w:color w:val="auto"/>
              </w:rPr>
              <w:t>Less accumulated depreciation and amortization</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80" w:type="dxa"/>
            <w:vAlign w:val="bottom"/>
            <w:gridSpan w:val="2"/>
          </w:tcPr>
          <w:p>
            <w:pPr>
              <w:jc w:val="right"/>
              <w:ind w:right="260"/>
              <w:spacing w:after="0"/>
              <w:rPr>
                <w:sz w:val="20"/>
                <w:szCs w:val="20"/>
                <w:color w:val="auto"/>
              </w:rPr>
            </w:pPr>
            <w:r>
              <w:rPr>
                <w:rFonts w:ascii="Arial" w:cs="Arial" w:eastAsia="Arial" w:hAnsi="Arial"/>
                <w:sz w:val="18"/>
                <w:szCs w:val="18"/>
                <w:color w:val="auto"/>
              </w:rPr>
              <w:t>(2,496)</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60" w:type="dxa"/>
            <w:vAlign w:val="bottom"/>
            <w:gridSpan w:val="3"/>
          </w:tcPr>
          <w:p>
            <w:pPr>
              <w:jc w:val="right"/>
              <w:ind w:right="40"/>
              <w:spacing w:after="0"/>
              <w:rPr>
                <w:sz w:val="20"/>
                <w:szCs w:val="20"/>
                <w:color w:val="auto"/>
              </w:rPr>
            </w:pPr>
            <w:r>
              <w:rPr>
                <w:rFonts w:ascii="Arial" w:cs="Arial" w:eastAsia="Arial" w:hAnsi="Arial"/>
                <w:sz w:val="18"/>
                <w:szCs w:val="18"/>
                <w:color w:val="auto"/>
              </w:rPr>
              <w:t>(1,633)</w:t>
            </w:r>
          </w:p>
        </w:tc>
      </w:tr>
      <w:tr>
        <w:trPr>
          <w:trHeight w:val="216"/>
        </w:trPr>
        <w:tc>
          <w:tcPr>
            <w:tcW w:w="676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Property and Equipment, Net</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15,876</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10,760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37"/>
        </w:trPr>
        <w:tc>
          <w:tcPr>
            <w:tcW w:w="6760" w:type="dxa"/>
            <w:vAlign w:val="bottom"/>
          </w:tcPr>
          <w:p>
            <w:pPr>
              <w:ind w:left="180"/>
              <w:spacing w:after="0"/>
              <w:rPr>
                <w:sz w:val="20"/>
                <w:szCs w:val="20"/>
                <w:color w:val="auto"/>
              </w:rPr>
            </w:pPr>
            <w:r>
              <w:rPr>
                <w:rFonts w:ascii="Arial" w:cs="Arial" w:eastAsia="Arial" w:hAnsi="Arial"/>
                <w:sz w:val="18"/>
                <w:szCs w:val="18"/>
                <w:color w:val="auto"/>
              </w:rPr>
              <w:t>Operating lease right of use asset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80" w:type="dxa"/>
            <w:vAlign w:val="bottom"/>
            <w:gridSpan w:val="2"/>
          </w:tcPr>
          <w:p>
            <w:pPr>
              <w:jc w:val="right"/>
              <w:ind w:right="320"/>
              <w:spacing w:after="0"/>
              <w:rPr>
                <w:sz w:val="20"/>
                <w:szCs w:val="20"/>
                <w:color w:val="auto"/>
              </w:rPr>
            </w:pPr>
            <w:r>
              <w:rPr>
                <w:rFonts w:ascii="Arial" w:cs="Arial" w:eastAsia="Arial" w:hAnsi="Arial"/>
                <w:sz w:val="18"/>
                <w:szCs w:val="18"/>
                <w:color w:val="auto"/>
              </w:rPr>
              <w:t>3,615</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4,513</w:t>
            </w:r>
          </w:p>
        </w:tc>
        <w:tc>
          <w:tcPr>
            <w:tcW w:w="80" w:type="dxa"/>
            <w:vAlign w:val="bottom"/>
          </w:tcPr>
          <w:p>
            <w:pPr>
              <w:spacing w:after="0"/>
              <w:rPr>
                <w:sz w:val="20"/>
                <w:szCs w:val="20"/>
                <w:color w:val="auto"/>
              </w:rPr>
            </w:pPr>
          </w:p>
        </w:tc>
      </w:tr>
      <w:tr>
        <w:trPr>
          <w:trHeight w:val="229"/>
        </w:trPr>
        <w:tc>
          <w:tcPr>
            <w:tcW w:w="67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Assets</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82,513</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88,762</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6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76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80" w:type="dxa"/>
            <w:vAlign w:val="bottom"/>
            <w:gridSpan w:val="2"/>
          </w:tcPr>
          <w:p>
            <w:pPr>
              <w:jc w:val="right"/>
              <w:ind w:right="320"/>
              <w:spacing w:after="0"/>
              <w:rPr>
                <w:sz w:val="20"/>
                <w:szCs w:val="20"/>
                <w:color w:val="auto"/>
              </w:rPr>
            </w:pPr>
            <w:r>
              <w:rPr>
                <w:rFonts w:ascii="Arial" w:cs="Arial" w:eastAsia="Arial" w:hAnsi="Arial"/>
                <w:sz w:val="18"/>
                <w:szCs w:val="18"/>
                <w:color w:val="auto"/>
              </w:rPr>
              <w:t>9,889</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13,475</w:t>
            </w:r>
          </w:p>
        </w:tc>
        <w:tc>
          <w:tcPr>
            <w:tcW w:w="80" w:type="dxa"/>
            <w:vAlign w:val="bottom"/>
          </w:tcPr>
          <w:p>
            <w:pPr>
              <w:spacing w:after="0"/>
              <w:rPr>
                <w:sz w:val="18"/>
                <w:szCs w:val="18"/>
                <w:color w:val="auto"/>
              </w:rPr>
            </w:pPr>
          </w:p>
        </w:tc>
      </w:tr>
      <w:tr>
        <w:trPr>
          <w:trHeight w:val="216"/>
        </w:trPr>
        <w:tc>
          <w:tcPr>
            <w:tcW w:w="6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payroll and other liabilities</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10,788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6,247</w:t>
            </w:r>
          </w:p>
        </w:tc>
        <w:tc>
          <w:tcPr>
            <w:tcW w:w="80" w:type="dxa"/>
            <w:vAlign w:val="bottom"/>
            <w:shd w:val="clear" w:color="auto" w:fill="CCEEFF"/>
          </w:tcPr>
          <w:p>
            <w:pPr>
              <w:spacing w:after="0"/>
              <w:rPr>
                <w:sz w:val="18"/>
                <w:szCs w:val="18"/>
                <w:color w:val="auto"/>
              </w:rPr>
            </w:pPr>
          </w:p>
        </w:tc>
      </w:tr>
      <w:tr>
        <w:trPr>
          <w:trHeight w:val="216"/>
        </w:trPr>
        <w:tc>
          <w:tcPr>
            <w:tcW w:w="6760" w:type="dxa"/>
            <w:vAlign w:val="bottom"/>
          </w:tcPr>
          <w:p>
            <w:pPr>
              <w:ind w:left="180"/>
              <w:spacing w:after="0"/>
              <w:rPr>
                <w:sz w:val="20"/>
                <w:szCs w:val="20"/>
                <w:color w:val="auto"/>
              </w:rPr>
            </w:pPr>
            <w:r>
              <w:rPr>
                <w:rFonts w:ascii="Arial" w:cs="Arial" w:eastAsia="Arial" w:hAnsi="Arial"/>
                <w:sz w:val="18"/>
                <w:szCs w:val="18"/>
                <w:color w:val="auto"/>
              </w:rPr>
              <w:t>Customer deposits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80" w:type="dxa"/>
            <w:vAlign w:val="bottom"/>
            <w:gridSpan w:val="2"/>
          </w:tcPr>
          <w:p>
            <w:pPr>
              <w:jc w:val="right"/>
              <w:ind w:right="320"/>
              <w:spacing w:after="0"/>
              <w:rPr>
                <w:sz w:val="20"/>
                <w:szCs w:val="20"/>
                <w:color w:val="auto"/>
              </w:rPr>
            </w:pPr>
            <w:r>
              <w:rPr>
                <w:rFonts w:ascii="Arial" w:cs="Arial" w:eastAsia="Arial" w:hAnsi="Arial"/>
                <w:sz w:val="18"/>
                <w:szCs w:val="18"/>
                <w:color w:val="auto"/>
              </w:rPr>
              <w:t>217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238</w:t>
            </w:r>
          </w:p>
        </w:tc>
        <w:tc>
          <w:tcPr>
            <w:tcW w:w="80" w:type="dxa"/>
            <w:vAlign w:val="bottom"/>
          </w:tcPr>
          <w:p>
            <w:pPr>
              <w:spacing w:after="0"/>
              <w:rPr>
                <w:sz w:val="18"/>
                <w:szCs w:val="18"/>
                <w:color w:val="auto"/>
              </w:rPr>
            </w:pPr>
          </w:p>
        </w:tc>
      </w:tr>
      <w:tr>
        <w:trPr>
          <w:trHeight w:val="216"/>
        </w:trPr>
        <w:tc>
          <w:tcPr>
            <w:tcW w:w="6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Uncertain tax position liability</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128</w:t>
            </w:r>
          </w:p>
        </w:tc>
        <w:tc>
          <w:tcPr>
            <w:tcW w:w="80" w:type="dxa"/>
            <w:vAlign w:val="bottom"/>
            <w:shd w:val="clear" w:color="auto" w:fill="CCEEFF"/>
          </w:tcPr>
          <w:p>
            <w:pPr>
              <w:spacing w:after="0"/>
              <w:rPr>
                <w:sz w:val="18"/>
                <w:szCs w:val="18"/>
                <w:color w:val="auto"/>
              </w:rPr>
            </w:pPr>
          </w:p>
        </w:tc>
      </w:tr>
      <w:tr>
        <w:trPr>
          <w:trHeight w:val="216"/>
        </w:trPr>
        <w:tc>
          <w:tcPr>
            <w:tcW w:w="6760" w:type="dxa"/>
            <w:vAlign w:val="bottom"/>
          </w:tcPr>
          <w:p>
            <w:pPr>
              <w:ind w:left="180"/>
              <w:spacing w:after="0"/>
              <w:rPr>
                <w:sz w:val="20"/>
                <w:szCs w:val="20"/>
                <w:color w:val="auto"/>
              </w:rPr>
            </w:pPr>
            <w:r>
              <w:rPr>
                <w:rFonts w:ascii="Arial" w:cs="Arial" w:eastAsia="Arial" w:hAnsi="Arial"/>
                <w:sz w:val="18"/>
                <w:szCs w:val="18"/>
                <w:color w:val="auto"/>
              </w:rPr>
              <w:t>Notes payable, current portion, net of deferred financing fees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80" w:type="dxa"/>
            <w:vAlign w:val="bottom"/>
            <w:gridSpan w:val="2"/>
          </w:tcPr>
          <w:p>
            <w:pPr>
              <w:jc w:val="right"/>
              <w:ind w:right="320"/>
              <w:spacing w:after="0"/>
              <w:rPr>
                <w:sz w:val="20"/>
                <w:szCs w:val="20"/>
                <w:color w:val="auto"/>
              </w:rPr>
            </w:pPr>
            <w:r>
              <w:rPr>
                <w:rFonts w:ascii="Arial" w:cs="Arial" w:eastAsia="Arial" w:hAnsi="Arial"/>
                <w:sz w:val="18"/>
                <w:szCs w:val="18"/>
                <w:color w:val="auto"/>
              </w:rPr>
              <w:t>18,700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19,242</w:t>
            </w:r>
          </w:p>
        </w:tc>
        <w:tc>
          <w:tcPr>
            <w:tcW w:w="80" w:type="dxa"/>
            <w:vAlign w:val="bottom"/>
          </w:tcPr>
          <w:p>
            <w:pPr>
              <w:spacing w:after="0"/>
              <w:rPr>
                <w:sz w:val="18"/>
                <w:szCs w:val="18"/>
                <w:color w:val="auto"/>
              </w:rPr>
            </w:pPr>
          </w:p>
        </w:tc>
      </w:tr>
      <w:tr>
        <w:trPr>
          <w:trHeight w:val="216"/>
        </w:trPr>
        <w:tc>
          <w:tcPr>
            <w:tcW w:w="6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lease liability, current portion</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1,264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1,188</w:t>
            </w:r>
          </w:p>
        </w:tc>
        <w:tc>
          <w:tcPr>
            <w:tcW w:w="80" w:type="dxa"/>
            <w:vAlign w:val="bottom"/>
            <w:shd w:val="clear" w:color="auto" w:fill="CCEEFF"/>
          </w:tcPr>
          <w:p>
            <w:pPr>
              <w:spacing w:after="0"/>
              <w:rPr>
                <w:sz w:val="18"/>
                <w:szCs w:val="18"/>
                <w:color w:val="auto"/>
              </w:rPr>
            </w:pPr>
          </w:p>
        </w:tc>
      </w:tr>
      <w:tr>
        <w:trPr>
          <w:trHeight w:val="236"/>
        </w:trPr>
        <w:tc>
          <w:tcPr>
            <w:tcW w:w="6760" w:type="dxa"/>
            <w:vAlign w:val="bottom"/>
          </w:tcPr>
          <w:p>
            <w:pPr>
              <w:ind w:left="180"/>
              <w:spacing w:after="0"/>
              <w:rPr>
                <w:sz w:val="20"/>
                <w:szCs w:val="20"/>
                <w:color w:val="auto"/>
              </w:rPr>
            </w:pPr>
            <w:r>
              <w:rPr>
                <w:rFonts w:ascii="Arial" w:cs="Arial" w:eastAsia="Arial" w:hAnsi="Arial"/>
                <w:sz w:val="18"/>
                <w:szCs w:val="18"/>
                <w:color w:val="auto"/>
              </w:rPr>
              <w:t>Financing lease liability, current portion</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80" w:type="dxa"/>
            <w:vAlign w:val="bottom"/>
            <w:gridSpan w:val="2"/>
          </w:tcPr>
          <w:p>
            <w:pPr>
              <w:jc w:val="right"/>
              <w:ind w:right="320"/>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20"/>
                <w:szCs w:val="20"/>
                <w:color w:val="auto"/>
              </w:rPr>
            </w:pPr>
          </w:p>
        </w:tc>
      </w:tr>
      <w:tr>
        <w:trPr>
          <w:trHeight w:val="236"/>
        </w:trPr>
        <w:tc>
          <w:tcPr>
            <w:tcW w:w="676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41,022</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40,528</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6760" w:type="dxa"/>
            <w:vAlign w:val="bottom"/>
          </w:tcPr>
          <w:p>
            <w:pPr>
              <w:spacing w:after="0" w:line="203" w:lineRule="exact"/>
              <w:rPr>
                <w:sz w:val="20"/>
                <w:szCs w:val="20"/>
                <w:color w:val="auto"/>
              </w:rPr>
            </w:pPr>
            <w:r>
              <w:rPr>
                <w:rFonts w:ascii="Arial" w:cs="Arial" w:eastAsia="Arial" w:hAnsi="Arial"/>
                <w:sz w:val="18"/>
                <w:szCs w:val="18"/>
                <w:b w:val="1"/>
                <w:bCs w:val="1"/>
                <w:color w:val="auto"/>
              </w:rPr>
              <w:t>Long-Term Liabilities</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6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Warrant liabilities</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14,165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32,831</w:t>
            </w:r>
          </w:p>
        </w:tc>
        <w:tc>
          <w:tcPr>
            <w:tcW w:w="80" w:type="dxa"/>
            <w:vAlign w:val="bottom"/>
            <w:shd w:val="clear" w:color="auto" w:fill="CCEEFF"/>
          </w:tcPr>
          <w:p>
            <w:pPr>
              <w:spacing w:after="0"/>
              <w:rPr>
                <w:sz w:val="18"/>
                <w:szCs w:val="18"/>
                <w:color w:val="auto"/>
              </w:rPr>
            </w:pPr>
          </w:p>
        </w:tc>
      </w:tr>
      <w:tr>
        <w:trPr>
          <w:trHeight w:val="216"/>
        </w:trPr>
        <w:tc>
          <w:tcPr>
            <w:tcW w:w="6760" w:type="dxa"/>
            <w:vAlign w:val="bottom"/>
          </w:tcPr>
          <w:p>
            <w:pPr>
              <w:ind w:left="180"/>
              <w:spacing w:after="0"/>
              <w:rPr>
                <w:sz w:val="20"/>
                <w:szCs w:val="20"/>
                <w:color w:val="auto"/>
              </w:rPr>
            </w:pPr>
            <w:r>
              <w:rPr>
                <w:rFonts w:ascii="Arial" w:cs="Arial" w:eastAsia="Arial" w:hAnsi="Arial"/>
                <w:sz w:val="18"/>
                <w:szCs w:val="18"/>
                <w:color w:val="auto"/>
              </w:rPr>
              <w:t>Accrued expenses, long-term</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80" w:type="dxa"/>
            <w:vAlign w:val="bottom"/>
            <w:gridSpan w:val="2"/>
          </w:tcPr>
          <w:p>
            <w:pPr>
              <w:jc w:val="right"/>
              <w:ind w:right="320"/>
              <w:spacing w:after="0"/>
              <w:rPr>
                <w:sz w:val="20"/>
                <w:szCs w:val="20"/>
                <w:color w:val="auto"/>
              </w:rPr>
            </w:pPr>
            <w:r>
              <w:rPr>
                <w:rFonts w:ascii="Arial" w:cs="Arial" w:eastAsia="Arial" w:hAnsi="Arial"/>
                <w:sz w:val="18"/>
                <w:szCs w:val="18"/>
                <w:color w:val="auto"/>
              </w:rPr>
              <w:t>351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492</w:t>
            </w:r>
          </w:p>
        </w:tc>
        <w:tc>
          <w:tcPr>
            <w:tcW w:w="80" w:type="dxa"/>
            <w:vAlign w:val="bottom"/>
          </w:tcPr>
          <w:p>
            <w:pPr>
              <w:spacing w:after="0"/>
              <w:rPr>
                <w:sz w:val="18"/>
                <w:szCs w:val="18"/>
                <w:color w:val="auto"/>
              </w:rPr>
            </w:pPr>
          </w:p>
        </w:tc>
      </w:tr>
      <w:tr>
        <w:trPr>
          <w:trHeight w:val="216"/>
        </w:trPr>
        <w:tc>
          <w:tcPr>
            <w:tcW w:w="6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lease liability, net of current portion</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2,565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3,541</w:t>
            </w:r>
          </w:p>
        </w:tc>
        <w:tc>
          <w:tcPr>
            <w:tcW w:w="80" w:type="dxa"/>
            <w:vAlign w:val="bottom"/>
            <w:shd w:val="clear" w:color="auto" w:fill="CCEEFF"/>
          </w:tcPr>
          <w:p>
            <w:pPr>
              <w:spacing w:after="0"/>
              <w:rPr>
                <w:sz w:val="18"/>
                <w:szCs w:val="18"/>
                <w:color w:val="auto"/>
              </w:rPr>
            </w:pPr>
          </w:p>
        </w:tc>
      </w:tr>
      <w:tr>
        <w:trPr>
          <w:trHeight w:val="236"/>
        </w:trPr>
        <w:tc>
          <w:tcPr>
            <w:tcW w:w="6760" w:type="dxa"/>
            <w:vAlign w:val="bottom"/>
          </w:tcPr>
          <w:p>
            <w:pPr>
              <w:ind w:left="180"/>
              <w:spacing w:after="0"/>
              <w:rPr>
                <w:sz w:val="20"/>
                <w:szCs w:val="20"/>
                <w:color w:val="auto"/>
              </w:rPr>
            </w:pPr>
            <w:r>
              <w:rPr>
                <w:rFonts w:ascii="Arial" w:cs="Arial" w:eastAsia="Arial" w:hAnsi="Arial"/>
                <w:sz w:val="18"/>
                <w:szCs w:val="18"/>
                <w:color w:val="auto"/>
              </w:rPr>
              <w:t>Financing lease liability, net of current portion</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80" w:type="dxa"/>
            <w:vAlign w:val="bottom"/>
            <w:gridSpan w:val="2"/>
          </w:tcPr>
          <w:p>
            <w:pPr>
              <w:jc w:val="right"/>
              <w:ind w:right="320"/>
              <w:spacing w:after="0"/>
              <w:rPr>
                <w:sz w:val="20"/>
                <w:szCs w:val="20"/>
                <w:color w:val="auto"/>
              </w:rPr>
            </w:pPr>
            <w:r>
              <w:rPr>
                <w:rFonts w:ascii="Arial" w:cs="Arial" w:eastAsia="Arial" w:hAnsi="Arial"/>
                <w:sz w:val="18"/>
                <w:szCs w:val="18"/>
                <w:color w:val="auto"/>
              </w:rPr>
              <w:t>75</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20"/>
                <w:szCs w:val="20"/>
                <w:color w:val="auto"/>
              </w:rPr>
            </w:pPr>
          </w:p>
        </w:tc>
      </w:tr>
      <w:tr>
        <w:trPr>
          <w:trHeight w:val="236"/>
        </w:trPr>
        <w:tc>
          <w:tcPr>
            <w:tcW w:w="67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Long-Term Liabilities</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17,156</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36,902</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0"/>
        </w:trPr>
        <w:tc>
          <w:tcPr>
            <w:tcW w:w="676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Total Liabilities</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58,178</w:t>
            </w:r>
          </w:p>
        </w:tc>
        <w:tc>
          <w:tcPr>
            <w:tcW w:w="3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77,430</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6"/>
        </w:trPr>
        <w:tc>
          <w:tcPr>
            <w:tcW w:w="6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b w:val="1"/>
                <w:bCs w:val="1"/>
                <w:color w:val="auto"/>
              </w:rPr>
              <w:t>Equity</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2"/>
        </w:trPr>
        <w:tc>
          <w:tcPr>
            <w:tcW w:w="676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5"/>
              </w:rPr>
              <w:t>Common stock, 170,000,000 shares at $0.0001 par value, authorized, 58,880,712 and</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67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3"/>
              </w:rPr>
              <w:t>43,272,728 shares issued and outstanding as of September 30, 2023 and December 31,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6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2022, respectively</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20"/>
                <w:szCs w:val="20"/>
                <w:color w:val="auto"/>
              </w:rPr>
            </w:pPr>
          </w:p>
        </w:tc>
      </w:tr>
      <w:tr>
        <w:trPr>
          <w:trHeight w:val="216"/>
        </w:trPr>
        <w:tc>
          <w:tcPr>
            <w:tcW w:w="6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2"/>
        </w:trPr>
        <w:tc>
          <w:tcPr>
            <w:tcW w:w="676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1"/>
              </w:rPr>
              <w:t>Preferred stock, 5,000,000 shares at $0.0001 par value, authorized, no shares issued and</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6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outstanding as of September 30, 2023 and December 31, 2022, respectively</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r>
      <w:tr>
        <w:trPr>
          <w:trHeight w:val="216"/>
        </w:trPr>
        <w:tc>
          <w:tcPr>
            <w:tcW w:w="6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 in capital</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68,293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38,461</w:t>
            </w:r>
          </w:p>
        </w:tc>
        <w:tc>
          <w:tcPr>
            <w:tcW w:w="80" w:type="dxa"/>
            <w:vAlign w:val="bottom"/>
            <w:shd w:val="clear" w:color="auto" w:fill="CCEEFF"/>
          </w:tcPr>
          <w:p>
            <w:pPr>
              <w:spacing w:after="0"/>
              <w:rPr>
                <w:sz w:val="18"/>
                <w:szCs w:val="18"/>
                <w:color w:val="auto"/>
              </w:rPr>
            </w:pPr>
          </w:p>
        </w:tc>
      </w:tr>
      <w:tr>
        <w:trPr>
          <w:trHeight w:val="236"/>
        </w:trPr>
        <w:tc>
          <w:tcPr>
            <w:tcW w:w="6760" w:type="dxa"/>
            <w:vAlign w:val="bottom"/>
          </w:tcPr>
          <w:p>
            <w:pPr>
              <w:spacing w:after="0"/>
              <w:rPr>
                <w:sz w:val="20"/>
                <w:szCs w:val="20"/>
                <w:color w:val="auto"/>
              </w:rPr>
            </w:pPr>
            <w:r>
              <w:rPr>
                <w:rFonts w:ascii="Arial" w:cs="Arial" w:eastAsia="Arial" w:hAnsi="Arial"/>
                <w:sz w:val="18"/>
                <w:szCs w:val="18"/>
                <w:color w:val="auto"/>
              </w:rPr>
              <w:t>Retained deficit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80" w:type="dxa"/>
            <w:vAlign w:val="bottom"/>
            <w:gridSpan w:val="2"/>
          </w:tcPr>
          <w:p>
            <w:pPr>
              <w:jc w:val="right"/>
              <w:ind w:right="260"/>
              <w:spacing w:after="0"/>
              <w:rPr>
                <w:sz w:val="20"/>
                <w:szCs w:val="20"/>
                <w:color w:val="auto"/>
              </w:rPr>
            </w:pPr>
            <w:r>
              <w:rPr>
                <w:rFonts w:ascii="Arial" w:cs="Arial" w:eastAsia="Arial" w:hAnsi="Arial"/>
                <w:sz w:val="18"/>
                <w:szCs w:val="18"/>
                <w:color w:val="auto"/>
              </w:rPr>
              <w:t>(43,964)</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60" w:type="dxa"/>
            <w:vAlign w:val="bottom"/>
            <w:gridSpan w:val="3"/>
          </w:tcPr>
          <w:p>
            <w:pPr>
              <w:jc w:val="right"/>
              <w:ind w:right="40"/>
              <w:spacing w:after="0"/>
              <w:rPr>
                <w:sz w:val="20"/>
                <w:szCs w:val="20"/>
                <w:color w:val="auto"/>
              </w:rPr>
            </w:pPr>
            <w:r>
              <w:rPr>
                <w:rFonts w:ascii="Arial" w:cs="Arial" w:eastAsia="Arial" w:hAnsi="Arial"/>
                <w:sz w:val="18"/>
                <w:szCs w:val="18"/>
                <w:color w:val="auto"/>
              </w:rPr>
              <w:t>(27,133)</w:t>
            </w:r>
          </w:p>
        </w:tc>
      </w:tr>
      <w:tr>
        <w:trPr>
          <w:trHeight w:val="236"/>
        </w:trPr>
        <w:tc>
          <w:tcPr>
            <w:tcW w:w="67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Equity</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24,335</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11,332</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2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82,513</w:t>
            </w:r>
          </w:p>
        </w:tc>
        <w:tc>
          <w:tcPr>
            <w:tcW w:w="3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88,762</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6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9"/>
        </w:trPr>
        <w:tc>
          <w:tcPr>
            <w:tcW w:w="6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Dragonfly Energy Holdings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Interim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Dollars in Thousands, except share and per share data)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2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100" w:type="dxa"/>
            <w:vAlign w:val="bottom"/>
            <w:gridSpan w:val="7"/>
          </w:tcPr>
          <w:p>
            <w:pPr>
              <w:jc w:val="right"/>
              <w:ind w:right="136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37"/>
        </w:trPr>
        <w:tc>
          <w:tcPr>
            <w:tcW w:w="52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960" w:type="dxa"/>
            <w:vAlign w:val="bottom"/>
            <w:tcBorders>
              <w:top w:val="single" w:sz="8" w:color="auto"/>
            </w:tcBorders>
            <w:gridSpan w:val="2"/>
          </w:tcPr>
          <w:p>
            <w:pPr>
              <w:jc w:val="right"/>
              <w:ind w:right="321"/>
              <w:spacing w:after="0"/>
              <w:rPr>
                <w:sz w:val="20"/>
                <w:szCs w:val="20"/>
                <w:color w:val="auto"/>
              </w:rPr>
            </w:pPr>
            <w:r>
              <w:rPr>
                <w:rFonts w:ascii="Arial" w:cs="Arial" w:eastAsia="Arial" w:hAnsi="Arial"/>
                <w:sz w:val="18"/>
                <w:szCs w:val="18"/>
                <w:b w:val="1"/>
                <w:bCs w:val="1"/>
                <w:color w:val="auto"/>
                <w:w w:val="91"/>
              </w:rPr>
              <w:t>September 30, 2023</w:t>
            </w:r>
          </w:p>
        </w:tc>
        <w:tc>
          <w:tcPr>
            <w:tcW w:w="1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7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1"/>
              </w:rPr>
              <w:t>September 30, 2022</w:t>
            </w:r>
          </w:p>
        </w:tc>
        <w:tc>
          <w:tcPr>
            <w:tcW w:w="10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Sales</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15,889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26,117</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8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 of Goods Sold</w:t>
            </w:r>
          </w:p>
        </w:tc>
        <w:tc>
          <w:tcPr>
            <w:tcW w:w="1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11,317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19,079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4,572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7,038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1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2"/>
          </w:tcPr>
          <w:p>
            <w:pPr>
              <w:jc w:val="right"/>
              <w:ind w:right="121"/>
              <w:spacing w:after="0"/>
              <w:rPr>
                <w:sz w:val="20"/>
                <w:szCs w:val="20"/>
                <w:color w:val="auto"/>
              </w:rPr>
            </w:pPr>
            <w:r>
              <w:rPr>
                <w:rFonts w:ascii="Arial" w:cs="Arial" w:eastAsia="Arial" w:hAnsi="Arial"/>
                <w:sz w:val="18"/>
                <w:szCs w:val="18"/>
                <w:color w:val="auto"/>
              </w:rPr>
              <w:t>1,385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753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1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6,005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6,336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280" w:type="dxa"/>
            <w:vAlign w:val="bottom"/>
          </w:tcPr>
          <w:p>
            <w:pPr>
              <w:ind w:left="180"/>
              <w:spacing w:after="0"/>
              <w:rPr>
                <w:sz w:val="20"/>
                <w:szCs w:val="20"/>
                <w:color w:val="auto"/>
              </w:rPr>
            </w:pPr>
            <w:r>
              <w:rPr>
                <w:rFonts w:ascii="Arial" w:cs="Arial" w:eastAsia="Arial" w:hAnsi="Arial"/>
                <w:sz w:val="18"/>
                <w:szCs w:val="18"/>
                <w:color w:val="auto"/>
              </w:rPr>
              <w:t>Selling and marketing</w:t>
            </w:r>
          </w:p>
        </w:tc>
        <w:tc>
          <w:tcPr>
            <w:tcW w:w="1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gridSpan w:val="2"/>
          </w:tcPr>
          <w:p>
            <w:pPr>
              <w:jc w:val="right"/>
              <w:ind w:right="121"/>
              <w:spacing w:after="0"/>
              <w:rPr>
                <w:sz w:val="20"/>
                <w:szCs w:val="20"/>
                <w:color w:val="auto"/>
              </w:rPr>
            </w:pPr>
            <w:r>
              <w:rPr>
                <w:rFonts w:ascii="Arial" w:cs="Arial" w:eastAsia="Arial" w:hAnsi="Arial"/>
                <w:sz w:val="18"/>
                <w:szCs w:val="18"/>
                <w:color w:val="auto"/>
              </w:rPr>
              <w:t>3,083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3,358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8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280" w:type="dxa"/>
            <w:vAlign w:val="bottom"/>
          </w:tcPr>
          <w:p>
            <w:pPr>
              <w:spacing w:after="0"/>
              <w:rPr>
                <w:sz w:val="20"/>
                <w:szCs w:val="20"/>
                <w:color w:val="auto"/>
              </w:rPr>
            </w:pPr>
            <w:r>
              <w:rPr>
                <w:rFonts w:ascii="Arial" w:cs="Arial" w:eastAsia="Arial" w:hAnsi="Arial"/>
                <w:sz w:val="18"/>
                <w:szCs w:val="18"/>
                <w:b w:val="1"/>
                <w:bCs w:val="1"/>
                <w:color w:val="auto"/>
              </w:rPr>
              <w:t>Total Operating Expenses</w:t>
            </w:r>
          </w:p>
        </w:tc>
        <w:tc>
          <w:tcPr>
            <w:tcW w:w="1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gridSpan w:val="2"/>
          </w:tcPr>
          <w:p>
            <w:pPr>
              <w:jc w:val="right"/>
              <w:ind w:right="121"/>
              <w:spacing w:after="0"/>
              <w:rPr>
                <w:sz w:val="20"/>
                <w:szCs w:val="20"/>
                <w:color w:val="auto"/>
              </w:rPr>
            </w:pPr>
            <w:r>
              <w:rPr>
                <w:rFonts w:ascii="Arial" w:cs="Arial" w:eastAsia="Arial" w:hAnsi="Arial"/>
                <w:sz w:val="18"/>
                <w:szCs w:val="18"/>
                <w:color w:val="auto"/>
              </w:rPr>
              <w:t>10,473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10,447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8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180"/>
              <w:spacing w:after="0"/>
              <w:rPr>
                <w:sz w:val="20"/>
                <w:szCs w:val="20"/>
                <w:color w:val="auto"/>
              </w:rPr>
            </w:pPr>
            <w:r>
              <w:rPr>
                <w:rFonts w:ascii="Arial" w:cs="Arial" w:eastAsia="Arial" w:hAnsi="Arial"/>
                <w:sz w:val="18"/>
                <w:szCs w:val="18"/>
                <w:color w:val="auto"/>
              </w:rPr>
              <w:t>Loss From Operations</w:t>
            </w:r>
          </w:p>
        </w:tc>
        <w:tc>
          <w:tcPr>
            <w:tcW w:w="1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2"/>
          </w:tcPr>
          <w:p>
            <w:pPr>
              <w:jc w:val="right"/>
              <w:ind w:right="61"/>
              <w:spacing w:after="0"/>
              <w:rPr>
                <w:sz w:val="20"/>
                <w:szCs w:val="20"/>
                <w:color w:val="auto"/>
              </w:rPr>
            </w:pPr>
            <w:r>
              <w:rPr>
                <w:rFonts w:ascii="Arial" w:cs="Arial" w:eastAsia="Arial" w:hAnsi="Arial"/>
                <w:sz w:val="18"/>
                <w:szCs w:val="18"/>
                <w:color w:val="auto"/>
              </w:rPr>
              <w:t>(5,901)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3"/>
          </w:tcPr>
          <w:p>
            <w:pPr>
              <w:jc w:val="right"/>
              <w:ind w:right="40"/>
              <w:spacing w:after="0"/>
              <w:rPr>
                <w:sz w:val="20"/>
                <w:szCs w:val="20"/>
                <w:color w:val="auto"/>
              </w:rPr>
            </w:pPr>
            <w:r>
              <w:rPr>
                <w:rFonts w:ascii="Arial" w:cs="Arial" w:eastAsia="Arial" w:hAnsi="Arial"/>
                <w:sz w:val="18"/>
                <w:szCs w:val="18"/>
                <w:color w:val="auto"/>
              </w:rPr>
              <w:t>(3,409)</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b w:val="1"/>
                <w:bCs w:val="1"/>
                <w:color w:val="auto"/>
              </w:rPr>
              <w:t>Other (Expense) Income</w:t>
            </w:r>
          </w:p>
        </w:tc>
        <w:tc>
          <w:tcPr>
            <w:tcW w:w="1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1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(3,977)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(1,166)</w:t>
            </w:r>
          </w:p>
        </w:tc>
        <w:tc>
          <w:tcPr>
            <w:tcW w:w="0" w:type="dxa"/>
            <w:vAlign w:val="bottom"/>
          </w:tcPr>
          <w:p>
            <w:pPr>
              <w:spacing w:after="0"/>
              <w:rPr>
                <w:sz w:val="1"/>
                <w:szCs w:val="1"/>
                <w:color w:val="auto"/>
              </w:rPr>
            </w:pPr>
          </w:p>
        </w:tc>
      </w:tr>
      <w:tr>
        <w:trPr>
          <w:trHeight w:val="237"/>
        </w:trPr>
        <w:tc>
          <w:tcPr>
            <w:tcW w:w="5280" w:type="dxa"/>
            <w:vAlign w:val="bottom"/>
          </w:tcPr>
          <w:p>
            <w:pPr>
              <w:ind w:left="180"/>
              <w:spacing w:after="0"/>
              <w:rPr>
                <w:sz w:val="20"/>
                <w:szCs w:val="20"/>
                <w:color w:val="auto"/>
              </w:rPr>
            </w:pPr>
            <w:r>
              <w:rPr>
                <w:rFonts w:ascii="Arial" w:cs="Arial" w:eastAsia="Arial" w:hAnsi="Arial"/>
                <w:sz w:val="18"/>
                <w:szCs w:val="18"/>
                <w:color w:val="auto"/>
              </w:rPr>
              <w:t>Change in fair market value of warrant liability</w:t>
            </w:r>
          </w:p>
        </w:tc>
        <w:tc>
          <w:tcPr>
            <w:tcW w:w="1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gridSpan w:val="2"/>
          </w:tcPr>
          <w:p>
            <w:pPr>
              <w:jc w:val="right"/>
              <w:ind w:right="61"/>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Total Other (Expense) Income</w:t>
            </w:r>
          </w:p>
        </w:tc>
        <w:tc>
          <w:tcPr>
            <w:tcW w:w="17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(4,122</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(1,166</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Before Taxes</w:t>
            </w:r>
          </w:p>
        </w:tc>
        <w:tc>
          <w:tcPr>
            <w:tcW w:w="1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9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(10,023)</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(4,575)</w:t>
            </w:r>
          </w:p>
        </w:tc>
        <w:tc>
          <w:tcPr>
            <w:tcW w:w="0" w:type="dxa"/>
            <w:vAlign w:val="bottom"/>
          </w:tcPr>
          <w:p>
            <w:pPr>
              <w:spacing w:after="0"/>
              <w:rPr>
                <w:sz w:val="1"/>
                <w:szCs w:val="1"/>
                <w:color w:val="auto"/>
              </w:rPr>
            </w:pPr>
          </w:p>
        </w:tc>
      </w:tr>
      <w:tr>
        <w:trPr>
          <w:trHeight w:val="216"/>
        </w:trPr>
        <w:tc>
          <w:tcPr>
            <w:tcW w:w="528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Tax (Benefit) Expense</w:t>
            </w:r>
          </w:p>
        </w:tc>
        <w:tc>
          <w:tcPr>
            <w:tcW w:w="1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9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(886)</w:t>
            </w:r>
          </w:p>
        </w:tc>
        <w:tc>
          <w:tcPr>
            <w:tcW w:w="0" w:type="dxa"/>
            <w:vAlign w:val="bottom"/>
          </w:tcPr>
          <w:p>
            <w:pPr>
              <w:spacing w:after="0"/>
              <w:rPr>
                <w:sz w:val="1"/>
                <w:szCs w:val="1"/>
                <w:color w:val="auto"/>
              </w:rPr>
            </w:pPr>
          </w:p>
        </w:tc>
      </w:tr>
      <w:tr>
        <w:trPr>
          <w:trHeight w:val="216"/>
        </w:trPr>
        <w:tc>
          <w:tcPr>
            <w:tcW w:w="528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(10,023)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(3,689)</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Loss Per Share- Basic</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(0.17)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Loss Per Share- Diluted</w:t>
            </w:r>
          </w:p>
        </w:tc>
        <w:tc>
          <w:tcPr>
            <w:tcW w:w="170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gridSpan w:val="2"/>
            <w:vMerge w:val="restart"/>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36"/>
        </w:trPr>
        <w:tc>
          <w:tcPr>
            <w:tcW w:w="5280" w:type="dxa"/>
            <w:vAlign w:val="bottom"/>
            <w:tcBorders>
              <w:bottom w:val="single" w:sz="8" w:color="CCEEFF"/>
            </w:tcBorders>
            <w:vMerge w:val="continue"/>
          </w:tcPr>
          <w:p>
            <w:pPr>
              <w:spacing w:after="0"/>
              <w:rPr>
                <w:sz w:val="20"/>
                <w:szCs w:val="20"/>
                <w:color w:val="auto"/>
              </w:rPr>
            </w:pPr>
          </w:p>
        </w:tc>
        <w:tc>
          <w:tcPr>
            <w:tcW w:w="170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(0.17</w:t>
            </w:r>
          </w:p>
        </w:tc>
        <w:tc>
          <w:tcPr>
            <w:tcW w:w="20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(0.10</w:t>
            </w:r>
          </w:p>
        </w:tc>
        <w:tc>
          <w:tcPr>
            <w:tcW w:w="100" w:type="dxa"/>
            <w:vAlign w:val="bottom"/>
            <w:tcBorders>
              <w:bottom w:val="single" w:sz="8" w:color="CCEEFF"/>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528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Weighted Average Number of Shares- Basic</w:t>
            </w:r>
          </w:p>
        </w:tc>
        <w:tc>
          <w:tcPr>
            <w:tcW w:w="17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7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58,736,013</w:t>
            </w: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7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38,129,422</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Arial" w:cs="Arial" w:eastAsia="Arial" w:hAnsi="Arial"/>
                <w:sz w:val="18"/>
                <w:szCs w:val="18"/>
                <w:color w:val="auto"/>
              </w:rPr>
              <w:t>Weighted Average Number of Shares- Diluted</w:t>
            </w:r>
          </w:p>
        </w:tc>
        <w:tc>
          <w:tcPr>
            <w:tcW w:w="1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80" w:type="dxa"/>
            <w:vAlign w:val="bottom"/>
            <w:vMerge w:val="continue"/>
          </w:tcPr>
          <w:p>
            <w:pPr>
              <w:spacing w:after="0"/>
              <w:rPr>
                <w:sz w:val="17"/>
                <w:szCs w:val="17"/>
                <w:color w:val="auto"/>
              </w:rPr>
            </w:pPr>
          </w:p>
        </w:tc>
        <w:tc>
          <w:tcPr>
            <w:tcW w:w="17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58,736,013</w:t>
            </w:r>
          </w:p>
        </w:tc>
        <w:tc>
          <w:tcPr>
            <w:tcW w:w="2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38,129,422</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52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7"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Dragonfly Energy Holdings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Interim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Dollars in Thousands, except share and per share data)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2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100" w:type="dxa"/>
            <w:vAlign w:val="bottom"/>
            <w:gridSpan w:val="7"/>
          </w:tcPr>
          <w:p>
            <w:pPr>
              <w:jc w:val="right"/>
              <w:ind w:right="142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7"/>
        </w:trPr>
        <w:tc>
          <w:tcPr>
            <w:tcW w:w="52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960" w:type="dxa"/>
            <w:vAlign w:val="bottom"/>
            <w:tcBorders>
              <w:top w:val="single" w:sz="8" w:color="auto"/>
            </w:tcBorders>
            <w:gridSpan w:val="2"/>
          </w:tcPr>
          <w:p>
            <w:pPr>
              <w:jc w:val="right"/>
              <w:ind w:right="321"/>
              <w:spacing w:after="0"/>
              <w:rPr>
                <w:sz w:val="20"/>
                <w:szCs w:val="20"/>
                <w:color w:val="auto"/>
              </w:rPr>
            </w:pPr>
            <w:r>
              <w:rPr>
                <w:rFonts w:ascii="Arial" w:cs="Arial" w:eastAsia="Arial" w:hAnsi="Arial"/>
                <w:sz w:val="18"/>
                <w:szCs w:val="18"/>
                <w:b w:val="1"/>
                <w:bCs w:val="1"/>
                <w:color w:val="auto"/>
                <w:w w:val="91"/>
              </w:rPr>
              <w:t>September 30, 2023</w:t>
            </w:r>
          </w:p>
        </w:tc>
        <w:tc>
          <w:tcPr>
            <w:tcW w:w="1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7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1"/>
              </w:rPr>
              <w:t>September 30, 2022</w:t>
            </w:r>
          </w:p>
        </w:tc>
        <w:tc>
          <w:tcPr>
            <w:tcW w:w="10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Sales</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53,954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66,042</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8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 of Goods Sold</w:t>
            </w:r>
          </w:p>
        </w:tc>
        <w:tc>
          <w:tcPr>
            <w:tcW w:w="1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40,541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46,481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13,413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19,561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1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2"/>
          </w:tcPr>
          <w:p>
            <w:pPr>
              <w:jc w:val="right"/>
              <w:ind w:right="121"/>
              <w:spacing w:after="0"/>
              <w:rPr>
                <w:sz w:val="20"/>
                <w:szCs w:val="20"/>
                <w:color w:val="auto"/>
              </w:rPr>
            </w:pPr>
            <w:r>
              <w:rPr>
                <w:rFonts w:ascii="Arial" w:cs="Arial" w:eastAsia="Arial" w:hAnsi="Arial"/>
                <w:sz w:val="18"/>
                <w:szCs w:val="18"/>
                <w:color w:val="auto"/>
              </w:rPr>
              <w:t>3,332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1,951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1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23,114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13,778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280" w:type="dxa"/>
            <w:vAlign w:val="bottom"/>
          </w:tcPr>
          <w:p>
            <w:pPr>
              <w:ind w:left="180"/>
              <w:spacing w:after="0"/>
              <w:rPr>
                <w:sz w:val="20"/>
                <w:szCs w:val="20"/>
                <w:color w:val="auto"/>
              </w:rPr>
            </w:pPr>
            <w:r>
              <w:rPr>
                <w:rFonts w:ascii="Arial" w:cs="Arial" w:eastAsia="Arial" w:hAnsi="Arial"/>
                <w:sz w:val="18"/>
                <w:szCs w:val="18"/>
                <w:color w:val="auto"/>
              </w:rPr>
              <w:t>Selling and marketing</w:t>
            </w:r>
          </w:p>
        </w:tc>
        <w:tc>
          <w:tcPr>
            <w:tcW w:w="1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gridSpan w:val="2"/>
          </w:tcPr>
          <w:p>
            <w:pPr>
              <w:jc w:val="right"/>
              <w:ind w:right="121"/>
              <w:spacing w:after="0"/>
              <w:rPr>
                <w:sz w:val="20"/>
                <w:szCs w:val="20"/>
                <w:color w:val="auto"/>
              </w:rPr>
            </w:pPr>
            <w:r>
              <w:rPr>
                <w:rFonts w:ascii="Arial" w:cs="Arial" w:eastAsia="Arial" w:hAnsi="Arial"/>
                <w:sz w:val="18"/>
                <w:szCs w:val="18"/>
                <w:color w:val="auto"/>
              </w:rPr>
              <w:t>11,075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9,331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8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280" w:type="dxa"/>
            <w:vAlign w:val="bottom"/>
          </w:tcPr>
          <w:p>
            <w:pPr>
              <w:spacing w:after="0"/>
              <w:rPr>
                <w:sz w:val="20"/>
                <w:szCs w:val="20"/>
                <w:color w:val="auto"/>
              </w:rPr>
            </w:pPr>
            <w:r>
              <w:rPr>
                <w:rFonts w:ascii="Arial" w:cs="Arial" w:eastAsia="Arial" w:hAnsi="Arial"/>
                <w:sz w:val="18"/>
                <w:szCs w:val="18"/>
                <w:b w:val="1"/>
                <w:bCs w:val="1"/>
                <w:color w:val="auto"/>
              </w:rPr>
              <w:t>Total Operating Expenses</w:t>
            </w:r>
          </w:p>
        </w:tc>
        <w:tc>
          <w:tcPr>
            <w:tcW w:w="1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gridSpan w:val="2"/>
          </w:tcPr>
          <w:p>
            <w:pPr>
              <w:jc w:val="right"/>
              <w:ind w:right="121"/>
              <w:spacing w:after="0"/>
              <w:rPr>
                <w:sz w:val="20"/>
                <w:szCs w:val="20"/>
                <w:color w:val="auto"/>
              </w:rPr>
            </w:pPr>
            <w:r>
              <w:rPr>
                <w:rFonts w:ascii="Arial" w:cs="Arial" w:eastAsia="Arial" w:hAnsi="Arial"/>
                <w:sz w:val="18"/>
                <w:szCs w:val="18"/>
                <w:color w:val="auto"/>
              </w:rPr>
              <w:t>37,521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25,060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8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180"/>
              <w:spacing w:after="0"/>
              <w:rPr>
                <w:sz w:val="20"/>
                <w:szCs w:val="20"/>
                <w:color w:val="auto"/>
              </w:rPr>
            </w:pPr>
            <w:r>
              <w:rPr>
                <w:rFonts w:ascii="Arial" w:cs="Arial" w:eastAsia="Arial" w:hAnsi="Arial"/>
                <w:sz w:val="18"/>
                <w:szCs w:val="18"/>
                <w:color w:val="auto"/>
              </w:rPr>
              <w:t>Loss From Operations</w:t>
            </w:r>
          </w:p>
        </w:tc>
        <w:tc>
          <w:tcPr>
            <w:tcW w:w="1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2"/>
          </w:tcPr>
          <w:p>
            <w:pPr>
              <w:jc w:val="right"/>
              <w:ind w:right="61"/>
              <w:spacing w:after="0"/>
              <w:rPr>
                <w:sz w:val="20"/>
                <w:szCs w:val="20"/>
                <w:color w:val="auto"/>
              </w:rPr>
            </w:pPr>
            <w:r>
              <w:rPr>
                <w:rFonts w:ascii="Arial" w:cs="Arial" w:eastAsia="Arial" w:hAnsi="Arial"/>
                <w:sz w:val="18"/>
                <w:szCs w:val="18"/>
                <w:color w:val="auto"/>
              </w:rPr>
              <w:t>(24,108)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3"/>
          </w:tcPr>
          <w:p>
            <w:pPr>
              <w:jc w:val="right"/>
              <w:ind w:right="40"/>
              <w:spacing w:after="0"/>
              <w:rPr>
                <w:sz w:val="20"/>
                <w:szCs w:val="20"/>
                <w:color w:val="auto"/>
              </w:rPr>
            </w:pPr>
            <w:r>
              <w:rPr>
                <w:rFonts w:ascii="Arial" w:cs="Arial" w:eastAsia="Arial" w:hAnsi="Arial"/>
                <w:sz w:val="18"/>
                <w:szCs w:val="18"/>
                <w:color w:val="auto"/>
              </w:rPr>
              <w:t>(5,499)</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b w:val="1"/>
                <w:bCs w:val="1"/>
                <w:color w:val="auto"/>
              </w:rPr>
              <w:t>Other (Expense) Income</w:t>
            </w:r>
          </w:p>
        </w:tc>
        <w:tc>
          <w:tcPr>
            <w:tcW w:w="1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1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(11,905)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(3,657)</w:t>
            </w:r>
          </w:p>
        </w:tc>
        <w:tc>
          <w:tcPr>
            <w:tcW w:w="0" w:type="dxa"/>
            <w:vAlign w:val="bottom"/>
          </w:tcPr>
          <w:p>
            <w:pPr>
              <w:spacing w:after="0"/>
              <w:rPr>
                <w:sz w:val="1"/>
                <w:szCs w:val="1"/>
                <w:color w:val="auto"/>
              </w:rPr>
            </w:pPr>
          </w:p>
        </w:tc>
      </w:tr>
      <w:tr>
        <w:trPr>
          <w:trHeight w:val="237"/>
        </w:trPr>
        <w:tc>
          <w:tcPr>
            <w:tcW w:w="5280" w:type="dxa"/>
            <w:vAlign w:val="bottom"/>
          </w:tcPr>
          <w:p>
            <w:pPr>
              <w:ind w:left="180"/>
              <w:spacing w:after="0"/>
              <w:rPr>
                <w:sz w:val="20"/>
                <w:szCs w:val="20"/>
                <w:color w:val="auto"/>
              </w:rPr>
            </w:pPr>
            <w:r>
              <w:rPr>
                <w:rFonts w:ascii="Arial" w:cs="Arial" w:eastAsia="Arial" w:hAnsi="Arial"/>
                <w:sz w:val="18"/>
                <w:szCs w:val="18"/>
                <w:color w:val="auto"/>
              </w:rPr>
              <w:t>Change in fair market value of warrant liability</w:t>
            </w:r>
          </w:p>
        </w:tc>
        <w:tc>
          <w:tcPr>
            <w:tcW w:w="1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gridSpan w:val="2"/>
          </w:tcPr>
          <w:p>
            <w:pPr>
              <w:jc w:val="right"/>
              <w:ind w:right="121"/>
              <w:spacing w:after="0"/>
              <w:rPr>
                <w:sz w:val="20"/>
                <w:szCs w:val="20"/>
                <w:color w:val="auto"/>
              </w:rPr>
            </w:pPr>
            <w:r>
              <w:rPr>
                <w:rFonts w:ascii="Arial" w:cs="Arial" w:eastAsia="Arial" w:hAnsi="Arial"/>
                <w:sz w:val="18"/>
                <w:szCs w:val="18"/>
                <w:color w:val="auto"/>
              </w:rPr>
              <w:t>19,182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Total Other (Expense) Income</w:t>
            </w:r>
          </w:p>
        </w:tc>
        <w:tc>
          <w:tcPr>
            <w:tcW w:w="17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7,277</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(3,657</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Before Taxes</w:t>
            </w:r>
          </w:p>
        </w:tc>
        <w:tc>
          <w:tcPr>
            <w:tcW w:w="1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9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(16,831)</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(9,156)</w:t>
            </w:r>
          </w:p>
        </w:tc>
        <w:tc>
          <w:tcPr>
            <w:tcW w:w="0" w:type="dxa"/>
            <w:vAlign w:val="bottom"/>
          </w:tcPr>
          <w:p>
            <w:pPr>
              <w:spacing w:after="0"/>
              <w:rPr>
                <w:sz w:val="1"/>
                <w:szCs w:val="1"/>
                <w:color w:val="auto"/>
              </w:rPr>
            </w:pPr>
          </w:p>
        </w:tc>
      </w:tr>
      <w:tr>
        <w:trPr>
          <w:trHeight w:val="216"/>
        </w:trPr>
        <w:tc>
          <w:tcPr>
            <w:tcW w:w="528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Tax (Benefit) Expense</w:t>
            </w:r>
          </w:p>
        </w:tc>
        <w:tc>
          <w:tcPr>
            <w:tcW w:w="1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9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(1,700)</w:t>
            </w:r>
          </w:p>
        </w:tc>
        <w:tc>
          <w:tcPr>
            <w:tcW w:w="0" w:type="dxa"/>
            <w:vAlign w:val="bottom"/>
          </w:tcPr>
          <w:p>
            <w:pPr>
              <w:spacing w:after="0"/>
              <w:rPr>
                <w:sz w:val="1"/>
                <w:szCs w:val="1"/>
                <w:color w:val="auto"/>
              </w:rPr>
            </w:pPr>
          </w:p>
        </w:tc>
      </w:tr>
      <w:tr>
        <w:trPr>
          <w:trHeight w:val="216"/>
        </w:trPr>
        <w:tc>
          <w:tcPr>
            <w:tcW w:w="528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(16,831)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(7,456)</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Loss Per Share- Basic</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(0.34)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Loss Per Share- Diluted</w:t>
            </w:r>
          </w:p>
        </w:tc>
        <w:tc>
          <w:tcPr>
            <w:tcW w:w="170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gridSpan w:val="2"/>
            <w:vMerge w:val="restart"/>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37"/>
        </w:trPr>
        <w:tc>
          <w:tcPr>
            <w:tcW w:w="5280" w:type="dxa"/>
            <w:vAlign w:val="bottom"/>
            <w:tcBorders>
              <w:bottom w:val="single" w:sz="8" w:color="CCEEFF"/>
            </w:tcBorders>
            <w:vMerge w:val="continue"/>
          </w:tcPr>
          <w:p>
            <w:pPr>
              <w:spacing w:after="0"/>
              <w:rPr>
                <w:sz w:val="20"/>
                <w:szCs w:val="20"/>
                <w:color w:val="auto"/>
              </w:rPr>
            </w:pPr>
          </w:p>
        </w:tc>
        <w:tc>
          <w:tcPr>
            <w:tcW w:w="170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(0.34</w:t>
            </w:r>
          </w:p>
        </w:tc>
        <w:tc>
          <w:tcPr>
            <w:tcW w:w="20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(0.20</w:t>
            </w:r>
          </w:p>
        </w:tc>
        <w:tc>
          <w:tcPr>
            <w:tcW w:w="100" w:type="dxa"/>
            <w:vAlign w:val="bottom"/>
            <w:tcBorders>
              <w:bottom w:val="single" w:sz="8" w:color="CCEEFF"/>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528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Weighted Average Number of Shares- Basic</w:t>
            </w:r>
          </w:p>
        </w:tc>
        <w:tc>
          <w:tcPr>
            <w:tcW w:w="17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7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50,166,320</w:t>
            </w: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7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37,098,990</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Arial" w:cs="Arial" w:eastAsia="Arial" w:hAnsi="Arial"/>
                <w:sz w:val="18"/>
                <w:szCs w:val="18"/>
                <w:color w:val="auto"/>
              </w:rPr>
              <w:t>Weighted Average Number of Shares- Diluted</w:t>
            </w:r>
          </w:p>
        </w:tc>
        <w:tc>
          <w:tcPr>
            <w:tcW w:w="1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80" w:type="dxa"/>
            <w:vAlign w:val="bottom"/>
            <w:vMerge w:val="continue"/>
          </w:tcPr>
          <w:p>
            <w:pPr>
              <w:spacing w:after="0"/>
              <w:rPr>
                <w:sz w:val="17"/>
                <w:szCs w:val="17"/>
                <w:color w:val="auto"/>
              </w:rPr>
            </w:pPr>
          </w:p>
        </w:tc>
        <w:tc>
          <w:tcPr>
            <w:tcW w:w="17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50,166,320</w:t>
            </w:r>
          </w:p>
        </w:tc>
        <w:tc>
          <w:tcPr>
            <w:tcW w:w="2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37,098,990</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52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61"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Dragonfly Energy Holdings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Dollars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2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100" w:type="dxa"/>
            <w:vAlign w:val="bottom"/>
            <w:gridSpan w:val="7"/>
          </w:tcPr>
          <w:p>
            <w:pPr>
              <w:jc w:val="right"/>
              <w:ind w:right="1420"/>
              <w:spacing w:after="0"/>
              <w:rPr>
                <w:sz w:val="20"/>
                <w:szCs w:val="20"/>
                <w:color w:val="auto"/>
              </w:rPr>
            </w:pPr>
            <w:r>
              <w:rPr>
                <w:rFonts w:ascii="Arial" w:cs="Arial" w:eastAsia="Arial" w:hAnsi="Arial"/>
                <w:sz w:val="18"/>
                <w:szCs w:val="18"/>
                <w:b w:val="1"/>
                <w:bCs w:val="1"/>
                <w:color w:val="auto"/>
              </w:rPr>
              <w:t>Nine Months Ended</w:t>
            </w:r>
          </w:p>
        </w:tc>
      </w:tr>
      <w:tr>
        <w:trPr>
          <w:trHeight w:val="237"/>
        </w:trPr>
        <w:tc>
          <w:tcPr>
            <w:tcW w:w="52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2080" w:type="dxa"/>
            <w:vAlign w:val="bottom"/>
            <w:tcBorders>
              <w:top w:val="single" w:sz="8" w:color="auto"/>
            </w:tcBorders>
            <w:gridSpan w:val="2"/>
          </w:tcPr>
          <w:p>
            <w:pPr>
              <w:jc w:val="right"/>
              <w:ind w:right="441"/>
              <w:spacing w:after="0"/>
              <w:rPr>
                <w:sz w:val="20"/>
                <w:szCs w:val="20"/>
                <w:color w:val="auto"/>
              </w:rPr>
            </w:pPr>
            <w:r>
              <w:rPr>
                <w:rFonts w:ascii="Arial" w:cs="Arial" w:eastAsia="Arial" w:hAnsi="Arial"/>
                <w:sz w:val="18"/>
                <w:szCs w:val="18"/>
                <w:b w:val="1"/>
                <w:bCs w:val="1"/>
                <w:color w:val="auto"/>
                <w:w w:val="91"/>
              </w:rPr>
              <w:t>September 30, 2023</w:t>
            </w:r>
          </w:p>
        </w:tc>
        <w:tc>
          <w:tcPr>
            <w:tcW w:w="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7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1"/>
              </w:rPr>
              <w:t>September 30, 2022</w:t>
            </w:r>
          </w:p>
        </w:tc>
        <w:tc>
          <w:tcPr>
            <w:tcW w:w="100" w:type="dxa"/>
            <w:vAlign w:val="bottom"/>
            <w:gridSpan w:val="2"/>
          </w:tcPr>
          <w:p>
            <w:pPr>
              <w:spacing w:after="0"/>
              <w:rPr>
                <w:sz w:val="20"/>
                <w:szCs w:val="20"/>
                <w:color w:val="auto"/>
              </w:rPr>
            </w:pPr>
          </w:p>
        </w:tc>
      </w:tr>
      <w:tr>
        <w:trPr>
          <w:trHeight w:val="216"/>
        </w:trPr>
        <w:tc>
          <w:tcPr>
            <w:tcW w:w="5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7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37"/>
        </w:trPr>
        <w:tc>
          <w:tcPr>
            <w:tcW w:w="5280" w:type="dxa"/>
            <w:vAlign w:val="bottom"/>
          </w:tcPr>
          <w:p>
            <w:pPr>
              <w:spacing w:after="0"/>
              <w:rPr>
                <w:sz w:val="20"/>
                <w:szCs w:val="20"/>
                <w:color w:val="auto"/>
              </w:rPr>
            </w:pPr>
            <w:r>
              <w:rPr>
                <w:rFonts w:ascii="Arial" w:cs="Arial" w:eastAsia="Arial" w:hAnsi="Arial"/>
                <w:sz w:val="18"/>
                <w:szCs w:val="18"/>
                <w:color w:val="auto"/>
              </w:rPr>
              <w:t>Net Loss</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80" w:type="dxa"/>
            <w:vAlign w:val="bottom"/>
            <w:gridSpan w:val="2"/>
          </w:tcPr>
          <w:p>
            <w:pPr>
              <w:jc w:val="right"/>
              <w:ind w:right="181"/>
              <w:spacing w:after="0"/>
              <w:rPr>
                <w:sz w:val="20"/>
                <w:szCs w:val="20"/>
                <w:color w:val="auto"/>
              </w:rPr>
            </w:pPr>
            <w:r>
              <w:rPr>
                <w:rFonts w:ascii="Arial" w:cs="Arial" w:eastAsia="Arial" w:hAnsi="Arial"/>
                <w:sz w:val="18"/>
                <w:szCs w:val="18"/>
                <w:color w:val="auto"/>
              </w:rPr>
              <w:t>(16,831)</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860" w:type="dxa"/>
            <w:vAlign w:val="bottom"/>
            <w:gridSpan w:val="3"/>
          </w:tcPr>
          <w:p>
            <w:pPr>
              <w:jc w:val="right"/>
              <w:ind w:right="40"/>
              <w:spacing w:after="0"/>
              <w:rPr>
                <w:sz w:val="20"/>
                <w:szCs w:val="20"/>
                <w:color w:val="auto"/>
              </w:rPr>
            </w:pPr>
            <w:r>
              <w:rPr>
                <w:rFonts w:ascii="Arial" w:cs="Arial" w:eastAsia="Arial" w:hAnsi="Arial"/>
                <w:sz w:val="18"/>
                <w:szCs w:val="18"/>
                <w:color w:val="auto"/>
              </w:rPr>
              <w:t>(7,456)</w:t>
            </w:r>
          </w:p>
        </w:tc>
      </w:tr>
      <w:tr>
        <w:trPr>
          <w:trHeight w:val="216"/>
        </w:trPr>
        <w:tc>
          <w:tcPr>
            <w:tcW w:w="5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w:t>
            </w:r>
          </w:p>
        </w:tc>
        <w:tc>
          <w:tcPr>
            <w:tcW w:w="17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Used in Operating Activities</w:t>
            </w:r>
          </w:p>
        </w:tc>
        <w:tc>
          <w:tcPr>
            <w:tcW w:w="1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 based compensation</w:t>
            </w:r>
          </w:p>
        </w:tc>
        <w:tc>
          <w:tcPr>
            <w:tcW w:w="1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6,387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1,155</w:t>
            </w:r>
          </w:p>
        </w:tc>
        <w:tc>
          <w:tcPr>
            <w:tcW w:w="80" w:type="dxa"/>
            <w:vAlign w:val="bottom"/>
            <w:shd w:val="clear" w:color="auto" w:fill="CCEEFF"/>
          </w:tcPr>
          <w:p>
            <w:pPr>
              <w:spacing w:after="0"/>
              <w:rPr>
                <w:sz w:val="18"/>
                <w:szCs w:val="18"/>
                <w:color w:val="auto"/>
              </w:rPr>
            </w:pPr>
          </w:p>
        </w:tc>
      </w:tr>
      <w:tr>
        <w:trPr>
          <w:trHeight w:val="216"/>
        </w:trPr>
        <w:tc>
          <w:tcPr>
            <w:tcW w:w="5280" w:type="dxa"/>
            <w:vAlign w:val="bottom"/>
          </w:tcPr>
          <w:p>
            <w:pPr>
              <w:ind w:left="180"/>
              <w:spacing w:after="0"/>
              <w:rPr>
                <w:sz w:val="20"/>
                <w:szCs w:val="20"/>
                <w:color w:val="auto"/>
              </w:rPr>
            </w:pPr>
            <w:r>
              <w:rPr>
                <w:rFonts w:ascii="Arial" w:cs="Arial" w:eastAsia="Arial" w:hAnsi="Arial"/>
                <w:sz w:val="18"/>
                <w:szCs w:val="18"/>
                <w:color w:val="auto"/>
              </w:rPr>
              <w:t>Amortization of debt discount</w:t>
            </w:r>
          </w:p>
        </w:tc>
        <w:tc>
          <w:tcPr>
            <w:tcW w:w="1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80" w:type="dxa"/>
            <w:vAlign w:val="bottom"/>
            <w:gridSpan w:val="2"/>
          </w:tcPr>
          <w:p>
            <w:pPr>
              <w:jc w:val="right"/>
              <w:ind w:right="241"/>
              <w:spacing w:after="0"/>
              <w:rPr>
                <w:sz w:val="20"/>
                <w:szCs w:val="20"/>
                <w:color w:val="auto"/>
              </w:rPr>
            </w:pPr>
            <w:r>
              <w:rPr>
                <w:rFonts w:ascii="Arial" w:cs="Arial" w:eastAsia="Arial" w:hAnsi="Arial"/>
                <w:sz w:val="18"/>
                <w:szCs w:val="18"/>
                <w:color w:val="auto"/>
              </w:rPr>
              <w:t>995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1,783</w:t>
            </w:r>
          </w:p>
        </w:tc>
        <w:tc>
          <w:tcPr>
            <w:tcW w:w="80" w:type="dxa"/>
            <w:vAlign w:val="bottom"/>
          </w:tcPr>
          <w:p>
            <w:pPr>
              <w:spacing w:after="0"/>
              <w:rPr>
                <w:sz w:val="18"/>
                <w:szCs w:val="18"/>
                <w:color w:val="auto"/>
              </w:rPr>
            </w:pPr>
          </w:p>
        </w:tc>
      </w:tr>
      <w:tr>
        <w:trPr>
          <w:trHeight w:val="216"/>
        </w:trPr>
        <w:tc>
          <w:tcPr>
            <w:tcW w:w="5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fair market value of warrant liability</w:t>
            </w:r>
          </w:p>
        </w:tc>
        <w:tc>
          <w:tcPr>
            <w:tcW w:w="1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(19,182)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5280" w:type="dxa"/>
            <w:vAlign w:val="bottom"/>
          </w:tcPr>
          <w:p>
            <w:pPr>
              <w:ind w:left="180"/>
              <w:spacing w:after="0"/>
              <w:rPr>
                <w:sz w:val="20"/>
                <w:szCs w:val="20"/>
                <w:color w:val="auto"/>
              </w:rPr>
            </w:pPr>
            <w:r>
              <w:rPr>
                <w:rFonts w:ascii="Arial" w:cs="Arial" w:eastAsia="Arial" w:hAnsi="Arial"/>
                <w:sz w:val="18"/>
                <w:szCs w:val="18"/>
                <w:color w:val="auto"/>
              </w:rPr>
              <w:t>Deferred tax liability</w:t>
            </w:r>
          </w:p>
        </w:tc>
        <w:tc>
          <w:tcPr>
            <w:tcW w:w="1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8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3"/>
          </w:tcPr>
          <w:p>
            <w:pPr>
              <w:jc w:val="right"/>
              <w:ind w:right="40"/>
              <w:spacing w:after="0"/>
              <w:rPr>
                <w:sz w:val="20"/>
                <w:szCs w:val="20"/>
                <w:color w:val="auto"/>
              </w:rPr>
            </w:pPr>
            <w:r>
              <w:rPr>
                <w:rFonts w:ascii="Arial" w:cs="Arial" w:eastAsia="Arial" w:hAnsi="Arial"/>
                <w:sz w:val="18"/>
                <w:szCs w:val="18"/>
                <w:color w:val="auto"/>
              </w:rPr>
              <w:t>(1,707)</w:t>
            </w:r>
          </w:p>
        </w:tc>
      </w:tr>
      <w:tr>
        <w:trPr>
          <w:trHeight w:val="216"/>
        </w:trPr>
        <w:tc>
          <w:tcPr>
            <w:tcW w:w="5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Non-cash interest expense (paid-in-kind)</w:t>
            </w:r>
          </w:p>
        </w:tc>
        <w:tc>
          <w:tcPr>
            <w:tcW w:w="1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3,738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5280" w:type="dxa"/>
            <w:vAlign w:val="bottom"/>
          </w:tcPr>
          <w:p>
            <w:pPr>
              <w:ind w:left="180"/>
              <w:spacing w:after="0"/>
              <w:rPr>
                <w:sz w:val="20"/>
                <w:szCs w:val="20"/>
                <w:color w:val="auto"/>
              </w:rPr>
            </w:pPr>
            <w:r>
              <w:rPr>
                <w:rFonts w:ascii="Arial" w:cs="Arial" w:eastAsia="Arial" w:hAnsi="Arial"/>
                <w:sz w:val="18"/>
                <w:szCs w:val="18"/>
                <w:color w:val="auto"/>
              </w:rPr>
              <w:t>Provision for doubtful accounts</w:t>
            </w:r>
          </w:p>
        </w:tc>
        <w:tc>
          <w:tcPr>
            <w:tcW w:w="1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80" w:type="dxa"/>
            <w:vAlign w:val="bottom"/>
            <w:gridSpan w:val="2"/>
          </w:tcPr>
          <w:p>
            <w:pPr>
              <w:jc w:val="right"/>
              <w:ind w:right="241"/>
              <w:spacing w:after="0"/>
              <w:rPr>
                <w:sz w:val="20"/>
                <w:szCs w:val="20"/>
                <w:color w:val="auto"/>
              </w:rPr>
            </w:pPr>
            <w:r>
              <w:rPr>
                <w:rFonts w:ascii="Arial" w:cs="Arial" w:eastAsia="Arial" w:hAnsi="Arial"/>
                <w:sz w:val="18"/>
                <w:szCs w:val="18"/>
                <w:color w:val="auto"/>
              </w:rPr>
              <w:t>147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5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1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909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80" w:type="dxa"/>
            <w:vAlign w:val="bottom"/>
            <w:shd w:val="clear" w:color="auto" w:fill="CCEEFF"/>
          </w:tcPr>
          <w:p>
            <w:pPr>
              <w:spacing w:after="0"/>
              <w:rPr>
                <w:sz w:val="18"/>
                <w:szCs w:val="18"/>
                <w:color w:val="auto"/>
              </w:rPr>
            </w:pPr>
          </w:p>
        </w:tc>
      </w:tr>
      <w:tr>
        <w:trPr>
          <w:trHeight w:val="216"/>
        </w:trPr>
        <w:tc>
          <w:tcPr>
            <w:tcW w:w="5280" w:type="dxa"/>
            <w:vAlign w:val="bottom"/>
          </w:tcPr>
          <w:p>
            <w:pPr>
              <w:ind w:left="180"/>
              <w:spacing w:after="0"/>
              <w:rPr>
                <w:sz w:val="20"/>
                <w:szCs w:val="20"/>
                <w:color w:val="auto"/>
              </w:rPr>
            </w:pPr>
            <w:r>
              <w:rPr>
                <w:rFonts w:ascii="Arial" w:cs="Arial" w:eastAsia="Arial" w:hAnsi="Arial"/>
                <w:sz w:val="18"/>
                <w:szCs w:val="18"/>
                <w:color w:val="auto"/>
              </w:rPr>
              <w:t>Loss on disposal of property and equipment</w:t>
            </w:r>
          </w:p>
        </w:tc>
        <w:tc>
          <w:tcPr>
            <w:tcW w:w="1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80" w:type="dxa"/>
            <w:vAlign w:val="bottom"/>
            <w:gridSpan w:val="2"/>
          </w:tcPr>
          <w:p>
            <w:pPr>
              <w:jc w:val="right"/>
              <w:ind w:right="241"/>
              <w:spacing w:after="0"/>
              <w:rPr>
                <w:sz w:val="20"/>
                <w:szCs w:val="20"/>
                <w:color w:val="auto"/>
              </w:rPr>
            </w:pPr>
            <w:r>
              <w:rPr>
                <w:rFonts w:ascii="Arial" w:cs="Arial" w:eastAsia="Arial" w:hAnsi="Arial"/>
                <w:sz w:val="18"/>
                <w:szCs w:val="18"/>
                <w:color w:val="auto"/>
              </w:rPr>
              <w:t>116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62</w:t>
            </w:r>
          </w:p>
        </w:tc>
        <w:tc>
          <w:tcPr>
            <w:tcW w:w="80" w:type="dxa"/>
            <w:vAlign w:val="bottom"/>
          </w:tcPr>
          <w:p>
            <w:pPr>
              <w:spacing w:after="0"/>
              <w:rPr>
                <w:sz w:val="18"/>
                <w:szCs w:val="18"/>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Changes in Assets and Liabilities</w:t>
            </w:r>
          </w:p>
        </w:tc>
        <w:tc>
          <w:tcPr>
            <w:tcW w:w="1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28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1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80" w:type="dxa"/>
            <w:vAlign w:val="bottom"/>
            <w:gridSpan w:val="2"/>
          </w:tcPr>
          <w:p>
            <w:pPr>
              <w:jc w:val="right"/>
              <w:ind w:right="181"/>
              <w:spacing w:after="0"/>
              <w:rPr>
                <w:sz w:val="20"/>
                <w:szCs w:val="20"/>
                <w:color w:val="auto"/>
              </w:rPr>
            </w:pPr>
            <w:r>
              <w:rPr>
                <w:rFonts w:ascii="Arial" w:cs="Arial" w:eastAsia="Arial" w:hAnsi="Arial"/>
                <w:sz w:val="18"/>
                <w:szCs w:val="18"/>
                <w:color w:val="auto"/>
              </w:rPr>
              <w:t>(3,039)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3"/>
          </w:tcPr>
          <w:p>
            <w:pPr>
              <w:jc w:val="right"/>
              <w:ind w:right="40"/>
              <w:spacing w:after="0"/>
              <w:rPr>
                <w:sz w:val="20"/>
                <w:szCs w:val="20"/>
                <w:color w:val="auto"/>
              </w:rPr>
            </w:pPr>
            <w:r>
              <w:rPr>
                <w:rFonts w:ascii="Arial" w:cs="Arial" w:eastAsia="Arial" w:hAnsi="Arial"/>
                <w:sz w:val="18"/>
                <w:szCs w:val="18"/>
                <w:color w:val="auto"/>
              </w:rPr>
              <w:t>(3,037)</w:t>
            </w:r>
          </w:p>
        </w:tc>
      </w:tr>
      <w:tr>
        <w:trPr>
          <w:trHeight w:val="216"/>
        </w:trPr>
        <w:tc>
          <w:tcPr>
            <w:tcW w:w="5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Inventories</w:t>
            </w:r>
          </w:p>
        </w:tc>
        <w:tc>
          <w:tcPr>
            <w:tcW w:w="1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7,939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(12,360)</w:t>
            </w:r>
          </w:p>
        </w:tc>
      </w:tr>
      <w:tr>
        <w:trPr>
          <w:trHeight w:val="216"/>
        </w:trPr>
        <w:tc>
          <w:tcPr>
            <w:tcW w:w="5280" w:type="dxa"/>
            <w:vAlign w:val="bottom"/>
          </w:tcPr>
          <w:p>
            <w:pPr>
              <w:ind w:left="180"/>
              <w:spacing w:after="0"/>
              <w:rPr>
                <w:sz w:val="20"/>
                <w:szCs w:val="20"/>
                <w:color w:val="auto"/>
              </w:rPr>
            </w:pPr>
            <w:r>
              <w:rPr>
                <w:rFonts w:ascii="Arial" w:cs="Arial" w:eastAsia="Arial" w:hAnsi="Arial"/>
                <w:sz w:val="18"/>
                <w:szCs w:val="18"/>
                <w:color w:val="auto"/>
              </w:rPr>
              <w:t>Prepaid expenses</w:t>
            </w:r>
          </w:p>
        </w:tc>
        <w:tc>
          <w:tcPr>
            <w:tcW w:w="1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80" w:type="dxa"/>
            <w:vAlign w:val="bottom"/>
            <w:gridSpan w:val="2"/>
          </w:tcPr>
          <w:p>
            <w:pPr>
              <w:jc w:val="right"/>
              <w:ind w:right="241"/>
              <w:spacing w:after="0"/>
              <w:rPr>
                <w:sz w:val="20"/>
                <w:szCs w:val="20"/>
                <w:color w:val="auto"/>
              </w:rPr>
            </w:pPr>
            <w:r>
              <w:rPr>
                <w:rFonts w:ascii="Arial" w:cs="Arial" w:eastAsia="Arial" w:hAnsi="Arial"/>
                <w:sz w:val="18"/>
                <w:szCs w:val="18"/>
                <w:color w:val="auto"/>
              </w:rPr>
              <w:t>801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3"/>
          </w:tcPr>
          <w:p>
            <w:pPr>
              <w:jc w:val="right"/>
              <w:ind w:right="40"/>
              <w:spacing w:after="0"/>
              <w:rPr>
                <w:sz w:val="20"/>
                <w:szCs w:val="20"/>
                <w:color w:val="auto"/>
              </w:rPr>
            </w:pPr>
            <w:r>
              <w:rPr>
                <w:rFonts w:ascii="Arial" w:cs="Arial" w:eastAsia="Arial" w:hAnsi="Arial"/>
                <w:sz w:val="18"/>
                <w:szCs w:val="18"/>
                <w:color w:val="auto"/>
              </w:rPr>
              <w:t>(1,259)</w:t>
            </w:r>
          </w:p>
        </w:tc>
      </w:tr>
      <w:tr>
        <w:trPr>
          <w:trHeight w:val="216"/>
        </w:trPr>
        <w:tc>
          <w:tcPr>
            <w:tcW w:w="5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inventory</w:t>
            </w:r>
          </w:p>
        </w:tc>
        <w:tc>
          <w:tcPr>
            <w:tcW w:w="1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(72)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3,732</w:t>
            </w:r>
          </w:p>
        </w:tc>
        <w:tc>
          <w:tcPr>
            <w:tcW w:w="80" w:type="dxa"/>
            <w:vAlign w:val="bottom"/>
            <w:shd w:val="clear" w:color="auto" w:fill="CCEEFF"/>
          </w:tcPr>
          <w:p>
            <w:pPr>
              <w:spacing w:after="0"/>
              <w:rPr>
                <w:sz w:val="18"/>
                <w:szCs w:val="18"/>
                <w:color w:val="auto"/>
              </w:rPr>
            </w:pPr>
          </w:p>
        </w:tc>
      </w:tr>
      <w:tr>
        <w:trPr>
          <w:trHeight w:val="216"/>
        </w:trPr>
        <w:tc>
          <w:tcPr>
            <w:tcW w:w="5280" w:type="dxa"/>
            <w:vAlign w:val="bottom"/>
          </w:tcPr>
          <w:p>
            <w:pPr>
              <w:ind w:left="180"/>
              <w:spacing w:after="0"/>
              <w:rPr>
                <w:sz w:val="20"/>
                <w:szCs w:val="20"/>
                <w:color w:val="auto"/>
              </w:rPr>
            </w:pPr>
            <w:r>
              <w:rPr>
                <w:rFonts w:ascii="Arial" w:cs="Arial" w:eastAsia="Arial" w:hAnsi="Arial"/>
                <w:sz w:val="18"/>
                <w:szCs w:val="18"/>
                <w:color w:val="auto"/>
              </w:rPr>
              <w:t>Other current assets</w:t>
            </w:r>
          </w:p>
        </w:tc>
        <w:tc>
          <w:tcPr>
            <w:tcW w:w="1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80" w:type="dxa"/>
            <w:vAlign w:val="bottom"/>
            <w:gridSpan w:val="2"/>
          </w:tcPr>
          <w:p>
            <w:pPr>
              <w:jc w:val="right"/>
              <w:ind w:right="241"/>
              <w:spacing w:after="0"/>
              <w:rPr>
                <w:sz w:val="20"/>
                <w:szCs w:val="20"/>
                <w:color w:val="auto"/>
              </w:rPr>
            </w:pPr>
            <w:r>
              <w:rPr>
                <w:rFonts w:ascii="Arial" w:cs="Arial" w:eastAsia="Arial" w:hAnsi="Arial"/>
                <w:sz w:val="18"/>
                <w:szCs w:val="18"/>
                <w:color w:val="auto"/>
              </w:rPr>
              <w:t>149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3"/>
          </w:tcPr>
          <w:p>
            <w:pPr>
              <w:jc w:val="right"/>
              <w:ind w:right="40"/>
              <w:spacing w:after="0"/>
              <w:rPr>
                <w:sz w:val="20"/>
                <w:szCs w:val="20"/>
                <w:color w:val="auto"/>
              </w:rPr>
            </w:pPr>
            <w:r>
              <w:rPr>
                <w:rFonts w:ascii="Arial" w:cs="Arial" w:eastAsia="Arial" w:hAnsi="Arial"/>
                <w:sz w:val="18"/>
                <w:szCs w:val="18"/>
                <w:color w:val="auto"/>
              </w:rPr>
              <w:t>(2,114)</w:t>
            </w:r>
          </w:p>
        </w:tc>
      </w:tr>
      <w:tr>
        <w:trPr>
          <w:trHeight w:val="216"/>
        </w:trPr>
        <w:tc>
          <w:tcPr>
            <w:tcW w:w="5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assets</w:t>
            </w:r>
          </w:p>
        </w:tc>
        <w:tc>
          <w:tcPr>
            <w:tcW w:w="1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898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80" w:type="dxa"/>
            <w:vAlign w:val="bottom"/>
            <w:shd w:val="clear" w:color="auto" w:fill="CCEEFF"/>
          </w:tcPr>
          <w:p>
            <w:pPr>
              <w:spacing w:after="0"/>
              <w:rPr>
                <w:sz w:val="18"/>
                <w:szCs w:val="18"/>
                <w:color w:val="auto"/>
              </w:rPr>
            </w:pPr>
          </w:p>
        </w:tc>
      </w:tr>
      <w:tr>
        <w:trPr>
          <w:trHeight w:val="216"/>
        </w:trPr>
        <w:tc>
          <w:tcPr>
            <w:tcW w:w="5280" w:type="dxa"/>
            <w:vAlign w:val="bottom"/>
          </w:tcPr>
          <w:p>
            <w:pPr>
              <w:ind w:left="180"/>
              <w:spacing w:after="0"/>
              <w:rPr>
                <w:sz w:val="20"/>
                <w:szCs w:val="20"/>
                <w:color w:val="auto"/>
              </w:rPr>
            </w:pPr>
            <w:r>
              <w:rPr>
                <w:rFonts w:ascii="Arial" w:cs="Arial" w:eastAsia="Arial" w:hAnsi="Arial"/>
                <w:sz w:val="18"/>
                <w:szCs w:val="18"/>
                <w:color w:val="auto"/>
              </w:rPr>
              <w:t>Income taxes payable</w:t>
            </w:r>
          </w:p>
        </w:tc>
        <w:tc>
          <w:tcPr>
            <w:tcW w:w="1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80" w:type="dxa"/>
            <w:vAlign w:val="bottom"/>
            <w:gridSpan w:val="2"/>
          </w:tcPr>
          <w:p>
            <w:pPr>
              <w:jc w:val="right"/>
              <w:ind w:right="181"/>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3"/>
          </w:tcPr>
          <w:p>
            <w:pPr>
              <w:jc w:val="right"/>
              <w:ind w:right="40"/>
              <w:spacing w:after="0"/>
              <w:rPr>
                <w:sz w:val="20"/>
                <w:szCs w:val="20"/>
                <w:color w:val="auto"/>
              </w:rPr>
            </w:pPr>
            <w:r>
              <w:rPr>
                <w:rFonts w:ascii="Arial" w:cs="Arial" w:eastAsia="Arial" w:hAnsi="Arial"/>
                <w:sz w:val="18"/>
                <w:szCs w:val="18"/>
                <w:color w:val="auto"/>
              </w:rPr>
              <w:t>(927)</w:t>
            </w:r>
          </w:p>
        </w:tc>
      </w:tr>
      <w:tr>
        <w:trPr>
          <w:trHeight w:val="216"/>
        </w:trPr>
        <w:tc>
          <w:tcPr>
            <w:tcW w:w="5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 and accrued expenses</w:t>
            </w:r>
          </w:p>
        </w:tc>
        <w:tc>
          <w:tcPr>
            <w:tcW w:w="1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343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(3,915)</w:t>
            </w:r>
          </w:p>
        </w:tc>
      </w:tr>
      <w:tr>
        <w:trPr>
          <w:trHeight w:val="237"/>
        </w:trPr>
        <w:tc>
          <w:tcPr>
            <w:tcW w:w="5280" w:type="dxa"/>
            <w:vAlign w:val="bottom"/>
          </w:tcPr>
          <w:p>
            <w:pPr>
              <w:ind w:left="180"/>
              <w:spacing w:after="0"/>
              <w:rPr>
                <w:sz w:val="20"/>
                <w:szCs w:val="20"/>
                <w:color w:val="auto"/>
              </w:rPr>
            </w:pPr>
            <w:r>
              <w:rPr>
                <w:rFonts w:ascii="Arial" w:cs="Arial" w:eastAsia="Arial" w:hAnsi="Arial"/>
                <w:sz w:val="18"/>
                <w:szCs w:val="18"/>
                <w:color w:val="auto"/>
              </w:rPr>
              <w:t>Customer deposits</w:t>
            </w:r>
          </w:p>
        </w:tc>
        <w:tc>
          <w:tcPr>
            <w:tcW w:w="1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80" w:type="dxa"/>
            <w:vAlign w:val="bottom"/>
            <w:gridSpan w:val="2"/>
          </w:tcPr>
          <w:p>
            <w:pPr>
              <w:jc w:val="right"/>
              <w:ind w:right="181"/>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60" w:type="dxa"/>
            <w:vAlign w:val="bottom"/>
            <w:gridSpan w:val="3"/>
          </w:tcPr>
          <w:p>
            <w:pPr>
              <w:jc w:val="right"/>
              <w:ind w:right="40"/>
              <w:spacing w:after="0"/>
              <w:rPr>
                <w:sz w:val="20"/>
                <w:szCs w:val="20"/>
                <w:color w:val="auto"/>
              </w:rPr>
            </w:pPr>
            <w:r>
              <w:rPr>
                <w:rFonts w:ascii="Arial" w:cs="Arial" w:eastAsia="Arial" w:hAnsi="Arial"/>
                <w:sz w:val="18"/>
                <w:szCs w:val="18"/>
                <w:color w:val="auto"/>
              </w:rPr>
              <w:t>(147)</w:t>
            </w:r>
          </w:p>
        </w:tc>
      </w:tr>
      <w:tr>
        <w:trPr>
          <w:trHeight w:val="236"/>
        </w:trPr>
        <w:tc>
          <w:tcPr>
            <w:tcW w:w="52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Adjustments</w:t>
            </w:r>
          </w:p>
        </w:tc>
        <w:tc>
          <w:tcPr>
            <w:tcW w:w="17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(17,255</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r>
      <w:tr>
        <w:trPr>
          <w:trHeight w:val="210"/>
        </w:trPr>
        <w:tc>
          <w:tcPr>
            <w:tcW w:w="528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Net Cash Used in Operating Activities</w:t>
            </w:r>
          </w:p>
        </w:tc>
        <w:tc>
          <w:tcPr>
            <w:tcW w:w="17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(16,727</w:t>
            </w:r>
          </w:p>
        </w:tc>
        <w:tc>
          <w:tcPr>
            <w:tcW w:w="320" w:type="dxa"/>
            <w:vAlign w:val="bottom"/>
            <w:tcBorders>
              <w:bottom w:val="single" w:sz="8" w:color="CCEEFF"/>
            </w:tcBorders>
          </w:tcPr>
          <w:p>
            <w:pPr>
              <w:jc w:val="right"/>
              <w:ind w:right="181"/>
              <w:spacing w:after="0"/>
              <w:rPr>
                <w:sz w:val="20"/>
                <w:szCs w:val="20"/>
                <w:color w:val="auto"/>
              </w:rPr>
            </w:pPr>
            <w:r>
              <w:rPr>
                <w:rFonts w:ascii="Arial" w:cs="Arial" w:eastAsia="Arial" w:hAnsi="Arial"/>
                <w:sz w:val="16"/>
                <w:szCs w:val="16"/>
                <w:b w:val="1"/>
                <w:bCs w:val="1"/>
                <w:color w:val="auto"/>
                <w:w w:val="74"/>
              </w:rPr>
              <w:t>)</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(24,711</w:t>
            </w:r>
          </w:p>
        </w:tc>
        <w:tc>
          <w:tcPr>
            <w:tcW w:w="10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b w:val="1"/>
                <w:bCs w:val="1"/>
                <w:color w:val="auto"/>
                <w:w w:val="74"/>
              </w:rPr>
              <w:t>)</w:t>
            </w:r>
          </w:p>
        </w:tc>
      </w:tr>
      <w:tr>
        <w:trPr>
          <w:trHeight w:val="216"/>
        </w:trPr>
        <w:tc>
          <w:tcPr>
            <w:tcW w:w="52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50"/>
        </w:trPr>
        <w:tc>
          <w:tcPr>
            <w:tcW w:w="5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 of property and equipment</w:t>
            </w:r>
          </w:p>
        </w:tc>
        <w:tc>
          <w:tcPr>
            <w:tcW w:w="17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(6,507)</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(6,065)</w:t>
            </w:r>
          </w:p>
        </w:tc>
      </w:tr>
      <w:tr>
        <w:trPr>
          <w:trHeight w:val="210"/>
        </w:trPr>
        <w:tc>
          <w:tcPr>
            <w:tcW w:w="5280" w:type="dxa"/>
            <w:vAlign w:val="bottom"/>
            <w:tcBorders>
              <w:top w:val="single" w:sz="8" w:color="CCEEFF"/>
              <w:bottom w:val="single" w:sz="8" w:color="CCEEFF"/>
            </w:tcBorders>
          </w:tcPr>
          <w:p>
            <w:pPr>
              <w:ind w:left="180"/>
              <w:spacing w:after="0" w:line="203" w:lineRule="exact"/>
              <w:rPr>
                <w:sz w:val="20"/>
                <w:szCs w:val="20"/>
                <w:color w:val="auto"/>
              </w:rPr>
            </w:pPr>
            <w:r>
              <w:rPr>
                <w:rFonts w:ascii="Arial" w:cs="Arial" w:eastAsia="Arial" w:hAnsi="Arial"/>
                <w:sz w:val="18"/>
                <w:szCs w:val="18"/>
                <w:b w:val="1"/>
                <w:bCs w:val="1"/>
                <w:color w:val="auto"/>
              </w:rPr>
              <w:t>Net Cash Used in Investing Activities</w:t>
            </w:r>
          </w:p>
        </w:tc>
        <w:tc>
          <w:tcPr>
            <w:tcW w:w="170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7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(6,507</w:t>
            </w:r>
          </w:p>
        </w:tc>
        <w:tc>
          <w:tcPr>
            <w:tcW w:w="320" w:type="dxa"/>
            <w:vAlign w:val="bottom"/>
            <w:tcBorders>
              <w:top w:val="single" w:sz="8" w:color="CCEEFF"/>
              <w:bottom w:val="single" w:sz="8" w:color="CCEEFF"/>
            </w:tcBorders>
          </w:tcPr>
          <w:p>
            <w:pPr>
              <w:jc w:val="right"/>
              <w:ind w:right="181"/>
              <w:spacing w:after="0"/>
              <w:rPr>
                <w:sz w:val="20"/>
                <w:szCs w:val="20"/>
                <w:color w:val="auto"/>
              </w:rPr>
            </w:pPr>
            <w:r>
              <w:rPr>
                <w:rFonts w:ascii="Arial" w:cs="Arial" w:eastAsia="Arial" w:hAnsi="Arial"/>
                <w:sz w:val="16"/>
                <w:szCs w:val="16"/>
                <w:b w:val="1"/>
                <w:bCs w:val="1"/>
                <w:color w:val="auto"/>
                <w:w w:val="74"/>
              </w:rPr>
              <w:t>)</w:t>
            </w:r>
          </w:p>
        </w:tc>
        <w:tc>
          <w:tcPr>
            <w:tcW w:w="2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7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(6,065</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Arial" w:cs="Arial" w:eastAsia="Arial" w:hAnsi="Arial"/>
                <w:sz w:val="16"/>
                <w:szCs w:val="16"/>
                <w:b w:val="1"/>
                <w:bCs w:val="1"/>
                <w:color w:val="auto"/>
                <w:w w:val="74"/>
              </w:rPr>
              <w:t>)</w:t>
            </w:r>
          </w:p>
        </w:tc>
      </w:tr>
      <w:tr>
        <w:trPr>
          <w:trHeight w:val="216"/>
        </w:trPr>
        <w:tc>
          <w:tcPr>
            <w:tcW w:w="52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public offering, net</w:t>
            </w:r>
          </w:p>
        </w:tc>
        <w:tc>
          <w:tcPr>
            <w:tcW w:w="1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21,640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5280" w:type="dxa"/>
            <w:vAlign w:val="bottom"/>
          </w:tcPr>
          <w:p>
            <w:pPr>
              <w:ind w:left="180"/>
              <w:spacing w:after="0"/>
              <w:rPr>
                <w:sz w:val="20"/>
                <w:szCs w:val="20"/>
                <w:color w:val="auto"/>
              </w:rPr>
            </w:pPr>
            <w:r>
              <w:rPr>
                <w:rFonts w:ascii="Arial" w:cs="Arial" w:eastAsia="Arial" w:hAnsi="Arial"/>
                <w:sz w:val="18"/>
                <w:szCs w:val="18"/>
                <w:color w:val="auto"/>
              </w:rPr>
              <w:t>Proceeds from public offering (ATM), net</w:t>
            </w:r>
          </w:p>
        </w:tc>
        <w:tc>
          <w:tcPr>
            <w:tcW w:w="1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80" w:type="dxa"/>
            <w:vAlign w:val="bottom"/>
            <w:gridSpan w:val="2"/>
          </w:tcPr>
          <w:p>
            <w:pPr>
              <w:jc w:val="right"/>
              <w:ind w:right="241"/>
              <w:spacing w:after="0"/>
              <w:rPr>
                <w:sz w:val="20"/>
                <w:szCs w:val="20"/>
                <w:color w:val="auto"/>
              </w:rPr>
            </w:pPr>
            <w:r>
              <w:rPr>
                <w:rFonts w:ascii="Arial" w:cs="Arial" w:eastAsia="Arial" w:hAnsi="Arial"/>
                <w:sz w:val="18"/>
                <w:szCs w:val="18"/>
                <w:color w:val="auto"/>
              </w:rPr>
              <w:t>671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note payable, related party</w:t>
            </w:r>
          </w:p>
        </w:tc>
        <w:tc>
          <w:tcPr>
            <w:tcW w:w="1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1,000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5280" w:type="dxa"/>
            <w:vAlign w:val="bottom"/>
          </w:tcPr>
          <w:p>
            <w:pPr>
              <w:ind w:left="180"/>
              <w:spacing w:after="0"/>
              <w:rPr>
                <w:sz w:val="20"/>
                <w:szCs w:val="20"/>
                <w:color w:val="auto"/>
              </w:rPr>
            </w:pPr>
            <w:r>
              <w:rPr>
                <w:rFonts w:ascii="Arial" w:cs="Arial" w:eastAsia="Arial" w:hAnsi="Arial"/>
                <w:sz w:val="18"/>
                <w:szCs w:val="18"/>
                <w:color w:val="auto"/>
              </w:rPr>
              <w:t>Repayment of note payable, related party</w:t>
            </w:r>
          </w:p>
        </w:tc>
        <w:tc>
          <w:tcPr>
            <w:tcW w:w="1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80" w:type="dxa"/>
            <w:vAlign w:val="bottom"/>
            <w:gridSpan w:val="2"/>
          </w:tcPr>
          <w:p>
            <w:pPr>
              <w:jc w:val="right"/>
              <w:ind w:right="181"/>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5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Repayment of note payable</w:t>
            </w:r>
          </w:p>
        </w:tc>
        <w:tc>
          <w:tcPr>
            <w:tcW w:w="1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(5,275)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5280" w:type="dxa"/>
            <w:vAlign w:val="bottom"/>
          </w:tcPr>
          <w:p>
            <w:pPr>
              <w:ind w:left="180"/>
              <w:spacing w:after="0"/>
              <w:rPr>
                <w:sz w:val="20"/>
                <w:szCs w:val="20"/>
                <w:color w:val="auto"/>
              </w:rPr>
            </w:pPr>
            <w:r>
              <w:rPr>
                <w:rFonts w:ascii="Arial" w:cs="Arial" w:eastAsia="Arial" w:hAnsi="Arial"/>
                <w:sz w:val="18"/>
                <w:szCs w:val="18"/>
                <w:color w:val="auto"/>
              </w:rPr>
              <w:t>Proceeds from exercise of Public Warrants</w:t>
            </w:r>
          </w:p>
        </w:tc>
        <w:tc>
          <w:tcPr>
            <w:tcW w:w="1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80" w:type="dxa"/>
            <w:vAlign w:val="bottom"/>
            <w:gridSpan w:val="2"/>
          </w:tcPr>
          <w:p>
            <w:pPr>
              <w:jc w:val="right"/>
              <w:ind w:right="241"/>
              <w:spacing w:after="0"/>
              <w:rPr>
                <w:sz w:val="20"/>
                <w:szCs w:val="20"/>
                <w:color w:val="auto"/>
              </w:rPr>
            </w:pPr>
            <w:r>
              <w:rPr>
                <w:rFonts w:ascii="Arial" w:cs="Arial" w:eastAsia="Arial" w:hAnsi="Arial"/>
                <w:sz w:val="18"/>
                <w:szCs w:val="18"/>
                <w:color w:val="auto"/>
              </w:rPr>
              <w:t>747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5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exercise of options</w:t>
            </w:r>
          </w:p>
        </w:tc>
        <w:tc>
          <w:tcPr>
            <w:tcW w:w="1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359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707</w:t>
            </w:r>
          </w:p>
        </w:tc>
        <w:tc>
          <w:tcPr>
            <w:tcW w:w="80" w:type="dxa"/>
            <w:vAlign w:val="bottom"/>
            <w:shd w:val="clear" w:color="auto" w:fill="CCEEFF"/>
          </w:tcPr>
          <w:p>
            <w:pPr>
              <w:spacing w:after="0"/>
              <w:rPr>
                <w:sz w:val="18"/>
                <w:szCs w:val="18"/>
                <w:color w:val="auto"/>
              </w:rPr>
            </w:pPr>
          </w:p>
        </w:tc>
      </w:tr>
      <w:tr>
        <w:trPr>
          <w:trHeight w:val="216"/>
        </w:trPr>
        <w:tc>
          <w:tcPr>
            <w:tcW w:w="5280" w:type="dxa"/>
            <w:vAlign w:val="bottom"/>
          </w:tcPr>
          <w:p>
            <w:pPr>
              <w:ind w:left="180"/>
              <w:spacing w:after="0"/>
              <w:rPr>
                <w:sz w:val="20"/>
                <w:szCs w:val="20"/>
                <w:color w:val="auto"/>
              </w:rPr>
            </w:pPr>
            <w:r>
              <w:rPr>
                <w:rFonts w:ascii="Arial" w:cs="Arial" w:eastAsia="Arial" w:hAnsi="Arial"/>
                <w:sz w:val="18"/>
                <w:szCs w:val="18"/>
                <w:color w:val="auto"/>
              </w:rPr>
              <w:t>Proceeds from stock purchase agreement</w:t>
            </w:r>
          </w:p>
        </w:tc>
        <w:tc>
          <w:tcPr>
            <w:tcW w:w="1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8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15,000</w:t>
            </w:r>
          </w:p>
        </w:tc>
        <w:tc>
          <w:tcPr>
            <w:tcW w:w="80" w:type="dxa"/>
            <w:vAlign w:val="bottom"/>
          </w:tcPr>
          <w:p>
            <w:pPr>
              <w:spacing w:after="0"/>
              <w:rPr>
                <w:sz w:val="18"/>
                <w:szCs w:val="18"/>
                <w:color w:val="auto"/>
              </w:rPr>
            </w:pPr>
          </w:p>
        </w:tc>
      </w:tr>
      <w:tr>
        <w:trPr>
          <w:trHeight w:val="250"/>
        </w:trPr>
        <w:tc>
          <w:tcPr>
            <w:tcW w:w="5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exercise of Investor Warrants</w:t>
            </w:r>
          </w:p>
        </w:tc>
        <w:tc>
          <w:tcPr>
            <w:tcW w:w="17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8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546</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r>
      <w:tr>
        <w:trPr>
          <w:trHeight w:val="210"/>
        </w:trPr>
        <w:tc>
          <w:tcPr>
            <w:tcW w:w="5280" w:type="dxa"/>
            <w:vAlign w:val="bottom"/>
            <w:tcBorders>
              <w:top w:val="single" w:sz="8" w:color="CCEEFF"/>
              <w:bottom w:val="single" w:sz="8" w:color="CCEEFF"/>
            </w:tcBorders>
          </w:tcPr>
          <w:p>
            <w:pPr>
              <w:ind w:left="180"/>
              <w:spacing w:after="0" w:line="203" w:lineRule="exact"/>
              <w:rPr>
                <w:sz w:val="20"/>
                <w:szCs w:val="20"/>
                <w:color w:val="auto"/>
              </w:rPr>
            </w:pPr>
            <w:r>
              <w:rPr>
                <w:rFonts w:ascii="Arial" w:cs="Arial" w:eastAsia="Arial" w:hAnsi="Arial"/>
                <w:sz w:val="18"/>
                <w:szCs w:val="18"/>
                <w:b w:val="1"/>
                <w:bCs w:val="1"/>
                <w:color w:val="auto"/>
              </w:rPr>
              <w:t>Net Cash Provided by Financing Activities</w:t>
            </w:r>
          </w:p>
        </w:tc>
        <w:tc>
          <w:tcPr>
            <w:tcW w:w="170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7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18,688</w:t>
            </w:r>
          </w:p>
        </w:tc>
        <w:tc>
          <w:tcPr>
            <w:tcW w:w="32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7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15,707</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16"/>
        </w:trPr>
        <w:tc>
          <w:tcPr>
            <w:tcW w:w="52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Net Increase (Decrease) in Cash</w:t>
            </w:r>
          </w:p>
        </w:tc>
        <w:tc>
          <w:tcPr>
            <w:tcW w:w="1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80" w:type="dxa"/>
            <w:vAlign w:val="bottom"/>
            <w:gridSpan w:val="2"/>
          </w:tcPr>
          <w:p>
            <w:pPr>
              <w:jc w:val="right"/>
              <w:ind w:right="181"/>
              <w:spacing w:after="0"/>
              <w:rPr>
                <w:sz w:val="20"/>
                <w:szCs w:val="20"/>
                <w:color w:val="auto"/>
              </w:rPr>
            </w:pPr>
            <w:r>
              <w:rPr>
                <w:rFonts w:ascii="Arial" w:cs="Arial" w:eastAsia="Arial" w:hAnsi="Arial"/>
                <w:sz w:val="18"/>
                <w:szCs w:val="18"/>
                <w:color w:val="auto"/>
              </w:rPr>
              <w:t>(4,546)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3"/>
          </w:tcPr>
          <w:p>
            <w:pPr>
              <w:jc w:val="right"/>
              <w:ind w:right="40"/>
              <w:spacing w:after="0"/>
              <w:rPr>
                <w:sz w:val="20"/>
                <w:szCs w:val="20"/>
                <w:color w:val="auto"/>
              </w:rPr>
            </w:pPr>
            <w:r>
              <w:rPr>
                <w:rFonts w:ascii="Arial" w:cs="Arial" w:eastAsia="Arial" w:hAnsi="Arial"/>
                <w:sz w:val="18"/>
                <w:szCs w:val="18"/>
                <w:color w:val="auto"/>
              </w:rPr>
              <w:t>(15,069)</w:t>
            </w:r>
          </w:p>
        </w:tc>
      </w:tr>
      <w:tr>
        <w:trPr>
          <w:trHeight w:val="249"/>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Beginning cash</w:t>
            </w:r>
          </w:p>
        </w:tc>
        <w:tc>
          <w:tcPr>
            <w:tcW w:w="17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8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17,781</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28,630</w:t>
            </w:r>
          </w:p>
        </w:tc>
        <w:tc>
          <w:tcPr>
            <w:tcW w:w="80" w:type="dxa"/>
            <w:vAlign w:val="bottom"/>
            <w:shd w:val="clear" w:color="auto" w:fill="CCEEFF"/>
          </w:tcPr>
          <w:p>
            <w:pPr>
              <w:spacing w:after="0"/>
              <w:rPr>
                <w:sz w:val="21"/>
                <w:szCs w:val="21"/>
                <w:color w:val="auto"/>
              </w:rPr>
            </w:pPr>
          </w:p>
        </w:tc>
      </w:tr>
      <w:tr>
        <w:trPr>
          <w:trHeight w:val="217"/>
        </w:trPr>
        <w:tc>
          <w:tcPr>
            <w:tcW w:w="528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Ending cash</w:t>
            </w:r>
          </w:p>
        </w:tc>
        <w:tc>
          <w:tcPr>
            <w:tcW w:w="170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13,235</w:t>
            </w: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13,561</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52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9"/>
        </w:trPr>
        <w:tc>
          <w:tcPr>
            <w:tcW w:w="52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auto"/>
        </w:rPr>
        <w:t>Use of Non-GAAP Financial Measures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provides non-GAAP financial measures including EBITDA and Adjusted EBITDA as a supplement to GAAP financial information to enhance the overall understanding of the Company’s financial performance and to assist investors in evaluating the Company’s results of operations, period over period. Adjusted non-GAAP measures exclude significant unusual items. Investors should consider these non-GAAP measures as a supplement to, and not a substitute for financial information prepared on a GAAP basis.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EBITDA</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Adjusted EBITDA is considered a non-GAAP financial measure under the rules of the SEC because it excludes certain amounts included in net loss calculated in accordance with GAAP. Specifically, the Company calculates Adjusted EBITDA by GAAP net loss adjusted to exclude stock-based compensation expense, business combination related expenses and other one-time, non-recurring items.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included Adjusted EBITDA because it is a key measure used by Dragonfly’s management team to evaluate its operating performance, generate future operating plans, and make strategic decisions, including those relating to operating expenses. As such, the Company believes Adjusted EBITDA is helpful in highlighting trends in the ongoing core operating results of the business.</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Adjusted EBITDA has limitations as an analytical tool, and it should not be considered in isolation or as a substitute for analysis of net loss or other results as reported under GAAP. Some of these limitations are:</w:t>
      </w:r>
    </w:p>
    <w:p>
      <w:pPr>
        <w:spacing w:after="0" w:line="170" w:lineRule="exact"/>
        <w:rPr>
          <w:sz w:val="20"/>
          <w:szCs w:val="20"/>
          <w:color w:val="auto"/>
        </w:rPr>
      </w:pPr>
    </w:p>
    <w:p>
      <w:pPr>
        <w:ind w:left="980" w:hanging="324"/>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Adjusted EBITDA does not reflect the Company’s cash expenditures, future requirements for capital expenditures, or contractual commitments;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Adjusted EBITDA does not reflect changes in, or cash requirements for, the Company’s working capital needs;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Adjusted EBITDA does not reflect the Company’s tax expense or the cash requirements to pay taxes;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although amortization and depreciation are non-cash charges, the assets being amortized and depreciated will often have to be replaced in the future and Adjusted EBITDA does not reflect any cash requirements for such replacements;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Adjusted EBITDA should not be construed as an inference that the Company’s future results will be unaffected by unusual or non-recurring items for which the Company may adjust in historical periods;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companies in the industry may calculate Adjusted EBITDA differently than the Company does, limiting its usefulness as a comparative measure.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Reconciliations of Non-GAAP Financial Measures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EBITDA and Adjusted EBITDA</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presents reconciliations of EBITDA and Adjusted EBITDA to the most directly comparable GAAP financial measure for each of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Dragonfly Energy Holdings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Reconciliation of GAAP to Non-GAAP Measures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Dollars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500" w:type="dxa"/>
            <w:vAlign w:val="bottom"/>
            <w:gridSpan w:val="5"/>
          </w:tcPr>
          <w:p>
            <w:pPr>
              <w:jc w:val="right"/>
              <w:ind w:right="1081"/>
              <w:spacing w:after="0"/>
              <w:rPr>
                <w:sz w:val="20"/>
                <w:szCs w:val="20"/>
                <w:color w:val="auto"/>
              </w:rPr>
            </w:pPr>
            <w:r>
              <w:rPr>
                <w:rFonts w:ascii="Arial" w:cs="Arial" w:eastAsia="Arial" w:hAnsi="Arial"/>
                <w:sz w:val="18"/>
                <w:szCs w:val="18"/>
                <w:b w:val="1"/>
                <w:bCs w:val="1"/>
                <w:color w:val="auto"/>
              </w:rPr>
              <w:t>Three Months Ended</w:t>
            </w:r>
          </w:p>
        </w:tc>
        <w:tc>
          <w:tcPr>
            <w:tcW w:w="140" w:type="dxa"/>
            <w:vAlign w:val="bottom"/>
          </w:tcPr>
          <w:p>
            <w:pPr>
              <w:spacing w:after="0"/>
              <w:rPr>
                <w:sz w:val="20"/>
                <w:szCs w:val="20"/>
                <w:color w:val="auto"/>
              </w:rPr>
            </w:pPr>
          </w:p>
        </w:tc>
        <w:tc>
          <w:tcPr>
            <w:tcW w:w="3180" w:type="dxa"/>
            <w:vAlign w:val="bottom"/>
            <w:gridSpan w:val="7"/>
          </w:tcPr>
          <w:p>
            <w:pPr>
              <w:jc w:val="right"/>
              <w:ind w:right="940"/>
              <w:spacing w:after="0"/>
              <w:rPr>
                <w:sz w:val="20"/>
                <w:szCs w:val="20"/>
                <w:color w:val="auto"/>
              </w:rPr>
            </w:pPr>
            <w:r>
              <w:rPr>
                <w:rFonts w:ascii="Arial" w:cs="Arial" w:eastAsia="Arial" w:hAnsi="Arial"/>
                <w:sz w:val="18"/>
                <w:szCs w:val="18"/>
                <w:b w:val="1"/>
                <w:bCs w:val="1"/>
                <w:color w:val="auto"/>
              </w:rPr>
              <w:t>Nine Months Ended</w:t>
            </w:r>
          </w:p>
        </w:tc>
      </w:tr>
      <w:tr>
        <w:trPr>
          <w:trHeight w:val="211"/>
        </w:trPr>
        <w:tc>
          <w:tcPr>
            <w:tcW w:w="4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gridSpan w:val="2"/>
          </w:tcPr>
          <w:p>
            <w:pPr>
              <w:jc w:val="right"/>
              <w:ind w:right="441"/>
              <w:spacing w:after="0"/>
              <w:rPr>
                <w:sz w:val="20"/>
                <w:szCs w:val="20"/>
                <w:color w:val="auto"/>
              </w:rPr>
            </w:pPr>
            <w:r>
              <w:rPr>
                <w:rFonts w:ascii="Arial" w:cs="Arial" w:eastAsia="Arial" w:hAnsi="Arial"/>
                <w:sz w:val="18"/>
                <w:szCs w:val="18"/>
                <w:b w:val="1"/>
                <w:bCs w:val="1"/>
                <w:color w:val="auto"/>
                <w:w w:val="92"/>
              </w:rPr>
              <w:t>September 30,</w:t>
            </w: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2"/>
              </w:rPr>
              <w:t>September 30,</w:t>
            </w:r>
          </w:p>
        </w:tc>
        <w:tc>
          <w:tcPr>
            <w:tcW w:w="3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gridSpan w:val="2"/>
          </w:tcPr>
          <w:p>
            <w:pPr>
              <w:jc w:val="right"/>
              <w:ind w:right="401"/>
              <w:spacing w:after="0"/>
              <w:rPr>
                <w:sz w:val="20"/>
                <w:szCs w:val="20"/>
                <w:color w:val="auto"/>
              </w:rPr>
            </w:pPr>
            <w:r>
              <w:rPr>
                <w:rFonts w:ascii="Arial" w:cs="Arial" w:eastAsia="Arial" w:hAnsi="Arial"/>
                <w:sz w:val="18"/>
                <w:szCs w:val="18"/>
                <w:b w:val="1"/>
                <w:bCs w:val="1"/>
                <w:color w:val="auto"/>
                <w:w w:val="90"/>
              </w:rPr>
              <w:t>September 30,</w:t>
            </w: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0"/>
              </w:rPr>
              <w:t>September 30,</w:t>
            </w:r>
          </w:p>
        </w:tc>
        <w:tc>
          <w:tcPr>
            <w:tcW w:w="100" w:type="dxa"/>
            <w:vAlign w:val="bottom"/>
            <w:gridSpan w:val="2"/>
          </w:tcPr>
          <w:p>
            <w:pPr>
              <w:spacing w:after="0"/>
              <w:rPr>
                <w:sz w:val="18"/>
                <w:szCs w:val="18"/>
                <w:color w:val="auto"/>
              </w:rPr>
            </w:pPr>
          </w:p>
        </w:tc>
      </w:tr>
      <w:tr>
        <w:trPr>
          <w:trHeight w:val="241"/>
        </w:trPr>
        <w:tc>
          <w:tcPr>
            <w:tcW w:w="42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3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3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3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6"/>
        </w:trPr>
        <w:tc>
          <w:tcPr>
            <w:tcW w:w="4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Net Loss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(10,023)</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(3,689)</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(16,831)</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(7,456)</w:t>
            </w:r>
          </w:p>
        </w:tc>
        <w:tc>
          <w:tcPr>
            <w:tcW w:w="100" w:type="dxa"/>
            <w:vAlign w:val="bottom"/>
            <w:gridSpan w:val="2"/>
            <w:shd w:val="clear" w:color="auto" w:fill="CCEEFF"/>
          </w:tcPr>
          <w:p>
            <w:pPr>
              <w:spacing w:after="0"/>
              <w:rPr>
                <w:sz w:val="18"/>
                <w:szCs w:val="18"/>
                <w:color w:val="auto"/>
              </w:rPr>
            </w:pPr>
          </w:p>
        </w:tc>
      </w:tr>
      <w:tr>
        <w:trPr>
          <w:trHeight w:val="216"/>
        </w:trPr>
        <w:tc>
          <w:tcPr>
            <w:tcW w:w="4280" w:type="dxa"/>
            <w:vAlign w:val="bottom"/>
          </w:tcPr>
          <w:p>
            <w:pPr>
              <w:ind w:left="100"/>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8"/>
                <w:szCs w:val="18"/>
                <w:color w:val="auto"/>
              </w:rPr>
            </w:pPr>
          </w:p>
        </w:tc>
        <w:tc>
          <w:tcPr>
            <w:tcW w:w="1680" w:type="dxa"/>
            <w:vAlign w:val="bottom"/>
            <w:gridSpan w:val="2"/>
          </w:tcPr>
          <w:p>
            <w:pPr>
              <w:jc w:val="right"/>
              <w:ind w:right="261"/>
              <w:spacing w:after="0"/>
              <w:rPr>
                <w:sz w:val="20"/>
                <w:szCs w:val="20"/>
                <w:color w:val="auto"/>
              </w:rPr>
            </w:pPr>
            <w:r>
              <w:rPr>
                <w:rFonts w:ascii="Arial" w:cs="Arial" w:eastAsia="Arial" w:hAnsi="Arial"/>
                <w:sz w:val="18"/>
                <w:szCs w:val="18"/>
                <w:color w:val="auto"/>
              </w:rPr>
              <w:t>3,977</w:t>
            </w:r>
          </w:p>
        </w:tc>
        <w:tc>
          <w:tcPr>
            <w:tcW w:w="140" w:type="dxa"/>
            <w:vAlign w:val="bottom"/>
          </w:tcPr>
          <w:p>
            <w:pPr>
              <w:spacing w:after="0"/>
              <w:rPr>
                <w:sz w:val="18"/>
                <w:szCs w:val="18"/>
                <w:color w:val="auto"/>
              </w:rPr>
            </w:pPr>
          </w:p>
        </w:tc>
        <w:tc>
          <w:tcPr>
            <w:tcW w:w="1680" w:type="dxa"/>
            <w:vAlign w:val="bottom"/>
            <w:gridSpan w:val="2"/>
          </w:tcPr>
          <w:p>
            <w:pPr>
              <w:jc w:val="right"/>
              <w:ind w:right="261"/>
              <w:spacing w:after="0"/>
              <w:rPr>
                <w:sz w:val="20"/>
                <w:szCs w:val="20"/>
                <w:color w:val="auto"/>
              </w:rPr>
            </w:pPr>
            <w:r>
              <w:rPr>
                <w:rFonts w:ascii="Arial" w:cs="Arial" w:eastAsia="Arial" w:hAnsi="Arial"/>
                <w:sz w:val="18"/>
                <w:szCs w:val="18"/>
                <w:color w:val="auto"/>
              </w:rPr>
              <w:t>1,166</w:t>
            </w:r>
          </w:p>
        </w:tc>
        <w:tc>
          <w:tcPr>
            <w:tcW w:w="140" w:type="dxa"/>
            <w:vAlign w:val="bottom"/>
          </w:tcPr>
          <w:p>
            <w:pPr>
              <w:spacing w:after="0"/>
              <w:rPr>
                <w:sz w:val="18"/>
                <w:szCs w:val="18"/>
                <w:color w:val="auto"/>
              </w:rPr>
            </w:pPr>
          </w:p>
        </w:tc>
        <w:tc>
          <w:tcPr>
            <w:tcW w:w="1620" w:type="dxa"/>
            <w:vAlign w:val="bottom"/>
            <w:gridSpan w:val="2"/>
          </w:tcPr>
          <w:p>
            <w:pPr>
              <w:jc w:val="right"/>
              <w:ind w:right="241"/>
              <w:spacing w:after="0"/>
              <w:rPr>
                <w:sz w:val="20"/>
                <w:szCs w:val="20"/>
                <w:color w:val="auto"/>
              </w:rPr>
            </w:pPr>
            <w:r>
              <w:rPr>
                <w:rFonts w:ascii="Arial" w:cs="Arial" w:eastAsia="Arial" w:hAnsi="Arial"/>
                <w:sz w:val="18"/>
                <w:szCs w:val="18"/>
                <w:color w:val="auto"/>
              </w:rPr>
              <w:t>11,905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3,657</w:t>
            </w:r>
          </w:p>
        </w:tc>
        <w:tc>
          <w:tcPr>
            <w:tcW w:w="80" w:type="dxa"/>
            <w:vAlign w:val="bottom"/>
          </w:tcPr>
          <w:p>
            <w:pPr>
              <w:spacing w:after="0"/>
              <w:rPr>
                <w:sz w:val="18"/>
                <w:szCs w:val="18"/>
                <w:color w:val="auto"/>
              </w:rPr>
            </w:pPr>
          </w:p>
        </w:tc>
      </w:tr>
      <w:tr>
        <w:trPr>
          <w:trHeight w:val="216"/>
        </w:trPr>
        <w:tc>
          <w:tcPr>
            <w:tcW w:w="4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Taxes</w:t>
            </w:r>
          </w:p>
        </w:tc>
        <w:tc>
          <w:tcPr>
            <w:tcW w:w="1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(886)</w:t>
            </w:r>
          </w:p>
        </w:tc>
        <w:tc>
          <w:tcPr>
            <w:tcW w:w="1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(1,700)</w:t>
            </w:r>
          </w:p>
        </w:tc>
      </w:tr>
      <w:tr>
        <w:trPr>
          <w:trHeight w:val="237"/>
        </w:trPr>
        <w:tc>
          <w:tcPr>
            <w:tcW w:w="4280" w:type="dxa"/>
            <w:vAlign w:val="bottom"/>
          </w:tcPr>
          <w:p>
            <w:pPr>
              <w:ind w:left="10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20"/>
                <w:szCs w:val="20"/>
                <w:color w:val="auto"/>
              </w:rPr>
            </w:pPr>
          </w:p>
        </w:tc>
        <w:tc>
          <w:tcPr>
            <w:tcW w:w="1680" w:type="dxa"/>
            <w:vAlign w:val="bottom"/>
            <w:gridSpan w:val="2"/>
          </w:tcPr>
          <w:p>
            <w:pPr>
              <w:jc w:val="right"/>
              <w:ind w:right="261"/>
              <w:spacing w:after="0"/>
              <w:rPr>
                <w:sz w:val="20"/>
                <w:szCs w:val="20"/>
                <w:color w:val="auto"/>
              </w:rPr>
            </w:pPr>
            <w:r>
              <w:rPr>
                <w:rFonts w:ascii="Arial" w:cs="Arial" w:eastAsia="Arial" w:hAnsi="Arial"/>
                <w:sz w:val="18"/>
                <w:szCs w:val="18"/>
                <w:color w:val="auto"/>
              </w:rPr>
              <w:t>316</w:t>
            </w:r>
          </w:p>
        </w:tc>
        <w:tc>
          <w:tcPr>
            <w:tcW w:w="140" w:type="dxa"/>
            <w:vAlign w:val="bottom"/>
          </w:tcPr>
          <w:p>
            <w:pPr>
              <w:spacing w:after="0"/>
              <w:rPr>
                <w:sz w:val="20"/>
                <w:szCs w:val="20"/>
                <w:color w:val="auto"/>
              </w:rPr>
            </w:pPr>
          </w:p>
        </w:tc>
        <w:tc>
          <w:tcPr>
            <w:tcW w:w="1680" w:type="dxa"/>
            <w:vAlign w:val="bottom"/>
            <w:gridSpan w:val="2"/>
          </w:tcPr>
          <w:p>
            <w:pPr>
              <w:jc w:val="right"/>
              <w:ind w:right="261"/>
              <w:spacing w:after="0"/>
              <w:rPr>
                <w:sz w:val="20"/>
                <w:szCs w:val="20"/>
                <w:color w:val="auto"/>
              </w:rPr>
            </w:pPr>
            <w:r>
              <w:rPr>
                <w:rFonts w:ascii="Arial" w:cs="Arial" w:eastAsia="Arial" w:hAnsi="Arial"/>
                <w:sz w:val="18"/>
                <w:szCs w:val="18"/>
                <w:color w:val="auto"/>
              </w:rPr>
              <w:t>259</w:t>
            </w:r>
          </w:p>
        </w:tc>
        <w:tc>
          <w:tcPr>
            <w:tcW w:w="140" w:type="dxa"/>
            <w:vAlign w:val="bottom"/>
          </w:tcPr>
          <w:p>
            <w:pPr>
              <w:spacing w:after="0"/>
              <w:rPr>
                <w:sz w:val="20"/>
                <w:szCs w:val="20"/>
                <w:color w:val="auto"/>
              </w:rPr>
            </w:pPr>
          </w:p>
        </w:tc>
        <w:tc>
          <w:tcPr>
            <w:tcW w:w="1620" w:type="dxa"/>
            <w:vAlign w:val="bottom"/>
            <w:gridSpan w:val="2"/>
          </w:tcPr>
          <w:p>
            <w:pPr>
              <w:jc w:val="right"/>
              <w:ind w:right="241"/>
              <w:spacing w:after="0"/>
              <w:rPr>
                <w:sz w:val="20"/>
                <w:szCs w:val="20"/>
                <w:color w:val="auto"/>
              </w:rPr>
            </w:pPr>
            <w:r>
              <w:rPr>
                <w:rFonts w:ascii="Arial" w:cs="Arial" w:eastAsia="Arial" w:hAnsi="Arial"/>
                <w:sz w:val="18"/>
                <w:szCs w:val="18"/>
                <w:color w:val="auto"/>
              </w:rPr>
              <w:t>909</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3"/>
          </w:tcPr>
          <w:p>
            <w:pPr>
              <w:jc w:val="right"/>
              <w:ind w:right="100"/>
              <w:spacing w:after="0"/>
              <w:rPr>
                <w:sz w:val="20"/>
                <w:szCs w:val="20"/>
                <w:color w:val="auto"/>
              </w:rPr>
            </w:pPr>
            <w:r>
              <w:rPr>
                <w:rFonts w:ascii="Arial" w:cs="Arial" w:eastAsia="Arial" w:hAnsi="Arial"/>
                <w:sz w:val="18"/>
                <w:szCs w:val="18"/>
                <w:color w:val="auto"/>
              </w:rPr>
              <w:t>648</w:t>
            </w:r>
          </w:p>
        </w:tc>
      </w:tr>
      <w:tr>
        <w:trPr>
          <w:trHeight w:val="216"/>
        </w:trPr>
        <w:tc>
          <w:tcPr>
            <w:tcW w:w="428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EBITDA</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(5,730)</w:t>
            </w: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(3,150)</w:t>
            </w: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(4,017)</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(4,851)</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4280" w:type="dxa"/>
            <w:vAlign w:val="bottom"/>
          </w:tcPr>
          <w:p>
            <w:pPr>
              <w:ind w:left="100"/>
              <w:spacing w:after="0"/>
              <w:rPr>
                <w:sz w:val="20"/>
                <w:szCs w:val="20"/>
                <w:color w:val="auto"/>
              </w:rPr>
            </w:pPr>
            <w:r>
              <w:rPr>
                <w:rFonts w:ascii="Arial" w:cs="Arial" w:eastAsia="Arial" w:hAnsi="Arial"/>
                <w:sz w:val="18"/>
                <w:szCs w:val="18"/>
                <w:i w:val="1"/>
                <w:iCs w:val="1"/>
                <w:color w:val="auto"/>
              </w:rPr>
              <w:t>Adjusted for:</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57"/>
        </w:trPr>
        <w:tc>
          <w:tcPr>
            <w:tcW w:w="4280" w:type="dxa"/>
            <w:vAlign w:val="bottom"/>
            <w:shd w:val="clear" w:color="auto" w:fill="CCEEFF"/>
          </w:tcPr>
          <w:p>
            <w:pPr>
              <w:ind w:left="100"/>
              <w:spacing w:after="0" w:line="256" w:lineRule="exact"/>
              <w:rPr>
                <w:sz w:val="20"/>
                <w:szCs w:val="20"/>
                <w:color w:val="auto"/>
              </w:rPr>
            </w:pPr>
            <w:r>
              <w:rPr>
                <w:rFonts w:ascii="Arial" w:cs="Arial" w:eastAsia="Arial" w:hAnsi="Arial"/>
                <w:sz w:val="18"/>
                <w:szCs w:val="18"/>
                <w:color w:val="auto"/>
              </w:rPr>
              <w:t>Stock Based Compensation</w:t>
            </w:r>
            <w:r>
              <w:rPr>
                <w:rFonts w:ascii="Arial" w:cs="Arial" w:eastAsia="Arial" w:hAnsi="Arial"/>
                <w:sz w:val="29"/>
                <w:szCs w:val="29"/>
                <w:color w:val="auto"/>
                <w:vertAlign w:val="superscript"/>
              </w:rPr>
              <w:t>(1)</w:t>
            </w:r>
          </w:p>
        </w:tc>
        <w:tc>
          <w:tcPr>
            <w:tcW w:w="140" w:type="dxa"/>
            <w:vAlign w:val="bottom"/>
            <w:shd w:val="clear" w:color="auto" w:fill="CCEEFF"/>
          </w:tcPr>
          <w:p>
            <w:pPr>
              <w:spacing w:after="0"/>
              <w:rPr>
                <w:sz w:val="22"/>
                <w:szCs w:val="22"/>
                <w:color w:val="auto"/>
              </w:rPr>
            </w:pPr>
          </w:p>
        </w:tc>
        <w:tc>
          <w:tcPr>
            <w:tcW w:w="168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946</w:t>
            </w:r>
          </w:p>
        </w:tc>
        <w:tc>
          <w:tcPr>
            <w:tcW w:w="140" w:type="dxa"/>
            <w:vAlign w:val="bottom"/>
            <w:shd w:val="clear" w:color="auto" w:fill="CCEEFF"/>
          </w:tcPr>
          <w:p>
            <w:pPr>
              <w:spacing w:after="0"/>
              <w:rPr>
                <w:sz w:val="22"/>
                <w:szCs w:val="22"/>
                <w:color w:val="auto"/>
              </w:rPr>
            </w:pPr>
          </w:p>
        </w:tc>
        <w:tc>
          <w:tcPr>
            <w:tcW w:w="168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436</w:t>
            </w:r>
          </w:p>
        </w:tc>
        <w:tc>
          <w:tcPr>
            <w:tcW w:w="140" w:type="dxa"/>
            <w:vAlign w:val="bottom"/>
            <w:shd w:val="clear" w:color="auto" w:fill="CCEEFF"/>
          </w:tcPr>
          <w:p>
            <w:pPr>
              <w:spacing w:after="0"/>
              <w:rPr>
                <w:sz w:val="22"/>
                <w:szCs w:val="22"/>
                <w:color w:val="auto"/>
              </w:rPr>
            </w:pPr>
          </w:p>
        </w:tc>
        <w:tc>
          <w:tcPr>
            <w:tcW w:w="16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6,387</w:t>
            </w: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1,155</w:t>
            </w:r>
          </w:p>
        </w:tc>
        <w:tc>
          <w:tcPr>
            <w:tcW w:w="80" w:type="dxa"/>
            <w:vAlign w:val="bottom"/>
            <w:shd w:val="clear" w:color="auto" w:fill="CCEEFF"/>
          </w:tcPr>
          <w:p>
            <w:pPr>
              <w:spacing w:after="0"/>
              <w:rPr>
                <w:sz w:val="22"/>
                <w:szCs w:val="22"/>
                <w:color w:val="auto"/>
              </w:rPr>
            </w:pPr>
          </w:p>
        </w:tc>
      </w:tr>
      <w:tr>
        <w:trPr>
          <w:trHeight w:val="257"/>
        </w:trPr>
        <w:tc>
          <w:tcPr>
            <w:tcW w:w="4280" w:type="dxa"/>
            <w:vAlign w:val="bottom"/>
          </w:tcPr>
          <w:p>
            <w:pPr>
              <w:ind w:left="100"/>
              <w:spacing w:after="0" w:line="256" w:lineRule="exact"/>
              <w:rPr>
                <w:sz w:val="20"/>
                <w:szCs w:val="20"/>
                <w:color w:val="auto"/>
              </w:rPr>
            </w:pPr>
            <w:r>
              <w:rPr>
                <w:rFonts w:ascii="Arial" w:cs="Arial" w:eastAsia="Arial" w:hAnsi="Arial"/>
                <w:sz w:val="18"/>
                <w:szCs w:val="18"/>
                <w:color w:val="auto"/>
              </w:rPr>
              <w:t>Separation Agreement</w:t>
            </w:r>
            <w:r>
              <w:rPr>
                <w:rFonts w:ascii="Arial" w:cs="Arial" w:eastAsia="Arial" w:hAnsi="Arial"/>
                <w:sz w:val="29"/>
                <w:szCs w:val="29"/>
                <w:color w:val="auto"/>
                <w:vertAlign w:val="superscript"/>
              </w:rPr>
              <w:t>(2)</w:t>
            </w:r>
          </w:p>
        </w:tc>
        <w:tc>
          <w:tcPr>
            <w:tcW w:w="140" w:type="dxa"/>
            <w:vAlign w:val="bottom"/>
          </w:tcPr>
          <w:p>
            <w:pPr>
              <w:spacing w:after="0"/>
              <w:rPr>
                <w:sz w:val="22"/>
                <w:szCs w:val="22"/>
                <w:color w:val="auto"/>
              </w:rPr>
            </w:pPr>
          </w:p>
        </w:tc>
        <w:tc>
          <w:tcPr>
            <w:tcW w:w="1680" w:type="dxa"/>
            <w:vAlign w:val="bottom"/>
            <w:gridSpan w:val="2"/>
          </w:tcPr>
          <w:p>
            <w:pPr>
              <w:jc w:val="right"/>
              <w:ind w:right="26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1680" w:type="dxa"/>
            <w:vAlign w:val="bottom"/>
            <w:gridSpan w:val="2"/>
          </w:tcPr>
          <w:p>
            <w:pPr>
              <w:jc w:val="right"/>
              <w:ind w:right="26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1620" w:type="dxa"/>
            <w:vAlign w:val="bottom"/>
            <w:gridSpan w:val="2"/>
          </w:tcPr>
          <w:p>
            <w:pPr>
              <w:jc w:val="right"/>
              <w:ind w:right="241"/>
              <w:spacing w:after="0"/>
              <w:rPr>
                <w:sz w:val="20"/>
                <w:szCs w:val="20"/>
                <w:color w:val="auto"/>
              </w:rPr>
            </w:pPr>
            <w:r>
              <w:rPr>
                <w:rFonts w:ascii="Arial" w:cs="Arial" w:eastAsia="Arial" w:hAnsi="Arial"/>
                <w:sz w:val="18"/>
                <w:szCs w:val="18"/>
                <w:color w:val="auto"/>
              </w:rPr>
              <w:t>720</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r>
      <w:tr>
        <w:trPr>
          <w:trHeight w:val="257"/>
        </w:trPr>
        <w:tc>
          <w:tcPr>
            <w:tcW w:w="4280" w:type="dxa"/>
            <w:vAlign w:val="bottom"/>
            <w:shd w:val="clear" w:color="auto" w:fill="CCEEFF"/>
          </w:tcPr>
          <w:p>
            <w:pPr>
              <w:ind w:left="100"/>
              <w:spacing w:after="0" w:line="256" w:lineRule="exact"/>
              <w:rPr>
                <w:sz w:val="20"/>
                <w:szCs w:val="20"/>
                <w:color w:val="auto"/>
              </w:rPr>
            </w:pPr>
            <w:r>
              <w:rPr>
                <w:rFonts w:ascii="Arial" w:cs="Arial" w:eastAsia="Arial" w:hAnsi="Arial"/>
                <w:sz w:val="18"/>
                <w:szCs w:val="18"/>
                <w:color w:val="auto"/>
              </w:rPr>
              <w:t>June Offering Costs</w:t>
            </w:r>
            <w:r>
              <w:rPr>
                <w:rFonts w:ascii="Arial" w:cs="Arial" w:eastAsia="Arial" w:hAnsi="Arial"/>
                <w:sz w:val="29"/>
                <w:szCs w:val="29"/>
                <w:color w:val="auto"/>
                <w:vertAlign w:val="superscript"/>
              </w:rPr>
              <w:t>(3)</w:t>
            </w:r>
          </w:p>
        </w:tc>
        <w:tc>
          <w:tcPr>
            <w:tcW w:w="140" w:type="dxa"/>
            <w:vAlign w:val="bottom"/>
            <w:shd w:val="clear" w:color="auto" w:fill="CCEEFF"/>
          </w:tcPr>
          <w:p>
            <w:pPr>
              <w:spacing w:after="0"/>
              <w:rPr>
                <w:sz w:val="22"/>
                <w:szCs w:val="22"/>
                <w:color w:val="auto"/>
              </w:rPr>
            </w:pPr>
          </w:p>
        </w:tc>
        <w:tc>
          <w:tcPr>
            <w:tcW w:w="168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168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16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904</w:t>
            </w: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r>
      <w:tr>
        <w:trPr>
          <w:trHeight w:val="257"/>
        </w:trPr>
        <w:tc>
          <w:tcPr>
            <w:tcW w:w="4280" w:type="dxa"/>
            <w:vAlign w:val="bottom"/>
          </w:tcPr>
          <w:p>
            <w:pPr>
              <w:ind w:left="100"/>
              <w:spacing w:after="0" w:line="256" w:lineRule="exact"/>
              <w:rPr>
                <w:sz w:val="20"/>
                <w:szCs w:val="20"/>
                <w:color w:val="auto"/>
              </w:rPr>
            </w:pPr>
            <w:r>
              <w:rPr>
                <w:rFonts w:ascii="Arial" w:cs="Arial" w:eastAsia="Arial" w:hAnsi="Arial"/>
                <w:sz w:val="18"/>
                <w:szCs w:val="18"/>
                <w:color w:val="auto"/>
              </w:rPr>
              <w:t>Promissory Note Forgiveness</w:t>
            </w:r>
            <w:r>
              <w:rPr>
                <w:rFonts w:ascii="Arial" w:cs="Arial" w:eastAsia="Arial" w:hAnsi="Arial"/>
                <w:sz w:val="29"/>
                <w:szCs w:val="29"/>
                <w:color w:val="auto"/>
                <w:vertAlign w:val="superscript"/>
              </w:rPr>
              <w:t>(4)</w:t>
            </w:r>
          </w:p>
        </w:tc>
        <w:tc>
          <w:tcPr>
            <w:tcW w:w="140" w:type="dxa"/>
            <w:vAlign w:val="bottom"/>
          </w:tcPr>
          <w:p>
            <w:pPr>
              <w:spacing w:after="0"/>
              <w:rPr>
                <w:sz w:val="22"/>
                <w:szCs w:val="22"/>
                <w:color w:val="auto"/>
              </w:rPr>
            </w:pPr>
          </w:p>
        </w:tc>
        <w:tc>
          <w:tcPr>
            <w:tcW w:w="1680" w:type="dxa"/>
            <w:vAlign w:val="bottom"/>
            <w:gridSpan w:val="2"/>
          </w:tcPr>
          <w:p>
            <w:pPr>
              <w:jc w:val="right"/>
              <w:ind w:right="26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1680" w:type="dxa"/>
            <w:vAlign w:val="bottom"/>
            <w:gridSpan w:val="2"/>
          </w:tcPr>
          <w:p>
            <w:pPr>
              <w:jc w:val="right"/>
              <w:ind w:right="26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162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20" w:type="dxa"/>
            <w:vAlign w:val="bottom"/>
            <w:gridSpan w:val="3"/>
          </w:tcPr>
          <w:p>
            <w:pPr>
              <w:jc w:val="right"/>
              <w:ind w:right="100"/>
              <w:spacing w:after="0"/>
              <w:rPr>
                <w:sz w:val="20"/>
                <w:szCs w:val="20"/>
                <w:color w:val="auto"/>
              </w:rPr>
            </w:pPr>
            <w:r>
              <w:rPr>
                <w:rFonts w:ascii="Arial" w:cs="Arial" w:eastAsia="Arial" w:hAnsi="Arial"/>
                <w:sz w:val="18"/>
                <w:szCs w:val="18"/>
                <w:color w:val="auto"/>
              </w:rPr>
              <w:t>469</w:t>
            </w:r>
          </w:p>
        </w:tc>
      </w:tr>
      <w:tr>
        <w:trPr>
          <w:trHeight w:val="290"/>
        </w:trPr>
        <w:tc>
          <w:tcPr>
            <w:tcW w:w="4280" w:type="dxa"/>
            <w:vAlign w:val="bottom"/>
            <w:shd w:val="clear" w:color="auto" w:fill="CCEEFF"/>
          </w:tcPr>
          <w:p>
            <w:pPr>
              <w:ind w:left="100"/>
              <w:spacing w:after="0" w:line="270" w:lineRule="exact"/>
              <w:rPr>
                <w:sz w:val="20"/>
                <w:szCs w:val="20"/>
                <w:color w:val="auto"/>
              </w:rPr>
            </w:pPr>
            <w:r>
              <w:rPr>
                <w:rFonts w:ascii="Arial" w:cs="Arial" w:eastAsia="Arial" w:hAnsi="Arial"/>
                <w:sz w:val="18"/>
                <w:szCs w:val="18"/>
                <w:color w:val="auto"/>
              </w:rPr>
              <w:t>Change in fair market value of warrant liability</w:t>
            </w:r>
            <w:r>
              <w:rPr>
                <w:rFonts w:ascii="Arial" w:cs="Arial" w:eastAsia="Arial" w:hAnsi="Arial"/>
                <w:sz w:val="29"/>
                <w:szCs w:val="29"/>
                <w:color w:val="auto"/>
                <w:vertAlign w:val="superscript"/>
              </w:rPr>
              <w:t>(5)</w:t>
            </w:r>
          </w:p>
        </w:tc>
        <w:tc>
          <w:tcPr>
            <w:tcW w:w="140" w:type="dxa"/>
            <w:vAlign w:val="bottom"/>
            <w:shd w:val="clear" w:color="auto" w:fill="CCEEFF"/>
          </w:tcPr>
          <w:p>
            <w:pPr>
              <w:spacing w:after="0"/>
              <w:rPr>
                <w:sz w:val="24"/>
                <w:szCs w:val="24"/>
                <w:color w:val="auto"/>
              </w:rPr>
            </w:pPr>
          </w:p>
        </w:tc>
        <w:tc>
          <w:tcPr>
            <w:tcW w:w="168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145</w:t>
            </w:r>
          </w:p>
        </w:tc>
        <w:tc>
          <w:tcPr>
            <w:tcW w:w="140" w:type="dxa"/>
            <w:vAlign w:val="bottom"/>
            <w:shd w:val="clear" w:color="auto" w:fill="CCEEFF"/>
          </w:tcPr>
          <w:p>
            <w:pPr>
              <w:spacing w:after="0"/>
              <w:rPr>
                <w:sz w:val="24"/>
                <w:szCs w:val="24"/>
                <w:color w:val="auto"/>
              </w:rPr>
            </w:pPr>
          </w:p>
        </w:tc>
        <w:tc>
          <w:tcPr>
            <w:tcW w:w="168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4"/>
                <w:szCs w:val="24"/>
                <w:color w:val="auto"/>
              </w:rPr>
            </w:pPr>
          </w:p>
        </w:tc>
        <w:tc>
          <w:tcPr>
            <w:tcW w:w="162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(19,182)</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4"/>
                <w:szCs w:val="24"/>
                <w:color w:val="auto"/>
              </w:rPr>
            </w:pPr>
          </w:p>
        </w:tc>
      </w:tr>
      <w:tr>
        <w:trPr>
          <w:trHeight w:val="216"/>
        </w:trPr>
        <w:tc>
          <w:tcPr>
            <w:tcW w:w="4280" w:type="dxa"/>
            <w:vAlign w:val="bottom"/>
            <w:tcBorders>
              <w:top w:val="single" w:sz="8" w:color="CCEEFF"/>
            </w:tcBorders>
          </w:tcPr>
          <w:p>
            <w:pPr>
              <w:ind w:left="100"/>
              <w:spacing w:after="0"/>
              <w:rPr>
                <w:sz w:val="20"/>
                <w:szCs w:val="20"/>
                <w:color w:val="auto"/>
              </w:rPr>
            </w:pPr>
            <w:r>
              <w:rPr>
                <w:rFonts w:ascii="Arial" w:cs="Arial" w:eastAsia="Arial" w:hAnsi="Arial"/>
                <w:sz w:val="18"/>
                <w:szCs w:val="18"/>
                <w:b w:val="1"/>
                <w:bCs w:val="1"/>
                <w:color w:val="auto"/>
              </w:rPr>
              <w:t>Adjusted EBITDA</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(4,639</w:t>
            </w:r>
          </w:p>
        </w:tc>
        <w:tc>
          <w:tcPr>
            <w:tcW w:w="340" w:type="dxa"/>
            <w:vAlign w:val="bottom"/>
            <w:tcBorders>
              <w:top w:val="single" w:sz="8" w:color="CCEEFF"/>
            </w:tcBorders>
          </w:tcPr>
          <w:p>
            <w:pPr>
              <w:jc w:val="right"/>
              <w:ind w:right="20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(2,714</w:t>
            </w:r>
          </w:p>
        </w:tc>
        <w:tc>
          <w:tcPr>
            <w:tcW w:w="340" w:type="dxa"/>
            <w:vAlign w:val="bottom"/>
            <w:tcBorders>
              <w:top w:val="single" w:sz="8" w:color="CCEEFF"/>
            </w:tcBorders>
          </w:tcPr>
          <w:p>
            <w:pPr>
              <w:jc w:val="right"/>
              <w:ind w:right="20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(15,188</w:t>
            </w:r>
          </w:p>
        </w:tc>
        <w:tc>
          <w:tcPr>
            <w:tcW w:w="320" w:type="dxa"/>
            <w:vAlign w:val="bottom"/>
            <w:tcBorders>
              <w:top w:val="single" w:sz="8" w:color="CCEEFF"/>
            </w:tcBorders>
          </w:tcPr>
          <w:p>
            <w:pPr>
              <w:jc w:val="right"/>
              <w:ind w:right="181"/>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(3,227</w:t>
            </w:r>
          </w:p>
        </w:tc>
        <w:tc>
          <w:tcPr>
            <w:tcW w:w="100" w:type="dxa"/>
            <w:vAlign w:val="bottom"/>
            <w:tcBorders>
              <w:top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0"/>
        </w:trPr>
        <w:tc>
          <w:tcPr>
            <w:tcW w:w="4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1600" w:right="340" w:hanging="1076"/>
        <w:spacing w:after="0" w:line="258" w:lineRule="auto"/>
        <w:tabs>
          <w:tab w:leader="none" w:pos="1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Stock-Based Compensation is comprised of costs associated with option and RSU grants made to our employees, consultants and board members.</w:t>
      </w:r>
    </w:p>
    <w:p>
      <w:pPr>
        <w:spacing w:after="0" w:line="1" w:lineRule="exact"/>
        <w:rPr>
          <w:rFonts w:ascii="Arial" w:cs="Arial" w:eastAsia="Arial" w:hAnsi="Arial"/>
          <w:sz w:val="18"/>
          <w:szCs w:val="18"/>
          <w:color w:val="auto"/>
        </w:rPr>
      </w:pPr>
    </w:p>
    <w:p>
      <w:pPr>
        <w:ind w:left="1600" w:hanging="1076"/>
        <w:spacing w:after="0" w:line="250" w:lineRule="auto"/>
        <w:tabs>
          <w:tab w:leader="none" w:pos="1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Separation Agreement is comprised of $720 in cash severance associated with the separation agreement dated April 26, 2023 between us and our former Chief Legal Officer.</w:t>
      </w:r>
    </w:p>
    <w:p>
      <w:pPr>
        <w:ind w:left="1600" w:right="680" w:hanging="1076"/>
        <w:spacing w:after="0" w:line="250" w:lineRule="auto"/>
        <w:tabs>
          <w:tab w:leader="none" w:pos="1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June Offering Costs are comprised of fees and expenses, including legal, accounting, and other expenses associated with our secondary offering.</w:t>
      </w:r>
    </w:p>
    <w:p>
      <w:pPr>
        <w:ind w:left="1600" w:right="120" w:hanging="1076"/>
        <w:spacing w:after="0" w:line="250" w:lineRule="auto"/>
        <w:tabs>
          <w:tab w:leader="none" w:pos="1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Promissory Note Foregiveness is comprised of the loan that was forgiven, prior to the Business Combination, in connection with the promissory note, with a maturity date of March 1, 2026, between us and John Marchetti, our former Chief Financial Officer and current Senior Vice President, Operations.</w:t>
      </w:r>
    </w:p>
    <w:p>
      <w:pPr>
        <w:spacing w:after="0" w:line="1" w:lineRule="exact"/>
        <w:rPr>
          <w:rFonts w:ascii="Arial" w:cs="Arial" w:eastAsia="Arial" w:hAnsi="Arial"/>
          <w:sz w:val="18"/>
          <w:szCs w:val="18"/>
          <w:color w:val="auto"/>
        </w:rPr>
      </w:pPr>
    </w:p>
    <w:p>
      <w:pPr>
        <w:ind w:left="1600" w:right="680" w:hanging="1076"/>
        <w:spacing w:after="0" w:line="260" w:lineRule="auto"/>
        <w:tabs>
          <w:tab w:leader="none" w:pos="1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 in fair market value of warrant liability represents the change in fair value for the three and nine month period ended September 30, 2023.</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Source: Dragonfly Energy Holdings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6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2023-11-13T15:41:22Z</dcterms:created>
  <dcterms:modified xsi:type="dcterms:W3CDTF">2023-11-13T15:41:22Z</dcterms:modified>
</cp:coreProperties>
</file>