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jc w:val="center"/>
        <w:ind w:left="3400" w:right="1480" w:hanging="1921"/>
        <w:spacing w:after="0" w:line="354" w:lineRule="auto"/>
        <w:tabs>
          <w:tab w:leader="none" w:pos="1659"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UNDER SECTION 13 OR 15(d) OF THE SECURITIES EXCHANGE ACT OF 1934 For the quarterly period ended September 30, 2022</w:t>
      </w:r>
    </w:p>
    <w:p>
      <w:pPr>
        <w:spacing w:after="0" w:line="24" w:lineRule="exact"/>
        <w:rPr>
          <w:rFonts w:ascii="MS PGothic" w:cs="MS PGothic" w:eastAsia="MS PGothic" w:hAnsi="MS PGothic"/>
          <w:sz w:val="14"/>
          <w:szCs w:val="14"/>
          <w:color w:val="auto"/>
        </w:rPr>
      </w:pPr>
    </w:p>
    <w:p>
      <w:pPr>
        <w:ind w:left="1380" w:hanging="163"/>
        <w:spacing w:after="0"/>
        <w:tabs>
          <w:tab w:leader="none" w:pos="13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280"/>
        <w:spacing w:after="0"/>
        <w:tabs>
          <w:tab w:leader="none" w:pos="5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3281680</wp:posOffset>
            </wp:positionH>
            <wp:positionV relativeFrom="paragraph">
              <wp:posOffset>-1270</wp:posOffset>
            </wp:positionV>
            <wp:extent cx="943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001-40730</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DRAGONFLY ENERGY HOLDINGS CORP.</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jc w:val="center"/>
              <w:ind w:left="1488"/>
              <w:spacing w:after="0"/>
              <w:rPr>
                <w:sz w:val="20"/>
                <w:szCs w:val="20"/>
                <w:color w:val="auto"/>
              </w:rPr>
            </w:pPr>
            <w:r>
              <w:rPr>
                <w:rFonts w:ascii="Arial" w:cs="Arial" w:eastAsia="Arial" w:hAnsi="Arial"/>
                <w:sz w:val="14"/>
                <w:szCs w:val="14"/>
                <w:b w:val="1"/>
                <w:bCs w:val="1"/>
                <w:color w:val="auto"/>
                <w:w w:val="94"/>
              </w:rPr>
              <w:t>Delaware</w:t>
            </w:r>
          </w:p>
        </w:tc>
        <w:tc>
          <w:tcPr>
            <w:tcW w:w="6620" w:type="dxa"/>
            <w:vAlign w:val="bottom"/>
            <w:gridSpan w:val="3"/>
          </w:tcPr>
          <w:p>
            <w:pPr>
              <w:jc w:val="center"/>
              <w:ind w:left="1688"/>
              <w:spacing w:after="0"/>
              <w:rPr>
                <w:sz w:val="20"/>
                <w:szCs w:val="20"/>
                <w:color w:val="auto"/>
              </w:rPr>
            </w:pPr>
            <w:r>
              <w:rPr>
                <w:rFonts w:ascii="Arial" w:cs="Arial" w:eastAsia="Arial" w:hAnsi="Arial"/>
                <w:sz w:val="14"/>
                <w:szCs w:val="14"/>
                <w:b w:val="1"/>
                <w:bCs w:val="1"/>
                <w:color w:val="auto"/>
                <w:w w:val="93"/>
              </w:rPr>
              <w:t>85-1873463</w:t>
            </w:r>
          </w:p>
        </w:tc>
      </w:tr>
      <w:tr>
        <w:trPr>
          <w:trHeight w:val="123"/>
        </w:trPr>
        <w:tc>
          <w:tcPr>
            <w:tcW w:w="3300" w:type="dxa"/>
            <w:vAlign w:val="bottom"/>
            <w:tcBorders>
              <w:top w:val="single" w:sz="8" w:color="auto"/>
            </w:tcBorders>
          </w:tcPr>
          <w:p>
            <w:pPr>
              <w:jc w:val="center"/>
              <w:ind w:left="1488"/>
              <w:spacing w:after="0" w:line="123" w:lineRule="exact"/>
              <w:rPr>
                <w:sz w:val="20"/>
                <w:szCs w:val="20"/>
                <w:color w:val="auto"/>
              </w:rPr>
            </w:pPr>
            <w:r>
              <w:rPr>
                <w:rFonts w:ascii="Arial" w:cs="Arial" w:eastAsia="Arial" w:hAnsi="Arial"/>
                <w:sz w:val="14"/>
                <w:szCs w:val="14"/>
                <w:color w:val="auto"/>
                <w:w w:val="94"/>
              </w:rPr>
              <w:t>(State or other jurisdiction of</w:t>
            </w:r>
          </w:p>
        </w:tc>
        <w:tc>
          <w:tcPr>
            <w:tcW w:w="1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(IRS Employer</w:t>
            </w:r>
          </w:p>
        </w:tc>
      </w:tr>
      <w:tr>
        <w:trPr>
          <w:trHeight w:val="182"/>
        </w:trPr>
        <w:tc>
          <w:tcPr>
            <w:tcW w:w="3300" w:type="dxa"/>
            <w:vAlign w:val="bottom"/>
          </w:tcPr>
          <w:p>
            <w:pPr>
              <w:jc w:val="center"/>
              <w:ind w:left="1488"/>
              <w:spacing w:after="0"/>
              <w:rPr>
                <w:sz w:val="20"/>
                <w:szCs w:val="20"/>
                <w:color w:val="auto"/>
              </w:rPr>
            </w:pPr>
            <w:r>
              <w:rPr>
                <w:rFonts w:ascii="Arial" w:cs="Arial" w:eastAsia="Arial" w:hAnsi="Arial"/>
                <w:sz w:val="14"/>
                <w:szCs w:val="14"/>
                <w:color w:val="auto"/>
                <w:w w:val="95"/>
              </w:rPr>
              <w:t>incorporation or organization)</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6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286"/>
        </w:trPr>
        <w:tc>
          <w:tcPr>
            <w:tcW w:w="3300" w:type="dxa"/>
            <w:vAlign w:val="bottom"/>
          </w:tcPr>
          <w:p>
            <w:pPr>
              <w:spacing w:after="0"/>
              <w:rPr>
                <w:sz w:val="24"/>
                <w:szCs w:val="24"/>
                <w:color w:val="auto"/>
              </w:rPr>
            </w:pPr>
          </w:p>
        </w:tc>
        <w:tc>
          <w:tcPr>
            <w:tcW w:w="6620" w:type="dxa"/>
            <w:vAlign w:val="bottom"/>
            <w:gridSpan w:val="3"/>
          </w:tcPr>
          <w:p>
            <w:pPr>
              <w:jc w:val="center"/>
              <w:ind w:right="3228"/>
              <w:spacing w:after="0"/>
              <w:rPr>
                <w:sz w:val="20"/>
                <w:szCs w:val="20"/>
                <w:color w:val="auto"/>
              </w:rPr>
            </w:pPr>
            <w:r>
              <w:rPr>
                <w:rFonts w:ascii="Arial" w:cs="Arial" w:eastAsia="Arial" w:hAnsi="Arial"/>
                <w:sz w:val="14"/>
                <w:szCs w:val="14"/>
                <w:b w:val="1"/>
                <w:bCs w:val="1"/>
                <w:color w:val="auto"/>
                <w:w w:val="95"/>
              </w:rPr>
              <w:t>1190 Trademark Drive #108</w:t>
            </w:r>
          </w:p>
        </w:tc>
      </w:tr>
      <w:tr>
        <w:trPr>
          <w:trHeight w:val="186"/>
        </w:trPr>
        <w:tc>
          <w:tcPr>
            <w:tcW w:w="3300" w:type="dxa"/>
            <w:vAlign w:val="bottom"/>
          </w:tcPr>
          <w:p>
            <w:pPr>
              <w:spacing w:after="0"/>
              <w:rPr>
                <w:sz w:val="16"/>
                <w:szCs w:val="16"/>
                <w:color w:val="auto"/>
              </w:rPr>
            </w:pPr>
          </w:p>
        </w:tc>
        <w:tc>
          <w:tcPr>
            <w:tcW w:w="6620" w:type="dxa"/>
            <w:vAlign w:val="bottom"/>
            <w:gridSpan w:val="3"/>
          </w:tcPr>
          <w:p>
            <w:pPr>
              <w:jc w:val="center"/>
              <w:ind w:right="3228"/>
              <w:spacing w:after="0"/>
              <w:rPr>
                <w:sz w:val="20"/>
                <w:szCs w:val="20"/>
                <w:color w:val="auto"/>
              </w:rPr>
            </w:pPr>
            <w:r>
              <w:rPr>
                <w:rFonts w:ascii="Arial" w:cs="Arial" w:eastAsia="Arial" w:hAnsi="Arial"/>
                <w:sz w:val="14"/>
                <w:szCs w:val="14"/>
                <w:b w:val="1"/>
                <w:bCs w:val="1"/>
                <w:color w:val="auto"/>
                <w:w w:val="91"/>
              </w:rPr>
              <w:t>Reno, Nevada 89521</w:t>
            </w:r>
          </w:p>
        </w:tc>
      </w:tr>
      <w:tr>
        <w:trPr>
          <w:trHeight w:val="189"/>
        </w:trPr>
        <w:tc>
          <w:tcPr>
            <w:tcW w:w="3300" w:type="dxa"/>
            <w:vAlign w:val="bottom"/>
          </w:tcPr>
          <w:p>
            <w:pPr>
              <w:spacing w:after="0"/>
              <w:rPr>
                <w:sz w:val="16"/>
                <w:szCs w:val="16"/>
                <w:color w:val="auto"/>
              </w:rPr>
            </w:pPr>
          </w:p>
        </w:tc>
        <w:tc>
          <w:tcPr>
            <w:tcW w:w="6620" w:type="dxa"/>
            <w:vAlign w:val="bottom"/>
            <w:gridSpan w:val="3"/>
          </w:tcPr>
          <w:p>
            <w:pPr>
              <w:jc w:val="center"/>
              <w:ind w:right="3228"/>
              <w:spacing w:after="0"/>
              <w:rPr>
                <w:sz w:val="20"/>
                <w:szCs w:val="20"/>
                <w:color w:val="auto"/>
              </w:rPr>
            </w:pPr>
            <w:r>
              <w:rPr>
                <w:rFonts w:ascii="Arial" w:cs="Arial" w:eastAsia="Arial" w:hAnsi="Arial"/>
                <w:sz w:val="14"/>
                <w:szCs w:val="14"/>
                <w:color w:val="auto"/>
                <w:w w:val="94"/>
              </w:rPr>
              <w:t>(Address of principal executive offices and zip code)</w:t>
            </w:r>
          </w:p>
        </w:tc>
      </w:tr>
      <w:tr>
        <w:trPr>
          <w:trHeight w:val="580"/>
        </w:trPr>
        <w:tc>
          <w:tcPr>
            <w:tcW w:w="3300" w:type="dxa"/>
            <w:vAlign w:val="bottom"/>
          </w:tcPr>
          <w:p>
            <w:pPr>
              <w:spacing w:after="0"/>
              <w:rPr>
                <w:sz w:val="24"/>
                <w:szCs w:val="24"/>
                <w:color w:val="auto"/>
              </w:rPr>
            </w:pPr>
          </w:p>
        </w:tc>
        <w:tc>
          <w:tcPr>
            <w:tcW w:w="6620" w:type="dxa"/>
            <w:vAlign w:val="bottom"/>
            <w:gridSpan w:val="3"/>
          </w:tcPr>
          <w:p>
            <w:pPr>
              <w:jc w:val="center"/>
              <w:ind w:right="3208"/>
              <w:spacing w:after="0"/>
              <w:rPr>
                <w:sz w:val="20"/>
                <w:szCs w:val="20"/>
                <w:color w:val="auto"/>
              </w:rPr>
            </w:pPr>
            <w:r>
              <w:rPr>
                <w:rFonts w:ascii="Arial" w:cs="Arial" w:eastAsia="Arial" w:hAnsi="Arial"/>
                <w:sz w:val="14"/>
                <w:szCs w:val="14"/>
                <w:b w:val="1"/>
                <w:bCs w:val="1"/>
                <w:color w:val="auto"/>
                <w:w w:val="93"/>
              </w:rPr>
              <w:t>(775) 622-3448</w:t>
            </w:r>
          </w:p>
        </w:tc>
      </w:tr>
      <w:tr>
        <w:trPr>
          <w:trHeight w:val="189"/>
        </w:trPr>
        <w:tc>
          <w:tcPr>
            <w:tcW w:w="3300" w:type="dxa"/>
            <w:vAlign w:val="bottom"/>
          </w:tcPr>
          <w:p>
            <w:pPr>
              <w:spacing w:after="0"/>
              <w:rPr>
                <w:sz w:val="16"/>
                <w:szCs w:val="16"/>
                <w:color w:val="auto"/>
              </w:rPr>
            </w:pPr>
          </w:p>
        </w:tc>
        <w:tc>
          <w:tcPr>
            <w:tcW w:w="6620" w:type="dxa"/>
            <w:vAlign w:val="bottom"/>
            <w:gridSpan w:val="3"/>
          </w:tcPr>
          <w:p>
            <w:pPr>
              <w:jc w:val="center"/>
              <w:ind w:right="3228"/>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421"/>
        </w:trPr>
        <w:tc>
          <w:tcPr>
            <w:tcW w:w="3300" w:type="dxa"/>
            <w:vAlign w:val="bottom"/>
          </w:tcPr>
          <w:p>
            <w:pPr>
              <w:spacing w:after="0"/>
              <w:rPr>
                <w:sz w:val="24"/>
                <w:szCs w:val="24"/>
                <w:color w:val="auto"/>
              </w:rPr>
            </w:pPr>
          </w:p>
        </w:tc>
        <w:tc>
          <w:tcPr>
            <w:tcW w:w="6620" w:type="dxa"/>
            <w:vAlign w:val="bottom"/>
            <w:gridSpan w:val="3"/>
          </w:tcPr>
          <w:p>
            <w:pPr>
              <w:jc w:val="center"/>
              <w:ind w:right="3228"/>
              <w:spacing w:after="0"/>
              <w:rPr>
                <w:sz w:val="20"/>
                <w:szCs w:val="20"/>
                <w:color w:val="auto"/>
              </w:rPr>
            </w:pPr>
            <w:r>
              <w:rPr>
                <w:rFonts w:ascii="Arial" w:cs="Arial" w:eastAsia="Arial" w:hAnsi="Arial"/>
                <w:sz w:val="14"/>
                <w:szCs w:val="14"/>
                <w:b w:val="1"/>
                <w:bCs w:val="1"/>
                <w:color w:val="auto"/>
                <w:w w:val="93"/>
              </w:rPr>
              <w:t>Chardan NexTech Acquisition 2 Corp.</w:t>
            </w:r>
          </w:p>
        </w:tc>
      </w:tr>
      <w:tr>
        <w:trPr>
          <w:trHeight w:val="148"/>
        </w:trPr>
        <w:tc>
          <w:tcPr>
            <w:tcW w:w="3300" w:type="dxa"/>
            <w:vAlign w:val="bottom"/>
          </w:tcPr>
          <w:p>
            <w:pPr>
              <w:spacing w:after="0"/>
              <w:rPr>
                <w:sz w:val="12"/>
                <w:szCs w:val="12"/>
                <w:color w:val="auto"/>
              </w:rPr>
            </w:pPr>
          </w:p>
        </w:tc>
        <w:tc>
          <w:tcPr>
            <w:tcW w:w="6620" w:type="dxa"/>
            <w:vAlign w:val="bottom"/>
            <w:gridSpan w:val="3"/>
          </w:tcPr>
          <w:p>
            <w:pPr>
              <w:jc w:val="center"/>
              <w:ind w:right="3208"/>
              <w:spacing w:after="0" w:line="149" w:lineRule="exact"/>
              <w:rPr>
                <w:sz w:val="20"/>
                <w:szCs w:val="20"/>
                <w:color w:val="auto"/>
              </w:rPr>
            </w:pPr>
            <w:r>
              <w:rPr>
                <w:rFonts w:ascii="Arial" w:cs="Arial" w:eastAsia="Arial" w:hAnsi="Arial"/>
                <w:sz w:val="14"/>
                <w:szCs w:val="14"/>
                <w:b w:val="1"/>
                <w:bCs w:val="1"/>
                <w:color w:val="auto"/>
                <w:w w:val="91"/>
              </w:rPr>
              <w:t>17 State Street, 21st Floor</w:t>
            </w:r>
          </w:p>
        </w:tc>
      </w:tr>
      <w:tr>
        <w:trPr>
          <w:trHeight w:val="186"/>
        </w:trPr>
        <w:tc>
          <w:tcPr>
            <w:tcW w:w="3300" w:type="dxa"/>
            <w:vAlign w:val="bottom"/>
          </w:tcPr>
          <w:p>
            <w:pPr>
              <w:spacing w:after="0"/>
              <w:rPr>
                <w:sz w:val="16"/>
                <w:szCs w:val="16"/>
                <w:color w:val="auto"/>
              </w:rPr>
            </w:pPr>
          </w:p>
        </w:tc>
        <w:tc>
          <w:tcPr>
            <w:tcW w:w="6620" w:type="dxa"/>
            <w:vAlign w:val="bottom"/>
            <w:gridSpan w:val="3"/>
          </w:tcPr>
          <w:p>
            <w:pPr>
              <w:jc w:val="center"/>
              <w:ind w:right="3228"/>
              <w:spacing w:after="0"/>
              <w:rPr>
                <w:sz w:val="20"/>
                <w:szCs w:val="20"/>
                <w:color w:val="auto"/>
              </w:rPr>
            </w:pPr>
            <w:r>
              <w:rPr>
                <w:rFonts w:ascii="Arial" w:cs="Arial" w:eastAsia="Arial" w:hAnsi="Arial"/>
                <w:sz w:val="14"/>
                <w:szCs w:val="14"/>
                <w:b w:val="1"/>
                <w:bCs w:val="1"/>
                <w:color w:val="auto"/>
                <w:w w:val="94"/>
              </w:rPr>
              <w:t>New York, New York, 10004</w:t>
            </w:r>
          </w:p>
        </w:tc>
      </w:tr>
      <w:tr>
        <w:trPr>
          <w:trHeight w:val="189"/>
        </w:trPr>
        <w:tc>
          <w:tcPr>
            <w:tcW w:w="9920" w:type="dxa"/>
            <w:vAlign w:val="bottom"/>
            <w:gridSpan w:val="4"/>
          </w:tcPr>
          <w:p>
            <w:pPr>
              <w:jc w:val="center"/>
              <w:spacing w:after="0"/>
              <w:rPr>
                <w:sz w:val="20"/>
                <w:szCs w:val="20"/>
                <w:color w:val="auto"/>
              </w:rPr>
            </w:pPr>
            <w:r>
              <w:rPr>
                <w:rFonts w:ascii="Arial" w:cs="Arial" w:eastAsia="Arial" w:hAnsi="Arial"/>
                <w:sz w:val="14"/>
                <w:szCs w:val="14"/>
                <w:color w:val="auto"/>
                <w:w w:val="92"/>
              </w:rPr>
              <w:t>(Former name, former address and former fiscal year, if changed since last report)</w:t>
            </w:r>
          </w:p>
        </w:tc>
      </w:tr>
      <w:tr>
        <w:trPr>
          <w:trHeight w:val="216"/>
        </w:trPr>
        <w:tc>
          <w:tcPr>
            <w:tcW w:w="3300" w:type="dxa"/>
            <w:vAlign w:val="bottom"/>
          </w:tcPr>
          <w:p>
            <w:pPr>
              <w:spacing w:after="0"/>
              <w:rPr>
                <w:sz w:val="18"/>
                <w:szCs w:val="18"/>
                <w:color w:val="auto"/>
              </w:rPr>
            </w:pPr>
          </w:p>
        </w:tc>
        <w:tc>
          <w:tcPr>
            <w:tcW w:w="6620" w:type="dxa"/>
            <w:vAlign w:val="bottom"/>
            <w:gridSpan w:val="3"/>
          </w:tcPr>
          <w:p>
            <w:pPr>
              <w:jc w:val="center"/>
              <w:ind w:right="3228"/>
              <w:spacing w:after="0"/>
              <w:rPr>
                <w:sz w:val="20"/>
                <w:szCs w:val="20"/>
                <w:color w:val="auto"/>
              </w:rPr>
            </w:pPr>
            <w:r>
              <w:rPr>
                <w:rFonts w:ascii="Arial" w:cs="Arial" w:eastAsia="Arial" w:hAnsi="Arial"/>
                <w:sz w:val="14"/>
                <w:szCs w:val="14"/>
                <w:color w:val="auto"/>
                <w:w w:val="93"/>
              </w:rPr>
              <w:t>Securities registered pursuant to Section 12(b) of the Act:</w:t>
            </w:r>
          </w:p>
        </w:tc>
      </w:tr>
    </w:tbl>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2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Trading Symbol(s)</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123"/>
        </w:trPr>
        <w:tc>
          <w:tcPr>
            <w:tcW w:w="4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Common stock, par value $0.0001 per share</w:t>
            </w:r>
          </w:p>
        </w:tc>
        <w:tc>
          <w:tcPr>
            <w:tcW w:w="160" w:type="dxa"/>
            <w:vAlign w:val="bottom"/>
          </w:tcPr>
          <w:p>
            <w:pPr>
              <w:spacing w:after="0"/>
              <w:rPr>
                <w:sz w:val="10"/>
                <w:szCs w:val="10"/>
                <w:color w:val="auto"/>
              </w:rPr>
            </w:pPr>
          </w:p>
        </w:tc>
        <w:tc>
          <w:tcPr>
            <w:tcW w:w="1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DFLI</w:t>
            </w:r>
          </w:p>
        </w:tc>
        <w:tc>
          <w:tcPr>
            <w:tcW w:w="180" w:type="dxa"/>
            <w:vAlign w:val="bottom"/>
          </w:tcPr>
          <w:p>
            <w:pPr>
              <w:spacing w:after="0"/>
              <w:rPr>
                <w:sz w:val="10"/>
                <w:szCs w:val="10"/>
                <w:color w:val="auto"/>
              </w:rPr>
            </w:pPr>
          </w:p>
        </w:tc>
        <w:tc>
          <w:tcPr>
            <w:tcW w:w="3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r>
        <w:trPr>
          <w:trHeight w:val="149"/>
        </w:trPr>
        <w:tc>
          <w:tcPr>
            <w:tcW w:w="42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Redeemable Warrants, exercisable for common stock at an exercise</w:t>
            </w:r>
          </w:p>
        </w:tc>
        <w:tc>
          <w:tcPr>
            <w:tcW w:w="2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DFLIW</w:t>
            </w:r>
          </w:p>
        </w:tc>
        <w:tc>
          <w:tcPr>
            <w:tcW w:w="3660" w:type="dxa"/>
            <w:vAlign w:val="bottom"/>
          </w:tcPr>
          <w:p>
            <w:pPr>
              <w:jc w:val="center"/>
              <w:spacing w:after="0" w:line="149" w:lineRule="exact"/>
              <w:rPr>
                <w:sz w:val="20"/>
                <w:szCs w:val="20"/>
                <w:color w:val="auto"/>
              </w:rPr>
            </w:pPr>
            <w:r>
              <w:rPr>
                <w:rFonts w:ascii="Arial" w:cs="Arial" w:eastAsia="Arial" w:hAnsi="Arial"/>
                <w:sz w:val="14"/>
                <w:szCs w:val="14"/>
                <w:color w:val="auto"/>
                <w:w w:val="92"/>
              </w:rPr>
              <w:t>The Nasdaq Capital Market</w:t>
            </w:r>
          </w:p>
        </w:tc>
        <w:tc>
          <w:tcPr>
            <w:tcW w:w="0" w:type="dxa"/>
            <w:vAlign w:val="bottom"/>
          </w:tcPr>
          <w:p>
            <w:pPr>
              <w:spacing w:after="0"/>
              <w:rPr>
                <w:sz w:val="1"/>
                <w:szCs w:val="1"/>
                <w:color w:val="auto"/>
              </w:rPr>
            </w:pPr>
          </w:p>
        </w:tc>
      </w:tr>
      <w:tr>
        <w:trPr>
          <w:trHeight w:val="182"/>
        </w:trPr>
        <w:tc>
          <w:tcPr>
            <w:tcW w:w="42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price of $11.50 per share, subject to adjustment</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jc w:val="both"/>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6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38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0"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9, 2022, there were 43,272,728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672465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167005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gridSpan w:val="13"/>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6260" w:type="dxa"/>
            <w:vAlign w:val="bottom"/>
            <w:gridSpan w:val="14"/>
            <w:vMerge w:val="restart"/>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140" w:type="dxa"/>
            <w:vAlign w:val="bottom"/>
            <w:tcBorders>
              <w:bottom w:val="single" w:sz="8" w:color="0000EE"/>
            </w:tcBorders>
            <w:gridSpan w:val="13"/>
            <w:vMerge w:val="continue"/>
          </w:tcPr>
          <w:p>
            <w:pPr>
              <w:spacing w:after="0"/>
              <w:rPr>
                <w:sz w:val="13"/>
                <w:szCs w:val="13"/>
                <w:color w:val="auto"/>
              </w:rPr>
            </w:pPr>
          </w:p>
        </w:tc>
        <w:tc>
          <w:tcPr>
            <w:tcW w:w="6260" w:type="dxa"/>
            <w:vAlign w:val="bottom"/>
            <w:gridSpan w:val="14"/>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400" w:type="dxa"/>
            <w:vAlign w:val="bottom"/>
            <w:gridSpan w:val="2"/>
          </w:tcPr>
          <w:p>
            <w:pPr>
              <w:spacing w:after="0"/>
              <w:rPr>
                <w:sz w:val="24"/>
                <w:szCs w:val="24"/>
                <w:color w:val="auto"/>
              </w:rPr>
            </w:pPr>
          </w:p>
        </w:tc>
        <w:tc>
          <w:tcPr>
            <w:tcW w:w="5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6"/>
              </w:rPr>
              <w:t>CONDENSED CONSOLIDATED FINANCIAL STATEMENTS (UNAUDITED)</w:t>
            </w:r>
          </w:p>
        </w:tc>
        <w:tc>
          <w:tcPr>
            <w:tcW w:w="2560" w:type="dxa"/>
            <w:vAlign w:val="bottom"/>
            <w:gridSpan w:val="8"/>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8"/>
                <w:szCs w:val="18"/>
                <w:color w:val="0000EE"/>
              </w:rPr>
              <w:t>Condensed Consolidated Balance Sheets as of September 30, 2022 (unaudited) and December 31, 2021</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8"/>
                <w:szCs w:val="18"/>
                <w:color w:val="0000EE"/>
                <w:w w:val="92"/>
              </w:rPr>
              <w:t>Unaudited Condensed Consolidated Statements of Operations for the three and nine months ended September 30,</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2022 and 2021</w:t>
            </w:r>
          </w:p>
        </w:tc>
        <w:tc>
          <w:tcPr>
            <w:tcW w:w="3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8"/>
                <w:szCs w:val="18"/>
                <w:color w:val="0000EE"/>
                <w:w w:val="92"/>
              </w:rPr>
              <w:t>Unaudited Condensed Consolidated Statements of Changes in Stockholders’ Equity (Deficit) for the three and nine</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7"/>
              </w:rPr>
              <w:t>months ended September 30, 2022 and 2021</w:t>
            </w:r>
          </w:p>
        </w:tc>
        <w:tc>
          <w:tcPr>
            <w:tcW w:w="526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8"/>
                <w:szCs w:val="18"/>
                <w:color w:val="0000EE"/>
                <w:w w:val="91"/>
              </w:rPr>
              <w:t>Unaudited Condensed Consolidated Statements of Cash Flows for the nine months ended September 30, 2022 and</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4"/>
              </w:rPr>
              <w:t>2021</w:t>
            </w:r>
          </w:p>
        </w:tc>
        <w:tc>
          <w:tcPr>
            <w:tcW w:w="4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3700" w:type="dxa"/>
            <w:vAlign w:val="bottom"/>
            <w:gridSpan w:val="9"/>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400" w:type="dxa"/>
            <w:vAlign w:val="bottom"/>
            <w:gridSpan w:val="2"/>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OPERATIONS</w:t>
            </w:r>
          </w:p>
        </w:tc>
        <w:tc>
          <w:tcPr>
            <w:tcW w:w="6660" w:type="dxa"/>
            <w:vAlign w:val="bottom"/>
            <w:tcBorders>
              <w:top w:val="single" w:sz="8" w:color="0000EE"/>
            </w:tcBorders>
            <w:gridSpan w:val="15"/>
          </w:tcPr>
          <w:p>
            <w:pPr>
              <w:spacing w:after="0"/>
              <w:rPr>
                <w:sz w:val="17"/>
                <w:szCs w:val="17"/>
                <w:color w:val="auto"/>
              </w:rPr>
            </w:pPr>
          </w:p>
        </w:tc>
        <w:tc>
          <w:tcPr>
            <w:tcW w:w="7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00" w:type="dxa"/>
            <w:vAlign w:val="bottom"/>
            <w:gridSpan w:val="2"/>
          </w:tcPr>
          <w:p>
            <w:pPr>
              <w:spacing w:after="0"/>
              <w:rPr>
                <w:sz w:val="24"/>
                <w:szCs w:val="24"/>
                <w:color w:val="auto"/>
              </w:rPr>
            </w:pPr>
          </w:p>
        </w:tc>
        <w:tc>
          <w:tcPr>
            <w:tcW w:w="61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8"/>
              </w:rPr>
              <w:t>QUANTITATIVE AND QUALITATIVE DISCLOSURES ABOUT MARKET RISK</w:t>
            </w:r>
          </w:p>
        </w:tc>
        <w:tc>
          <w:tcPr>
            <w:tcW w:w="234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4.</w:t>
            </w:r>
          </w:p>
        </w:tc>
        <w:tc>
          <w:tcPr>
            <w:tcW w:w="400" w:type="dxa"/>
            <w:vAlign w:val="bottom"/>
            <w:gridSpan w:val="2"/>
          </w:tcPr>
          <w:p>
            <w:pPr>
              <w:spacing w:after="0"/>
              <w:rPr>
                <w:sz w:val="24"/>
                <w:szCs w:val="24"/>
                <w:color w:val="auto"/>
              </w:rPr>
            </w:pPr>
          </w:p>
        </w:tc>
        <w:tc>
          <w:tcPr>
            <w:tcW w:w="26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3"/>
              </w:rPr>
              <w:t>CONTROLS AND PROCEDURES</w:t>
            </w:r>
          </w:p>
        </w:tc>
        <w:tc>
          <w:tcPr>
            <w:tcW w:w="5880" w:type="dxa"/>
            <w:vAlign w:val="bottom"/>
            <w:gridSpan w:val="12"/>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412"/>
        </w:trPr>
        <w:tc>
          <w:tcPr>
            <w:tcW w:w="28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rPr>
              <w:t>PART II - OTHER INFORMATION</w:t>
            </w:r>
          </w:p>
        </w:tc>
        <w:tc>
          <w:tcPr>
            <w:tcW w:w="656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400" w:type="dxa"/>
            <w:vAlign w:val="bottom"/>
            <w:gridSpan w:val="2"/>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8480" w:type="dxa"/>
            <w:vAlign w:val="bottom"/>
            <w:gridSpan w:val="24"/>
          </w:tcPr>
          <w:p>
            <w:pPr>
              <w:spacing w:after="0"/>
              <w:rPr>
                <w:sz w:val="20"/>
                <w:szCs w:val="20"/>
                <w:color w:val="auto"/>
              </w:rPr>
            </w:pPr>
            <w:r>
              <w:rPr>
                <w:rFonts w:ascii="Arial" w:cs="Arial" w:eastAsia="Arial" w:hAnsi="Arial"/>
                <w:sz w:val="18"/>
                <w:szCs w:val="18"/>
                <w:color w:val="0000EE"/>
              </w:rPr>
              <w:t>RISK FACTORS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00" w:type="dxa"/>
            <w:vAlign w:val="bottom"/>
            <w:gridSpan w:val="2"/>
          </w:tcPr>
          <w:p>
            <w:pPr>
              <w:spacing w:after="0"/>
              <w:rPr>
                <w:sz w:val="24"/>
                <w:szCs w:val="24"/>
                <w:color w:val="auto"/>
              </w:rPr>
            </w:pPr>
          </w:p>
        </w:tc>
        <w:tc>
          <w:tcPr>
            <w:tcW w:w="318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3"/>
              </w:rPr>
              <w:t>DEFAULTS UPON SENIOR SECURITIES</w:t>
            </w:r>
          </w:p>
        </w:tc>
        <w:tc>
          <w:tcPr>
            <w:tcW w:w="2880" w:type="dxa"/>
            <w:vAlign w:val="bottom"/>
            <w:tcBorders>
              <w:top w:val="single" w:sz="8" w:color="0000EE"/>
            </w:tcBorders>
            <w:gridSpan w:val="4"/>
          </w:tcPr>
          <w:p>
            <w:pPr>
              <w:spacing w:after="0"/>
              <w:rPr>
                <w:sz w:val="24"/>
                <w:szCs w:val="24"/>
                <w:color w:val="auto"/>
              </w:rPr>
            </w:pPr>
          </w:p>
        </w:tc>
        <w:tc>
          <w:tcPr>
            <w:tcW w:w="242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4.</w:t>
            </w:r>
          </w:p>
        </w:tc>
        <w:tc>
          <w:tcPr>
            <w:tcW w:w="400" w:type="dxa"/>
            <w:vAlign w:val="bottom"/>
            <w:gridSpan w:val="2"/>
          </w:tcPr>
          <w:p>
            <w:pPr>
              <w:spacing w:after="0"/>
              <w:rPr>
                <w:sz w:val="24"/>
                <w:szCs w:val="24"/>
                <w:color w:val="auto"/>
              </w:rPr>
            </w:pPr>
          </w:p>
        </w:tc>
        <w:tc>
          <w:tcPr>
            <w:tcW w:w="24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5"/>
              </w:rPr>
              <w:t>MINE SAFETY DISCLOSURES</w:t>
            </w:r>
          </w:p>
        </w:tc>
        <w:tc>
          <w:tcPr>
            <w:tcW w:w="6040" w:type="dxa"/>
            <w:vAlign w:val="bottom"/>
            <w:gridSpan w:val="13"/>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5.</w:t>
            </w:r>
          </w:p>
        </w:tc>
        <w:tc>
          <w:tcPr>
            <w:tcW w:w="400" w:type="dxa"/>
            <w:vAlign w:val="bottom"/>
            <w:gridSpan w:val="2"/>
          </w:tcPr>
          <w:p>
            <w:pPr>
              <w:spacing w:after="0"/>
              <w:rPr>
                <w:sz w:val="24"/>
                <w:szCs w:val="24"/>
                <w:color w:val="auto"/>
              </w:rPr>
            </w:pPr>
          </w:p>
        </w:tc>
        <w:tc>
          <w:tcPr>
            <w:tcW w:w="18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5"/>
              </w:rPr>
              <w:t>OTHER INFORMATION</w:t>
            </w:r>
          </w:p>
        </w:tc>
        <w:tc>
          <w:tcPr>
            <w:tcW w:w="6600" w:type="dxa"/>
            <w:vAlign w:val="bottom"/>
            <w:gridSpan w:val="16"/>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400" w:type="dxa"/>
            <w:vAlign w:val="bottom"/>
            <w:gridSpan w:val="2"/>
          </w:tcPr>
          <w:p>
            <w:pPr>
              <w:spacing w:after="0"/>
              <w:rPr>
                <w:sz w:val="24"/>
                <w:szCs w:val="24"/>
                <w:color w:val="auto"/>
              </w:rPr>
            </w:pPr>
          </w:p>
        </w:tc>
        <w:tc>
          <w:tcPr>
            <w:tcW w:w="8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EXHIBITS</w:t>
            </w:r>
          </w:p>
        </w:tc>
        <w:tc>
          <w:tcPr>
            <w:tcW w:w="7660" w:type="dxa"/>
            <w:vAlign w:val="bottom"/>
            <w:gridSpan w:val="21"/>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412"/>
        </w:trPr>
        <w:tc>
          <w:tcPr>
            <w:tcW w:w="9400" w:type="dxa"/>
            <w:vAlign w:val="bottom"/>
            <w:gridSpan w:val="27"/>
          </w:tcPr>
          <w:p>
            <w:pPr>
              <w:spacing w:after="0"/>
              <w:rPr>
                <w:sz w:val="20"/>
                <w:szCs w:val="20"/>
                <w:color w:val="auto"/>
              </w:rPr>
            </w:pPr>
            <w:r>
              <w:rPr>
                <w:rFonts w:ascii="Arial" w:cs="Arial" w:eastAsia="Arial" w:hAnsi="Arial"/>
                <w:sz w:val="18"/>
                <w:szCs w:val="18"/>
                <w:b w:val="1"/>
                <w:bCs w:val="1"/>
                <w:color w:val="0000EE"/>
              </w:rPr>
              <w:t>SIGNATURES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160" w:type="dxa"/>
            <w:vAlign w:val="bottom"/>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60"/>
              <w:spacing w:after="0" w:line="142" w:lineRule="exact"/>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Prepaid expenses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171,026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302,590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487,049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Assets held in Trust Account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31,995,703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128,421,215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32,482,752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spacing w:after="0" w:line="182" w:lineRule="exact"/>
              <w:rPr>
                <w:sz w:val="20"/>
                <w:szCs w:val="20"/>
                <w:color w:val="auto"/>
              </w:rPr>
            </w:pPr>
            <w:r>
              <w:rPr>
                <w:rFonts w:ascii="Arial" w:cs="Arial" w:eastAsia="Arial" w:hAnsi="Arial"/>
                <w:sz w:val="16"/>
                <w:szCs w:val="16"/>
                <w:b w:val="1"/>
                <w:bCs w:val="1"/>
                <w:color w:val="auto"/>
              </w:rPr>
              <w:t>LIABILITIES, COMMON STOCK SUBJECT TO POSSIBLE REDEMPTION AND</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STOCKHOLDERS’ DEFICIT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990,587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rPr>
              <w:t>Franchise tax payable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Promissory note - related party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Income tax payable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39,340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1,612,686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Warrant liabilities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1,989,979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2,036,258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3,602,665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2,150,469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w w:val="96"/>
              </w:rPr>
              <w:t>Common stock subject to possible redemption, $0.0001 par value; 3,093,348 and 12,650,000 shares at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w w:val="94"/>
              </w:rPr>
              <w:t>approximately $10.25 and $10.15 per share at September 30, 2022 and December 31, 2021, respectively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31,706,363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128,397,500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Deficit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rPr>
              <w:t>Preferred stock, $0.0001 par value; 1,000,000 shares authorized; none issued or outstanding at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rPr>
              <w:t>September 30, 2022 and December 31, 2021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$0.0001 par value; 50,000,000 shares authorized; 3,162,500 shares issued and</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outstanding (excluding 3,093,348 and 12,650,000 shares subject to possible redemption) at September</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30, 2022 and December 31, 2021, respectively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(2,826,593)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(1,024,673)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Stockholders’ Deficit</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(2,826,276)</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(1,024,356)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Common Stock Subject to Possible Redemption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32,482,752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For the Three Months Ended</w:t>
            </w:r>
          </w:p>
        </w:tc>
        <w:tc>
          <w:tcPr>
            <w:tcW w:w="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w:t>
            </w: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September 30, 2022</w:t>
            </w: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4"/>
                <w:szCs w:val="14"/>
                <w:color w:val="auto"/>
              </w:rPr>
            </w:pP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Operating and formation costs</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92,234</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1,623,500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Franchise tax expense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150,656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Loss from operations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(1,049,216)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(116,268)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(1,774,156)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Warrant issuance costs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(18,797)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w w:val="96"/>
              </w:rPr>
              <w:t>Loss on sale of private warrants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(1,253,929)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6"/>
                <w:szCs w:val="16"/>
                <w:color w:val="auto"/>
                <w:w w:val="97"/>
              </w:rPr>
              <w:t>Net gain on investments held in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6"/>
                <w:szCs w:val="16"/>
                <w:color w:val="auto"/>
              </w:rPr>
              <w:t>Trust Account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279,627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469,109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liability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(1,110,686)</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4,072,514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4,072,514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Pr>
          <w:p>
            <w:pPr>
              <w:ind w:left="100"/>
              <w:spacing w:after="0" w:line="169" w:lineRule="exact"/>
              <w:rPr>
                <w:sz w:val="20"/>
                <w:szCs w:val="20"/>
                <w:color w:val="auto"/>
              </w:rPr>
            </w:pPr>
            <w:r>
              <w:rPr>
                <w:rFonts w:ascii="Arial" w:cs="Arial" w:eastAsia="Arial" w:hAnsi="Arial"/>
                <w:sz w:val="16"/>
                <w:szCs w:val="16"/>
                <w:b w:val="1"/>
                <w:bCs w:val="1"/>
                <w:color w:val="auto"/>
              </w:rPr>
              <w:t>Net income (loss) before</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Arial" w:cs="Arial" w:eastAsia="Arial" w:hAnsi="Arial"/>
                <w:sz w:val="16"/>
                <w:szCs w:val="16"/>
                <w:b w:val="1"/>
                <w:bCs w:val="1"/>
                <w:color w:val="auto"/>
              </w:rPr>
              <w:t>income taxes</w:t>
            </w:r>
          </w:p>
        </w:tc>
        <w:tc>
          <w:tcPr>
            <w:tcW w:w="28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(1,880,275)</w:t>
            </w: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2,690,543</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(1,258,768)</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2,689,709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(39,340)</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(39,340)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(1,919,615)</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2,690,543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(1,298,108)</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2,689,709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00" w:type="dxa"/>
            <w:vAlign w:val="bottom"/>
            <w:shd w:val="clear" w:color="auto" w:fill="CCEEFF"/>
          </w:tcPr>
          <w:p>
            <w:pPr>
              <w:spacing w:after="0" w:line="146" w:lineRule="exact"/>
              <w:rPr>
                <w:sz w:val="20"/>
                <w:szCs w:val="20"/>
                <w:color w:val="auto"/>
              </w:rPr>
            </w:pPr>
            <w:r>
              <w:rPr>
                <w:rFonts w:ascii="Arial" w:cs="Arial" w:eastAsia="Arial" w:hAnsi="Arial"/>
                <w:sz w:val="16"/>
                <w:szCs w:val="16"/>
                <w:color w:val="auto"/>
                <w:w w:val="98"/>
              </w:rPr>
              <w:t>Basic weighted average shares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10,307,037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9,453,125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13,957,179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5,008,929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vMerge w:val="restart"/>
          </w:tcPr>
          <w:p>
            <w:pPr>
              <w:spacing w:after="0" w:line="182" w:lineRule="exact"/>
              <w:rPr>
                <w:sz w:val="20"/>
                <w:szCs w:val="20"/>
                <w:color w:val="auto"/>
              </w:rPr>
            </w:pPr>
            <w:r>
              <w:rPr>
                <w:rFonts w:ascii="Arial" w:cs="Arial" w:eastAsia="Arial" w:hAnsi="Arial"/>
                <w:sz w:val="16"/>
                <w:szCs w:val="16"/>
                <w:b w:val="1"/>
                <w:bCs w:val="1"/>
                <w:color w:val="auto"/>
              </w:rPr>
              <w:t>Basic net income (loss) per</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17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(0.19)</w:t>
            </w:r>
          </w:p>
        </w:tc>
        <w:tc>
          <w:tcPr>
            <w:tcW w:w="20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0.28</w:t>
            </w:r>
          </w:p>
        </w:tc>
        <w:tc>
          <w:tcPr>
            <w:tcW w:w="80" w:type="dxa"/>
            <w:vAlign w:val="bottom"/>
          </w:tcPr>
          <w:p>
            <w:pPr>
              <w:spacing w:after="0"/>
              <w:rPr>
                <w:sz w:val="12"/>
                <w:szCs w:val="12"/>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(0.09)</w:t>
            </w:r>
          </w:p>
        </w:tc>
        <w:tc>
          <w:tcPr>
            <w:tcW w:w="1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0.54</w:t>
            </w:r>
          </w:p>
        </w:tc>
        <w:tc>
          <w:tcPr>
            <w:tcW w:w="0" w:type="dxa"/>
            <w:vAlign w:val="bottom"/>
          </w:tcPr>
          <w:p>
            <w:pPr>
              <w:spacing w:after="0"/>
              <w:rPr>
                <w:sz w:val="1"/>
                <w:szCs w:val="1"/>
                <w:color w:val="auto"/>
              </w:rPr>
            </w:pPr>
          </w:p>
        </w:tc>
      </w:tr>
      <w:tr>
        <w:trPr>
          <w:trHeight w:val="243"/>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common share</w:t>
            </w:r>
          </w:p>
        </w:tc>
        <w:tc>
          <w:tcPr>
            <w:tcW w:w="280" w:type="dxa"/>
            <w:vAlign w:val="bottom"/>
            <w:gridSpan w:val="2"/>
            <w:vMerge w:val="continue"/>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6"/>
                <w:szCs w:val="16"/>
                <w:color w:val="auto"/>
                <w:w w:val="93"/>
              </w:rPr>
              <w:t>Diluted weighted average shares</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10,307,037</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9,672,826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13,957,179</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5,356,456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vMerge w:val="restart"/>
          </w:tcPr>
          <w:p>
            <w:pPr>
              <w:spacing w:after="0" w:line="182" w:lineRule="exact"/>
              <w:rPr>
                <w:sz w:val="20"/>
                <w:szCs w:val="20"/>
                <w:color w:val="auto"/>
              </w:rPr>
            </w:pPr>
            <w:r>
              <w:rPr>
                <w:rFonts w:ascii="Arial" w:cs="Arial" w:eastAsia="Arial" w:hAnsi="Arial"/>
                <w:sz w:val="16"/>
                <w:szCs w:val="16"/>
                <w:b w:val="1"/>
                <w:bCs w:val="1"/>
                <w:color w:val="auto"/>
                <w:w w:val="99"/>
              </w:rPr>
              <w:t>Diluted net income (loss) per</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17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(0.19)</w:t>
            </w:r>
          </w:p>
        </w:tc>
        <w:tc>
          <w:tcPr>
            <w:tcW w:w="20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0.28</w:t>
            </w:r>
          </w:p>
        </w:tc>
        <w:tc>
          <w:tcPr>
            <w:tcW w:w="80" w:type="dxa"/>
            <w:vAlign w:val="bottom"/>
          </w:tcPr>
          <w:p>
            <w:pPr>
              <w:spacing w:after="0"/>
              <w:rPr>
                <w:sz w:val="12"/>
                <w:szCs w:val="12"/>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(0.09)</w:t>
            </w:r>
          </w:p>
        </w:tc>
        <w:tc>
          <w:tcPr>
            <w:tcW w:w="1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0.50</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common share</w:t>
            </w:r>
          </w:p>
        </w:tc>
        <w:tc>
          <w:tcPr>
            <w:tcW w:w="28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6"/>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bottom w:val="single" w:sz="8" w:color="auto"/>
            </w:tcBorders>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1" w:lineRule="exact"/>
              <w:rPr>
                <w:sz w:val="20"/>
                <w:szCs w:val="20"/>
                <w:color w:val="auto"/>
              </w:rPr>
            </w:pPr>
            <w:r>
              <w:rPr>
                <w:rFonts w:ascii="Arial" w:cs="Arial" w:eastAsia="Arial" w:hAnsi="Arial"/>
                <w:sz w:val="14"/>
                <w:szCs w:val="14"/>
                <w:b w:val="1"/>
                <w:bCs w:val="1"/>
                <w:color w:val="auto"/>
                <w:w w:val="99"/>
              </w:rPr>
              <w:t>Paid</w:t>
            </w:r>
            <w:r>
              <w:rPr>
                <w:rFonts w:ascii="MS PGothic" w:cs="MS PGothic" w:eastAsia="MS PGothic" w:hAnsi="MS PGothic"/>
                <w:sz w:val="14"/>
                <w:szCs w:val="14"/>
                <w:b w:val="1"/>
                <w:bCs w:val="1"/>
                <w:color w:val="auto"/>
                <w:w w:val="99"/>
              </w:rPr>
              <w:t>‑</w:t>
            </w:r>
            <w:r>
              <w:rPr>
                <w:rFonts w:ascii="Arial" w:cs="Arial" w:eastAsia="Arial" w:hAnsi="Arial"/>
                <w:sz w:val="14"/>
                <w:szCs w:val="14"/>
                <w:b w:val="1"/>
                <w:bCs w:val="1"/>
                <w:color w:val="auto"/>
                <w:w w:val="99"/>
              </w:rPr>
              <w:t>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(Accumulated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2021</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(1,024,673)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(1,024,356)</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1,191,840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1,191,840</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2022 (unaudited)</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167,167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167,484</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loss</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(570,333)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(570,333)</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2022 (unaudited)</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(403,166)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(402,849)</w:t>
            </w:r>
          </w:p>
        </w:tc>
        <w:tc>
          <w:tcPr>
            <w:tcW w:w="0" w:type="dxa"/>
            <w:vAlign w:val="bottom"/>
          </w:tcPr>
          <w:p>
            <w:pPr>
              <w:spacing w:after="0"/>
              <w:rPr>
                <w:sz w:val="1"/>
                <w:szCs w:val="1"/>
                <w:color w:val="auto"/>
              </w:rPr>
            </w:pPr>
          </w:p>
        </w:tc>
      </w:tr>
      <w:tr>
        <w:trPr>
          <w:trHeight w:val="149"/>
        </w:trPr>
        <w:tc>
          <w:tcPr>
            <w:tcW w:w="4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Accretion of common stock to redemption amount</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(503,812)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(503,812)</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(1,919,615)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(1,919,615)</w:t>
            </w:r>
          </w:p>
        </w:tc>
        <w:tc>
          <w:tcPr>
            <w:tcW w:w="0" w:type="dxa"/>
            <w:vAlign w:val="bottom"/>
          </w:tcPr>
          <w:p>
            <w:pPr>
              <w:spacing w:after="0"/>
              <w:rPr>
                <w:sz w:val="1"/>
                <w:szCs w:val="1"/>
                <w:color w:val="auto"/>
              </w:rPr>
            </w:pPr>
          </w:p>
        </w:tc>
      </w:tr>
      <w:tr>
        <w:trPr>
          <w:trHeight w:val="142"/>
        </w:trPr>
        <w:tc>
          <w:tcPr>
            <w:tcW w:w="4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September 30, 2022 (unaudited)</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3,162,500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9"/>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(2,826,593)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(2,826,276)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For the Three and Nine Months Ended September 30, 2021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6"/>
            <w:vMerge w:val="restart"/>
          </w:tcPr>
          <w:p>
            <w:pPr>
              <w:ind w:left="5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2020</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3,162,500</w:t>
            </w:r>
          </w:p>
        </w:tc>
        <w:tc>
          <w:tcPr>
            <w:tcW w:w="18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24,000</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 (unaudited)</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24,000</w:t>
            </w:r>
          </w:p>
        </w:tc>
        <w:tc>
          <w:tcPr>
            <w:tcW w:w="0" w:type="dxa"/>
            <w:vAlign w:val="bottom"/>
          </w:tcPr>
          <w:p>
            <w:pPr>
              <w:spacing w:after="0"/>
              <w:rPr>
                <w:sz w:val="1"/>
                <w:szCs w:val="1"/>
                <w:color w:val="auto"/>
              </w:rPr>
            </w:pPr>
          </w:p>
        </w:tc>
      </w:tr>
      <w:tr>
        <w:trPr>
          <w:trHeight w:val="149"/>
        </w:trPr>
        <w:tc>
          <w:tcPr>
            <w:tcW w:w="4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loss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(834)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2021 (unaudited)</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(1,834)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23,166</w:t>
            </w:r>
          </w:p>
        </w:tc>
        <w:tc>
          <w:tcPr>
            <w:tcW w:w="0" w:type="dxa"/>
            <w:vAlign w:val="bottom"/>
          </w:tcPr>
          <w:p>
            <w:pPr>
              <w:spacing w:after="0"/>
              <w:rPr>
                <w:sz w:val="1"/>
                <w:szCs w:val="1"/>
                <w:color w:val="auto"/>
              </w:rPr>
            </w:pPr>
          </w:p>
        </w:tc>
      </w:tr>
      <w:tr>
        <w:trPr>
          <w:trHeight w:val="130"/>
        </w:trPr>
        <w:tc>
          <w:tcPr>
            <w:tcW w:w="4120" w:type="dxa"/>
            <w:vAlign w:val="bottom"/>
            <w:gridSpan w:val="2"/>
          </w:tcPr>
          <w:p>
            <w:pPr>
              <w:spacing w:after="0" w:line="130" w:lineRule="exact"/>
              <w:rPr>
                <w:sz w:val="20"/>
                <w:szCs w:val="20"/>
                <w:color w:val="auto"/>
              </w:rPr>
            </w:pPr>
            <w:r>
              <w:rPr>
                <w:rFonts w:ascii="Arial" w:cs="Arial" w:eastAsia="Arial" w:hAnsi="Arial"/>
                <w:sz w:val="14"/>
                <w:szCs w:val="14"/>
                <w:color w:val="auto"/>
              </w:rPr>
              <w:t>Proceeds from Initial Public Offering Costs allocated to Public</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Warrants (net of offering costs)</w:t>
            </w: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15,052,646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15,052,646</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Accretion of common stock to redemption amount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(15,077,329)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(2,934,160)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(18,011,489)</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2,690,543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2,690,543</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2021 (unaudited)</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3,162,500</w:t>
            </w: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(245,451)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(245,134)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(1,298,108)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Warrant issuance costs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gain on investments held in Trust Account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(469,109)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Loss on sale of private warrants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(46,279)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Accrued expenses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Income tax payable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Franchise tax payable</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Net cash used in operating activities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(583,456)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(459,653)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withdrawn from Trust Account for payment of taxes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Cash withdrawn from Trust Account for payment to redeeming stockholders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97,194,950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deposited into Trust Account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(128,397,500)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96,894,621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(128,397,500)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initial public offering, net of underwriter’s discount paid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Proceeds from promissory note – related party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to redeeming stockholders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(97,194,950)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Repayment of promissory note – related party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 of private warrants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Offering costs paid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(96,794,950)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129,719,361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(483,785)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 Beginning of Period</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799,808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316,023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Chardan NexTech Acquisition 2 Corp (the “Company” or “Chardan”)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2022, the Company had not yet commenced any operations. All activity for the period from June 23, 2020 (Inception) through September 30,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related to the issuances described above amounted to $1,080,140, consisting of $500,000 of cash underwriting fees and $580,140 of other offering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6" w:lineRule="exact"/>
        <w:rPr>
          <w:sz w:val="20"/>
          <w:szCs w:val="20"/>
          <w:color w:val="auto"/>
        </w:rPr>
      </w:pPr>
    </w:p>
    <w:p>
      <w:pPr>
        <w:jc w:val="both"/>
        <w:ind w:firstLine="8"/>
        <w:spacing w:after="0" w:line="255" w:lineRule="auto"/>
        <w:tabs>
          <w:tab w:leader="none" w:pos="24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12 months, or until August 13, 2022, from the closing of the Initial Public Offering to consummate an initial Business Combination. However, prior to such date, the Stockholders (as defined in this Note 1) approved a proposal to amend the Company’s Amended and Restated Certificate of Incorporation (the “Charter”), to extend the date by which the Company must complete a Business Combination, as further discussed in this Note 1.</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provides that, among other things and upon the terms and subject to the conditions thereof, the following transactions will occur:</w:t>
      </w:r>
    </w:p>
    <w:p>
      <w:pPr>
        <w:spacing w:after="0" w:line="187" w:lineRule="exact"/>
        <w:rPr>
          <w:sz w:val="20"/>
          <w:szCs w:val="20"/>
          <w:color w:val="auto"/>
        </w:rPr>
      </w:pPr>
    </w:p>
    <w:p>
      <w:pPr>
        <w:jc w:val="both"/>
        <w:ind w:firstLine="8"/>
        <w:spacing w:after="0" w:line="279" w:lineRule="auto"/>
        <w:tabs>
          <w:tab w:leader="none" w:pos="217" w:val="left"/>
        </w:tabs>
        <w:numPr>
          <w:ilvl w:val="0"/>
          <w:numId w:val="3"/>
        </w:numPr>
        <w:rPr>
          <w:rFonts w:ascii="Arial" w:cs="Arial" w:eastAsia="Arial" w:hAnsi="Arial"/>
          <w:sz w:val="17"/>
          <w:szCs w:val="17"/>
          <w:color w:val="auto"/>
        </w:rPr>
      </w:pPr>
      <w:r>
        <w:rPr>
          <w:rFonts w:ascii="Arial" w:cs="Arial" w:eastAsia="Arial" w:hAnsi="Arial"/>
          <w:sz w:val="17"/>
          <w:szCs w:val="17"/>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ceased and Dragonfly was the surviving corporation and a wholly owned subsidiary of Chardan (the “Merger”);</w:t>
      </w:r>
    </w:p>
    <w:p>
      <w:pPr>
        <w:spacing w:after="0" w:line="171" w:lineRule="exact"/>
        <w:rPr>
          <w:rFonts w:ascii="Arial" w:cs="Arial" w:eastAsia="Arial" w:hAnsi="Arial"/>
          <w:sz w:val="17"/>
          <w:szCs w:val="17"/>
          <w:color w:val="auto"/>
        </w:rPr>
      </w:pPr>
    </w:p>
    <w:p>
      <w:pPr>
        <w:ind w:left="280" w:hanging="272"/>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at the Closing, Chardan changed its name to “Dragonfly Energy Holdings Corp.” and is referred to herein as “New Dragonfly”;</w:t>
      </w:r>
    </w:p>
    <w:p>
      <w:pPr>
        <w:spacing w:after="0" w:line="236" w:lineRule="exact"/>
        <w:rPr>
          <w:rFonts w:ascii="Arial" w:cs="Arial" w:eastAsia="Arial" w:hAnsi="Arial"/>
          <w:sz w:val="17"/>
          <w:szCs w:val="17"/>
          <w:color w:val="auto"/>
        </w:rPr>
      </w:pPr>
    </w:p>
    <w:p>
      <w:pPr>
        <w:jc w:val="both"/>
        <w:ind w:firstLine="8"/>
        <w:spacing w:after="0" w:line="263" w:lineRule="auto"/>
        <w:tabs>
          <w:tab w:leader="none" w:pos="333"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Merger, among other things, all shares of capital stock of Dragonfly outstanding as of immediately prior to the effective time of the Merger were canceled in exchange for the right to receive shares of common stock, par value $0.0001 per share, of New Dragonfly (“New Dragonfly Common Stock”);</w:t>
      </w:r>
    </w:p>
    <w:p>
      <w:pPr>
        <w:spacing w:after="0" w:line="183" w:lineRule="exact"/>
        <w:rPr>
          <w:rFonts w:ascii="Arial" w:cs="Arial" w:eastAsia="Arial" w:hAnsi="Arial"/>
          <w:sz w:val="18"/>
          <w:szCs w:val="18"/>
          <w:color w:val="auto"/>
        </w:rPr>
      </w:pPr>
    </w:p>
    <w:p>
      <w:pPr>
        <w:ind w:firstLine="8"/>
        <w:spacing w:after="0" w:line="342" w:lineRule="auto"/>
        <w:tabs>
          <w:tab w:leader="none" w:pos="317"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Merger, each Dragonfly option outstanding as of immediately prior to the effective time of the Merger converted into the right to receive a New Dragonfly option, subject to certain exceptions and conditions as set forth in the Merger Agreement;</w:t>
      </w:r>
    </w:p>
    <w:p>
      <w:pPr>
        <w:spacing w:after="0" w:line="123" w:lineRule="exact"/>
        <w:rPr>
          <w:rFonts w:ascii="Arial" w:cs="Arial" w:eastAsia="Arial" w:hAnsi="Arial"/>
          <w:sz w:val="16"/>
          <w:szCs w:val="16"/>
          <w:color w:val="auto"/>
        </w:rPr>
      </w:pPr>
    </w:p>
    <w:p>
      <w:pPr>
        <w:ind w:right="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40,000,000 shares of New Dragonfly Common Stock became issuable to existing holders of Dragonfly capital stock or pursuant to the aforementioned converted options; and</w:t>
      </w:r>
    </w:p>
    <w:p>
      <w:pPr>
        <w:spacing w:after="0" w:line="170" w:lineRule="exact"/>
        <w:rPr>
          <w:rFonts w:ascii="Arial" w:cs="Arial" w:eastAsia="Arial" w:hAnsi="Arial"/>
          <w:sz w:val="18"/>
          <w:szCs w:val="18"/>
          <w:color w:val="auto"/>
        </w:rPr>
      </w:pPr>
    </w:p>
    <w:p>
      <w:pPr>
        <w:ind w:right="20" w:firstLine="8"/>
        <w:spacing w:after="0" w:line="27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Closing, existing holders of Dragonfly capital stock will have the right to receive up to an aggregate of 40,000,000 additional shares of New Dragonfly Common Stock in three tranches as follows:</w:t>
      </w:r>
    </w:p>
    <w:p>
      <w:pPr>
        <w:spacing w:after="0" w:line="170" w:lineRule="exact"/>
        <w:rPr>
          <w:sz w:val="20"/>
          <w:szCs w:val="20"/>
          <w:color w:val="auto"/>
        </w:rPr>
      </w:pPr>
    </w:p>
    <w:p>
      <w:pPr>
        <w:jc w:val="both"/>
        <w:ind w:firstLine="8"/>
        <w:spacing w:after="0" w:line="25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“SEC”), New Dragonfly’s (x) total audited revenue for the year ended December 31, 2023 is equal to or greater than $250,000,000, and (y) audited operating income for the year ended December 31, 2023 is equal to or greater than $35,000,000;</w:t>
      </w:r>
    </w:p>
    <w:p>
      <w:pPr>
        <w:spacing w:after="0" w:line="187" w:lineRule="exact"/>
        <w:rPr>
          <w:rFonts w:ascii="Arial" w:cs="Arial" w:eastAsia="Arial" w:hAnsi="Arial"/>
          <w:sz w:val="18"/>
          <w:szCs w:val="18"/>
          <w:color w:val="auto"/>
        </w:rPr>
      </w:pPr>
    </w:p>
    <w:p>
      <w:pPr>
        <w:jc w:val="both"/>
        <w:ind w:firstLine="8"/>
        <w:spacing w:after="0" w:line="279" w:lineRule="auto"/>
        <w:tabs>
          <w:tab w:leader="none" w:pos="324"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“Second Milestone”); and</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jc w:val="both"/>
        <w:ind w:firstLine="8"/>
        <w:spacing w:after="0" w:line="279" w:lineRule="auto"/>
        <w:tabs>
          <w:tab w:leader="none" w:pos="286"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“Third Earnout”), if at any time during the period beginning on the Closing Date and ending on December 31, 2028, the VWAP of the New Dragonfly common stock over any 20 Trading Days (which may or may not be consecutive) within any 30 consecutive Trading Day period is greater than or equal to $32.50 per share of New Dragonfly common stock (the “Third Milestone”).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of Chardan (the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consummation of the business combination, the Board will be composed of seven members, five of whom will be designated by Dragonfly and two of whom will be designated by Chardan.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12, 2022, the Company, Dragonfly and Merger Sub entered into that certain Amendment to the Agreement and Plan of Merger, between the Company, Dragonfly and Merger Sub (the “Amendment”), which amended the Merger Agreement to, among other things, reflect a $15 million increase in the consideration to be issued in the business combination in connection with Dragonfly entering into a Stock Purchase Agreement with THOR Industries, Inc. (“THOR”), dated as of July 12, 2022, whereby for $15 million in cash, THOR purchased 1,267,502 shares of Dragonfly common stock (the “THOR Investment”).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 Other than as expressly modified by the Amendment, the Merger Agreement remains in full force and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 to Amend Charter and Investment Management Trust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5, 2022, Chardan held a special meeting (the “Special Meeting”), at which holders of 11,331,512 shares of common stock of Chardan, par value $0.0001 per share (“Chardan Common Stock”), were present in person or by proxy, representing approximately 71.66% of the voting power of the 15,812,500 shares of Chardan Common Stock issued and outstanding entitled to vote at the Special Meeting at the close of business on July 11, 2022, which was the record date (the “Record Date”) for the Special Meeting. Stockholders of record as of the close of business on the Record Date are referred to herein as “Stockholders.”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the Special Meeting, the Stockholders approved the proposal to amend the Company’s Amended and Restated Certificate of Incorporation (the “Charter”) to provide the Company’s officers, directors, initial stockholders and Chardan NexTech 2 Warrant Holdings, LLC (collectively, the “Insiders”) the ability to extend the date by which the Company must complete a business combination up to three (3) times for an additional one (1) month each time (for a maximum of three (3) one-month extensions) upon the deposit into the trust account (the “Trust Account”) by the Insiders, their affiliates or designees of $200,000 upon five days’ advance notice prior to August 13, 2022 (or such other applicable deadline) (the “Extension,” and such proposal, the “Charter Amendment”). On July 29, 2022, to effectuate the Charter Amendment, the board of directors of the Company (the “Board”) approved and adopted the Second Amended and Restated Memorandum and Articles of Association of the Company (the “Second A&amp;R Charter”).</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 resulting in the distribution of $97,194,950 from the Trust Account to the redeeming Stockholders. Following such redemptions, approximately $31,460,579 remains in the Trust Account and 6,255,848 shares of Chardan Common Stock will remain issued and outstanding.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at the Special Meeting, the Stockholders approved the proposal to amend the Investment Management Trust Agreement, dated August 10, 2021 (the “Trust Agreement”), by and between the Company and Continental Stock Transfer &amp; Company (the “Trustee”) to authorize the Extension and its implementation by the Company (the “Trust Amendment Proposal”). On July 29, 2022, to effectuate the Trust Amendment Proposal, the Board approved and adopted Amendment No. 1 to the Investment Management Trust Agreement (the “Trust Agreement Amendment”).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Agreement contemplates the execution of various additional agreements and instruments, on or before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including, among others,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&amp; Certain Restrictions on Transfer</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Merger Agreement contemplates that, at the Closing, New Dragonfly, Chardan NexTech Investments 2 LLC, a Delaware limited liability company (the “Sponsor”), Chardan’s initial stockholders, certain stockholders of Dragonfly and certain of each of their respective affiliates, as applicable, and the other parties thereto, will enter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“Lock-up Shares”). Such restrictions begin at the Closing and end on the date that is six months after Closing.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set forth in the Subscription Agreement, the PIPE Investor may purchase shares of the Chardan common stock, par value $0.0001 per share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PIPE Investment was consummated substantially concurrently with the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 Letter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 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w:t>
      </w:r>
    </w:p>
    <w:p>
      <w:pPr>
        <w:jc w:val="both"/>
        <w:ind w:firstLine="8"/>
        <w:spacing w:after="0" w:line="255" w:lineRule="auto"/>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 (ii) 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Facility Letter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were filed on Form 8-K, as filed on May 16, 2022.</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unaudited condensed consolidated financial statements. The specific impact on the Company’s financial condition, results of operations, and cash flows is also not determinable as of the date of these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as filed with the SEC on March 29, 2022. The interim results for the three and nine months ended September 30, 2022 are not necessarily indicative of the results to be expected for the year ending December 31, 2022 or for any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2022 and December 31, 2021.</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Investments Held in Trust Account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 Account in the accompanying statement of operations. The estimated fair values of investments held in the Trust Account are determined using available market information. At September 30, 2022, cash held in the Trust Account was $31,995,703. As of December 31, 2021, investments held in the Trust Account were $128,421,215.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On August 5, 2022, in connection with the Charter Amendment, 9,556,652 shares of Chardan common stock were redeemed, resulting in the distribution of $97,194,950 from the Trust Account to the redeeming stockholders. Following such redemptions, approximately $31,460,579 million remained in the Trust Account and 6,255,848 shares of Common Stock remained issued and outstanding. Accordingly, as of September 30, 2022 and December 31, 2021, 3,093,348 and 12,650,000 shares of common stock subject to possible redemption are presented as temporary equity, outside of the stockholders’ equity (deficit) section of the Company’s unaudited condensed consolidated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and December 31, 2021, the common stock reflected in the unaudited condensed consolidated balance sheets are reconciled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126,500,000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allocated to Public Warrants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(15,180,000)</w:t>
            </w:r>
          </w:p>
        </w:tc>
      </w:tr>
      <w:tr>
        <w:trPr>
          <w:trHeight w:val="216"/>
        </w:trPr>
        <w:tc>
          <w:tcPr>
            <w:tcW w:w="8180" w:type="dxa"/>
            <w:vAlign w:val="bottom"/>
          </w:tcPr>
          <w:p>
            <w:pPr>
              <w:ind w:left="120"/>
              <w:spacing w:after="0"/>
              <w:rPr>
                <w:sz w:val="20"/>
                <w:szCs w:val="20"/>
                <w:color w:val="auto"/>
              </w:rPr>
            </w:pPr>
            <w:r>
              <w:rPr>
                <w:rFonts w:ascii="Arial" w:cs="Arial" w:eastAsia="Arial" w:hAnsi="Arial"/>
                <w:sz w:val="18"/>
                <w:szCs w:val="18"/>
                <w:color w:val="auto"/>
              </w:rPr>
              <w:t>Issuance costs allocated to common stock</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(933,989)</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Accretion of common stock to redemption amount</w:t>
            </w: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18,011,489</w:t>
            </w: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subject to possible redemption at December 31, 2021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128,397,500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 of common stock by stockholders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(97,194,950)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Plus: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Accretion of common stock to redemption amount</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503,812</w:t>
            </w:r>
          </w:p>
        </w:tc>
      </w:tr>
      <w:tr>
        <w:trPr>
          <w:trHeight w:val="209"/>
        </w:trPr>
        <w:tc>
          <w:tcPr>
            <w:tcW w:w="8180" w:type="dxa"/>
            <w:vAlign w:val="bottom"/>
          </w:tcPr>
          <w:p>
            <w:pPr>
              <w:spacing w:after="0"/>
              <w:rPr>
                <w:sz w:val="20"/>
                <w:szCs w:val="20"/>
                <w:color w:val="auto"/>
              </w:rPr>
            </w:pPr>
            <w:r>
              <w:rPr>
                <w:rFonts w:ascii="Arial" w:cs="Arial" w:eastAsia="Arial" w:hAnsi="Arial"/>
                <w:sz w:val="18"/>
                <w:szCs w:val="18"/>
                <w:b w:val="1"/>
                <w:bCs w:val="1"/>
                <w:color w:val="auto"/>
              </w:rPr>
              <w:t>Common stock subject to possible redemption at September 30, 2022</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31,706,363</w:t>
            </w: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complies with the requirements of ASC 340-10-S99-1 and SEC Staff Accounting Bulletin Topic 5A - Expenses of Offering.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consolidated statements of operations.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consolidated statements of operations in the period of change.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complies with the accounting and reporting requirements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an asset and liability approach to financial accounting and reporting for income taxes. Deferred income tax assets and liabilities are computed for differences between the unaudited condensed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ASC 740 prescribes a recognition threshold and a measurement attribute for the unaudited condensed consolidated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of Common Stock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complies with accounting and disclosure requirements of ASC 260, Earnings Per Share. Net income (loss) per common share is computed by dividing net earnings by the weighted-average number of shares of common stock outstanding during the period.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 Months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For the Nine Months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w:t>
            </w: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5"/>
              </w:rPr>
              <w:t>30, 2022</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(1,919,615)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2,690,543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(1,298,108)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2,689,709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10,307,037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5,008,929</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Basic net income (loss) per share</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Diluted weighted average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10,307,037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9,672,826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5,356,456</w:t>
            </w:r>
          </w:p>
        </w:tc>
        <w:tc>
          <w:tcPr>
            <w:tcW w:w="0" w:type="dxa"/>
            <w:vAlign w:val="bottom"/>
          </w:tcPr>
          <w:p>
            <w:pPr>
              <w:spacing w:after="0"/>
              <w:rPr>
                <w:sz w:val="1"/>
                <w:szCs w:val="1"/>
                <w:color w:val="auto"/>
              </w:rPr>
            </w:pPr>
          </w:p>
        </w:tc>
      </w:tr>
      <w:tr>
        <w:trPr>
          <w:trHeight w:val="230"/>
        </w:trPr>
        <w:tc>
          <w:tcPr>
            <w:tcW w:w="3740" w:type="dxa"/>
            <w:vAlign w:val="bottom"/>
          </w:tcPr>
          <w:p>
            <w:pPr>
              <w:ind w:left="220"/>
              <w:spacing w:after="0"/>
              <w:rPr>
                <w:sz w:val="20"/>
                <w:szCs w:val="20"/>
                <w:color w:val="auto"/>
              </w:rPr>
            </w:pPr>
            <w:r>
              <w:rPr>
                <w:rFonts w:ascii="Arial" w:cs="Arial" w:eastAsia="Arial" w:hAnsi="Arial"/>
                <w:sz w:val="18"/>
                <w:szCs w:val="18"/>
                <w:color w:val="auto"/>
              </w:rPr>
              <w:t>Diluted net income (loss) per share</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 Insurance Corporation coverage limit of $250,000.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reflected in the unaudited condensed consolidated balance sheet for current assets and current liabilities approximate fair value due to their short-term nature.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additional information on assets and liabilities measured at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unaudited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Registration Statement for the Company’s Initial Public Offering was declared effective on August 10, 2021. On August 13, 2021, the Company completed its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unaudited condensed consolidated balance sheet in accordance with the guidance contained in ASC 815-40.</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unaudited condensed consolidated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18, 2021, the underwriters’ exercised the over-allotment option in full, thus these shares are no longer subject to forfeiture (see Note 6).</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September 30, 2022 and December 31, 2021, there was no outstanding balance under the note. The Promissory Note is no longer available to the Company.</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August 8, 2022, the Company notified the Trustee that it was 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a leader in energy storage and producer of deep cycle lithium-ion storage batteries. Extension No. 1 is the first of up to three (3) one-month extensions permitted under the Company’s Second A&amp;R Charter.</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Extension No. 1, the Company’s officers, directors, initial stockholders and Chardan NexTech 2 Warrant Holdings, LLC (collectively, the “Insiders”), their affiliates or designees will deposit an aggregate of $200,000 (the “First Extension Payment”) into the Trust Account prior to August 13, 2022, on behalf of the Company. In connection with its First Extension Payment, the Insiders will receive a non-interest bearing, unsecured promissory note equal to the First Extension Payment that will not be repaid if the Company is unable to close a business combination, unless there are funds available outside its Trust Account to do so.</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6, 2022, the Company notified Continental Stock Transfer &amp; Trust Company that it was extending the time available to the Company to consummate its initial business combination for an additional one (1) month from September 13, 2022 to October 13, 2022 (“Extension No. 2”). Extension No. 2 provides the Company with additional time to complete its proposed business combination with Dragonfly. Extension No. 2 is the second of up to three (3) 1-month extensions permitted under the Company’s Second A&amp;R Charter.</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Extension No. 2, the Company’s officers, directors, initial stockholders and Chardan NexTech 2 Warrant Holdings, LLC, their affiliates or designees will deposit an aggregate of $200,000 (the “Second Extension Payment”) into the Trust Account prior to September 12, 2022, on behalf of the Company. In connection with its Second Extension Payment, the Insiders will receive a non-interest bearing, unsecured promissory note equal to the Second Extension Payment that will not be repaid if the Company is unable to close a business combination, unless there are funds available outside its Trust Account to do so.</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 the Company had an outstanding balance in promissory note - related party of $400,000 in relation to Extension No 1 and Extension No 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September 30, 2022, the Company has not exercised its option to use such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September 30, 2022 and December 31, 2021, the Company had no working capital loans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Reduction Act of 2022</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4" w:lineRule="exact"/>
        <w:rPr>
          <w:sz w:val="20"/>
          <w:szCs w:val="20"/>
          <w:color w:val="auto"/>
        </w:rPr>
      </w:pPr>
    </w:p>
    <w:p>
      <w:pPr>
        <w:jc w:val="both"/>
        <w:ind w:firstLine="8"/>
        <w:spacing w:after="0" w:line="253" w:lineRule="auto"/>
        <w:tabs>
          <w:tab w:leader="none" w:pos="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September 30, 2022 and December 31, 2021 there were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w:t>
      </w:r>
    </w:p>
    <w:p>
      <w:pPr>
        <w:spacing w:after="0" w:line="1" w:lineRule="exact"/>
        <w:rPr>
          <w:sz w:val="20"/>
          <w:szCs w:val="20"/>
          <w:color w:val="auto"/>
        </w:rPr>
      </w:pPr>
    </w:p>
    <w:p>
      <w:pPr>
        <w:jc w:val="both"/>
        <w:ind w:firstLine="8"/>
        <w:spacing w:after="0" w:line="292" w:lineRule="auto"/>
        <w:tabs>
          <w:tab w:leader="none" w:pos="3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 (DEFICIT)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Company is authorized to issue 1,000,000 shares of preferred stock, par value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As of September 30, 2022 and December 31, 2021, the Company had no issued or outstanding shares of preferred stock.</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—The Company is authorized to issue 50,000,000 shares of common stock with a par value of $0.0001 per share.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5, 2022, in connection with the Charter Amendment, 9,556,652 shares of Chardan common stock were redeemed by certain stockholders. As such, on September 30, 2022 and December 31, 2021, there were 6,255,848 and 15,812,500 shares of common stock issued and outstanding, including 3,093,348 and 12,650,000 shares of common stock subject to possible redemption, respectively.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effective tax rate for the three and nine months ended September 30, 2022 was (2.1)% and (3.1)%. The effective tax rate for the three and nine months ended September 30, 2021 was 0.0%.The Company’s effective tax rate differs from the statutory income tax rate of 21% primarily due to the recognition of gains or losses from the changes in the fair value of warrant liabilities and unrealized gains on the investments held in the Trust Account, which are not recognized for tax purposes. The Company has historically calculated the provision for income taxes during interim reporting periods by applying an estimate of the annual effective tax rate for the full fiscal year to income or loss for the reporting period. The Company has used a discrete effective tax rate method to calculate taxes for the three and nine months ended September 30, 2022. The Company believes that, at this time, the use of the discrete method for the three and nine months ended September 30, 2022 is more appropriate than the estimated annual effective tax rate method as the estimated annual effective tax rate method is not reliable due to a high degree of uncertainty in estimating annual pretax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as of September 30, 2022 and December 31, 2021, and indicates the fair value hierarchy of the valuation inputs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Amount at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 liabilities – Private Warrants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1,989,979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1,989,979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remaining balance held in the Trust Account of September 30, 2022 was held in cash.</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Amount at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8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held in Trust Account: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40"/>
              <w:spacing w:after="0"/>
              <w:rPr>
                <w:sz w:val="20"/>
                <w:szCs w:val="20"/>
                <w:color w:val="auto"/>
              </w:rPr>
            </w:pPr>
            <w:r>
              <w:rPr>
                <w:rFonts w:ascii="Arial" w:cs="Arial" w:eastAsia="Arial" w:hAnsi="Arial"/>
                <w:sz w:val="18"/>
                <w:szCs w:val="18"/>
                <w:color w:val="auto"/>
              </w:rPr>
              <w:t>Money Market investments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128,421,215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128,421,215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Warrant liabilities – Private Warrants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2,036,258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2,036,258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significant inputs to the Black-Scholes method for the fair value of the Private Warrants: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7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74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4"/>
                <w:szCs w:val="14"/>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 price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Term to Business Combination (years)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9.1 %</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Risk-free rate</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4.17 %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1.20 %</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summary of the changes in the fair value of the Company’s Level 3 financial instruments that are measured at fair value on a recurring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23, 2020 (inception)</w:t>
            </w:r>
          </w:p>
        </w:tc>
        <w:tc>
          <w:tcPr>
            <w:tcW w:w="480" w:type="dxa"/>
            <w:vAlign w:val="bottom"/>
            <w:gridSpan w:val="2"/>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Initial measurement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5,553,429</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(3,517,171)</w:t>
            </w:r>
          </w:p>
        </w:tc>
      </w:tr>
      <w:tr>
        <w:trPr>
          <w:trHeight w:val="249"/>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December 31, 2021</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2,036,258</w:t>
            </w:r>
          </w:p>
        </w:tc>
      </w:tr>
      <w:tr>
        <w:trPr>
          <w:trHeight w:val="197"/>
        </w:trPr>
        <w:tc>
          <w:tcPr>
            <w:tcW w:w="82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(1,434,636)</w:t>
            </w:r>
          </w:p>
        </w:tc>
      </w:tr>
      <w:tr>
        <w:trPr>
          <w:trHeight w:val="250"/>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March 31, 2022</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601,622</w:t>
            </w:r>
          </w:p>
        </w:tc>
      </w:tr>
      <w:tr>
        <w:trPr>
          <w:trHeight w:val="196"/>
        </w:trPr>
        <w:tc>
          <w:tcPr>
            <w:tcW w:w="82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277,671</w:t>
            </w:r>
          </w:p>
        </w:tc>
      </w:tr>
      <w:tr>
        <w:trPr>
          <w:trHeight w:val="250"/>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June 30, 2022</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879,293</w:t>
            </w:r>
          </w:p>
        </w:tc>
      </w:tr>
      <w:tr>
        <w:trPr>
          <w:trHeight w:val="197"/>
        </w:trPr>
        <w:tc>
          <w:tcPr>
            <w:tcW w:w="82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1,110,686</w:t>
            </w: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Fair value at September 30, 2022</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1,989,979</w:t>
            </w: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a gain (loss) in connection with changes in the fair value of warrant liabilities of $(1,110,686) and $4,072,514 within change in fair value of warrant liabilities in the unaudited condensed consolidated statement of operations for the three months ended September 30, 2022 and 2021. The Company recognized a gain in connection with changes in the fair value of warrant liabilities of $46,279 and $4,072,514 within change in fair value of warrant liabilities in the unaudited condensed consolidated statement of operations for the nine months ended September 30, 2022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unaudited condensed consolidated financial statements were issued. Based upon this review, except as noted below, the Company did not identify any subsequent events that would have required adjustment or disclosure in the unaudited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Closing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7, 2022 (the “Closing Date”), Dragonfly Energy Holdings Corp., a Delaware corporation (f/k/a Chardan NexTech Acquisition 2 Corp. (“Chardan”)), consummated the previously announced merger pursuant to the Business Combination Agreement, dated May 15, 2022, as amended by the Amendment to the Business Combination Agreement, dated July 12, 2022, by and among Chardan, Bronco Merger Sub, Inc., a Nevada corporation and a wholly owned subsidiary of Chardan (“Merger Sub”), and Dragonfly Energy Corp., a Nevada corporation (“Legacy Dragonfly”). Chardan’s stockholders approved the Transactions (as defined below) at a special meeting of stockholders held on October 6, 2022.</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Business Combination Agreement, Merger Sub merged with and into Legacy Dragonfly (the “Merger” and, together with the other transactions contemplated by the Business Combination Agreement, the “Transactions”), with Legacy Dragonfly continuing as the surviving corporation in the Merger and a wholly-owned subsidiary of Chardan. On the Closing Date, the registrant changed its name from Chardan NexTech Acquisition 2 Corp. to Dragonfly Energy Holdings Corp.</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Closing, by virtue of the Merger and without any action on the part of Chardan, Merger Sub, Legacy Dragonfly or the holders of any of the following securities:</w:t>
      </w:r>
    </w:p>
    <w:p>
      <w:pPr>
        <w:spacing w:after="0" w:line="170" w:lineRule="exact"/>
        <w:rPr>
          <w:sz w:val="20"/>
          <w:szCs w:val="20"/>
          <w:color w:val="auto"/>
        </w:rPr>
      </w:pPr>
    </w:p>
    <w:p>
      <w:pPr>
        <w:jc w:val="both"/>
        <w:ind w:firstLine="8"/>
        <w:spacing w:after="0" w:line="275" w:lineRule="auto"/>
        <w:tabs>
          <w:tab w:leader="none" w:pos="271"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outstanding share of Legacy Dragonfly’s common stock, par value $0.001 per share(“Legacy Dragonfly Common Stock”), converted into (i) a certain number of shares of the Company’s common stock, par value $0.0001 per share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spacing w:after="0" w:line="176" w:lineRule="exact"/>
        <w:rPr>
          <w:rFonts w:ascii="Arial" w:cs="Arial" w:eastAsia="Arial" w:hAnsi="Arial"/>
          <w:sz w:val="17"/>
          <w:szCs w:val="17"/>
          <w:color w:val="auto"/>
        </w:rPr>
      </w:pPr>
    </w:p>
    <w:p>
      <w:pPr>
        <w:jc w:val="both"/>
        <w:ind w:firstLine="8"/>
        <w:spacing w:after="0" w:line="272" w:lineRule="auto"/>
        <w:tabs>
          <w:tab w:leader="none" w:pos="268"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option to purchase shares of Legacy Dragonfly Common Stock, was assumed and converted into options to acquire shares of Common Stock. The portion of the Merger Consideration reflecting the conversion of the Legacy Dragonfly options was calculated assuming that all the Company options are net-settled. With respect to the Company options received in respect of Legacy Dragonfly options that are outstanding immediately prior to the Closing and cash exercised after the Closing, up to 627,498 additional shares of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Merger Consideration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Common Stock in three tranches.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first tranche of 15,000,000 shares is issuable if the Company’s 2023 total audited revenue is equal to or greater than $250 million and the Company’s 2023 audited operating income is equal to or greater than $35 million. The second tranche of 12,500,000 shares is issuable upon achieving a volume-weighted average trading price threshold of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the Merger and the terms of the Business Combination Agreement are included in the proxy statement/prospectus, dated September 16, 2022 (the “Proxy Statement/Prospectus”) as filed with the SEC in the section entitled “Proposal No. 1 — The Business Combination Proposal” of the Proxy Statement/Prospectus.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Investment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subscription agreement, dated as of May 15, 2022 (the “Subscription Agreement”), by and between Chardan and Chardan NexTech Investments 2 LLC (or an affiliate thereof if assigned pursuant to the Subscription Agreement, the “Sponsor”), the Sponsor agreed to purchase, and Chardan agreed to sell to the Sponsor, an aggregate of 500,000 shares of Chardan common stock (“Chardan Common Stock”) for gross proceeds to Chardan of $5 million in a private placement. On September 28, 2022, the Sponsor and Chardan Capital Markets LLC, a New York limited liability company (“CCM LLC”), entered into an assignment, assumption and joinder agreement, pursuant to which the Sponsor assigned all of the Sponsor’s rights, benefits and obligations under the Subscription Agreement to CCM LLC.</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the Company because such shares are not redeemed (the “Offset”). During the week of September 26, 2022 CCM LLC acquired in the open market in total 485,000 shares of Common Stock at purchase prices per share ranging from $10.33 to $10.38 (such shares, the “Purchased Shares”). The Purchased Shares were not redeemed, resulting in (i) the Company’s receipt of $5,016,547 from the Trust Account (based on a per share redemption price of $10.34) and (ii) a reduction in CCM LLC’s purchase commitment under the Subscription Agreement to zero in accordance with the Offset.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Consistent with the previously disclosed commitment letter (the “Debt Commitment Letter”) between Chardan and Legacy Dragonfly, CCM Investments 5 LLC, an affiliate of CCM LLC (“CCM 5”, and in connection with the Term Loan, the “Chardan Lender”), and EICF Agent LLC (“EIP” and, collectively with the Chardan Lender, the “Initial Term Loan Lenders”), in connection with the Closing, Chardan, Legacy Dragonfly and the Initial Term Loan Lenders entered into the Term Loan, Guarantee and Security Agreement (the “Term Loan Agreement”) setting forth the terms of a senior secured term loan facility in an aggregate principal amount of $75 million (the “Term Loan”). The Chardan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(ii) to support the Transaction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w:t>
      </w:r>
    </w:p>
    <w:p>
      <w:pPr>
        <w:spacing w:after="0" w:line="1" w:lineRule="exact"/>
        <w:rPr>
          <w:sz w:val="20"/>
          <w:szCs w:val="20"/>
          <w:color w:val="auto"/>
        </w:rPr>
      </w:pPr>
    </w:p>
    <w:p>
      <w:pPr>
        <w:jc w:val="both"/>
        <w:ind w:right="20" w:firstLine="8"/>
        <w:spacing w:after="0" w:line="295" w:lineRule="auto"/>
        <w:tabs>
          <w:tab w:leader="none" w:pos="27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Agreements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entry into the Term Loan Agreement, and as a required term and condition thereof,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CHARDAN NEXTECH ACQUISITION 2 CORP.)</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with the previously disclosed equity facility letter agreement between Legacy Dragonfly and CCM 5, the Company and CCM LLC entered into a purchase agreement (the “Purchase Agreement”) and a Registration Rights Agreement (the “ChEF RRA”) in connection with the Closing.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“qualified independent underwriter” with respect to the transactions contemplated by the Purchase Agreement.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 million, over the term of the equity facility (“ChEF Equity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Agreements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Concurrently with the execution of the Business Combination Agreement, Chardan, Legacy Dragonfly and the Sponsor entered into a sponsor support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the Closing Date, in connection with the consummation of the Transactions, the Company entered into indemnification agreements with each of its directors and executive officers. These agreements, among other things, will require the Company to indemnify the Company’s directors and executive officers for certain expenses, including attorneys’ fees, judgments and fines incurred by a director or executive officer in any action or proceeding arising out of their services as one of the Company’s directors or executive officers or any other company or enterprise to which the person provides services at the Company’s request.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Closing Date, in connection with the consummation of the Transactions, the Company entered into the Amended and Restated Registration Rights Agreement with the Sponsor, Chardan’s officers, directors, initial stockholders, CCM LLC and Warrant Holdings, an affiliate of the Sponsor (collectively, the “Insiders”) and certain Legacy Dragonfly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References in this report (the “Quarterly Report”) to “we,” “us” or the “Company” refer to Chardan NexTech Acquisition 2 Corp. References to our “management” or our “management team” refer to our officers and directors, and references to the “Sponsor” refer to Chardan NexTech Investments 2 LLC, a Delaware limited liability company.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were formerly a blank check company formed under the laws of the State of Delaware on June 23, 2020, for the purpose of effecting a merger, capital stock exchange, asset acquisition, stock purchase, reorganization or other similar business combination with one or more businesses. We had one wholly owned subsidiary, Bronco Merger Sub, Inc., a Nevada corporation (“Merger Sub”).</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7, 2022, we completed our business combination (“Business Combination”) with Dragonfly Energy Corp., a Nevada corporation (“Dragonfly”) pursuant to that certain Agreement and Plan of Merger, dated May 15, 2022, as amended on July 12, 2022, (as amended, supplemented or otherwise modified from time to time, the “Business Combination Agreement”), by and among the Company, Merger Sub, and Dragonfly. In connection with the closing of the Business Combination, (i) Merger Sub merged with and into Dragonfly, with Dragonfly surviving the Merger as a wholly-owned subsidiary of the Company and (ii) the Company changed its name from Chardan NexTech Acquisition 2 Corp. to Dragonfly Energy Holdings Corp.</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activity from our formation through September 30, 2022 relates to our formation and our initial public offering (“Initial Public Offering”), and subsequent to the Initial Public Offering, identifying a target company for an initial business combination and consummating the Business Combination. We did not generate any operating revenues prior to the completion of our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 to Amend Charter and Investment Management Trust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5, 2022, Chardan held a special meeting (the “Special Meeting”), at which holders of 11,331,512 shares of common stock of Chardan, par value $0.0001 per share (“Chardan Common Stock”), were present in person or by proxy, representing approximately 71.66% of the voting power of the 15,812,500 shares of Chardan Common Stock issued and outstanding entitled to vote at the Special Meeting at the close of business on July 11, 2022, which was the record date (the “Record Date”) for the Special Meeting. Stockholders of record as of the close of business on the Record Date are referred to herein as “Stockholders”.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Special Meeting, the Stockholders approved the proposal to amend the Company’s Charter to provide the Company’s officers, directors, initial stockholders and Chardan NexTech 2 Warrant Holdings, LLC (collectively, the “Insiders”) the ability to extend the date by which the Company must complete a business combination up to three (3) times for an additional one (1) month each time (for a maximum of three (3) 1-month extensions) upon the deposit into the trust account (the “Trust Account”) by the Insiders, their affiliates or designees of $200,000 upon five days’ advance notice prior to August 13, 2022 (or such other applicable deadline) (the “Extension,” and such proposal, the “Charter Amendment”). On July 29, 2022, to effectuate the Charter Amendment, the board of directors of the Company (the “Board”) approved and adopted the Second Amended and Restated Memorandum and Articles of Association of the Company (the “Second A&amp;R Charter”).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at the Special Meeting, the Stockholders approved the proposal to amend the Investment Management Trust Agreement, dated August 10, 2021 (the “Trust Agreement”), by and between the Company and Continental Stock Transfer &amp; Company (the “Trustee”) to authorize the Extension and its implementation by the Company (the “Trust Amendment Proposal”). On July 29, 2022, to effectuate the Trust Amendment Proposal, the Board approved and adopted Amendment No. 1 to the Investment Management Trust Agreement (the “Trust Agreement Amendment”).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Extension, the Insiders notified the Company on August 8, 2022 of the Insiders’ intention to extend the date by which the Company must complete a business combination for an additional one (1) month by depositing $200,000 into the Trust Account.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in connection with the Extension, the Company and Chardan NexTech 2 Warrant Holdings, LLC (“CNTQ Warrant Holdings”) entered into a promissory note on August 11, 2022 (the “Extension Note”), whereby the Company agreed to pay $200,000 to CNTQ Warrant Holdings.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as amended by that certain Amendment to the Agreement and Plan of Merger, entered into on July 12, 2022, between the Company, Dragonfly and Merger Sub (the “Amendment”), provides that, among other things and upon the terms and subject to the conditions thereof, the following transactions will occur:</w:t>
      </w:r>
    </w:p>
    <w:p>
      <w:pPr>
        <w:spacing w:after="0" w:line="176" w:lineRule="exact"/>
        <w:rPr>
          <w:sz w:val="20"/>
          <w:szCs w:val="20"/>
          <w:color w:val="auto"/>
        </w:rPr>
      </w:pPr>
    </w:p>
    <w:p>
      <w:pPr>
        <w:jc w:val="both"/>
        <w:ind w:firstLine="8"/>
        <w:spacing w:after="0" w:line="279" w:lineRule="auto"/>
        <w:tabs>
          <w:tab w:leader="none" w:pos="2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ceased and Dragonfly was the surviving corporation and a wholly owned subsidiary of Chardan (the “Merger”);</w:t>
      </w:r>
    </w:p>
    <w:p>
      <w:pPr>
        <w:spacing w:after="0" w:line="171" w:lineRule="exact"/>
        <w:rPr>
          <w:rFonts w:ascii="Arial" w:cs="Arial" w:eastAsia="Arial" w:hAnsi="Arial"/>
          <w:sz w:val="17"/>
          <w:szCs w:val="17"/>
          <w:color w:val="auto"/>
        </w:rPr>
      </w:pPr>
    </w:p>
    <w:p>
      <w:pPr>
        <w:ind w:left="280" w:hanging="272"/>
        <w:spacing w:after="0"/>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 the Closing, Chardan changed its name to “Dragonfly Energy Holdings Corp.” and is referred to herein as “New Dragonfly”;</w:t>
      </w:r>
    </w:p>
    <w:p>
      <w:pPr>
        <w:spacing w:after="0" w:line="236" w:lineRule="exact"/>
        <w:rPr>
          <w:rFonts w:ascii="Arial" w:cs="Arial" w:eastAsia="Arial" w:hAnsi="Arial"/>
          <w:sz w:val="17"/>
          <w:szCs w:val="17"/>
          <w:color w:val="auto"/>
        </w:rPr>
      </w:pPr>
    </w:p>
    <w:p>
      <w:pPr>
        <w:jc w:val="both"/>
        <w:ind w:firstLine="8"/>
        <w:spacing w:after="0" w:line="263" w:lineRule="auto"/>
        <w:tabs>
          <w:tab w:leader="none" w:pos="3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result of the Merger, among other things, all shares of capital stock of Dragonfly outstanding as of immediately prior to the effective time of the Merger were canceled in exchange for the right to receive shares of common stock, par value $0.0001 per share, of New Dragonfly (“New Dragonfly Common Stock”);</w:t>
      </w:r>
    </w:p>
    <w:p>
      <w:pPr>
        <w:spacing w:after="0" w:line="183" w:lineRule="exact"/>
        <w:rPr>
          <w:rFonts w:ascii="Arial" w:cs="Arial" w:eastAsia="Arial" w:hAnsi="Arial"/>
          <w:sz w:val="18"/>
          <w:szCs w:val="18"/>
          <w:color w:val="auto"/>
        </w:rPr>
      </w:pPr>
    </w:p>
    <w:p>
      <w:pPr>
        <w:ind w:firstLine="8"/>
        <w:spacing w:after="0" w:line="342" w:lineRule="auto"/>
        <w:tabs>
          <w:tab w:leader="none" w:pos="3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result of the Merger, each Dragonfly option outstanding as of immediately prior to the effective time of the Merger converted into the right to receive a New Dragonfly option, subject to certain exceptions and conditions as set forth in the Merger Agreement;</w:t>
      </w:r>
    </w:p>
    <w:p>
      <w:pPr>
        <w:spacing w:after="0" w:line="123" w:lineRule="exact"/>
        <w:rPr>
          <w:rFonts w:ascii="Arial" w:cs="Arial" w:eastAsia="Arial" w:hAnsi="Arial"/>
          <w:sz w:val="16"/>
          <w:szCs w:val="16"/>
          <w:color w:val="auto"/>
        </w:rPr>
      </w:pPr>
    </w:p>
    <w:p>
      <w:pPr>
        <w:ind w:right="2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Closing, 40,000,000 shares of New Dragonfly Common Stock became issuable to existing holders of Dragonfly capital stock or pursuant to the aforementioned converted options; and</w:t>
      </w:r>
    </w:p>
    <w:p>
      <w:pPr>
        <w:spacing w:after="0" w:line="170" w:lineRule="exact"/>
        <w:rPr>
          <w:rFonts w:ascii="Arial" w:cs="Arial" w:eastAsia="Arial" w:hAnsi="Arial"/>
          <w:sz w:val="18"/>
          <w:szCs w:val="18"/>
          <w:color w:val="auto"/>
        </w:rPr>
      </w:pPr>
    </w:p>
    <w:p>
      <w:pPr>
        <w:ind w:right="20" w:firstLine="8"/>
        <w:spacing w:after="0" w:line="277"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following the Closing, existing holders of Dragonfly capital stock will have the right to receive up to an aggregate of 40,000,000 additional shares of New Dragonfly Common Stock in three tranches as follows:</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jc w:val="both"/>
        <w:ind w:firstLine="8"/>
        <w:spacing w:after="0" w:line="259"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Dragonfly shall issue 15,000,000 shares of New Dragonfly common stock in the aggregate, if, as disclosed in the Annual Report on Form 10-K for the fiscal year ending December 31, 2023 for New Dragonfly filed with the SEC, New Dragonfly’s (x) total audited revenue for the year ended December 31, 2023 is equal to or greater than $250,000,000, and (y) audited operating income for the year ended December 31, 2023 is equal to or greater than $35,000,000;</w:t>
      </w:r>
    </w:p>
    <w:p>
      <w:pPr>
        <w:spacing w:after="0" w:line="186" w:lineRule="exact"/>
        <w:rPr>
          <w:rFonts w:ascii="Arial" w:cs="Arial" w:eastAsia="Arial" w:hAnsi="Arial"/>
          <w:sz w:val="18"/>
          <w:szCs w:val="18"/>
          <w:color w:val="auto"/>
        </w:rPr>
      </w:pPr>
    </w:p>
    <w:p>
      <w:pPr>
        <w:jc w:val="both"/>
        <w:ind w:firstLine="8"/>
        <w:spacing w:after="0" w:line="279" w:lineRule="auto"/>
        <w:tabs>
          <w:tab w:leader="none" w:pos="3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“Second Milestone”); and</w:t>
      </w:r>
    </w:p>
    <w:p>
      <w:pPr>
        <w:spacing w:after="0" w:line="171" w:lineRule="exact"/>
        <w:rPr>
          <w:rFonts w:ascii="Arial" w:cs="Arial" w:eastAsia="Arial" w:hAnsi="Arial"/>
          <w:sz w:val="17"/>
          <w:szCs w:val="17"/>
          <w:color w:val="auto"/>
        </w:rPr>
      </w:pPr>
    </w:p>
    <w:p>
      <w:pPr>
        <w:jc w:val="both"/>
        <w:ind w:firstLine="8"/>
        <w:spacing w:after="0" w:line="279" w:lineRule="auto"/>
        <w:tabs>
          <w:tab w:leader="none" w:pos="286"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“Third Earnout”), if at any time during the period beginning on the Closing Date and ending on December 31, 2028, the VWAP of the New Dragonfly common stock over any 20 Trading Days (which may or may not be consecutive) within any 30 consecutive Trading Day period is greater than or equal to $32.50 per share of New Dragonfly common stock (the “Third Milestone”).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Board is composed of seven members, five of whom were designated by Dragonfly and two of whom were designated by Chardan.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did not occur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did not occur by the date that is two business days prior to the Extended Termination Date, Chardan shall extend the deadline to consummate its initial business combination by an additional three months from the Extended Termination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Agreement contemplates the execution of various additional agreements and instruments, on or before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including, among others,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&amp; Certain Restrictions on Transfer</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Merger Agreement contemplates that, at the Closing, New Dragonfly, Chardan NexTech Investments 2 LLC, a Delaware limited liability company (the “Sponsor”), Chardan’s initial stockholders, certain stockholders of Dragonfly and certain of each of their respective affiliates, as applicable, and the other parties thereto, entered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“Lock-up Shares”). Such restrictions begin at the Closing and end on the date that is six months after Closing.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set forth in the Subscription Agreement, the PIPE Investor may purchase shares of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would not exercise its right to vote any shares it may purchase in the open market following the date of the Subscription Agreement and prior to the Closing, in connection with any vote to approve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PIPE Investment was consummated substantially concurrently with the Closing.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 Letter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 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w:t>
      </w:r>
    </w:p>
    <w:p>
      <w:pPr>
        <w:jc w:val="both"/>
        <w:ind w:firstLine="8"/>
        <w:spacing w:after="0" w:line="255" w:lineRule="auto"/>
        <w:tabs>
          <w:tab w:leader="none" w:pos="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other general/corporate purposes. The Term Loan Facility must be fully drawn on the Closing Date, will mature four years from the Closing Date and will be subject to quarterly amortization of 5% per annum beginning 24 months after the Closing Date. Chardan is a guarantor under the Term Loan Facility.</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consideration for the Term Loan Facility, New Dragonfly also issued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 (ii) 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Facility Letter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contains terms that are consistent with the Equity Facility Letter Agreement and customary for documentation of this nature. Pursuant to and subject to the conditions to be set forth in the Equity Facility Definitive Documentation, New Dragonfly has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are filed with the Current Report on Form 8-K filed with the SEC on May 15, 2022, and the terms of which are incorporated by reference 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Closing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7, 2022 (the “Closing Date”), Dragonfly Energy Holdings Corp., a Delaware corporation (f/k/a Chardan NexTech Acquisition 2 Corp. (“Chardan”)), consummated the previously announced merger pursuant to the Business Combination Agreement, dated May 15, 2022, as amended by the Amendment to the Business Combination Agreement, dated July 12, 2022, by and among Chardan, Bronco Merger Sub, Inc., a Nevada corporation and a wholly owned subsidiary of Chardan (“Merger Sub”), and Dragonfly Energy Corp., a Nevada corporation (“Legacy Dragonfly”). Chardan’s stockholders approved the Transactions (as defined below) at a special meeting of stockholders held on October 6, 2022.</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Business Combination Agreement, Merger Sub merged with and into Legacy Dragonfly (the “Merger” and, together with the other transactions contemplated by the Business Combination Agreement, the “Transactions”), with Legacy Dragonfly continuing as the surviving corporation in the Merger and a wholly-owned subsidiary of Chardan. On the Closing Date, the registrant changed its name from Chardan NexTech Acquisition 2 Corp. to Dragonfly Energy Holdings Corp.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by virtue of the Merger and without any action on the part of Chardan, Merger Sub, Legacy Dragonfly or the holders of any of the following securities:</w:t>
      </w:r>
    </w:p>
    <w:p>
      <w:pPr>
        <w:spacing w:after="0" w:line="170" w:lineRule="exact"/>
        <w:rPr>
          <w:sz w:val="20"/>
          <w:szCs w:val="20"/>
          <w:color w:val="auto"/>
        </w:rPr>
      </w:pPr>
    </w:p>
    <w:p>
      <w:pPr>
        <w:jc w:val="both"/>
        <w:ind w:firstLine="8"/>
        <w:spacing w:after="0" w:line="275" w:lineRule="auto"/>
        <w:tabs>
          <w:tab w:leader="none" w:pos="267"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outstanding share of Legacy Dragonfly’s common stock, par value $0.001 per share (“Legacy Dragonfly Common Stock”), converted into (i) a certain number of shares of the Company’s common stock, par value $0.0001 per share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spacing w:after="0" w:line="176" w:lineRule="exact"/>
        <w:rPr>
          <w:rFonts w:ascii="Arial" w:cs="Arial" w:eastAsia="Arial" w:hAnsi="Arial"/>
          <w:sz w:val="17"/>
          <w:szCs w:val="17"/>
          <w:color w:val="auto"/>
        </w:rPr>
      </w:pPr>
    </w:p>
    <w:p>
      <w:pPr>
        <w:jc w:val="both"/>
        <w:ind w:firstLine="8"/>
        <w:spacing w:after="0" w:line="272" w:lineRule="auto"/>
        <w:tabs>
          <w:tab w:leader="none" w:pos="2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option to purchase shares of Legacy Dragonfly Common Stock, was assumed and converted into options to acquire shares of Common Stock. The portion of the Merger Consideration reflecting the conversion of the Legacy Dragonfly options was calculated assuming that all the Company options are net-settled. With respect to the Company options received in respect of Legacy Dragonfly options that are outstanding immediately prior to the Closing and cash exercised after the Closing, up to 627,498 additional shares of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Merger Consideration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Common Stock in three tranches.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first tranche of 15,000,000 shares is issuable if the Company’s 2023 total audited revenue is equal to or greater than $250 million and the Company’s 2023 audited operating income is equal to or greater than $35 million. The second tranche of 12,500,000 shares is issuable upon achieving a volume-weighted average trading price threshold of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the Merger and the terms of the Business Combination Agreement are included in the proxy statement/prospectus, dated September 16, 2022 (the “Proxy Statement/Prospectus”) as filed with the SEC in the section entitled “Proposal No. 1 — The Business Combination Proposal” of the Proxy Statement/Prospectus.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Investment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subscription agreement, dated as of May 15, 2022 (the “Subscription Agreement”), by and between Chardan and Chardan NexTech Investments 2 LLC (or an affiliate thereof if assigned pursuant to the Subscription Agreement, the “Sponsor”), the Sponsor agreed to purchase, and Chardan agreed to sell to the Sponsor, an aggregate of 500,000 shares of Chardan common stock (“Chardan Common Stock”) for gross proceeds to Chardan of $5 million in a private placement. On September 28, 2022, the Sponsor and Chardan Capital Markets LLC, a New York limited liability company (“CCM LLC”), entered into an assignment, assumption and joinder agreement, pursuant to which the Sponsor assigned all of the Sponsor’s rights, benefits and obligations under the Subscription Agreement to CCM LLC.</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the Company because such shares are not redeemed (the “Offset”). During the week of September 26, 2022 CCM LLC acquired in the open market in total 485,000 shares of Common Stock at purchase prices per share ranging from $10.33 to $10.38 (such shares, the “Purchased Shares”). The Purchased Shares were not redeemed, resulting in (i) the Company’s receipt of $5,016,547 from the Trust Account (based on a per share redemption price of $10.34) and (ii) a reduction in CCM LLC’s purchase commitment under the Subscription Agreement to zero in accordance with the Offset.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Consistent with the previously disclosed commitment letter (the “Debt Commitment Letter”) between Chardan and Legacy Dragonfly, CCM Investments 5 LLC, an affiliate of CCM LLC (“CCM 5”, and in connection with the Term Loan, the “Chardan Lender”), and EICF Agent LLC (“EIP” and, collectively with the Chardan Lender, the “Initial Term Loan Lenders”), in connection with the Closing, Chardan, Legacy Dragonfly and the Initial Term Loan Lenders entered into the Term Loan, Guarantee and Security Agreement (the “Term Loan Agreement”) setting forth the terms of a senior secured term loan facility in an aggregate principal amount of $75 million (the “Term Loan”). The Chardan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(ii) to support the Transaction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w:t>
      </w:r>
    </w:p>
    <w:p>
      <w:pPr>
        <w:spacing w:after="0" w:line="1" w:lineRule="exact"/>
        <w:rPr>
          <w:sz w:val="20"/>
          <w:szCs w:val="20"/>
          <w:color w:val="auto"/>
        </w:rPr>
      </w:pPr>
    </w:p>
    <w:p>
      <w:pPr>
        <w:jc w:val="both"/>
        <w:ind w:right="20" w:firstLine="8"/>
        <w:spacing w:after="0" w:line="295" w:lineRule="auto"/>
        <w:tabs>
          <w:tab w:leader="none" w:pos="2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entered into</w:t>
      </w:r>
    </w:p>
    <w:p>
      <w:pPr>
        <w:spacing w:after="0" w:line="35" w:lineRule="exact"/>
        <w:rPr>
          <w:sz w:val="20"/>
          <w:szCs w:val="20"/>
          <w:color w:val="auto"/>
        </w:rPr>
      </w:pPr>
    </w:p>
    <w:p>
      <w:pPr>
        <w:jc w:val="both"/>
        <w:ind w:firstLine="8"/>
        <w:spacing w:after="0" w:line="292" w:lineRule="auto"/>
        <w:tabs>
          <w:tab w:leader="none" w:pos="22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with the previously disclosed equity facility letter agreement between Legacy Dragonfly and CCM 5, the Company and CCM LLC entered into a purchase agreement (the “Purchase Agreement”) and a Registration Rights Agreement (the “ChEF RRA”) in connection with the Closing.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“qualified independent underwriter” with respect to the transactions contemplated by the Purchase Agreement.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 million, over the term of the equity facility (“ChEF Equity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Agreements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Concurrently with the execution of the Business Combination Agreement, Chardan, Legacy Dragonfly and the Sponsor entered into a sponsor support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the Closing Date, in connection with the consummation of the Transactions, the Company entered into indemnification agreements with each of its directors and executive officers. These agreements, among other things, will require the Company to indemnify the Company’s directors and executive officers for certain expenses, including attorneys’ fees, judgments and fines incurred by a director or executive officer in any action or proceeding arising out of their services as one of the Company’s directors or executive officers or any other company or enterprise to which the person provides services at the Company’s request.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Closing Date, in connection with the consummation of the Transactions, the Company entered into the Amended and Restated Registration Rights Agreement with the Sponsor, Chardan’s officers, directors, initial stockholders, CCM LLC and Warrant Holdings, an affiliate of the Sponsor (collectively, the “Insiders”) and certain Legacy Dragonfly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for the period from June 23, 2020 (Inception) through September 30, 2022 were organizational activities, those necessary to prepare for the Initial Public Offering, described below. We do not expect to generate any operating revenues until after the completion of our initial business combination. We generate non-operating income in the form of interest income on investments held after the Initial Public Offering. We incur expenses as a result of being a public company (for legal, financial reporting, accounting and auditing compliance), as well as due diligence expenses.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September 30, 2022, we had a net loss of $1,919,615, which resulted from a net gain on marketable securities held in Trust Account in the amount of $279,627, which was partially offset by the change in fair value of warrant liabilities of $1,110,686, operating and formation costs of $999,216, franchise tax expense of $50,000, and income tax expense of $39,340.</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nine months ended September 30, 2022, we had a net loss of $1,298,108, which resulted from the change in fair value of warrant liabilities of $46,279 and a net gain on marketable securities held in Trust Account in the amount of $469,109, which was partially offset by operating and formation costs of $1,623,500, franchise tax expense of $150,656, and income tax expense of $39,340.</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2021, we had net income of $2,690,543, which resulted from by the change in fair value of warrant liabilities of $4,072,514 and a net gain on marketable securities held in Trust Account in the amount of $7,023, which was partially offset by operating and formation costs of $92,234, franchise tax expense of $24,034, loss on sale of Private Warrants of $1,253,929, and warrant issuance costs of $18,797.</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2021, we had net income of $2,689,709, which resulted from the change in fair value of warrant liabilities of $4,072,514, and an unrealized gain on marketable securities held in Trust Account in the amount of 7,023, which was partially offset by warrant issuance costs of $18,797 associated with the Initial Public Offering, operating and formation costs of $93,068, loss on sale of Private Warrants of $1,253,929, and franchise tax expense of $24,034.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and December 31, 2021, the Company had $316,023 and $799,808 in cash held outside of the Trust Account, respectively. As of September 30, 2022, the Company had a working capital deficit of $ 1,125,637. As of December 31, 2021, the Company had a working capital surplus of $988,187.</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2022, net cash used in operating activities was $583,456, which was due to the change in fair value of warrants of $46,279, a net gain on investments in the Trust Account of $469,109, and our net loss of $1,298,108, partially offset by changes in operating assets and liabilities of $1,230,040.</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2021, net cash used in operating activities was $459,653, which was due to the change in fair value of warrants of $4,072,514, changes in operating assets and liabilities of $342,550, and net gain on investments in the Trust Account of $7,023, partially offset by our net income of $2,689,709, loss on sale of Private Warrants of $1,253,928, and expensed offering costs of $18,797.</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2022, net cash provided by investing activities was $96,894,621, of which was due to proceeds from the trust account for payment of redeeming stockholder $97,194,950, and $99,671 due to proceeds from the Trust Account to pay franchise tax, partially offset by $400,000 deposited into the trust account.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2021, net cash used in investing activities was $128,397,500, which was due to the amount of net proceeds from the Initial Public Offering being deposited to the Trust Account.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 months ended September 30, 2022, net cash flows used in financing activities was $96,794,950, which was due to $97,194,950 of payments to redeeming stockholders, partially offset by $400,000 of proceeds from promissory notes-related party.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2021, net cash provided by financing activities was $129,719,361, which was comprised of $126,000,000 in proceeds from the issuance of units in the Initial Public Offering net of underwriter’s discount paid, $4,299,500 in proceeds from the issuance of warrants in a private placement to Holdings, and proceeds from issuance of a promissory note of $155,000 to our Sponsor, offset in part by payment of $580,139 for offering costs associated with the Initial Public Offering and repayment of the outstanding balance on the promissory note to our Sponsor of $155,000.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13, 2021, we consummated the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Warrant Holdings purchased an aggregate of 4,361,456 Private Warrants at a price of $0.93 per Private Warrant ($4,052,000 in the aggregate). Each Private Warrant entitles the holder to purchase three-fourths of one share of common stock at an exercise price of $11.50 per share.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September 30, 2022 or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2022 and December 31, 2021, we did not have any long-term debt, capital or operating lease obligations. We entered into an administrative services agreement pursuant to which we pay the Sponsor for office space and secretarial and administrative services provided to members of our management team, in an amount not to exceed $10,000 per month.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ectPr>
          <w:pgSz w:w="11900" w:h="16838" w:orient="portrait"/>
          <w:cols w:equalWidth="0" w:num="1">
            <w:col w:w="9920"/>
          </w:cols>
          <w:pgMar w:left="980" w:top="665"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Marketing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paid Chardan Capital Markets LLC a cash fee for such services upon the consummation of the Company’s initial Business Combination in an amount equal to, in the aggregate, 3.5% of the gross proceeds of the Initial Public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Extension Loans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discussed in Note 1 to the Financial Statements, the Company could extend the period of time to consummate an initial Business Combination up to three times, for an additional one month each time (for a total of up to three months to complete a Business Combination). In order to extend the time available for the Company to consummate a Business Combination, the initial stockholders or their affiliates or designees must deposit into the Trust Account $200,000 if extended for each of the 1-month terms), on or prior to the date of the applicable deadline. Additionally, as discussed in Note 1, the Company held a Special Meeting where the Stockholders approved the proposal to amend the Company’s Charter to provide the Company’s Insiders the ability to extend the date by which the Company must complete a business combination up to three (3) times for an additional one (1) month each time (for a maximum of three</w:t>
      </w:r>
    </w:p>
    <w:p>
      <w:pPr>
        <w:spacing w:after="0" w:line="2" w:lineRule="exact"/>
        <w:rPr>
          <w:sz w:val="20"/>
          <w:szCs w:val="20"/>
          <w:color w:val="auto"/>
        </w:rPr>
      </w:pPr>
    </w:p>
    <w:p>
      <w:pPr>
        <w:jc w:val="both"/>
        <w:ind w:firstLine="8"/>
        <w:spacing w:after="0" w:line="295" w:lineRule="auto"/>
        <w:tabs>
          <w:tab w:leader="none" w:pos="2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one-month extensions). Any such payments would be made in the form of a loan. The terms of the promissory note to be issued in connection with any such loans have not yet been negotiated. Upon the consummation of the Business Combination, the Company repaid such loaned amounts out of the proceeds of the Trust Account released to the Company. The initial stockholders and their affiliates or designees were not obligated to fund the Trust Account to extend the time for the Company to complete an initial Business Combination.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8, 2022, the Company notified the Trustee that it was extending the time available to the Company to consummate its initial business combination for an additional one (1) month from August 13, 2022 to September 13, 2022 (“Extension No. 1”). Extension No. 1 provided the Company with additional time to complete its proposed business combination with Dragonfly. Extension No. 1 was the first of up to three (3) one-month extensions permitted under the Company’s Second A&amp;R Charter.</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Extension No. 1, the Company’s officers, directors, initial stockholders and Chardan NexTech 2 Warrant Holdings, LLC (collectively, the “Insiders”), their affiliates or designees deposited an aggregate of $200,000 (the “First Extension Payment”) into the Trust Account prior to August 13, 2022, on behalf of the Company. In connection with its First Extension Payment, the Insiders will receive a non-interest bearing, unsecured promissory note equal to the First Extension Payment that would not have been repaid if the Company was unable to close a business combination, unless there were funds available outside its Trust Account to do so.</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6, 2022, the Company notified Continental Stock Transfer &amp; Trust Company that it was extending the time available to the Company to consummate its initial business combination for an additional one (1) month from September 13, 2022 to October 13, 2022 (“Extension No. 2”). Extension No. 2 provided the Company with additional time to complete its proposed business combination with Dragonfly. Extension No. 2 was the second of up to three (3) 1-month extensions permitted under the Company’s Second A&amp;R Charter.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Extension No. 2, the Company’s officers, directors, initial stockholders and Chardan NexTech 2 Warrant Holdings, LLC, their affiliates or designees deposited an aggregate of $200,000 (the “Second Extension Payment”) into the Trust Account prior to September 12, 2022, on behalf of the Company. In connection with its Second Extension Payment, the Insiders received a non-interest bearing, unsecured promissory note equal to the Second Extension Payment that would not have been repaid if the Company was unable to close a business combination, unless there were funds available outside its Trust Account to do so.</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 the Company had an outstanding balance in promissory note - related party of $400,000 in relation to Extension No 1 and Extension No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unaudited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unaudited condensed consolidated financial statements, and income and expenses during the periods reported. Actual results could materially differ from those estimates. We have identified the following critical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consolidated statements of operations.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consolidated statements of operations in the period of change.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On August 5, 2022, in connection with the Charter Amendment, 9,556,652 shares of Chardan common stock were redeemed, resulting in the distribution of $97,194,950 from the Trust Account to the redeeming stockholders. Following such redemptions, approximately $31,460,579 million remained in the Trust Account and 6,255,848 shares of Common Stock remained issued and outstanding. Accordingly, as of September 30, 2022 and December 31, 2021, 3,093,348 and 12,650,000 shares of common stock subject to possible redemption are presented as temporary equity, outside of the stockholders’ equity section of the Company’s unaudited condensed consolidated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 of Common Stock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complies with accounting and disclosure requirements of ASC 260, Earnings Per Share. Net income (loss) per common share is computed by dividing net earnings by the weighted-average number of shares of common stock outstanding during the period.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unaudited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upon their evaluation, our Chief Executive Officer and Chief Financial Officer concluded that our disclosure controls and procedures (as defined in Rules 13a-15 € and 15d-15 (e) under the Exchange Act) were not effective as of September 30, 2022, due to the revision of the Balance Sheet as of August 13, 2021 that was included in a Form 8-K, Item 8.01, filed on August 19, 2021, regarding the classification of redeemable common stock, as described below, which constitutes a material weakness in our internal control over financial reporting. The revision was included as part of the September 30, 2021 Form 10-Q, as filed with the SEC on November 15, 2021.</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concluded that a material weakness in internal control over financial reporting existed relating to the accounting treatment for complex financial instruments.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than the implementation of the remediation activities regarding the Company’s Balance Sheet on the Form 8-K filed on August 13, 2021, there has been no change in our internal control over financial reporting (as defined in Rules 13a-15(f) and 15d-15(f) under the Exchange Act) during the most recent fiscal quarter that has materially affected, or is reasonably likely to materially affect, our internal control over financial reporting. Management has enhanced our processes to identify and appropriately apply applicable accounting requirements to better evaluate and understand the nuances of the complex accounting standards that apply to our unaudited condensed consolidated financial statements. Our updated processes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of this Report, there have been no material changes to the risk factors disclosed in the Company’s proxy statement/prospectus, dated September 16, 2022 (the “Proxy Statement/Prospectus”) as filed with the SEC. in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beginning on page 52 thereof and are incorporated herein by reference. A summary of the risks associated with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are also described on pages 41-43 of the Proxy Statement/Prospectus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and are incorporated herein by reference.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subscription agreement, dated as of May 15, 2022 (the “Subscription Agreement”), by and between CNTQ and Chardan NexTech Investments 2 LLC (or an affiliate thereof if assigned pursuant to the Subscription Agreement, the “Sponsor”),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(the “Offset”). During the week of September 26, 2022 CCM acquired in the open market in total 485,000 shares of common stock at purchase prices per share ranging from $10.33 to $10.38 (such shares, the “Purchased Shares”).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pursuant to the terms of the Subscription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20" w:type="dxa"/>
            <w:vAlign w:val="bottom"/>
            <w:gridSpan w:val="15"/>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w w:val="94"/>
              </w:rPr>
              <w:t>Incorporated By Reference</w:t>
            </w:r>
          </w:p>
        </w:tc>
        <w:tc>
          <w:tcPr>
            <w:tcW w:w="0" w:type="dxa"/>
            <w:vAlign w:val="bottom"/>
          </w:tcPr>
          <w:p>
            <w:pPr>
              <w:spacing w:after="0"/>
              <w:rPr>
                <w:sz w:val="1"/>
                <w:szCs w:val="1"/>
                <w:color w:val="auto"/>
              </w:rPr>
            </w:pPr>
          </w:p>
        </w:tc>
      </w:tr>
      <w:tr>
        <w:trPr>
          <w:trHeight w:val="142"/>
        </w:trPr>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720" w:type="dxa"/>
            <w:vAlign w:val="bottom"/>
            <w:gridSpan w:val="15"/>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2"/>
                <w:szCs w:val="12"/>
                <w:color w:val="auto"/>
              </w:rPr>
            </w:pPr>
          </w:p>
        </w:tc>
        <w:tc>
          <w:tcPr>
            <w:tcW w:w="88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2"/>
                <w:szCs w:val="12"/>
                <w:color w:val="auto"/>
              </w:rPr>
            </w:pPr>
          </w:p>
        </w:tc>
        <w:tc>
          <w:tcPr>
            <w:tcW w:w="12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auto"/>
            </w:tcBorders>
            <w:gridSpan w:val="16"/>
          </w:tcPr>
          <w:p>
            <w:pPr>
              <w:spacing w:after="0" w:line="169" w:lineRule="exact"/>
              <w:rPr>
                <w:rFonts w:ascii="Arial" w:cs="Arial" w:eastAsia="Arial" w:hAnsi="Arial"/>
                <w:sz w:val="18"/>
                <w:szCs w:val="18"/>
                <w:color w:val="0000EE"/>
              </w:rPr>
            </w:pPr>
            <w:hyperlink r:id="rId55">
              <w:r>
                <w:rPr>
                  <w:rFonts w:ascii="Arial" w:cs="Arial" w:eastAsia="Arial" w:hAnsi="Arial"/>
                  <w:sz w:val="18"/>
                  <w:szCs w:val="18"/>
                  <w:color w:val="0000EE"/>
                </w:rPr>
                <w:t xml:space="preserve">Form of </w:t>
              </w:r>
              <w:r>
                <w:rPr>
                  <w:rFonts w:ascii="Arial" w:cs="Arial" w:eastAsia="Arial" w:hAnsi="Arial"/>
                  <w:sz w:val="18"/>
                  <w:szCs w:val="18"/>
                  <w:u w:val="single" w:color="auto"/>
                  <w:color w:val="0000EE"/>
                </w:rPr>
                <w:t>$</w:t>
              </w:r>
              <w:r>
                <w:rPr>
                  <w:rFonts w:ascii="Arial" w:cs="Arial" w:eastAsia="Arial" w:hAnsi="Arial"/>
                  <w:sz w:val="18"/>
                  <w:szCs w:val="18"/>
                  <w:color w:val="0000EE"/>
                </w:rPr>
                <w:t>10 Warrant of the Company.</w:t>
              </w:r>
            </w:hyperlink>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8-K</w:t>
            </w:r>
          </w:p>
        </w:tc>
        <w:tc>
          <w:tcPr>
            <w:tcW w:w="240" w:type="dxa"/>
            <w:vAlign w:val="bottom"/>
          </w:tcPr>
          <w:p>
            <w:pPr>
              <w:spacing w:after="0"/>
              <w:rPr>
                <w:sz w:val="14"/>
                <w:szCs w:val="14"/>
                <w:color w:val="auto"/>
              </w:rPr>
            </w:pPr>
          </w:p>
        </w:tc>
        <w:tc>
          <w:tcPr>
            <w:tcW w:w="880" w:type="dxa"/>
            <w:vAlign w:val="bottom"/>
            <w:tcBorders>
              <w:top w:val="single" w:sz="8" w:color="auto"/>
            </w:tcBorders>
          </w:tcPr>
          <w:p>
            <w:pPr>
              <w:jc w:val="right"/>
              <w:ind w:right="579"/>
              <w:spacing w:after="0" w:line="169" w:lineRule="exact"/>
              <w:rPr>
                <w:sz w:val="20"/>
                <w:szCs w:val="20"/>
                <w:color w:val="auto"/>
              </w:rPr>
            </w:pPr>
            <w:r>
              <w:rPr>
                <w:rFonts w:ascii="Arial" w:cs="Arial" w:eastAsia="Arial" w:hAnsi="Arial"/>
                <w:sz w:val="18"/>
                <w:szCs w:val="18"/>
                <w:color w:val="auto"/>
                <w:w w:val="79"/>
              </w:rPr>
              <w:t>4.2</w:t>
            </w:r>
          </w:p>
        </w:tc>
        <w:tc>
          <w:tcPr>
            <w:tcW w:w="180" w:type="dxa"/>
            <w:vAlign w:val="bottom"/>
          </w:tcPr>
          <w:p>
            <w:pPr>
              <w:spacing w:after="0"/>
              <w:rPr>
                <w:sz w:val="14"/>
                <w:szCs w:val="14"/>
                <w:color w:val="auto"/>
              </w:rPr>
            </w:pPr>
          </w:p>
        </w:tc>
        <w:tc>
          <w:tcPr>
            <w:tcW w:w="120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8"/>
                <w:szCs w:val="18"/>
                <w:color w:val="auto"/>
                <w:w w:val="88"/>
              </w:rPr>
              <w:t>09/29/2022</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Form of Penny Warrant of the Company</w:t>
              </w:r>
            </w:hyperlink>
          </w:p>
        </w:tc>
        <w:tc>
          <w:tcPr>
            <w:tcW w:w="2160" w:type="dxa"/>
            <w:vAlign w:val="bottom"/>
            <w:gridSpan w:val="12"/>
          </w:tcPr>
          <w:p>
            <w:pPr>
              <w:spacing w:after="0"/>
              <w:rPr>
                <w:sz w:val="17"/>
                <w:szCs w:val="17"/>
                <w:color w:val="auto"/>
              </w:rPr>
            </w:pPr>
          </w:p>
        </w:tc>
        <w:tc>
          <w:tcPr>
            <w:tcW w:w="9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8-K</w:t>
            </w:r>
          </w:p>
        </w:tc>
        <w:tc>
          <w:tcPr>
            <w:tcW w:w="112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4.1</w:t>
            </w:r>
          </w:p>
        </w:tc>
        <w:tc>
          <w:tcPr>
            <w:tcW w:w="1380" w:type="dxa"/>
            <w:vAlign w:val="bottom"/>
            <w:gridSpan w:val="2"/>
          </w:tcPr>
          <w:p>
            <w:pPr>
              <w:jc w:val="right"/>
              <w:ind w:right="299"/>
              <w:spacing w:after="0" w:line="196" w:lineRule="exact"/>
              <w:rPr>
                <w:sz w:val="20"/>
                <w:szCs w:val="20"/>
                <w:color w:val="auto"/>
              </w:rPr>
            </w:pPr>
            <w:r>
              <w:rPr>
                <w:rFonts w:ascii="Arial" w:cs="Arial" w:eastAsia="Arial" w:hAnsi="Arial"/>
                <w:sz w:val="18"/>
                <w:szCs w:val="18"/>
                <w:color w:val="auto"/>
              </w:rPr>
              <w:t>09/29/2022</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47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Investment Management Trust Agreement, dated as of August 10,</w:t>
              </w:r>
            </w:hyperlink>
          </w:p>
        </w:tc>
        <w:tc>
          <w:tcPr>
            <w:tcW w:w="300" w:type="dxa"/>
            <w:vAlign w:val="bottom"/>
            <w:gridSpan w:val="3"/>
          </w:tcPr>
          <w:p>
            <w:pPr>
              <w:spacing w:after="0"/>
              <w:rPr>
                <w:sz w:val="17"/>
                <w:szCs w:val="17"/>
                <w:color w:val="auto"/>
              </w:rPr>
            </w:pPr>
          </w:p>
        </w:tc>
        <w:tc>
          <w:tcPr>
            <w:tcW w:w="9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8-K</w:t>
            </w:r>
          </w:p>
        </w:tc>
        <w:tc>
          <w:tcPr>
            <w:tcW w:w="112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10.2</w:t>
            </w:r>
          </w:p>
        </w:tc>
        <w:tc>
          <w:tcPr>
            <w:tcW w:w="1380" w:type="dxa"/>
            <w:vAlign w:val="bottom"/>
            <w:gridSpan w:val="2"/>
          </w:tcPr>
          <w:p>
            <w:pPr>
              <w:jc w:val="right"/>
              <w:ind w:right="299"/>
              <w:spacing w:after="0" w:line="196" w:lineRule="exact"/>
              <w:rPr>
                <w:sz w:val="20"/>
                <w:szCs w:val="20"/>
                <w:color w:val="auto"/>
              </w:rPr>
            </w:pPr>
            <w:r>
              <w:rPr>
                <w:rFonts w:ascii="Arial" w:cs="Arial" w:eastAsia="Arial" w:hAnsi="Arial"/>
                <w:sz w:val="18"/>
                <w:szCs w:val="18"/>
                <w:color w:val="auto"/>
              </w:rPr>
              <w:t>08/13/2021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2021, by and between Continental Stock &amp; Trust Company and</w:t>
              </w:r>
            </w:hyperlink>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Chardan NexTech Acquisition 2 Corp.</w:t>
              </w:r>
            </w:hyperlink>
          </w:p>
        </w:tc>
        <w:tc>
          <w:tcPr>
            <w:tcW w:w="50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8"/>
              </w:rPr>
            </w:pPr>
            <w:hyperlink r:id="rId58">
              <w:r>
                <w:rPr>
                  <w:rFonts w:ascii="Arial" w:cs="Arial" w:eastAsia="Arial" w:hAnsi="Arial"/>
                  <w:sz w:val="18"/>
                  <w:szCs w:val="18"/>
                  <w:color w:val="0000EE"/>
                  <w:w w:val="98"/>
                </w:rPr>
                <w:t>Amendment No. 1 to Investment Management Trust Agreement,</w:t>
              </w:r>
            </w:hyperlink>
          </w:p>
        </w:tc>
        <w:tc>
          <w:tcPr>
            <w:tcW w:w="9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8-K</w:t>
            </w:r>
          </w:p>
        </w:tc>
        <w:tc>
          <w:tcPr>
            <w:tcW w:w="112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10.1</w:t>
            </w:r>
          </w:p>
        </w:tc>
        <w:tc>
          <w:tcPr>
            <w:tcW w:w="1380" w:type="dxa"/>
            <w:vAlign w:val="bottom"/>
            <w:gridSpan w:val="2"/>
          </w:tcPr>
          <w:p>
            <w:pPr>
              <w:jc w:val="right"/>
              <w:ind w:right="299"/>
              <w:spacing w:after="0" w:line="196" w:lineRule="exact"/>
              <w:rPr>
                <w:sz w:val="20"/>
                <w:szCs w:val="20"/>
                <w:color w:val="auto"/>
              </w:rPr>
            </w:pPr>
            <w:r>
              <w:rPr>
                <w:rFonts w:ascii="Arial" w:cs="Arial" w:eastAsia="Arial" w:hAnsi="Arial"/>
                <w:sz w:val="18"/>
                <w:szCs w:val="18"/>
                <w:color w:val="auto"/>
              </w:rPr>
              <w:t>08/05/2022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dated as of August 5, 2022, by and between the Company and</w:t>
              </w:r>
            </w:hyperlink>
          </w:p>
        </w:tc>
        <w:tc>
          <w:tcPr>
            <w:tcW w:w="180" w:type="dxa"/>
            <w:vAlign w:val="bottom"/>
            <w:tcBorders>
              <w:top w:val="single" w:sz="8" w:color="0000EE"/>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Continental Stock Transfer &amp; Trust Company, as trustee</w:t>
              </w:r>
            </w:hyperlink>
          </w:p>
        </w:tc>
        <w:tc>
          <w:tcPr>
            <w:tcW w:w="10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48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Promissory Note, dated as of August 11, 2022, by and between the</w:t>
              </w:r>
            </w:hyperlink>
          </w:p>
        </w:tc>
        <w:tc>
          <w:tcPr>
            <w:tcW w:w="260" w:type="dxa"/>
            <w:vAlign w:val="bottom"/>
            <w:gridSpan w:val="2"/>
          </w:tcPr>
          <w:p>
            <w:pPr>
              <w:spacing w:after="0"/>
              <w:rPr>
                <w:sz w:val="17"/>
                <w:szCs w:val="17"/>
                <w:color w:val="auto"/>
              </w:rPr>
            </w:pPr>
          </w:p>
        </w:tc>
        <w:tc>
          <w:tcPr>
            <w:tcW w:w="9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8-K</w:t>
            </w:r>
          </w:p>
        </w:tc>
        <w:tc>
          <w:tcPr>
            <w:tcW w:w="112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10.7</w:t>
            </w:r>
          </w:p>
        </w:tc>
        <w:tc>
          <w:tcPr>
            <w:tcW w:w="1380" w:type="dxa"/>
            <w:vAlign w:val="bottom"/>
            <w:gridSpan w:val="2"/>
          </w:tcPr>
          <w:p>
            <w:pPr>
              <w:jc w:val="right"/>
              <w:ind w:right="299"/>
              <w:spacing w:after="0" w:line="196" w:lineRule="exact"/>
              <w:rPr>
                <w:sz w:val="20"/>
                <w:szCs w:val="20"/>
                <w:color w:val="auto"/>
              </w:rPr>
            </w:pPr>
            <w:r>
              <w:rPr>
                <w:rFonts w:ascii="Arial" w:cs="Arial" w:eastAsia="Arial" w:hAnsi="Arial"/>
                <w:sz w:val="18"/>
                <w:szCs w:val="18"/>
                <w:color w:val="auto"/>
              </w:rPr>
              <w:t>08/15/2022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Company and Chardan NexTech 2 Warrant Holdings, LLC.</w:t>
              </w:r>
            </w:hyperlink>
          </w:p>
        </w:tc>
        <w:tc>
          <w:tcPr>
            <w:tcW w:w="78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7"/>
                <w:szCs w:val="17"/>
                <w:color w:val="auto"/>
              </w:rPr>
            </w:pPr>
          </w:p>
        </w:tc>
        <w:tc>
          <w:tcPr>
            <w:tcW w:w="47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Certification of Principal Executive Officer Pursuant to Securities</w:t>
            </w:r>
          </w:p>
        </w:tc>
        <w:tc>
          <w:tcPr>
            <w:tcW w:w="32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Exchange Act Rules 13a-14(a) and 15(d)-14(a), as adopted Pursuant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to Section 302 of the Sarbanes-Oxley Act of 2002</w:t>
            </w:r>
          </w:p>
        </w:tc>
        <w:tc>
          <w:tcPr>
            <w:tcW w:w="146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5060" w:type="dxa"/>
            <w:vAlign w:val="bottom"/>
            <w:gridSpan w:val="17"/>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Securities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34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Exchange Act Rules 13a-14(a) and 15(d)-14(a), as adopted Pursuant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to Section 302 of the Sarbanes-Oxley Act of 2002</w:t>
            </w:r>
          </w:p>
        </w:tc>
        <w:tc>
          <w:tcPr>
            <w:tcW w:w="146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47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Certification of Principal Executive Officer Pursuant to 18 U.S.C.</w:t>
            </w:r>
          </w:p>
        </w:tc>
        <w:tc>
          <w:tcPr>
            <w:tcW w:w="32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gridSpan w:val="17"/>
          </w:tcPr>
          <w:p>
            <w:pPr>
              <w:spacing w:after="0" w:line="196" w:lineRule="exact"/>
              <w:rPr>
                <w:sz w:val="20"/>
                <w:szCs w:val="20"/>
                <w:color w:val="auto"/>
              </w:rPr>
            </w:pPr>
            <w:r>
              <w:rPr>
                <w:rFonts w:ascii="Arial" w:cs="Arial" w:eastAsia="Arial" w:hAnsi="Arial"/>
                <w:sz w:val="18"/>
                <w:szCs w:val="18"/>
                <w:color w:val="0000EE"/>
                <w:w w:val="93"/>
              </w:rPr>
              <w:t>Section 1350, as adopted Pursuant to Section 906 of the Sarbanes-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3420" w:type="dxa"/>
            <w:vAlign w:val="bottom"/>
            <w:tcBorders>
              <w:top w:val="single" w:sz="8" w:color="0000EE"/>
            </w:tcBorders>
            <w:gridSpan w:val="12"/>
          </w:tcPr>
          <w:p>
            <w:pPr>
              <w:spacing w:after="0"/>
              <w:rPr>
                <w:sz w:val="17"/>
                <w:szCs w:val="17"/>
                <w:color w:val="auto"/>
              </w:rPr>
            </w:pPr>
          </w:p>
        </w:tc>
        <w:tc>
          <w:tcPr>
            <w:tcW w:w="3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240" w:type="dxa"/>
            <w:vAlign w:val="bottom"/>
          </w:tcPr>
          <w:p>
            <w:pPr>
              <w:spacing w:after="0"/>
              <w:rPr>
                <w:sz w:val="17"/>
                <w:szCs w:val="17"/>
                <w:color w:val="auto"/>
              </w:rPr>
            </w:pPr>
          </w:p>
        </w:tc>
        <w:tc>
          <w:tcPr>
            <w:tcW w:w="5060" w:type="dxa"/>
            <w:vAlign w:val="bottom"/>
            <w:gridSpan w:val="17"/>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18 U.S.C.</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80" w:type="dxa"/>
            <w:vAlign w:val="bottom"/>
            <w:gridSpan w:val="1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gridSpan w:val="17"/>
          </w:tcPr>
          <w:p>
            <w:pPr>
              <w:spacing w:after="0" w:line="196" w:lineRule="exact"/>
              <w:rPr>
                <w:sz w:val="20"/>
                <w:szCs w:val="20"/>
                <w:color w:val="auto"/>
              </w:rPr>
            </w:pPr>
            <w:r>
              <w:rPr>
                <w:rFonts w:ascii="Arial" w:cs="Arial" w:eastAsia="Arial" w:hAnsi="Arial"/>
                <w:sz w:val="18"/>
                <w:szCs w:val="18"/>
                <w:color w:val="0000EE"/>
                <w:w w:val="93"/>
              </w:rPr>
              <w:t>Section 1350, as adopted Pursuant to Section 906 of the Sarbanes-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3420" w:type="dxa"/>
            <w:vAlign w:val="bottom"/>
            <w:tcBorders>
              <w:top w:val="single" w:sz="8" w:color="0000EE"/>
            </w:tcBorders>
            <w:gridSpan w:val="12"/>
          </w:tcPr>
          <w:p>
            <w:pPr>
              <w:spacing w:after="0"/>
              <w:rPr>
                <w:sz w:val="17"/>
                <w:szCs w:val="17"/>
                <w:color w:val="auto"/>
              </w:rPr>
            </w:pPr>
          </w:p>
        </w:tc>
        <w:tc>
          <w:tcPr>
            <w:tcW w:w="3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9"/>
                <w:szCs w:val="19"/>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XBRL Taxonomy Extension Labels Linkbase Document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0"/>
                <w:szCs w:val="20"/>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420" w:right="3540" w:hanging="1412"/>
        <w:spacing w:after="0" w:line="260"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15684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5" w:lineRule="exact"/>
        <w:rPr>
          <w:sz w:val="20"/>
          <w:szCs w:val="20"/>
          <w:color w:val="auto"/>
        </w:rPr>
      </w:pPr>
    </w:p>
    <w:p>
      <w:pPr>
        <w:ind w:right="8540" w:firstLine="8"/>
        <w:spacing w:after="0" w:line="342"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440" w:type="dxa"/>
            <w:vAlign w:val="bottom"/>
            <w:gridSpan w:val="2"/>
          </w:tcPr>
          <w:p>
            <w:pPr>
              <w:ind w:left="1600"/>
              <w:spacing w:after="0"/>
              <w:rPr>
                <w:sz w:val="20"/>
                <w:szCs w:val="20"/>
                <w:color w:val="auto"/>
              </w:rPr>
            </w:pPr>
            <w:r>
              <w:rPr>
                <w:rFonts w:ascii="Arial" w:cs="Arial" w:eastAsia="Arial" w:hAnsi="Arial"/>
                <w:sz w:val="18"/>
                <w:szCs w:val="18"/>
                <w:b w:val="1"/>
                <w:bCs w:val="1"/>
                <w:color w:val="auto"/>
              </w:rPr>
              <w:t>Dragonfly Energy Holdings Corp.</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November 14, 2022</w:t>
            </w:r>
          </w:p>
        </w:tc>
        <w:tc>
          <w:tcPr>
            <w:tcW w:w="6440" w:type="dxa"/>
            <w:vAlign w:val="bottom"/>
            <w:gridSpan w:val="2"/>
          </w:tcPr>
          <w:p>
            <w:pPr>
              <w:ind w:left="1600"/>
              <w:spacing w:after="0"/>
              <w:rPr>
                <w:sz w:val="20"/>
                <w:szCs w:val="20"/>
                <w:color w:val="auto"/>
              </w:rPr>
            </w:pPr>
            <w:r>
              <w:rPr>
                <w:rFonts w:ascii="Arial" w:cs="Arial" w:eastAsia="Arial" w:hAnsi="Arial"/>
                <w:sz w:val="18"/>
                <w:szCs w:val="18"/>
                <w:color w:val="auto"/>
              </w:rPr>
              <w:t>By: /s/ Denis Phares</w:t>
            </w:r>
          </w:p>
        </w:tc>
      </w:tr>
      <w:tr>
        <w:trPr>
          <w:trHeight w:val="195"/>
        </w:trPr>
        <w:tc>
          <w:tcPr>
            <w:tcW w:w="3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Denis Phares</w:t>
            </w:r>
          </w:p>
        </w:tc>
      </w:tr>
      <w:tr>
        <w:trPr>
          <w:trHeight w:val="216"/>
        </w:trPr>
        <w:tc>
          <w:tcPr>
            <w:tcW w:w="3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440" w:type="dxa"/>
            <w:vAlign w:val="bottom"/>
            <w:gridSpan w:val="2"/>
          </w:tcPr>
          <w:p>
            <w:pPr>
              <w:ind w:left="1600"/>
              <w:spacing w:after="0"/>
              <w:rPr>
                <w:sz w:val="20"/>
                <w:szCs w:val="20"/>
                <w:color w:val="auto"/>
              </w:rPr>
            </w:pPr>
            <w:r>
              <w:rPr>
                <w:rFonts w:ascii="Arial" w:cs="Arial" w:eastAsia="Arial" w:hAnsi="Arial"/>
                <w:sz w:val="18"/>
                <w:szCs w:val="18"/>
                <w:b w:val="1"/>
                <w:bCs w:val="1"/>
                <w:color w:val="auto"/>
              </w:rPr>
              <w:t>Dragonfly Energy Holdings Corp.</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November 14, 2022</w:t>
            </w:r>
          </w:p>
        </w:tc>
        <w:tc>
          <w:tcPr>
            <w:tcW w:w="6440" w:type="dxa"/>
            <w:vAlign w:val="bottom"/>
            <w:gridSpan w:val="2"/>
          </w:tcPr>
          <w:p>
            <w:pPr>
              <w:ind w:left="1600"/>
              <w:spacing w:after="0"/>
              <w:rPr>
                <w:sz w:val="20"/>
                <w:szCs w:val="20"/>
                <w:color w:val="auto"/>
              </w:rPr>
            </w:pPr>
            <w:r>
              <w:rPr>
                <w:rFonts w:ascii="Arial" w:cs="Arial" w:eastAsia="Arial" w:hAnsi="Arial"/>
                <w:sz w:val="18"/>
                <w:szCs w:val="18"/>
                <w:color w:val="auto"/>
              </w:rPr>
              <w:t>By: /s/ John Marchetti</w:t>
            </w:r>
          </w:p>
        </w:tc>
      </w:tr>
      <w:tr>
        <w:trPr>
          <w:trHeight w:val="195"/>
        </w:trPr>
        <w:tc>
          <w:tcPr>
            <w:tcW w:w="3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Marchetti</w:t>
            </w:r>
          </w:p>
        </w:tc>
      </w:tr>
      <w:tr>
        <w:trPr>
          <w:trHeight w:val="216"/>
        </w:trPr>
        <w:tc>
          <w:tcPr>
            <w:tcW w:w="3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Dragonfly Energy Holdings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5715</wp:posOffset>
            </wp:positionV>
            <wp:extent cx="3060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John Marchetti,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Dragonfly Energy Holdings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65" w:lineRule="exact"/>
        <w:rPr>
          <w:rFonts w:ascii="Arial" w:cs="Arial" w:eastAsia="Arial" w:hAnsi="Arial"/>
          <w:sz w:val="17"/>
          <w:szCs w:val="17"/>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By:/s/ 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5715</wp:posOffset>
            </wp:positionV>
            <wp:extent cx="3060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John Marchetti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Dragonfly Energy Holdings Corp (the “Company”) on Form 10-Q for the quarterly period ended September 30, 2022, as filed with the Securities and Exchange Commission (the “Report”), I, Denis Phares, Chief Executive Officer of the Company, certify, pursuant to 18 U.S.C. §1350, as added by §906 of the Sarbanes-Oxley Act of 2002, that:</w:t>
      </w:r>
    </w:p>
    <w:p>
      <w:pPr>
        <w:spacing w:after="0" w:line="16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5715</wp:posOffset>
            </wp:positionV>
            <wp:extent cx="3060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Dragonfly Energy Holdings Corp (the “Company”) on Form 10-Q for the quarterly period ended September 30, 2022, as filed with the Securities and Exchange Commission (the “Report”), I, John Marchetti, Chief Financial Officer of the Company, certify, pursuant to 18 U.S.C. §1350, as added by §906 of the Sarbanes-Oxley Act of 2002, that:</w:t>
      </w:r>
    </w:p>
    <w:p>
      <w:pPr>
        <w:spacing w:after="0" w:line="16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By:/s/ 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5715</wp:posOffset>
            </wp:positionV>
            <wp:extent cx="3060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John Marchetti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1)"/>
      <w:numFmt w:val="decimal"/>
      <w:start w:val="5"/>
    </w:lvl>
  </w:abstractNum>
  <w:abstractNum w:abstractNumId="2">
    <w:nsid w:val="3352255A"/>
    <w:multiLevelType w:val="hybridMultilevel"/>
    <w:lvl w:ilvl="0">
      <w:lvlJc w:val="left"/>
      <w:lvlText w:val="(%1)"/>
      <w:numFmt w:val="lowerRoman"/>
      <w:start w:val="1"/>
    </w:lvl>
  </w:abstractNum>
  <w:abstractNum w:abstractNumId="3">
    <w:nsid w:val="109CF92E"/>
    <w:multiLevelType w:val="hybridMultilevel"/>
    <w:lvl w:ilvl="0">
      <w:lvlJc w:val="left"/>
      <w:lvlText w:val="(%1)"/>
      <w:numFmt w:val="upperLetter"/>
      <w:start w:val="1"/>
    </w:lvl>
  </w:abstractNum>
  <w:abstractNum w:abstractNumId="4">
    <w:nsid w:val="DED7263"/>
    <w:multiLevelType w:val="hybridMultilevel"/>
    <w:lvl w:ilvl="0">
      <w:lvlJc w:val="left"/>
      <w:lvlText w:val="(%1)"/>
      <w:numFmt w:val="upperLetter"/>
      <w:start w:val="3"/>
    </w:lvl>
  </w:abstractNum>
  <w:abstractNum w:abstractNumId="5">
    <w:nsid w:val="7FDCC233"/>
    <w:multiLevelType w:val="hybridMultilevel"/>
    <w:lvl w:ilvl="0">
      <w:lvlJc w:val="left"/>
      <w:lvlText w:val="(%1)"/>
      <w:numFmt w:val="lowerRoman"/>
      <w:start w:val="5"/>
    </w:lvl>
  </w:abstractNum>
  <w:abstractNum w:abstractNumId="6">
    <w:nsid w:val="1BEFD79F"/>
    <w:multiLevelType w:val="hybridMultilevel"/>
    <w:lvl w:ilvl="0">
      <w:lvlJc w:val="left"/>
      <w:lvlText w:val="(%1)"/>
      <w:numFmt w:val="lowerRoman"/>
      <w:start w:val="4"/>
    </w:lvl>
  </w:abstractNum>
  <w:abstractNum w:abstractNumId="7">
    <w:nsid w:val="41A7C4C9"/>
    <w:multiLevelType w:val="hybridMultilevel"/>
    <w:lvl w:ilvl="0">
      <w:lvlJc w:val="left"/>
      <w:lvlText w:val="(%1)"/>
      <w:numFmt w:val="decimal"/>
      <w:start w:val="10"/>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Roman"/>
      <w:start w:val="2"/>
    </w:lvl>
  </w:abstractNum>
  <w:abstractNum w:abstractNumId="10">
    <w:nsid w:val="25E45D32"/>
    <w:multiLevelType w:val="hybridMultilevel"/>
    <w:lvl w:ilvl="0">
      <w:lvlJc w:val="left"/>
      <w:lvlText w:val="(%1)"/>
      <w:numFmt w:val="lowerRoman"/>
      <w:start w:val="1"/>
    </w:lvl>
  </w:abstractNum>
  <w:abstractNum w:abstractNumId="11">
    <w:nsid w:val="519B500D"/>
    <w:multiLevelType w:val="hybridMultilevel"/>
    <w:lvl w:ilvl="0">
      <w:lvlJc w:val="left"/>
      <w:lvlText w:val="(%1)"/>
      <w:numFmt w:val="upperLetter"/>
      <w:start w:val="1"/>
    </w:lvl>
  </w:abstractNum>
  <w:abstractNum w:abstractNumId="12">
    <w:nsid w:val="431BD7B7"/>
    <w:multiLevelType w:val="hybridMultilevel"/>
    <w:lvl w:ilvl="0">
      <w:lvlJc w:val="left"/>
      <w:lvlText w:val="(%1)"/>
      <w:numFmt w:val="lowerRoman"/>
      <w:start w:val="5"/>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Roman"/>
      <w:start w:val="2"/>
    </w:lvl>
  </w:abstractNum>
  <w:abstractNum w:abstractNumId="15">
    <w:nsid w:val="257130A3"/>
    <w:multiLevelType w:val="hybridMultilevel"/>
    <w:lvl w:ilvl="0">
      <w:lvlJc w:val="left"/>
      <w:lvlText w:val="(%1)"/>
      <w:numFmt w:val="lowerRoman"/>
      <w:start w:val="1"/>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55" Type="http://schemas.openxmlformats.org/officeDocument/2006/relationships/hyperlink" Target="https://www.sec.gov/Archives/edgar/data/1847986/000110465922104185/tm2226976d1_ex4-2.htm" TargetMode="External"/><Relationship Id="rId56" Type="http://schemas.openxmlformats.org/officeDocument/2006/relationships/hyperlink" Target="https://www.sec.gov/Archives/edgar/data/1847986/000110465922104185/tm2226976d1_ex4-1.htm" TargetMode="External"/><Relationship Id="rId57" Type="http://schemas.openxmlformats.org/officeDocument/2006/relationships/hyperlink" Target="https://www.sec.gov/Archives/edgar/data/1847986/000110465921105021/tm2125078d1_ex10-2.htm" TargetMode="External"/><Relationship Id="rId58" Type="http://schemas.openxmlformats.org/officeDocument/2006/relationships/hyperlink" Target="https://www.sec.gov/Archives/edgar/data/1847986/000110465922086782/tm2222711d1_ex10-1.htm" TargetMode="External"/><Relationship Id="rId59" Type="http://schemas.openxmlformats.org/officeDocument/2006/relationships/hyperlink" Target="https://www.sec.gov/Archives/edgar/data/1847986/000141057822002579/cntq-20220630x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2022-11-14T19:24:01Z</dcterms:created>
  <dcterms:modified xsi:type="dcterms:W3CDTF">2022-11-14T19:24:01Z</dcterms:modified>
</cp:coreProperties>
</file>