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a.htm"/>
      <w:bookmarkStart w:id="1" w:name="ksform8k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316__20"/>
      <w:bookmarkEnd w:id="2"/>
      <w:r>
        <w:rPr>
          <w:rFonts w:ascii="Times New Roman;Times;Serif" w:hAnsi="Times New Roman;Times;Serif"/>
          <w:b/>
          <w:i w:val="false"/>
          <w:caps w:val="false"/>
          <w:smallCaps w:val="false"/>
          <w:sz w:val="36"/>
        </w:rPr>
        <w:t>8-K/A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March 16,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6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316"/>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12915 Old Virginia Road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B_edei--EntityAddressCityOrTown_c2"/>
            <w:bookmarkEnd w:id="9"/>
            <w:r>
              <w:rPr>
                <w:rFonts w:ascii="Times New Roman;Times;Serif" w:hAnsi="Times New Roman;Times;Serif"/>
                <w:b/>
                <w:i w:val="false"/>
                <w:caps w:val="false"/>
                <w:smallCaps w:val="false"/>
                <w:sz w:val="20"/>
              </w:rPr>
              <w:t xml:space="preserve">Reno, </w:t>
            </w:r>
            <w:bookmarkStart w:id="10" w:name="xdx_902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5_edei--CityAreaCode_c20260316__20"/>
      <w:bookmarkEnd w:id="12"/>
      <w:r>
        <w:rPr>
          <w:rFonts w:ascii="Times New Roman;Times;Serif" w:hAnsi="Times New Roman;Times;Serif"/>
          <w:b/>
          <w:i w:val="false"/>
          <w:caps w:val="false"/>
          <w:smallCaps w:val="false"/>
          <w:sz w:val="20"/>
          <w:u w:val="single"/>
        </w:rPr>
        <w:t xml:space="preserve">(775) </w:t>
      </w:r>
      <w:bookmarkStart w:id="13" w:name="xdx_903_edei--LocalPhoneNumber_c20260316"/>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4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2_edei--SolicitingMaterial_c202603"/>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B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D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1_edei--Security12bTitle_c20260316"/>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TradingSymbol_c20260316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8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12bTitle_c20260316"/>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2_edei--TradingSymbol_c20260316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1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0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F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 w:name="xdx_905_edei--AmendmentDescription_c2026"/>
      <w:bookmarkEnd w:id="26"/>
      <w:r>
        <w:rPr>
          <w:rFonts w:ascii="Times New Roman;Times;Serif" w:hAnsi="Times New Roman;Times;Serif"/>
          <w:b w:val="false"/>
          <w:i w:val="false"/>
          <w:caps w:val="false"/>
          <w:smallCaps w:val="false"/>
          <w:sz w:val="20"/>
        </w:rPr>
        <w:t>This Amendment No. 1 on Form 8-K/A (this “Amendment No. 1”) amends the Current Report on Form 8-K of Dragonfly Energy Holdings Corp. (the “Company”) filed with the Securities and Exchange Commission (the “SEC”) on March 16, 2026. This Amendment No. 1 is being filed solely to correct two inadvertent errors in the financial statements attached to the press release furnished as Exhibit 99.1. The errors appeared in the Unaudited Condensed Interim Consolidated Statement of Operations for the three-month period ended December 31,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2026, the Company issued a press release containing certain preliminary financial results for the fourth quarter and full year ended December 31, 2025. A copy of the press release is attached as Exhibit 99.1 hereto and incorporated in this Item 2.02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2.02 Results of Operation and Financial Condition”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under Items 2.02 and 7.01, including the information contained in Exhibit 99.1, is being furnished to the SEC,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that involve estimates, assumptions, risks and uncertainties. Forward-looking statements include, but are not limited to, statements regarding the Company’s guidance for the first quarter of 2026, preliminary results of operations and financial position for fourth quarter and fiscal year 2025, planned products and services, business strategy and plans, market size and growth opportunities, competitive position and technological and market trends, as well as other risks detailed from time to time in the Company’s filings with the SEC, including in its Annual Report on Form 10-K for the year ended December 31, 2024.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of Dragonfly Energy Holdings Corp., dated March 16, 2026.</w:t>
              </w:r>
            </w:hyperlink>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1910"/>
        <w:gridCol w:w="590"/>
        <w:gridCol w:w="5675"/>
      </w:tblGrid>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567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16, 2026</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91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8954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4191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Announces Significant Corporate Actions and Reports Fourth Quarter and Full Year 2025 Preliminary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Revenue Increased 16% Driven By 34% Growth in OEM Sales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Announces Reduction of Expenses, Improved Cost Structure and Accelerated Path to Profitability While </w:t>
        <w:br/>
        <w:t>Providing Greater Alignment with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Targets Positive Adjusted EBITDA at $70 Million Annual Revenue Run Rate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Fourth Quarter and Full Year 2025 Financial Highlights</w:t>
      </w:r>
    </w:p>
    <w:p>
      <w:pPr>
        <w:pStyle w:val="TextBody"/>
        <w:bidi w:val="0"/>
        <w:spacing w:before="0" w:after="0"/>
        <w:ind w:left="0" w:right="0" w:hanging="0"/>
        <w:jc w:val="both"/>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75"/>
        <w:gridCol w:w="170"/>
        <w:gridCol w:w="47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were $13.1 million and $58.6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OEM net sales were $8.1 million and $36.9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Margin was 18.2% and 26.7%.</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was $(45.0) million and $(69.9)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was $(3.8) million and $(11.8) million.</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RENO, NEVADA (March 16, 2026)</w:t>
      </w:r>
      <w:r>
        <w:rPr>
          <w:rFonts w:ascii="Times New Roman;Times;Serif" w:hAnsi="Times New Roman;Times;Serif"/>
          <w:b w:val="false"/>
          <w:i w:val="false"/>
          <w:caps w:val="false"/>
          <w:smallCaps w:val="false"/>
          <w:sz w:val="20"/>
        </w:rPr>
        <w:t xml:space="preserve"> — Dragonfly Energy Holdings Corp. (Nasdaq: DFLI) (“Dragonfly Energy” or the “Company”), an industry leader in energy storage and battery technology and maker of Battle Born Batteries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today announced significant corporate actions and reported financial and operational results for the fourth quarter and full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fourth quarter capped a year of meaningful progress for Dragonfly Energy,” commented Dr. Denis Phares, Chief Executive Officer. “In 2025, we strengthened our balance sheet through decisive capital actions, expanded key RV and heavy-duty trucking partnerships, and delivered solid year-over-year revenue growth despite continued market headwinds. We also advanced strategic initiatives across product development and manufacturing, which we believe support the continued adoption of our solutions and position the Company for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Earlier this month, we implemented a series of actions intended to significantly improve our cost structure and sharpen our focus on commercial markets as our customer base continues to evolve toward OEM, trucking, and industrial channels,” continued Dr. Phares. “We believe these steps position Dragonfly Energy to operate more efficiently while aligning the organization with the areas where we are seeing the strongest long-term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 we approach the second quarter of 2026, we remain focused on expanding OEM relationships, improving operational efficiency, and strengthening our financial foundation to support our path to sustainable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Cost Realignment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2026, Dragonfly Energy implemented a strategic cost realignment designed to reduce operating expenses, better align incentives with shareholders and sharpen the Company’s focus on its commercial channels, including OEM, trucking, and industrial end markets. The Company expects the initiative to generate approximately $8.9 million in annualized savings. Key elements of the initiative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 and Executive Leadership Compensation Adjustments</w:t>
            </w:r>
            <w:r>
              <w:rPr>
                <w:rFonts w:ascii="Times New Roman;Times;Serif" w:hAnsi="Times New Roman;Times;Serif"/>
                <w:b w:val="false"/>
                <w:i w:val="false"/>
                <w:caps w:val="false"/>
                <w:smallCaps w:val="false"/>
                <w:sz w:val="20"/>
              </w:rPr>
              <w:t>: Each member of Dragonfly’s executive leadership team and Board of Directors has agreed to reduce their cash compensation by approximately 20% for the remainder of fiscal 2026, effective April 1, 2026. In lieu of cash compensation, they have received equity-based incentives, aligning incentives with long-term shareholder value.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Workforce and Compensation Adjustments</w:t>
            </w:r>
            <w:r>
              <w:rPr>
                <w:rFonts w:ascii="Times New Roman;Times;Serif" w:hAnsi="Times New Roman;Times;Serif"/>
                <w:b w:val="false"/>
                <w:i w:val="false"/>
                <w:caps w:val="false"/>
                <w:smallCaps w:val="false"/>
                <w:sz w:val="20"/>
              </w:rPr>
              <w:t>: Dragonfly is implementing a 20% reduction in total payroll expense through a combination of targeted workforce reductions and salary adjustments. Non-executive employees participating in salary reductions have received equity-based compensation.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Reduction in Discretionary Spending</w:t>
            </w:r>
            <w:r>
              <w:rPr>
                <w:rFonts w:ascii="Times New Roman;Times;Serif" w:hAnsi="Times New Roman;Times;Serif"/>
                <w:b w:val="false"/>
                <w:i w:val="false"/>
                <w:caps w:val="false"/>
                <w:smallCaps w:val="false"/>
                <w:sz w:val="20"/>
              </w:rPr>
              <w:t>: The Company is reducing discretionary spending, including a reduction in DTC-focused marketing expenses, as it shifts resources towards growing commercial revenues.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Facility Consolidation</w:t>
            </w:r>
            <w:r>
              <w:rPr>
                <w:rFonts w:ascii="Times New Roman;Times;Serif" w:hAnsi="Times New Roman;Times;Serif"/>
                <w:b w:val="false"/>
                <w:i w:val="false"/>
                <w:caps w:val="false"/>
                <w:smallCaps w:val="false"/>
                <w:sz w:val="20"/>
              </w:rPr>
              <w:t>: Dragonfly is consolidating its rental space, which is expected to result in a $4.0 million reduction in expenses.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Financial and Operating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result comparisons made are against the prior-year period unless otherwise noted)</w:t>
      </w:r>
    </w:p>
    <w:p>
      <w:pPr>
        <w:pStyle w:val="TextBody"/>
        <w:bidi w:val="0"/>
        <w:spacing w:before="0" w:after="0"/>
        <w:ind w:left="0" w:right="0" w:hanging="0"/>
        <w:jc w:val="both"/>
        <w:rPr>
          <w:caps w:val="false"/>
          <w:smallCaps w:val="false"/>
        </w:rPr>
      </w:pPr>
      <w:r>
        <w:rPr>
          <w:caps w:val="false"/>
          <w:smallCaps w:val="false"/>
        </w:rPr>
        <w:t> </w:t>
      </w:r>
    </w:p>
    <w:tbl>
      <w:tblPr>
        <w:tblW w:w="7450" w:type="dxa"/>
        <w:jc w:val="left"/>
        <w:tblInd w:w="0" w:type="dxa"/>
        <w:tblLayout w:type="fixed"/>
        <w:tblCellMar>
          <w:top w:w="0" w:type="dxa"/>
          <w:left w:w="0" w:type="dxa"/>
          <w:bottom w:w="0" w:type="dxa"/>
          <w:right w:w="0" w:type="dxa"/>
        </w:tblCellMar>
      </w:tblPr>
      <w:tblGrid>
        <w:gridCol w:w="1430"/>
        <w:gridCol w:w="60"/>
        <w:gridCol w:w="332"/>
        <w:gridCol w:w="1622"/>
        <w:gridCol w:w="99"/>
        <w:gridCol w:w="99"/>
        <w:gridCol w:w="332"/>
        <w:gridCol w:w="1622"/>
        <w:gridCol w:w="60"/>
        <w:gridCol w:w="60"/>
        <w:gridCol w:w="156"/>
        <w:gridCol w:w="1348"/>
        <w:gridCol w:w="23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6" w:type="dxa"/>
            <w:gridSpan w:val="6"/>
            <w:tcBorders/>
            <w:vAlign w:val="center"/>
          </w:tcPr>
          <w:p>
            <w:pPr>
              <w:pStyle w:val="TableContents"/>
              <w:bidi w:val="0"/>
              <w:spacing w:before="0" w:after="283"/>
              <w:jc w:val="center"/>
              <w:rPr>
                <w:b/>
              </w:rPr>
            </w:pPr>
            <w:r>
              <w:rPr>
                <w:b/>
              </w:rPr>
              <w:t>Net Sales by Customer Type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6" w:type="dxa"/>
            <w:gridSpan w:val="6"/>
            <w:tcBorders/>
            <w:vAlign w:val="center"/>
          </w:tcPr>
          <w:p>
            <w:pPr>
              <w:pStyle w:val="TableContents"/>
              <w:bidi w:val="0"/>
              <w:spacing w:before="0" w:after="283"/>
              <w:jc w:val="center"/>
              <w:rPr>
                <w:i/>
              </w:rPr>
            </w:pPr>
            <w:r>
              <w:rPr>
                <w:i/>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42424"/>
              </w:rPr>
            </w:pPr>
            <w:r>
              <w:rPr>
                <w:color w:val="242424"/>
              </w:rPr>
              <w:t> </w:t>
            </w:r>
          </w:p>
        </w:tc>
        <w:tc>
          <w:tcPr>
            <w:tcW w:w="4106" w:type="dxa"/>
            <w:gridSpan w:val="6"/>
            <w:tcBorders>
              <w:bottom w:val="single" w:sz="8" w:space="0" w:color="000000"/>
            </w:tcBorders>
            <w:tcMar>
              <w:bottom w:w="28" w:type="dxa"/>
            </w:tcMar>
            <w:vAlign w:val="center"/>
          </w:tcPr>
          <w:p>
            <w:pPr>
              <w:pStyle w:val="TableContents"/>
              <w:bidi w:val="0"/>
              <w:spacing w:before="0" w:after="283"/>
              <w:jc w:val="center"/>
              <w:rPr>
                <w:b/>
                <w:color w:val="242424"/>
              </w:rPr>
            </w:pPr>
            <w:r>
              <w:rPr>
                <w:b/>
                <w:color w:val="242424"/>
              </w:rPr>
              <w:t>Fiscal Quarter Ended</w:t>
            </w:r>
          </w:p>
        </w:tc>
        <w:tc>
          <w:tcPr>
            <w:tcW w:w="60" w:type="dxa"/>
            <w:tcBorders/>
            <w:vAlign w:val="center"/>
          </w:tcPr>
          <w:p>
            <w:pPr>
              <w:pStyle w:val="TableContents"/>
              <w:bidi w:val="0"/>
              <w:spacing w:before="0" w:after="283"/>
              <w:jc w:val="left"/>
              <w:rPr>
                <w:color w:val="242424"/>
              </w:rPr>
            </w:pPr>
            <w:r>
              <w:rPr>
                <w:color w:val="242424"/>
              </w:rPr>
              <w:t> </w:t>
            </w:r>
          </w:p>
        </w:tc>
        <w:tc>
          <w:tcPr>
            <w:tcW w:w="60" w:type="dxa"/>
            <w:tcBorders/>
            <w:vAlign w:val="center"/>
          </w:tcPr>
          <w:p>
            <w:pPr>
              <w:pStyle w:val="TableContents"/>
              <w:bidi w:val="0"/>
              <w:spacing w:before="0" w:after="283"/>
              <w:jc w:val="left"/>
              <w:rPr>
                <w:color w:val="242424"/>
              </w:rPr>
            </w:pPr>
            <w:r>
              <w:rPr>
                <w:color w:val="242424"/>
              </w:rPr>
              <w:t> </w:t>
            </w:r>
          </w:p>
        </w:tc>
        <w:tc>
          <w:tcPr>
            <w:tcW w:w="1504" w:type="dxa"/>
            <w:gridSpan w:val="2"/>
            <w:tcBorders/>
            <w:vAlign w:val="center"/>
          </w:tcPr>
          <w:p>
            <w:pPr>
              <w:pStyle w:val="TableContents"/>
              <w:bidi w:val="0"/>
              <w:spacing w:before="0" w:after="283"/>
              <w:jc w:val="left"/>
              <w:rPr>
                <w:color w:val="242424"/>
              </w:rPr>
            </w:pPr>
            <w:r>
              <w:rPr>
                <w:color w:val="242424"/>
              </w:rPr>
              <w:t> </w:t>
            </w:r>
          </w:p>
        </w:tc>
        <w:tc>
          <w:tcPr>
            <w:tcW w:w="230" w:type="dxa"/>
            <w:tcBorders/>
            <w:vAlign w:val="center"/>
          </w:tcPr>
          <w:p>
            <w:pPr>
              <w:pStyle w:val="TableContents"/>
              <w:bidi w:val="0"/>
              <w:spacing w:before="0" w:after="283"/>
              <w:jc w:val="left"/>
              <w:rPr>
                <w:color w:val="242424"/>
              </w:rPr>
            </w:pPr>
            <w:r>
              <w:rPr>
                <w:color w:val="242424"/>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(YoY)</w:t>
            </w:r>
          </w:p>
        </w:tc>
        <w:tc>
          <w:tcPr>
            <w:tcW w:w="23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color w:val="242424"/>
              </w:rPr>
            </w:pPr>
            <w:r>
              <w:rPr>
                <w:b/>
                <w:color w:val="242424"/>
              </w:rPr>
              <w:t>OEM</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332" w:type="dxa"/>
            <w:tcBorders/>
            <w:shd w:fill="CCEEFF" w:val="clear"/>
            <w:vAlign w:val="center"/>
          </w:tcPr>
          <w:p>
            <w:pPr>
              <w:pStyle w:val="TableContents"/>
              <w:bidi w:val="0"/>
              <w:spacing w:before="0" w:after="283"/>
              <w:jc w:val="left"/>
              <w:rPr>
                <w:color w:val="242424"/>
              </w:rPr>
            </w:pPr>
            <w:r>
              <w:rPr>
                <w:color w:val="242424"/>
              </w:rPr>
              <w:t>$</w:t>
            </w:r>
          </w:p>
        </w:tc>
        <w:tc>
          <w:tcPr>
            <w:tcW w:w="1622" w:type="dxa"/>
            <w:tcBorders/>
            <w:shd w:fill="CCEEFF" w:val="clear"/>
            <w:vAlign w:val="center"/>
          </w:tcPr>
          <w:p>
            <w:pPr>
              <w:pStyle w:val="TableContents"/>
              <w:bidi w:val="0"/>
              <w:spacing w:before="0" w:after="283"/>
              <w:jc w:val="right"/>
              <w:rPr>
                <w:color w:val="242424"/>
              </w:rPr>
            </w:pPr>
            <w:r>
              <w:rPr>
                <w:color w:val="242424"/>
              </w:rPr>
              <w:t>8,114</w:t>
            </w:r>
          </w:p>
        </w:tc>
        <w:tc>
          <w:tcPr>
            <w:tcW w:w="99" w:type="dxa"/>
            <w:tcBorders/>
            <w:shd w:fill="CCEEFF" w:val="clear"/>
            <w:vAlign w:val="center"/>
          </w:tcPr>
          <w:p>
            <w:pPr>
              <w:pStyle w:val="TableContents"/>
              <w:bidi w:val="0"/>
              <w:spacing w:before="0" w:after="283"/>
              <w:jc w:val="left"/>
              <w:rPr>
                <w:color w:val="242424"/>
              </w:rPr>
            </w:pPr>
            <w:r>
              <w:rPr>
                <w:color w:val="242424"/>
              </w:rPr>
              <w:t> </w:t>
            </w:r>
          </w:p>
        </w:tc>
        <w:tc>
          <w:tcPr>
            <w:tcW w:w="99" w:type="dxa"/>
            <w:tcBorders/>
            <w:shd w:fill="CCEEFF" w:val="clear"/>
            <w:vAlign w:val="center"/>
          </w:tcPr>
          <w:p>
            <w:pPr>
              <w:pStyle w:val="TableContents"/>
              <w:bidi w:val="0"/>
              <w:spacing w:before="0" w:after="283"/>
              <w:jc w:val="left"/>
              <w:rPr>
                <w:color w:val="242424"/>
              </w:rPr>
            </w:pPr>
            <w:r>
              <w:rPr>
                <w:color w:val="242424"/>
              </w:rPr>
              <w:t> </w:t>
            </w:r>
          </w:p>
        </w:tc>
        <w:tc>
          <w:tcPr>
            <w:tcW w:w="332" w:type="dxa"/>
            <w:tcBorders/>
            <w:shd w:fill="CCEEFF" w:val="clear"/>
            <w:vAlign w:val="center"/>
          </w:tcPr>
          <w:p>
            <w:pPr>
              <w:pStyle w:val="TableContents"/>
              <w:bidi w:val="0"/>
              <w:spacing w:before="0" w:after="283"/>
              <w:jc w:val="left"/>
              <w:rPr>
                <w:color w:val="242424"/>
              </w:rPr>
            </w:pPr>
            <w:r>
              <w:rPr>
                <w:color w:val="242424"/>
              </w:rPr>
              <w:t>$</w:t>
            </w:r>
          </w:p>
        </w:tc>
        <w:tc>
          <w:tcPr>
            <w:tcW w:w="1622" w:type="dxa"/>
            <w:tcBorders/>
            <w:shd w:fill="CCEEFF" w:val="clear"/>
            <w:vAlign w:val="center"/>
          </w:tcPr>
          <w:p>
            <w:pPr>
              <w:pStyle w:val="TableContents"/>
              <w:bidi w:val="0"/>
              <w:spacing w:before="0" w:after="283"/>
              <w:jc w:val="right"/>
              <w:rPr>
                <w:color w:val="242424"/>
              </w:rPr>
            </w:pPr>
            <w:r>
              <w:rPr>
                <w:color w:val="242424"/>
              </w:rPr>
              <w:t>6,236</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156" w:type="dxa"/>
            <w:tcBorders/>
            <w:shd w:fill="CCEEFF" w:val="clear"/>
            <w:vAlign w:val="center"/>
          </w:tcPr>
          <w:p>
            <w:pPr>
              <w:pStyle w:val="TableContents"/>
              <w:bidi w:val="0"/>
              <w:spacing w:before="0" w:after="283"/>
              <w:jc w:val="left"/>
              <w:rPr>
                <w:color w:val="242424"/>
              </w:rPr>
            </w:pPr>
            <w:r>
              <w:rPr>
                <w:color w:val="242424"/>
              </w:rPr>
              <w:t> </w:t>
            </w:r>
          </w:p>
        </w:tc>
        <w:tc>
          <w:tcPr>
            <w:tcW w:w="1348" w:type="dxa"/>
            <w:tcBorders/>
            <w:shd w:fill="CCEEFF" w:val="clear"/>
            <w:vAlign w:val="center"/>
          </w:tcPr>
          <w:p>
            <w:pPr>
              <w:pStyle w:val="TableContents"/>
              <w:bidi w:val="0"/>
              <w:spacing w:before="0" w:after="283"/>
              <w:jc w:val="right"/>
              <w:rPr>
                <w:color w:val="242424"/>
              </w:rPr>
            </w:pPr>
            <w:r>
              <w:rPr>
                <w:color w:val="242424"/>
              </w:rPr>
              <w:t>30.1</w:t>
            </w:r>
          </w:p>
        </w:tc>
        <w:tc>
          <w:tcPr>
            <w:tcW w:w="230" w:type="dxa"/>
            <w:tcBorders/>
            <w:shd w:fill="CCEEFF" w:val="clear"/>
            <w:vAlign w:val="center"/>
          </w:tcPr>
          <w:p>
            <w:pPr>
              <w:pStyle w:val="TableContents"/>
              <w:bidi w:val="0"/>
              <w:spacing w:before="0" w:after="283"/>
              <w:jc w:val="left"/>
              <w:rPr>
                <w:color w:val="242424"/>
              </w:rPr>
            </w:pPr>
            <w:r>
              <w:rPr>
                <w:color w:val="242424"/>
              </w:rPr>
              <w:t>%</w:t>
            </w:r>
          </w:p>
        </w:tc>
      </w:tr>
      <w:tr>
        <w:trPr/>
        <w:tc>
          <w:tcPr>
            <w:tcW w:w="1430" w:type="dxa"/>
            <w:tcBorders/>
            <w:shd w:fill="FFFFFF" w:val="clear"/>
            <w:vAlign w:val="center"/>
          </w:tcPr>
          <w:p>
            <w:pPr>
              <w:pStyle w:val="TableContents"/>
              <w:bidi w:val="0"/>
              <w:spacing w:before="0" w:after="283"/>
              <w:jc w:val="left"/>
              <w:rPr>
                <w:b/>
                <w:color w:val="242424"/>
              </w:rPr>
            </w:pPr>
            <w:r>
              <w:rPr>
                <w:b/>
                <w:color w:val="242424"/>
              </w:rPr>
              <w:t>DTC</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332" w:type="dxa"/>
            <w:tcBorders/>
            <w:shd w:fill="FFFFFF" w:val="clear"/>
            <w:vAlign w:val="center"/>
          </w:tcPr>
          <w:p>
            <w:pPr>
              <w:pStyle w:val="TableContents"/>
              <w:bidi w:val="0"/>
              <w:spacing w:before="0" w:after="283"/>
              <w:jc w:val="left"/>
              <w:rPr>
                <w:color w:val="242424"/>
              </w:rPr>
            </w:pPr>
            <w:r>
              <w:rPr>
                <w:color w:val="242424"/>
              </w:rPr>
              <w:t>$</w:t>
            </w:r>
          </w:p>
        </w:tc>
        <w:tc>
          <w:tcPr>
            <w:tcW w:w="1622" w:type="dxa"/>
            <w:tcBorders/>
            <w:shd w:fill="FFFFFF" w:val="clear"/>
            <w:vAlign w:val="center"/>
          </w:tcPr>
          <w:p>
            <w:pPr>
              <w:pStyle w:val="TableContents"/>
              <w:bidi w:val="0"/>
              <w:spacing w:before="0" w:after="283"/>
              <w:jc w:val="right"/>
              <w:rPr>
                <w:color w:val="242424"/>
              </w:rPr>
            </w:pPr>
            <w:r>
              <w:rPr>
                <w:color w:val="242424"/>
              </w:rPr>
              <w:t>4,695</w:t>
            </w:r>
          </w:p>
        </w:tc>
        <w:tc>
          <w:tcPr>
            <w:tcW w:w="99" w:type="dxa"/>
            <w:tcBorders/>
            <w:shd w:fill="FFFFFF" w:val="clear"/>
            <w:vAlign w:val="center"/>
          </w:tcPr>
          <w:p>
            <w:pPr>
              <w:pStyle w:val="TableContents"/>
              <w:bidi w:val="0"/>
              <w:spacing w:before="0" w:after="283"/>
              <w:jc w:val="left"/>
              <w:rPr>
                <w:color w:val="242424"/>
              </w:rPr>
            </w:pPr>
            <w:r>
              <w:rPr>
                <w:color w:val="242424"/>
              </w:rPr>
              <w:t> </w:t>
            </w:r>
          </w:p>
        </w:tc>
        <w:tc>
          <w:tcPr>
            <w:tcW w:w="99" w:type="dxa"/>
            <w:tcBorders/>
            <w:shd w:fill="FFFFFF" w:val="clear"/>
            <w:vAlign w:val="center"/>
          </w:tcPr>
          <w:p>
            <w:pPr>
              <w:pStyle w:val="TableContents"/>
              <w:bidi w:val="0"/>
              <w:spacing w:before="0" w:after="283"/>
              <w:jc w:val="left"/>
              <w:rPr>
                <w:color w:val="242424"/>
              </w:rPr>
            </w:pPr>
            <w:r>
              <w:rPr>
                <w:color w:val="242424"/>
              </w:rPr>
              <w:t> </w:t>
            </w:r>
          </w:p>
        </w:tc>
        <w:tc>
          <w:tcPr>
            <w:tcW w:w="332" w:type="dxa"/>
            <w:tcBorders/>
            <w:shd w:fill="FFFFFF" w:val="clear"/>
            <w:vAlign w:val="center"/>
          </w:tcPr>
          <w:p>
            <w:pPr>
              <w:pStyle w:val="TableContents"/>
              <w:bidi w:val="0"/>
              <w:spacing w:before="0" w:after="283"/>
              <w:jc w:val="left"/>
              <w:rPr>
                <w:color w:val="242424"/>
              </w:rPr>
            </w:pPr>
            <w:r>
              <w:rPr>
                <w:color w:val="242424"/>
              </w:rPr>
              <w:t>$</w:t>
            </w:r>
          </w:p>
        </w:tc>
        <w:tc>
          <w:tcPr>
            <w:tcW w:w="1622" w:type="dxa"/>
            <w:tcBorders/>
            <w:shd w:fill="FFFFFF" w:val="clear"/>
            <w:vAlign w:val="center"/>
          </w:tcPr>
          <w:p>
            <w:pPr>
              <w:pStyle w:val="TableContents"/>
              <w:bidi w:val="0"/>
              <w:spacing w:before="0" w:after="283"/>
              <w:jc w:val="right"/>
              <w:rPr>
                <w:color w:val="242424"/>
              </w:rPr>
            </w:pPr>
            <w:r>
              <w:rPr>
                <w:color w:val="242424"/>
              </w:rPr>
              <w:t>5,725</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156" w:type="dxa"/>
            <w:tcBorders/>
            <w:shd w:fill="FFFFFF" w:val="clear"/>
            <w:vAlign w:val="center"/>
          </w:tcPr>
          <w:p>
            <w:pPr>
              <w:pStyle w:val="TableContents"/>
              <w:bidi w:val="0"/>
              <w:spacing w:before="0" w:after="283"/>
              <w:jc w:val="left"/>
              <w:rPr>
                <w:color w:val="242424"/>
              </w:rPr>
            </w:pPr>
            <w:r>
              <w:rPr>
                <w:color w:val="242424"/>
              </w:rPr>
              <w:t> </w:t>
            </w:r>
          </w:p>
        </w:tc>
        <w:tc>
          <w:tcPr>
            <w:tcW w:w="1348" w:type="dxa"/>
            <w:tcBorders/>
            <w:shd w:fill="FFFFFF" w:val="clear"/>
            <w:vAlign w:val="center"/>
          </w:tcPr>
          <w:p>
            <w:pPr>
              <w:pStyle w:val="TableContents"/>
              <w:bidi w:val="0"/>
              <w:spacing w:before="0" w:after="283"/>
              <w:jc w:val="right"/>
              <w:rPr>
                <w:color w:val="242424"/>
              </w:rPr>
            </w:pPr>
            <w:r>
              <w:rPr>
                <w:color w:val="242424"/>
              </w:rPr>
              <w:t>-18.0</w:t>
            </w:r>
          </w:p>
        </w:tc>
        <w:tc>
          <w:tcPr>
            <w:tcW w:w="230" w:type="dxa"/>
            <w:tcBorders/>
            <w:shd w:fill="FFFFFF" w:val="clear"/>
            <w:vAlign w:val="center"/>
          </w:tcPr>
          <w:p>
            <w:pPr>
              <w:pStyle w:val="TableContents"/>
              <w:bidi w:val="0"/>
              <w:spacing w:before="0" w:after="283"/>
              <w:jc w:val="left"/>
              <w:rPr>
                <w:color w:val="242424"/>
              </w:rPr>
            </w:pPr>
            <w:r>
              <w:rPr>
                <w:color w:val="242424"/>
              </w:rPr>
              <w:t>%</w:t>
            </w:r>
          </w:p>
        </w:tc>
      </w:tr>
      <w:tr>
        <w:trPr/>
        <w:tc>
          <w:tcPr>
            <w:tcW w:w="1430" w:type="dxa"/>
            <w:tcBorders/>
            <w:shd w:fill="CCEEFF" w:val="clear"/>
            <w:vAlign w:val="center"/>
          </w:tcPr>
          <w:p>
            <w:pPr>
              <w:pStyle w:val="TableContents"/>
              <w:bidi w:val="0"/>
              <w:spacing w:before="0" w:after="283"/>
              <w:jc w:val="left"/>
              <w:rPr>
                <w:b/>
                <w:color w:val="242424"/>
              </w:rPr>
            </w:pPr>
            <w:r>
              <w:rPr>
                <w:b/>
                <w:color w:val="242424"/>
              </w:rPr>
              <w:t>Licensing Fee</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w:t>
            </w:r>
          </w:p>
        </w:tc>
        <w:tc>
          <w:tcPr>
            <w:tcW w:w="1622"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250</w:t>
            </w:r>
          </w:p>
        </w:tc>
        <w:tc>
          <w:tcPr>
            <w:tcW w:w="99" w:type="dxa"/>
            <w:tcBorders/>
            <w:shd w:fill="CCEEFF" w:val="clear"/>
            <w:vAlign w:val="center"/>
          </w:tcPr>
          <w:p>
            <w:pPr>
              <w:pStyle w:val="TableContents"/>
              <w:bidi w:val="0"/>
              <w:spacing w:before="0" w:after="283"/>
              <w:jc w:val="left"/>
              <w:rPr>
                <w:color w:val="242424"/>
              </w:rPr>
            </w:pPr>
            <w:r>
              <w:rPr>
                <w:color w:val="242424"/>
              </w:rPr>
              <w:t> </w:t>
            </w:r>
          </w:p>
        </w:tc>
        <w:tc>
          <w:tcPr>
            <w:tcW w:w="99" w:type="dxa"/>
            <w:tcBorders/>
            <w:shd w:fill="CCEEFF" w:val="clear"/>
            <w:vAlign w:val="center"/>
          </w:tcPr>
          <w:p>
            <w:pPr>
              <w:pStyle w:val="TableContents"/>
              <w:bidi w:val="0"/>
              <w:spacing w:before="0" w:after="283"/>
              <w:jc w:val="left"/>
              <w:rPr>
                <w:color w:val="242424"/>
              </w:rPr>
            </w:pPr>
            <w:r>
              <w:rPr>
                <w:color w:val="242424"/>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w:t>
            </w:r>
          </w:p>
        </w:tc>
        <w:tc>
          <w:tcPr>
            <w:tcW w:w="1622"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250</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 </w:t>
            </w:r>
          </w:p>
        </w:tc>
        <w:tc>
          <w:tcPr>
            <w:tcW w:w="1348"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0</w:t>
            </w:r>
          </w:p>
        </w:tc>
        <w:tc>
          <w:tcPr>
            <w:tcW w:w="230" w:type="dxa"/>
            <w:tcBorders/>
            <w:shd w:fill="CCEEFF" w:val="clear"/>
            <w:vAlign w:val="center"/>
          </w:tcPr>
          <w:p>
            <w:pPr>
              <w:pStyle w:val="TableContents"/>
              <w:bidi w:val="0"/>
              <w:spacing w:before="0" w:after="283"/>
              <w:jc w:val="left"/>
              <w:rPr>
                <w:color w:val="242424"/>
              </w:rPr>
            </w:pPr>
            <w:r>
              <w:rPr>
                <w:color w:val="242424"/>
              </w:rPr>
              <w:t>%</w:t>
            </w:r>
          </w:p>
        </w:tc>
      </w:tr>
      <w:tr>
        <w:trPr/>
        <w:tc>
          <w:tcPr>
            <w:tcW w:w="1430" w:type="dxa"/>
            <w:tcBorders/>
            <w:shd w:fill="FFFFFF" w:val="clear"/>
            <w:vAlign w:val="center"/>
          </w:tcPr>
          <w:p>
            <w:pPr>
              <w:pStyle w:val="TableContents"/>
              <w:bidi w:val="0"/>
              <w:spacing w:before="0" w:after="283"/>
              <w:jc w:val="left"/>
              <w:rPr>
                <w:b/>
                <w:color w:val="242424"/>
              </w:rPr>
            </w:pPr>
            <w:r>
              <w:rPr>
                <w:b/>
                <w:color w:val="242424"/>
              </w:rPr>
              <w:t>Net Sales</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332" w:type="dxa"/>
            <w:tcBorders/>
            <w:shd w:fill="FFFFFF" w:val="clear"/>
            <w:vAlign w:val="center"/>
          </w:tcPr>
          <w:p>
            <w:pPr>
              <w:pStyle w:val="TableContents"/>
              <w:bidi w:val="0"/>
              <w:spacing w:before="0" w:after="283"/>
              <w:jc w:val="left"/>
              <w:rPr>
                <w:color w:val="242424"/>
              </w:rPr>
            </w:pPr>
            <w:r>
              <w:rPr>
                <w:color w:val="242424"/>
              </w:rPr>
              <w:t>$</w:t>
            </w:r>
          </w:p>
        </w:tc>
        <w:tc>
          <w:tcPr>
            <w:tcW w:w="1622" w:type="dxa"/>
            <w:tcBorders/>
            <w:shd w:fill="FFFFFF" w:val="clear"/>
            <w:vAlign w:val="center"/>
          </w:tcPr>
          <w:p>
            <w:pPr>
              <w:pStyle w:val="TableContents"/>
              <w:bidi w:val="0"/>
              <w:spacing w:before="0" w:after="283"/>
              <w:jc w:val="right"/>
              <w:rPr>
                <w:color w:val="242424"/>
              </w:rPr>
            </w:pPr>
            <w:r>
              <w:rPr>
                <w:color w:val="242424"/>
              </w:rPr>
              <w:t>13,059</w:t>
            </w:r>
          </w:p>
        </w:tc>
        <w:tc>
          <w:tcPr>
            <w:tcW w:w="99" w:type="dxa"/>
            <w:tcBorders/>
            <w:shd w:fill="FFFFFF" w:val="clear"/>
            <w:vAlign w:val="center"/>
          </w:tcPr>
          <w:p>
            <w:pPr>
              <w:pStyle w:val="TableContents"/>
              <w:bidi w:val="0"/>
              <w:spacing w:before="0" w:after="283"/>
              <w:jc w:val="left"/>
              <w:rPr>
                <w:color w:val="242424"/>
              </w:rPr>
            </w:pPr>
            <w:r>
              <w:rPr>
                <w:color w:val="242424"/>
              </w:rPr>
              <w:t> </w:t>
            </w:r>
          </w:p>
        </w:tc>
        <w:tc>
          <w:tcPr>
            <w:tcW w:w="99" w:type="dxa"/>
            <w:tcBorders/>
            <w:shd w:fill="FFFFFF" w:val="clear"/>
            <w:vAlign w:val="center"/>
          </w:tcPr>
          <w:p>
            <w:pPr>
              <w:pStyle w:val="TableContents"/>
              <w:bidi w:val="0"/>
              <w:spacing w:before="0" w:after="283"/>
              <w:jc w:val="left"/>
              <w:rPr>
                <w:color w:val="242424"/>
              </w:rPr>
            </w:pPr>
            <w:r>
              <w:rPr>
                <w:color w:val="242424"/>
              </w:rPr>
              <w:t> </w:t>
            </w:r>
          </w:p>
        </w:tc>
        <w:tc>
          <w:tcPr>
            <w:tcW w:w="332" w:type="dxa"/>
            <w:tcBorders/>
            <w:shd w:fill="FFFFFF" w:val="clear"/>
            <w:vAlign w:val="center"/>
          </w:tcPr>
          <w:p>
            <w:pPr>
              <w:pStyle w:val="TableContents"/>
              <w:bidi w:val="0"/>
              <w:spacing w:before="0" w:after="283"/>
              <w:jc w:val="left"/>
              <w:rPr>
                <w:color w:val="242424"/>
              </w:rPr>
            </w:pPr>
            <w:r>
              <w:rPr>
                <w:color w:val="242424"/>
              </w:rPr>
              <w:t>$</w:t>
            </w:r>
          </w:p>
        </w:tc>
        <w:tc>
          <w:tcPr>
            <w:tcW w:w="1622" w:type="dxa"/>
            <w:tcBorders/>
            <w:shd w:fill="FFFFFF" w:val="clear"/>
            <w:vAlign w:val="center"/>
          </w:tcPr>
          <w:p>
            <w:pPr>
              <w:pStyle w:val="TableContents"/>
              <w:bidi w:val="0"/>
              <w:spacing w:before="0" w:after="283"/>
              <w:jc w:val="right"/>
              <w:rPr>
                <w:color w:val="242424"/>
              </w:rPr>
            </w:pPr>
            <w:r>
              <w:rPr>
                <w:color w:val="242424"/>
              </w:rPr>
              <w:t>12,212</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156" w:type="dxa"/>
            <w:tcBorders/>
            <w:shd w:fill="FFFFFF" w:val="clear"/>
            <w:vAlign w:val="center"/>
          </w:tcPr>
          <w:p>
            <w:pPr>
              <w:pStyle w:val="TableContents"/>
              <w:bidi w:val="0"/>
              <w:spacing w:before="0" w:after="283"/>
              <w:jc w:val="left"/>
              <w:rPr>
                <w:color w:val="242424"/>
              </w:rPr>
            </w:pPr>
            <w:r>
              <w:rPr>
                <w:color w:val="242424"/>
              </w:rPr>
              <w:t> </w:t>
            </w:r>
          </w:p>
        </w:tc>
        <w:tc>
          <w:tcPr>
            <w:tcW w:w="1348" w:type="dxa"/>
            <w:tcBorders/>
            <w:shd w:fill="FFFFFF" w:val="clear"/>
            <w:vAlign w:val="center"/>
          </w:tcPr>
          <w:p>
            <w:pPr>
              <w:pStyle w:val="TableContents"/>
              <w:bidi w:val="0"/>
              <w:spacing w:before="0" w:after="283"/>
              <w:jc w:val="right"/>
              <w:rPr>
                <w:color w:val="242424"/>
              </w:rPr>
            </w:pPr>
            <w:r>
              <w:rPr>
                <w:color w:val="242424"/>
              </w:rPr>
              <w:t>6.9</w:t>
            </w:r>
          </w:p>
        </w:tc>
        <w:tc>
          <w:tcPr>
            <w:tcW w:w="230" w:type="dxa"/>
            <w:tcBorders/>
            <w:shd w:fill="FFFFFF" w:val="clear"/>
            <w:vAlign w:val="center"/>
          </w:tcPr>
          <w:p>
            <w:pPr>
              <w:pStyle w:val="TableContents"/>
              <w:bidi w:val="0"/>
              <w:spacing w:before="0" w:after="283"/>
              <w:jc w:val="left"/>
              <w:rPr>
                <w:color w:val="242424"/>
              </w:rPr>
            </w:pPr>
            <w:r>
              <w:rPr>
                <w:color w:val="242424"/>
              </w:rPr>
              <w: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6.9% to $13.1 million. OEM net sales grew 30.1% to $8.1 million, led by continued strong adoption of our products at the factory level. DTC net sales were $4.7 million compared to $5.7 million, reflecting ongoing macroeconomic pressures and lessening corporate focus on DTC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$2.4 million, with a gross margin of 18.2%, compared to gross profit of $2.5 million and gross margin of 20.8%. The year-over-year declines were due to a year-end inventory adjustment and lower volumes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Operating Expenses were $12.6 million, compared to $9.7 million. The increase was primarily related to one-time expenses associated with the debt restructure, as well as loss on lease impairment and settlements.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$(45.0) million, or $(14.92) per diluted share, compared to Net Loss of $(9.8) million or $(13.89) per diluted share. Adjusted EBITDA excluding stock-based compensation, changes in the fair market value of our warrants, and other one-time expenses, was $(3.8) million, compared to $(2.3) million. Adjusted EBITDA was impacted by a year-end inventory valuation adjustment.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and should be considered only as supplemental to, and not as superior to, financial measures prepared in accordance with United States generally accepted accounting principles (“GAAP”). Please refer to the reconciliation of Adjusted EBITDA to its nearest GAAP measure in this release.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Financial and Operating Results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financial result comparisons made are against the prior-year period unless otherwise noted)</w:t>
      </w:r>
    </w:p>
    <w:p>
      <w:pPr>
        <w:pStyle w:val="TextBody"/>
        <w:bidi w:val="0"/>
        <w:spacing w:before="0" w:after="0"/>
        <w:ind w:left="0" w:right="0" w:hanging="0"/>
        <w:jc w:val="both"/>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1010"/>
        <w:gridCol w:w="60"/>
        <w:gridCol w:w="332"/>
        <w:gridCol w:w="1622"/>
        <w:gridCol w:w="99"/>
        <w:gridCol w:w="99"/>
        <w:gridCol w:w="332"/>
        <w:gridCol w:w="1622"/>
        <w:gridCol w:w="60"/>
        <w:gridCol w:w="60"/>
        <w:gridCol w:w="144"/>
        <w:gridCol w:w="1360"/>
        <w:gridCol w:w="230"/>
      </w:tblGrid>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6" w:type="dxa"/>
            <w:gridSpan w:val="6"/>
            <w:tcBorders/>
            <w:vAlign w:val="center"/>
          </w:tcPr>
          <w:p>
            <w:pPr>
              <w:pStyle w:val="TableContents"/>
              <w:bidi w:val="0"/>
              <w:spacing w:before="0" w:after="283"/>
              <w:jc w:val="center"/>
              <w:rPr>
                <w:b/>
              </w:rPr>
            </w:pPr>
            <w:r>
              <w:rPr>
                <w:b/>
              </w:rPr>
              <w:t>Net Sales by Customer Type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06" w:type="dxa"/>
            <w:gridSpan w:val="6"/>
            <w:tcBorders/>
            <w:vAlign w:val="center"/>
          </w:tcPr>
          <w:p>
            <w:pPr>
              <w:pStyle w:val="TableContents"/>
              <w:bidi w:val="0"/>
              <w:spacing w:before="0" w:after="283"/>
              <w:jc w:val="center"/>
              <w:rPr>
                <w:i/>
              </w:rPr>
            </w:pPr>
            <w:r>
              <w:rPr>
                <w:i/>
              </w:rPr>
              <w:t>(in thousands)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olor w:val="242424"/>
              </w:rPr>
            </w:pPr>
            <w:r>
              <w:rPr>
                <w:color w:val="242424"/>
              </w:rPr>
              <w:t> </w:t>
            </w:r>
          </w:p>
        </w:tc>
        <w:tc>
          <w:tcPr>
            <w:tcW w:w="4106" w:type="dxa"/>
            <w:gridSpan w:val="6"/>
            <w:tcBorders>
              <w:bottom w:val="single" w:sz="8" w:space="0" w:color="000000"/>
            </w:tcBorders>
            <w:tcMar>
              <w:bottom w:w="28" w:type="dxa"/>
            </w:tcMar>
            <w:vAlign w:val="center"/>
          </w:tcPr>
          <w:p>
            <w:pPr>
              <w:pStyle w:val="TableContents"/>
              <w:bidi w:val="0"/>
              <w:spacing w:before="0" w:after="283"/>
              <w:jc w:val="center"/>
              <w:rPr>
                <w:b/>
                <w:color w:val="242424"/>
              </w:rPr>
            </w:pPr>
            <w:r>
              <w:rPr>
                <w:b/>
                <w:color w:val="242424"/>
              </w:rPr>
              <w:t>Fiscal Year Ended</w:t>
            </w:r>
          </w:p>
        </w:tc>
        <w:tc>
          <w:tcPr>
            <w:tcW w:w="60" w:type="dxa"/>
            <w:tcBorders/>
            <w:vAlign w:val="center"/>
          </w:tcPr>
          <w:p>
            <w:pPr>
              <w:pStyle w:val="TableContents"/>
              <w:bidi w:val="0"/>
              <w:spacing w:before="0" w:after="283"/>
              <w:jc w:val="left"/>
              <w:rPr>
                <w:color w:val="242424"/>
              </w:rPr>
            </w:pPr>
            <w:r>
              <w:rPr>
                <w:color w:val="242424"/>
              </w:rPr>
              <w:t> </w:t>
            </w:r>
          </w:p>
        </w:tc>
        <w:tc>
          <w:tcPr>
            <w:tcW w:w="60" w:type="dxa"/>
            <w:tcBorders/>
            <w:vAlign w:val="center"/>
          </w:tcPr>
          <w:p>
            <w:pPr>
              <w:pStyle w:val="TableContents"/>
              <w:bidi w:val="0"/>
              <w:spacing w:before="0" w:after="283"/>
              <w:jc w:val="left"/>
              <w:rPr>
                <w:color w:val="242424"/>
              </w:rPr>
            </w:pPr>
            <w:r>
              <w:rPr>
                <w:color w:val="242424"/>
              </w:rPr>
              <w:t> </w:t>
            </w:r>
          </w:p>
        </w:tc>
        <w:tc>
          <w:tcPr>
            <w:tcW w:w="1504" w:type="dxa"/>
            <w:gridSpan w:val="2"/>
            <w:tcBorders/>
            <w:vAlign w:val="center"/>
          </w:tcPr>
          <w:p>
            <w:pPr>
              <w:pStyle w:val="TableContents"/>
              <w:bidi w:val="0"/>
              <w:spacing w:before="0" w:after="283"/>
              <w:jc w:val="left"/>
              <w:rPr>
                <w:color w:val="242424"/>
              </w:rPr>
            </w:pPr>
            <w:r>
              <w:rPr>
                <w:color w:val="242424"/>
              </w:rPr>
              <w:t> </w:t>
            </w:r>
          </w:p>
        </w:tc>
        <w:tc>
          <w:tcPr>
            <w:tcW w:w="230" w:type="dxa"/>
            <w:tcBorders/>
            <w:vAlign w:val="center"/>
          </w:tcPr>
          <w:p>
            <w:pPr>
              <w:pStyle w:val="TableContents"/>
              <w:bidi w:val="0"/>
              <w:spacing w:before="0" w:after="283"/>
              <w:jc w:val="left"/>
              <w:rPr>
                <w:color w:val="242424"/>
              </w:rPr>
            </w:pPr>
            <w:r>
              <w:rPr>
                <w:color w:val="242424"/>
              </w:rPr>
              <w:t> </w:t>
            </w:r>
          </w:p>
        </w:tc>
      </w:tr>
      <w:tr>
        <w:trPr/>
        <w:tc>
          <w:tcPr>
            <w:tcW w:w="1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9"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 (YoY)</w:t>
            </w:r>
          </w:p>
        </w:tc>
        <w:tc>
          <w:tcPr>
            <w:tcW w:w="230"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left"/>
              <w:rPr>
                <w:b/>
                <w:color w:val="242424"/>
              </w:rPr>
            </w:pPr>
            <w:r>
              <w:rPr>
                <w:b/>
                <w:color w:val="242424"/>
              </w:rPr>
              <w:t>OEM</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332" w:type="dxa"/>
            <w:tcBorders/>
            <w:shd w:fill="CCEEFF" w:val="clear"/>
            <w:vAlign w:val="center"/>
          </w:tcPr>
          <w:p>
            <w:pPr>
              <w:pStyle w:val="TableContents"/>
              <w:bidi w:val="0"/>
              <w:spacing w:before="0" w:after="283"/>
              <w:jc w:val="left"/>
              <w:rPr>
                <w:color w:val="242424"/>
              </w:rPr>
            </w:pPr>
            <w:r>
              <w:rPr>
                <w:color w:val="242424"/>
              </w:rPr>
              <w:t>$</w:t>
            </w:r>
          </w:p>
        </w:tc>
        <w:tc>
          <w:tcPr>
            <w:tcW w:w="1622" w:type="dxa"/>
            <w:tcBorders/>
            <w:shd w:fill="CCEEFF" w:val="clear"/>
            <w:vAlign w:val="center"/>
          </w:tcPr>
          <w:p>
            <w:pPr>
              <w:pStyle w:val="TableContents"/>
              <w:bidi w:val="0"/>
              <w:spacing w:before="0" w:after="283"/>
              <w:jc w:val="right"/>
              <w:rPr>
                <w:color w:val="242424"/>
              </w:rPr>
            </w:pPr>
            <w:r>
              <w:rPr>
                <w:color w:val="242424"/>
              </w:rPr>
              <w:t>36,934</w:t>
            </w:r>
          </w:p>
        </w:tc>
        <w:tc>
          <w:tcPr>
            <w:tcW w:w="99" w:type="dxa"/>
            <w:tcBorders/>
            <w:shd w:fill="CCEEFF" w:val="clear"/>
            <w:vAlign w:val="center"/>
          </w:tcPr>
          <w:p>
            <w:pPr>
              <w:pStyle w:val="TableContents"/>
              <w:bidi w:val="0"/>
              <w:spacing w:before="0" w:after="283"/>
              <w:jc w:val="left"/>
              <w:rPr>
                <w:color w:val="242424"/>
              </w:rPr>
            </w:pPr>
            <w:r>
              <w:rPr>
                <w:color w:val="242424"/>
              </w:rPr>
              <w:t> </w:t>
            </w:r>
          </w:p>
        </w:tc>
        <w:tc>
          <w:tcPr>
            <w:tcW w:w="99" w:type="dxa"/>
            <w:tcBorders/>
            <w:shd w:fill="CCEEFF" w:val="clear"/>
            <w:vAlign w:val="center"/>
          </w:tcPr>
          <w:p>
            <w:pPr>
              <w:pStyle w:val="TableContents"/>
              <w:bidi w:val="0"/>
              <w:spacing w:before="0" w:after="283"/>
              <w:jc w:val="left"/>
              <w:rPr>
                <w:color w:val="242424"/>
              </w:rPr>
            </w:pPr>
            <w:r>
              <w:rPr>
                <w:color w:val="242424"/>
              </w:rPr>
              <w:t> </w:t>
            </w:r>
          </w:p>
        </w:tc>
        <w:tc>
          <w:tcPr>
            <w:tcW w:w="332" w:type="dxa"/>
            <w:tcBorders/>
            <w:shd w:fill="CCEEFF" w:val="clear"/>
            <w:vAlign w:val="center"/>
          </w:tcPr>
          <w:p>
            <w:pPr>
              <w:pStyle w:val="TableContents"/>
              <w:bidi w:val="0"/>
              <w:spacing w:before="0" w:after="283"/>
              <w:jc w:val="left"/>
              <w:rPr>
                <w:color w:val="242424"/>
              </w:rPr>
            </w:pPr>
            <w:r>
              <w:rPr>
                <w:color w:val="242424"/>
              </w:rPr>
              <w:t>$</w:t>
            </w:r>
          </w:p>
        </w:tc>
        <w:tc>
          <w:tcPr>
            <w:tcW w:w="1622" w:type="dxa"/>
            <w:tcBorders/>
            <w:shd w:fill="CCEEFF" w:val="clear"/>
            <w:vAlign w:val="center"/>
          </w:tcPr>
          <w:p>
            <w:pPr>
              <w:pStyle w:val="TableContents"/>
              <w:bidi w:val="0"/>
              <w:spacing w:before="0" w:after="283"/>
              <w:jc w:val="right"/>
              <w:rPr>
                <w:color w:val="242424"/>
              </w:rPr>
            </w:pPr>
            <w:r>
              <w:rPr>
                <w:color w:val="242424"/>
              </w:rPr>
              <w:t>27,612</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144" w:type="dxa"/>
            <w:tcBorders/>
            <w:shd w:fill="CCEEFF" w:val="clear"/>
            <w:vAlign w:val="center"/>
          </w:tcPr>
          <w:p>
            <w:pPr>
              <w:pStyle w:val="TableContents"/>
              <w:bidi w:val="0"/>
              <w:spacing w:before="0" w:after="283"/>
              <w:jc w:val="left"/>
              <w:rPr>
                <w:color w:val="242424"/>
              </w:rPr>
            </w:pPr>
            <w:r>
              <w:rPr>
                <w:color w:val="242424"/>
              </w:rPr>
              <w:t> </w:t>
            </w:r>
          </w:p>
        </w:tc>
        <w:tc>
          <w:tcPr>
            <w:tcW w:w="1360" w:type="dxa"/>
            <w:tcBorders/>
            <w:shd w:fill="CCEEFF" w:val="clear"/>
            <w:vAlign w:val="center"/>
          </w:tcPr>
          <w:p>
            <w:pPr>
              <w:pStyle w:val="TableContents"/>
              <w:bidi w:val="0"/>
              <w:spacing w:before="0" w:after="283"/>
              <w:jc w:val="right"/>
              <w:rPr>
                <w:color w:val="242424"/>
              </w:rPr>
            </w:pPr>
            <w:r>
              <w:rPr>
                <w:color w:val="242424"/>
              </w:rPr>
              <w:t>33.8</w:t>
            </w:r>
          </w:p>
        </w:tc>
        <w:tc>
          <w:tcPr>
            <w:tcW w:w="230" w:type="dxa"/>
            <w:tcBorders/>
            <w:shd w:fill="CCEEFF" w:val="clear"/>
            <w:vAlign w:val="center"/>
          </w:tcPr>
          <w:p>
            <w:pPr>
              <w:pStyle w:val="TableContents"/>
              <w:bidi w:val="0"/>
              <w:spacing w:before="0" w:after="283"/>
              <w:jc w:val="left"/>
              <w:rPr>
                <w:color w:val="242424"/>
              </w:rPr>
            </w:pPr>
            <w:r>
              <w:rPr>
                <w:color w:val="242424"/>
              </w:rPr>
              <w:t>%</w:t>
            </w:r>
          </w:p>
        </w:tc>
      </w:tr>
      <w:tr>
        <w:trPr/>
        <w:tc>
          <w:tcPr>
            <w:tcW w:w="1010" w:type="dxa"/>
            <w:tcBorders/>
            <w:shd w:fill="FFFFFF" w:val="clear"/>
            <w:vAlign w:val="center"/>
          </w:tcPr>
          <w:p>
            <w:pPr>
              <w:pStyle w:val="TableContents"/>
              <w:bidi w:val="0"/>
              <w:spacing w:before="0" w:after="283"/>
              <w:jc w:val="left"/>
              <w:rPr>
                <w:b/>
                <w:color w:val="242424"/>
              </w:rPr>
            </w:pPr>
            <w:r>
              <w:rPr>
                <w:b/>
                <w:color w:val="242424"/>
              </w:rPr>
              <w:t>DTC</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332" w:type="dxa"/>
            <w:tcBorders/>
            <w:shd w:fill="FFFFFF" w:val="clear"/>
            <w:vAlign w:val="center"/>
          </w:tcPr>
          <w:p>
            <w:pPr>
              <w:pStyle w:val="TableContents"/>
              <w:bidi w:val="0"/>
              <w:spacing w:before="0" w:after="283"/>
              <w:jc w:val="left"/>
              <w:rPr>
                <w:color w:val="242424"/>
              </w:rPr>
            </w:pPr>
            <w:r>
              <w:rPr>
                <w:color w:val="242424"/>
              </w:rPr>
              <w:t>$</w:t>
            </w:r>
          </w:p>
        </w:tc>
        <w:tc>
          <w:tcPr>
            <w:tcW w:w="1622" w:type="dxa"/>
            <w:tcBorders/>
            <w:shd w:fill="FFFFFF" w:val="clear"/>
            <w:vAlign w:val="center"/>
          </w:tcPr>
          <w:p>
            <w:pPr>
              <w:pStyle w:val="TableContents"/>
              <w:bidi w:val="0"/>
              <w:spacing w:before="0" w:after="283"/>
              <w:jc w:val="right"/>
              <w:rPr>
                <w:color w:val="242424"/>
              </w:rPr>
            </w:pPr>
            <w:r>
              <w:rPr>
                <w:color w:val="242424"/>
              </w:rPr>
              <w:t>20,696</w:t>
            </w:r>
          </w:p>
        </w:tc>
        <w:tc>
          <w:tcPr>
            <w:tcW w:w="99" w:type="dxa"/>
            <w:tcBorders/>
            <w:shd w:fill="FFFFFF" w:val="clear"/>
            <w:vAlign w:val="center"/>
          </w:tcPr>
          <w:p>
            <w:pPr>
              <w:pStyle w:val="TableContents"/>
              <w:bidi w:val="0"/>
              <w:spacing w:before="0" w:after="283"/>
              <w:jc w:val="left"/>
              <w:rPr>
                <w:color w:val="242424"/>
              </w:rPr>
            </w:pPr>
            <w:r>
              <w:rPr>
                <w:color w:val="242424"/>
              </w:rPr>
              <w:t> </w:t>
            </w:r>
          </w:p>
        </w:tc>
        <w:tc>
          <w:tcPr>
            <w:tcW w:w="99" w:type="dxa"/>
            <w:tcBorders/>
            <w:shd w:fill="FFFFFF" w:val="clear"/>
            <w:vAlign w:val="center"/>
          </w:tcPr>
          <w:p>
            <w:pPr>
              <w:pStyle w:val="TableContents"/>
              <w:bidi w:val="0"/>
              <w:spacing w:before="0" w:after="283"/>
              <w:jc w:val="left"/>
              <w:rPr>
                <w:color w:val="242424"/>
              </w:rPr>
            </w:pPr>
            <w:r>
              <w:rPr>
                <w:color w:val="242424"/>
              </w:rPr>
              <w:t> </w:t>
            </w:r>
          </w:p>
        </w:tc>
        <w:tc>
          <w:tcPr>
            <w:tcW w:w="332" w:type="dxa"/>
            <w:tcBorders/>
            <w:shd w:fill="FFFFFF" w:val="clear"/>
            <w:vAlign w:val="center"/>
          </w:tcPr>
          <w:p>
            <w:pPr>
              <w:pStyle w:val="TableContents"/>
              <w:bidi w:val="0"/>
              <w:spacing w:before="0" w:after="283"/>
              <w:jc w:val="left"/>
              <w:rPr>
                <w:color w:val="242424"/>
              </w:rPr>
            </w:pPr>
            <w:r>
              <w:rPr>
                <w:color w:val="242424"/>
              </w:rPr>
              <w:t>$</w:t>
            </w:r>
          </w:p>
        </w:tc>
        <w:tc>
          <w:tcPr>
            <w:tcW w:w="1622" w:type="dxa"/>
            <w:tcBorders/>
            <w:shd w:fill="FFFFFF" w:val="clear"/>
            <w:vAlign w:val="center"/>
          </w:tcPr>
          <w:p>
            <w:pPr>
              <w:pStyle w:val="TableContents"/>
              <w:bidi w:val="0"/>
              <w:spacing w:before="0" w:after="283"/>
              <w:jc w:val="right"/>
              <w:rPr>
                <w:color w:val="242424"/>
              </w:rPr>
            </w:pPr>
            <w:r>
              <w:rPr>
                <w:color w:val="242424"/>
              </w:rPr>
              <w:t>22,616</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144" w:type="dxa"/>
            <w:tcBorders/>
            <w:shd w:fill="FFFFFF" w:val="clear"/>
            <w:vAlign w:val="center"/>
          </w:tcPr>
          <w:p>
            <w:pPr>
              <w:pStyle w:val="TableContents"/>
              <w:bidi w:val="0"/>
              <w:spacing w:before="0" w:after="283"/>
              <w:jc w:val="left"/>
              <w:rPr>
                <w:color w:val="242424"/>
              </w:rPr>
            </w:pPr>
            <w:r>
              <w:rPr>
                <w:color w:val="242424"/>
              </w:rPr>
              <w:t> </w:t>
            </w:r>
          </w:p>
        </w:tc>
        <w:tc>
          <w:tcPr>
            <w:tcW w:w="1360" w:type="dxa"/>
            <w:tcBorders/>
            <w:shd w:fill="FFFFFF" w:val="clear"/>
            <w:vAlign w:val="center"/>
          </w:tcPr>
          <w:p>
            <w:pPr>
              <w:pStyle w:val="TableContents"/>
              <w:bidi w:val="0"/>
              <w:spacing w:before="0" w:after="283"/>
              <w:jc w:val="right"/>
              <w:rPr>
                <w:color w:val="242424"/>
              </w:rPr>
            </w:pPr>
            <w:r>
              <w:rPr>
                <w:color w:val="242424"/>
              </w:rPr>
              <w:t>-8.5</w:t>
            </w:r>
          </w:p>
        </w:tc>
        <w:tc>
          <w:tcPr>
            <w:tcW w:w="230" w:type="dxa"/>
            <w:tcBorders/>
            <w:shd w:fill="FFFFFF" w:val="clear"/>
            <w:vAlign w:val="center"/>
          </w:tcPr>
          <w:p>
            <w:pPr>
              <w:pStyle w:val="TableContents"/>
              <w:bidi w:val="0"/>
              <w:spacing w:before="0" w:after="283"/>
              <w:jc w:val="left"/>
              <w:rPr>
                <w:color w:val="242424"/>
              </w:rPr>
            </w:pPr>
            <w:r>
              <w:rPr>
                <w:color w:val="242424"/>
              </w:rPr>
              <w:t>%</w:t>
            </w:r>
          </w:p>
        </w:tc>
      </w:tr>
      <w:tr>
        <w:trPr/>
        <w:tc>
          <w:tcPr>
            <w:tcW w:w="1010" w:type="dxa"/>
            <w:tcBorders/>
            <w:shd w:fill="CCEEFF" w:val="clear"/>
            <w:vAlign w:val="center"/>
          </w:tcPr>
          <w:p>
            <w:pPr>
              <w:pStyle w:val="TableContents"/>
              <w:bidi w:val="0"/>
              <w:spacing w:before="0" w:after="283"/>
              <w:jc w:val="left"/>
              <w:rPr>
                <w:b/>
                <w:color w:val="242424"/>
              </w:rPr>
            </w:pPr>
            <w:r>
              <w:rPr>
                <w:b/>
                <w:color w:val="242424"/>
              </w:rPr>
              <w:t>Licensing</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w:t>
            </w:r>
          </w:p>
        </w:tc>
        <w:tc>
          <w:tcPr>
            <w:tcW w:w="1622"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1,000</w:t>
            </w:r>
          </w:p>
        </w:tc>
        <w:tc>
          <w:tcPr>
            <w:tcW w:w="99" w:type="dxa"/>
            <w:tcBorders/>
            <w:shd w:fill="CCEEFF" w:val="clear"/>
            <w:vAlign w:val="center"/>
          </w:tcPr>
          <w:p>
            <w:pPr>
              <w:pStyle w:val="TableContents"/>
              <w:bidi w:val="0"/>
              <w:spacing w:before="0" w:after="283"/>
              <w:jc w:val="left"/>
              <w:rPr>
                <w:color w:val="242424"/>
              </w:rPr>
            </w:pPr>
            <w:r>
              <w:rPr>
                <w:color w:val="242424"/>
              </w:rPr>
              <w:t> </w:t>
            </w:r>
          </w:p>
        </w:tc>
        <w:tc>
          <w:tcPr>
            <w:tcW w:w="99" w:type="dxa"/>
            <w:tcBorders/>
            <w:shd w:fill="CCEEFF" w:val="clear"/>
            <w:vAlign w:val="center"/>
          </w:tcPr>
          <w:p>
            <w:pPr>
              <w:pStyle w:val="TableContents"/>
              <w:bidi w:val="0"/>
              <w:spacing w:before="0" w:after="283"/>
              <w:jc w:val="left"/>
              <w:rPr>
                <w:color w:val="242424"/>
              </w:rPr>
            </w:pPr>
            <w:r>
              <w:rPr>
                <w:color w:val="242424"/>
              </w:rPr>
              <w:t> </w:t>
            </w:r>
          </w:p>
        </w:tc>
        <w:tc>
          <w:tcPr>
            <w:tcW w:w="332"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w:t>
            </w:r>
          </w:p>
        </w:tc>
        <w:tc>
          <w:tcPr>
            <w:tcW w:w="1622"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417</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60" w:type="dxa"/>
            <w:tcBorders/>
            <w:shd w:fill="CCEEFF" w:val="clear"/>
            <w:vAlign w:val="center"/>
          </w:tcPr>
          <w:p>
            <w:pPr>
              <w:pStyle w:val="TableContents"/>
              <w:bidi w:val="0"/>
              <w:spacing w:before="0" w:after="283"/>
              <w:jc w:val="left"/>
              <w:rPr>
                <w:color w:val="242424"/>
              </w:rPr>
            </w:pPr>
            <w:r>
              <w:rPr>
                <w:color w:val="242424"/>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olor w:val="242424"/>
              </w:rPr>
            </w:pPr>
            <w:r>
              <w:rPr>
                <w:color w:val="242424"/>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color w:val="242424"/>
              </w:rPr>
            </w:pPr>
            <w:r>
              <w:rPr>
                <w:color w:val="242424"/>
              </w:rPr>
              <w:t>139.8</w:t>
            </w:r>
          </w:p>
        </w:tc>
        <w:tc>
          <w:tcPr>
            <w:tcW w:w="230" w:type="dxa"/>
            <w:tcBorders/>
            <w:shd w:fill="CCEEFF" w:val="clear"/>
            <w:vAlign w:val="center"/>
          </w:tcPr>
          <w:p>
            <w:pPr>
              <w:pStyle w:val="TableContents"/>
              <w:bidi w:val="0"/>
              <w:spacing w:before="0" w:after="283"/>
              <w:jc w:val="left"/>
              <w:rPr>
                <w:color w:val="242424"/>
              </w:rPr>
            </w:pPr>
            <w:r>
              <w:rPr>
                <w:color w:val="242424"/>
              </w:rPr>
              <w:t>%</w:t>
            </w:r>
          </w:p>
        </w:tc>
      </w:tr>
      <w:tr>
        <w:trPr/>
        <w:tc>
          <w:tcPr>
            <w:tcW w:w="1010" w:type="dxa"/>
            <w:tcBorders/>
            <w:shd w:fill="FFFFFF" w:val="clear"/>
            <w:vAlign w:val="center"/>
          </w:tcPr>
          <w:p>
            <w:pPr>
              <w:pStyle w:val="TableContents"/>
              <w:bidi w:val="0"/>
              <w:spacing w:before="0" w:after="283"/>
              <w:jc w:val="left"/>
              <w:rPr>
                <w:b/>
                <w:color w:val="242424"/>
              </w:rPr>
            </w:pPr>
            <w:r>
              <w:rPr>
                <w:b/>
                <w:color w:val="242424"/>
              </w:rPr>
              <w:t>Net Sales</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332" w:type="dxa"/>
            <w:tcBorders/>
            <w:shd w:fill="FFFFFF" w:val="clear"/>
            <w:vAlign w:val="center"/>
          </w:tcPr>
          <w:p>
            <w:pPr>
              <w:pStyle w:val="TableContents"/>
              <w:bidi w:val="0"/>
              <w:spacing w:before="0" w:after="283"/>
              <w:jc w:val="left"/>
              <w:rPr>
                <w:color w:val="242424"/>
              </w:rPr>
            </w:pPr>
            <w:r>
              <w:rPr>
                <w:color w:val="242424"/>
              </w:rPr>
              <w:t>$</w:t>
            </w:r>
          </w:p>
        </w:tc>
        <w:tc>
          <w:tcPr>
            <w:tcW w:w="1622" w:type="dxa"/>
            <w:tcBorders/>
            <w:shd w:fill="FFFFFF" w:val="clear"/>
            <w:vAlign w:val="center"/>
          </w:tcPr>
          <w:p>
            <w:pPr>
              <w:pStyle w:val="TableContents"/>
              <w:bidi w:val="0"/>
              <w:spacing w:before="0" w:after="283"/>
              <w:jc w:val="right"/>
              <w:rPr>
                <w:color w:val="242424"/>
              </w:rPr>
            </w:pPr>
            <w:r>
              <w:rPr>
                <w:color w:val="242424"/>
              </w:rPr>
              <w:t>58,630</w:t>
            </w:r>
          </w:p>
        </w:tc>
        <w:tc>
          <w:tcPr>
            <w:tcW w:w="99" w:type="dxa"/>
            <w:tcBorders/>
            <w:shd w:fill="FFFFFF" w:val="clear"/>
            <w:vAlign w:val="center"/>
          </w:tcPr>
          <w:p>
            <w:pPr>
              <w:pStyle w:val="TableContents"/>
              <w:bidi w:val="0"/>
              <w:spacing w:before="0" w:after="283"/>
              <w:jc w:val="left"/>
              <w:rPr>
                <w:color w:val="242424"/>
              </w:rPr>
            </w:pPr>
            <w:r>
              <w:rPr>
                <w:color w:val="242424"/>
              </w:rPr>
              <w:t> </w:t>
            </w:r>
          </w:p>
        </w:tc>
        <w:tc>
          <w:tcPr>
            <w:tcW w:w="99" w:type="dxa"/>
            <w:tcBorders/>
            <w:shd w:fill="FFFFFF" w:val="clear"/>
            <w:vAlign w:val="center"/>
          </w:tcPr>
          <w:p>
            <w:pPr>
              <w:pStyle w:val="TableContents"/>
              <w:bidi w:val="0"/>
              <w:spacing w:before="0" w:after="283"/>
              <w:jc w:val="left"/>
              <w:rPr>
                <w:color w:val="242424"/>
              </w:rPr>
            </w:pPr>
            <w:r>
              <w:rPr>
                <w:color w:val="242424"/>
              </w:rPr>
              <w:t> </w:t>
            </w:r>
          </w:p>
        </w:tc>
        <w:tc>
          <w:tcPr>
            <w:tcW w:w="332" w:type="dxa"/>
            <w:tcBorders/>
            <w:shd w:fill="FFFFFF" w:val="clear"/>
            <w:vAlign w:val="center"/>
          </w:tcPr>
          <w:p>
            <w:pPr>
              <w:pStyle w:val="TableContents"/>
              <w:bidi w:val="0"/>
              <w:spacing w:before="0" w:after="283"/>
              <w:jc w:val="left"/>
              <w:rPr>
                <w:color w:val="242424"/>
              </w:rPr>
            </w:pPr>
            <w:r>
              <w:rPr>
                <w:color w:val="242424"/>
              </w:rPr>
              <w:t>$</w:t>
            </w:r>
          </w:p>
        </w:tc>
        <w:tc>
          <w:tcPr>
            <w:tcW w:w="1622" w:type="dxa"/>
            <w:tcBorders/>
            <w:shd w:fill="FFFFFF" w:val="clear"/>
            <w:vAlign w:val="center"/>
          </w:tcPr>
          <w:p>
            <w:pPr>
              <w:pStyle w:val="TableContents"/>
              <w:bidi w:val="0"/>
              <w:spacing w:before="0" w:after="283"/>
              <w:jc w:val="right"/>
              <w:rPr>
                <w:color w:val="242424"/>
              </w:rPr>
            </w:pPr>
            <w:r>
              <w:rPr>
                <w:color w:val="242424"/>
              </w:rPr>
              <w:t>50,645</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60" w:type="dxa"/>
            <w:tcBorders/>
            <w:shd w:fill="FFFFFF" w:val="clear"/>
            <w:vAlign w:val="center"/>
          </w:tcPr>
          <w:p>
            <w:pPr>
              <w:pStyle w:val="TableContents"/>
              <w:bidi w:val="0"/>
              <w:spacing w:before="0" w:after="283"/>
              <w:jc w:val="left"/>
              <w:rPr>
                <w:color w:val="242424"/>
              </w:rPr>
            </w:pPr>
            <w:r>
              <w:rPr>
                <w:color w:val="242424"/>
              </w:rPr>
              <w:t> </w:t>
            </w:r>
          </w:p>
        </w:tc>
        <w:tc>
          <w:tcPr>
            <w:tcW w:w="144" w:type="dxa"/>
            <w:tcBorders/>
            <w:shd w:fill="FFFFFF" w:val="clear"/>
            <w:vAlign w:val="center"/>
          </w:tcPr>
          <w:p>
            <w:pPr>
              <w:pStyle w:val="TableContents"/>
              <w:bidi w:val="0"/>
              <w:spacing w:before="0" w:after="283"/>
              <w:jc w:val="left"/>
              <w:rPr>
                <w:color w:val="242424"/>
              </w:rPr>
            </w:pPr>
            <w:r>
              <w:rPr>
                <w:color w:val="242424"/>
              </w:rPr>
              <w:t> </w:t>
            </w:r>
          </w:p>
        </w:tc>
        <w:tc>
          <w:tcPr>
            <w:tcW w:w="1360" w:type="dxa"/>
            <w:tcBorders/>
            <w:shd w:fill="FFFFFF" w:val="clear"/>
            <w:vAlign w:val="center"/>
          </w:tcPr>
          <w:p>
            <w:pPr>
              <w:pStyle w:val="TableContents"/>
              <w:bidi w:val="0"/>
              <w:spacing w:before="0" w:after="283"/>
              <w:jc w:val="right"/>
              <w:rPr>
                <w:color w:val="242424"/>
              </w:rPr>
            </w:pPr>
            <w:r>
              <w:rPr>
                <w:color w:val="242424"/>
              </w:rPr>
              <w:t>15.8</w:t>
            </w:r>
          </w:p>
        </w:tc>
        <w:tc>
          <w:tcPr>
            <w:tcW w:w="230" w:type="dxa"/>
            <w:tcBorders/>
            <w:shd w:fill="FFFFFF" w:val="clear"/>
            <w:vAlign w:val="center"/>
          </w:tcPr>
          <w:p>
            <w:pPr>
              <w:pStyle w:val="TableContents"/>
              <w:bidi w:val="0"/>
              <w:spacing w:before="0" w:after="283"/>
              <w:jc w:val="left"/>
              <w:rPr>
                <w:color w:val="242424"/>
              </w:rPr>
            </w:pPr>
            <w:r>
              <w:rPr>
                <w:color w:val="242424"/>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Sales increased 15.8% to $58.6 million. OEM net sales increased 33.8%, led by increased product adoption and new customer acquisitions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DTC net sales declined to $20.7 million, from $22.6 million, reflecting continued softness in the RV market due to continued macroeconomic pressures.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34.6% to $15.6 million and gross margin expanded 370 basis points to 26.7%, reflecting higher sales volumes. Operating Expenses were $(38.8) million, compared to $(37.4)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a Net Loss of $(69.9) million, or $(14.80) per diluted share, compared to a Net Loss of $(40.6) million or $(59.15) per diluted share. Adjusted EBITDA excluding stock-based compensation, changes in the fair market value of the Company’s warrants, and other one-time expenses, was negative $(11.8) million, compared to negative $(18.5)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fourth quarter and full year 2025 financial and operating results are preliminary and are subject to finalization and adjustment in connection with the audit of the financial statements for the fiscal year ended December 31, 2025 and the preparation of the Company’s Annual Report on Form 10-K for the three months and fiscal year ended December 31, 2025. The preliminary financial results included in this press release have been prepared by, and are the responsibility of, the Company’s management. During the course of the preparation of the Company’s financial statements and related notes as of and for the three months and full year ended December 31, 2025, the Company may identify items that would require it to make material adjustments to the preliminary financial results presented herein. As a result, investors should exercise caution in relying on this information and should not draw any inferences from this information. This preliminary financial information should not be viewed as a substitute for full financial statements prepared in accordance with GAAP and reviewed by the Company’s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and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2025, we took important steps to strengthen the business, substantially improving our balance sheet while expanding our customer base and product portfolio. Together with our ongoing operational initiatives, newly implemented cost realignment, and enhanced focus on commercial revenues, we believe Dragonfly Energy is positioned to achieve profitability and deliver long-term value for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the first quarter of 2026, we anticipate revenue of $9.5 million and adjusted EBITDA loss of $4.6 million. First quarter results are expected to reflect softer than anticipated conditions in the RV market, particularly in January, along with a slower-than-expected ramp in the trucking segment. Activity has shown signs of stabilizing, and we expect operating leverage to improve as the year progresses,” concluded Dr. Phares.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 Guidance</w:t>
      </w:r>
    </w:p>
    <w:p>
      <w:pPr>
        <w:pStyle w:val="TextBody"/>
        <w:bidi w:val="0"/>
        <w:spacing w:before="0" w:after="0"/>
        <w:jc w:val="center"/>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75"/>
        <w:gridCol w:w="170"/>
        <w:gridCol w:w="42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Sales of approximately </w:t>
            </w:r>
            <w:r>
              <w:rPr>
                <w:rFonts w:ascii="Times New Roman;Times;Serif" w:hAnsi="Times New Roman;Times;Serif"/>
                <w:b/>
                <w:i w:val="false"/>
                <w:caps w:val="false"/>
                <w:smallCaps w:val="false"/>
                <w:sz w:val="20"/>
              </w:rPr>
              <w:t>$9.5</w:t>
            </w:r>
            <w:r>
              <w:rPr>
                <w:rFonts w:ascii="Times New Roman;Times;Serif" w:hAnsi="Times New Roman;Times;Serif"/>
                <w:b w:val="false"/>
                <w:i w:val="false"/>
                <w:caps w:val="false"/>
                <w:smallCaps w:val="false"/>
                <w:sz w:val="20"/>
              </w:rPr>
              <w:t xml:space="preserve"> million.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Adjusted EBITDA of approximately </w:t>
            </w:r>
            <w:r>
              <w:rPr>
                <w:rFonts w:ascii="Times New Roman;Times;Serif" w:hAnsi="Times New Roman;Times;Serif"/>
                <w:b/>
                <w:i w:val="false"/>
                <w:caps w:val="false"/>
                <w:smallCaps w:val="false"/>
                <w:sz w:val="20"/>
              </w:rPr>
              <w:t>$(4.6)</w:t>
            </w:r>
            <w:r>
              <w:rPr>
                <w:rFonts w:ascii="Times New Roman;Times;Serif" w:hAnsi="Times New Roman;Times;Serif"/>
                <w:b w:val="false"/>
                <w:i w:val="false"/>
                <w:caps w:val="false"/>
                <w:smallCaps w:val="false"/>
                <w:sz w:val="20"/>
              </w:rPr>
              <w:t xml:space="preserve">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The Company cannot reconcile its expected adjusted operating EBITDA under “Q1 2026 Guidance” without unreasonable effort because certain items that impact net (loss) income and other reconciling metrics are out of the Company’s control and/or cannot be reasonably predicted at this time. Actual results may vary from the guidance and the variations may be material.</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Use of Non-GAAP Financial Measures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non-GAAP financial measures including EBITDA and Adjusted EBITDA as a supplement to GAAP financial information to enhance the overall understanding of the Company’s financial performance and to assist investors in evaluating the Company’s results of operations, period over period. Adjusted non-GAAP measures exclude significant unusual items. Investors should consider these non-GAAP measures as a supplement to, and not a substitute for financial information prepared on a GAAP basis.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defined as earnings before interest and other income (expenses), income taxes, and depreciation and amortization. Adjusted EBITDA is calculated as EBITDA adjusted for stock-based compensation, change in fair market value of warrant liabilities, non-recurring costs associated with strategic financing, reverse stock split, litigation and loss on settlement. Adjusted EBITDA is a performance measure that the Company believes is useful to investors and analysts because it illustrates the underlying financial and business trends relating to the Company’s core, recurring results of operations and enhances comparability between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has limitations as an analytical tool, and it should not be considered in isolation or as a substitute for analysis of net loss or other results as reported under GAAP. Some of these limitations are:</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cash expenditures, future requirements for capital expenditures, or contractual commitments;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the Company’s working capital needs;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the Company’s tax expense or the cash requirements to pay taxes;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amortization and depreciation are non-cash charges, the assets being amortized and depreciated will often have to be replaced in the future and Adjusted EBITDA does not reflect any cash requirements for such replacements;</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should not be construed as an inference that the Company’s future results will be unaffected by unusual or non-recurring items for which the Company may adjust in historical periods;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companies in the industry may calculate Adjusted EBITDA differently than the Company does, limiting its usefulness as a comparative measure.</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Dragonfly Energy management team will host a conference call to discuss its fourth quarter and full year 2025 financial and operational this afternoon, March 16, 2026 at 4:30 PM Eastern Time. The call can be accessed live via webcast by clicking </w:t>
      </w:r>
      <w:r>
        <w:rPr>
          <w:rFonts w:ascii="Times New Roman;Times;Serif" w:hAnsi="Times New Roman;Times;Serif"/>
          <w:b w:val="false"/>
          <w:i w:val="false"/>
          <w:caps w:val="false"/>
          <w:smallCaps w:val="false"/>
          <w:sz w:val="20"/>
          <w:u w:val="single"/>
        </w:rPr>
        <w:t>here,</w:t>
      </w:r>
      <w:r>
        <w:rPr>
          <w:rFonts w:ascii="Times New Roman;Times;Serif" w:hAnsi="Times New Roman;Times;Serif"/>
          <w:b w:val="false"/>
          <w:i w:val="false"/>
          <w:caps w:val="false"/>
          <w:smallCaps w:val="false"/>
          <w:sz w:val="20"/>
        </w:rPr>
        <w:t xml:space="preserve"> or through the Events and Presentations page within the Investor Relations section of Dragonfly Energy’s website at </w:t>
      </w:r>
      <w:r>
        <w:rPr>
          <w:rFonts w:ascii="Times New Roman;Times;Serif" w:hAnsi="Times New Roman;Times;Serif"/>
          <w:b w:val="false"/>
          <w:i w:val="false"/>
          <w:caps w:val="false"/>
          <w:smallCaps w:val="false"/>
          <w:sz w:val="20"/>
          <w:u w:val="single"/>
        </w:rPr>
        <w:t>https://investors.dragonflyenergy.com/events-and-presentations/default.aspx.</w:t>
      </w:r>
      <w:r>
        <w:rPr>
          <w:rFonts w:ascii="Times New Roman;Times;Serif" w:hAnsi="Times New Roman;Times;Serif"/>
          <w:b w:val="false"/>
          <w:i w:val="false"/>
          <w:caps w:val="false"/>
          <w:smallCaps w:val="false"/>
          <w:sz w:val="20"/>
        </w:rPr>
        <w:t xml:space="preserve"> The call can also be accessed live via telephone by dialing (646) 564-2877, toll-free in North America (800) 549-8228, or for international callers +1 (289) 819-1520, and referencing conference ID: 41799. Please log in to the webcast or dial in to the call at least 10 minutes prior to the start of the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archive of the webcast will be available for a period of time shortly after the call on the Events and Presentations page on the Investor Relations section of Dragonfly Energy’s website, along with the earnings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Dragonfly Energy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learn more about Dragonfly Energy and its commitment to clean energy advancements, visit </w:t>
      </w:r>
      <w:r>
        <w:rPr>
          <w:rFonts w:ascii="Times New Roman;Times;Serif" w:hAnsi="Times New Roman;Times;Serif"/>
          <w:b w:val="false"/>
          <w:i w:val="false"/>
          <w:caps w:val="false"/>
          <w:smallCaps w:val="false"/>
          <w:sz w:val="20"/>
          <w:u w:val="single"/>
        </w:rPr>
        <w:t>https://investors.dragonflyenergy.com/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the first quarter of 2026, preliminary results of operations and financial position for fourth quarter and fiscal year 2025,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filed with the SEC and in the Company’s subsequent filings with the SEC available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Results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Fourth quarter and full year 2025 financial and operating results are preliminary, as they are subject to finalization and adjustment in connection with the preparation of the Annual Report on Form 10-K for fiscal 2025 to be filed later this month. During the course of the preparation of these financial statements, Dragonfly may identify items that would require the Company to make material adjustments to the preliminary financial results. As a result, investors should exercise caution in relying on this information and should not draw any inferences from this information. The preliminary financial information should not be viewed as a substitute for full financial statements prepared in accordance with GAAP and reviewed by our independent registered public accounting firm.</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Tables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95"/>
        <w:gridCol w:w="60"/>
        <w:gridCol w:w="191"/>
        <w:gridCol w:w="1201"/>
        <w:gridCol w:w="95"/>
        <w:gridCol w:w="60"/>
        <w:gridCol w:w="217"/>
        <w:gridCol w:w="1174"/>
        <w:gridCol w:w="112"/>
      </w:tblGrid>
      <w:tr>
        <w:trPr/>
        <w:tc>
          <w:tcPr>
            <w:tcW w:w="7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8" w:type="dxa"/>
            <w:gridSpan w:val="6"/>
            <w:tcBorders/>
            <w:vAlign w:val="center"/>
          </w:tcPr>
          <w:p>
            <w:pPr>
              <w:pStyle w:val="TableContents"/>
              <w:bidi w:val="0"/>
              <w:spacing w:before="0" w:after="283"/>
              <w:jc w:val="center"/>
              <w:rPr>
                <w:b/>
              </w:rPr>
            </w:pPr>
            <w:r>
              <w:rPr>
                <w:b/>
              </w:rPr>
              <w:t>As of</w:t>
            </w:r>
          </w:p>
        </w:tc>
        <w:tc>
          <w:tcPr>
            <w:tcW w:w="112" w:type="dxa"/>
            <w:tcBorders/>
            <w:vAlign w:val="center"/>
          </w:tcPr>
          <w:p>
            <w:pPr>
              <w:pStyle w:val="TableContents"/>
              <w:bidi w:val="0"/>
              <w:spacing w:before="0" w:after="283"/>
              <w:jc w:val="left"/>
              <w:rPr/>
            </w:pPr>
            <w:r>
              <w:rPr/>
              <w:t> </w:t>
            </w:r>
          </w:p>
        </w:tc>
      </w:tr>
      <w:tr>
        <w:trPr/>
        <w:tc>
          <w:tcPr>
            <w:tcW w:w="7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2" w:type="dxa"/>
            <w:tcBorders/>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b/>
              </w:rPr>
            </w:pPr>
            <w:r>
              <w:rPr>
                <w:b/>
              </w:rPr>
              <w:t>Current Assets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1201" w:type="dxa"/>
            <w:tcBorders/>
            <w:shd w:fill="FFFFFF" w:val="clear"/>
            <w:vAlign w:val="center"/>
          </w:tcPr>
          <w:p>
            <w:pPr>
              <w:pStyle w:val="TableContents"/>
              <w:bidi w:val="0"/>
              <w:spacing w:before="0" w:after="283"/>
              <w:jc w:val="right"/>
              <w:rPr/>
            </w:pPr>
            <w:r>
              <w:rPr/>
              <w:t>18,270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4,849</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Accounts receivable, net of allowance for credit losses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4,215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2,416</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24,234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21,716</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806</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Prepaid inventory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937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1,362</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Prepaid income tax</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307</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Assets held for sale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644</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1,083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825</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50,180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32,925</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b/>
              </w:rPr>
            </w:pPr>
            <w:r>
              <w:rPr>
                <w:b/>
              </w:rPr>
              <w:t>Property and Equipment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20,741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22,107</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Operating lease right of use asset, net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15,240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19,737</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388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445</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75,214</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1201" w:type="dxa"/>
            <w:tcBorders/>
            <w:shd w:fill="FFFFFF" w:val="clear"/>
            <w:vAlign w:val="center"/>
          </w:tcPr>
          <w:p>
            <w:pPr>
              <w:pStyle w:val="TableContents"/>
              <w:bidi w:val="0"/>
              <w:spacing w:before="0" w:after="283"/>
              <w:jc w:val="right"/>
              <w:rPr/>
            </w:pPr>
            <w:r>
              <w:rPr/>
              <w:t>10,322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174" w:type="dxa"/>
            <w:tcBorders/>
            <w:shd w:fill="FFFFFF" w:val="clear"/>
            <w:vAlign w:val="center"/>
          </w:tcPr>
          <w:p>
            <w:pPr>
              <w:pStyle w:val="TableContents"/>
              <w:bidi w:val="0"/>
              <w:spacing w:before="0" w:after="283"/>
              <w:jc w:val="right"/>
              <w:rPr/>
            </w:pPr>
            <w:r>
              <w:rPr/>
              <w:t>10,716</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Accrued payroll and other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4,053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4,129</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Accrued tariffs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1,915</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Accrued settlement, current portion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750</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Customer deposits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317</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Deferred revenue, current portion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1,000</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Uncertain tax position liability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55</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Dividends Payable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Notes payable,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Operating lease liability, current portion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2,533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2,926</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Financing lease liability, current portion</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47</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19,757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21,855</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Deferred revenue, net of current portion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2,583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3,583</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Warrant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5,133</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Accrued settlement, net of current portion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1,750</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Notes payable, non current portion, net of debt issuance costs</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9,212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29,646</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Operating lease liability, net of current portion</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20,470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22,588</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Financing lease liability, net of current portion</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33,006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62,763</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52,763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84,618</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b/>
              </w:rPr>
            </w:pPr>
            <w:r>
              <w:rPr>
                <w:b/>
              </w:rPr>
              <w:t>Redeemable Preferred Stock</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Preferred stock - Series A 5,000 shares at $0.0001 par value, authorized, no shares issued and outstanding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Preferred stock - Series B, 25,000 shares at $0.0001 par value, authorized, and no shares issued and outstanding as of December 31, 2025 and 2024 respectively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22,256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Preferred stock, 4,995,000 shares at $0.0001 par value, authorized, no shares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Common stock, 400,000,000 shares at $0.0001 par value, authorized, 12,078,713 and 723,265 shares issued and outstanding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095"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pPr>
            <w:r>
              <w:rPr/>
              <w:t>163,622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72,750</w:t>
            </w:r>
          </w:p>
        </w:tc>
        <w:tc>
          <w:tcPr>
            <w:tcW w:w="112" w:type="dxa"/>
            <w:tcBorders/>
            <w:shd w:fill="FFFFFF" w:val="clear"/>
            <w:vAlign w:val="center"/>
          </w:tcPr>
          <w:p>
            <w:pPr>
              <w:pStyle w:val="TableContents"/>
              <w:bidi w:val="0"/>
              <w:spacing w:before="0" w:after="283"/>
              <w:jc w:val="left"/>
              <w:rPr/>
            </w:pPr>
            <w:r>
              <w:rPr/>
              <w:t> </w:t>
            </w:r>
          </w:p>
        </w:tc>
      </w:tr>
      <w:tr>
        <w:trPr/>
        <w:tc>
          <w:tcPr>
            <w:tcW w:w="7095"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CCEEFF" w:val="clear"/>
            <w:tcMar>
              <w:bottom w:w="28" w:type="dxa"/>
            </w:tcMar>
            <w:vAlign w:val="center"/>
          </w:tcPr>
          <w:p>
            <w:pPr>
              <w:pStyle w:val="TableContents"/>
              <w:bidi w:val="0"/>
              <w:spacing w:before="0" w:after="283"/>
              <w:jc w:val="right"/>
              <w:rPr/>
            </w:pPr>
            <w:r>
              <w:rPr/>
              <w:t>(152,093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(82,154</w:t>
            </w:r>
          </w:p>
        </w:tc>
        <w:tc>
          <w:tcPr>
            <w:tcW w:w="112" w:type="dxa"/>
            <w:tcBorders/>
            <w:shd w:fill="CCEEFF" w:val="clear"/>
            <w:vAlign w:val="center"/>
          </w:tcPr>
          <w:p>
            <w:pPr>
              <w:pStyle w:val="TableContents"/>
              <w:bidi w:val="0"/>
              <w:spacing w:before="0" w:after="283"/>
              <w:jc w:val="left"/>
              <w:rPr/>
            </w:pPr>
            <w:r>
              <w:rPr/>
              <w:t>)</w:t>
            </w:r>
          </w:p>
        </w:tc>
      </w:tr>
      <w:tr>
        <w:trPr/>
        <w:tc>
          <w:tcPr>
            <w:tcW w:w="7095" w:type="dxa"/>
            <w:tcBorders/>
            <w:shd w:fill="FFFFFF" w:val="clear"/>
            <w:vAlign w:val="center"/>
          </w:tcPr>
          <w:p>
            <w:pPr>
              <w:pStyle w:val="TableContents"/>
              <w:bidi w:val="0"/>
              <w:spacing w:before="0" w:after="283"/>
              <w:jc w:val="left"/>
              <w:rPr>
                <w:b/>
              </w:rPr>
            </w:pPr>
            <w:r>
              <w:rPr>
                <w:b/>
              </w:rPr>
              <w:t>Stockholders’ Equity (Deficit)</w:t>
            </w:r>
          </w:p>
        </w:tc>
        <w:tc>
          <w:tcPr>
            <w:tcW w:w="60" w:type="dxa"/>
            <w:tcBorders/>
            <w:shd w:fill="FFFFFF" w:val="clear"/>
            <w:vAlign w:val="center"/>
          </w:tcPr>
          <w:p>
            <w:pPr>
              <w:pStyle w:val="TableContents"/>
              <w:bidi w:val="0"/>
              <w:spacing w:before="0" w:after="283"/>
              <w:jc w:val="left"/>
              <w:rPr/>
            </w:pPr>
            <w:r>
              <w:rPr/>
              <w:t> </w:t>
            </w:r>
          </w:p>
        </w:tc>
        <w:tc>
          <w:tcPr>
            <w:tcW w:w="19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1"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(9,404</w:t>
            </w:r>
          </w:p>
        </w:tc>
        <w:tc>
          <w:tcPr>
            <w:tcW w:w="112" w:type="dxa"/>
            <w:tcBorders/>
            <w:shd w:fill="FFFFFF" w:val="clear"/>
            <w:vAlign w:val="center"/>
          </w:tcPr>
          <w:p>
            <w:pPr>
              <w:pStyle w:val="TableContents"/>
              <w:bidi w:val="0"/>
              <w:spacing w:before="0" w:after="283"/>
              <w:jc w:val="left"/>
              <w:rPr>
                <w:b/>
              </w:rPr>
            </w:pPr>
            <w:r>
              <w:rPr>
                <w:b/>
              </w:rPr>
              <w:t>)</w:t>
            </w:r>
          </w:p>
        </w:tc>
      </w:tr>
      <w:tr>
        <w:trPr/>
        <w:tc>
          <w:tcPr>
            <w:tcW w:w="7095" w:type="dxa"/>
            <w:tcBorders/>
            <w:shd w:fill="CCEEFF" w:val="clear"/>
            <w:vAlign w:val="center"/>
          </w:tcPr>
          <w:p>
            <w:pPr>
              <w:pStyle w:val="TableContents"/>
              <w:bidi w:val="0"/>
              <w:spacing w:before="0" w:after="283"/>
              <w:jc w:val="left"/>
              <w:rPr>
                <w:b/>
              </w:rPr>
            </w:pPr>
            <w:r>
              <w:rPr>
                <w:b/>
              </w:rPr>
              <w:t>Total Liabilities, Redeemable Preferred Stock and Stockholders’ Equity</w:t>
            </w:r>
          </w:p>
        </w:tc>
        <w:tc>
          <w:tcPr>
            <w:tcW w:w="60" w:type="dxa"/>
            <w:tcBorders/>
            <w:shd w:fill="CCEEFF" w:val="clear"/>
            <w:vAlign w:val="center"/>
          </w:tcPr>
          <w:p>
            <w:pPr>
              <w:pStyle w:val="TableContents"/>
              <w:bidi w:val="0"/>
              <w:spacing w:before="0" w:after="283"/>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0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86,549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75,214</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Interim Consolidated Statement of Operations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 in Thousands, except share and per share data)</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64"/>
        <w:gridCol w:w="60"/>
        <w:gridCol w:w="166"/>
        <w:gridCol w:w="1168"/>
        <w:gridCol w:w="95"/>
        <w:gridCol w:w="60"/>
        <w:gridCol w:w="195"/>
        <w:gridCol w:w="1121"/>
        <w:gridCol w:w="95"/>
        <w:gridCol w:w="60"/>
        <w:gridCol w:w="166"/>
        <w:gridCol w:w="1168"/>
        <w:gridCol w:w="95"/>
        <w:gridCol w:w="60"/>
        <w:gridCol w:w="195"/>
        <w:gridCol w:w="1121"/>
        <w:gridCol w:w="116"/>
      </w:tblGrid>
      <w:tr>
        <w:trPr/>
        <w:tc>
          <w:tcPr>
            <w:tcW w:w="4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6" w:type="dxa"/>
            <w:tcBorders/>
            <w:vAlign w:val="center"/>
          </w:tcPr>
          <w:p>
            <w:pPr>
              <w:pStyle w:val="TableContents"/>
              <w:bidi w:val="0"/>
              <w:spacing w:before="0" w:after="283"/>
              <w:jc w:val="left"/>
              <w:rPr/>
            </w:pPr>
            <w:r>
              <w:rPr/>
              <w:t> </w:t>
            </w:r>
          </w:p>
        </w:tc>
      </w:tr>
      <w:tr>
        <w:trPr/>
        <w:tc>
          <w:tcPr>
            <w:tcW w:w="4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center"/>
              <w:rPr>
                <w:b/>
              </w:rPr>
            </w:pPr>
            <w:r>
              <w:rPr>
                <w:b/>
              </w:rPr>
              <w:t>December 31,</w:t>
            </w:r>
          </w:p>
        </w:tc>
        <w:tc>
          <w:tcPr>
            <w:tcW w:w="116" w:type="dxa"/>
            <w:tcBorders/>
            <w:vAlign w:val="center"/>
          </w:tcPr>
          <w:p>
            <w:pPr>
              <w:pStyle w:val="TableContents"/>
              <w:bidi w:val="0"/>
              <w:spacing w:before="0" w:after="283"/>
              <w:jc w:val="left"/>
              <w:rPr/>
            </w:pPr>
            <w:r>
              <w:rPr/>
              <w:t> </w:t>
            </w:r>
          </w:p>
        </w:tc>
      </w:tr>
      <w:tr>
        <w:trPr/>
        <w:tc>
          <w:tcPr>
            <w:tcW w:w="4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6" w:type="dxa"/>
            <w:tcBorders/>
            <w:vAlign w:val="center"/>
          </w:tcPr>
          <w:p>
            <w:pPr>
              <w:pStyle w:val="TableContents"/>
              <w:bidi w:val="0"/>
              <w:spacing w:before="0" w:after="283"/>
              <w:jc w:val="left"/>
              <w:rPr/>
            </w:pPr>
            <w:r>
              <w:rPr/>
              <w:t> </w:t>
            </w:r>
          </w:p>
        </w:tc>
      </w:tr>
      <w:tr>
        <w:trPr/>
        <w:tc>
          <w:tcPr>
            <w:tcW w:w="42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6" w:type="dxa"/>
            <w:gridSpan w:val="2"/>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Net Sales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13,059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12,212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58,630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50,645</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Cost of Goods Sold</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10,681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9,674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42,983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39,019</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2,378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2,538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15,647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11,626</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704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956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2,981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5,451</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9,384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7,031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25,659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21,909</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Selling and marketing</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2,490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1,696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10,180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10,025</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12,578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9,683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38,820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37,385</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(10,200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(7,145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(23,173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(25,759</w:t>
            </w:r>
          </w:p>
        </w:tc>
        <w:tc>
          <w:tcPr>
            <w:tcW w:w="116" w:type="dxa"/>
            <w:tcBorders/>
            <w:shd w:fill="FFFFFF" w:val="clear"/>
            <w:vAlign w:val="center"/>
          </w:tcPr>
          <w:p>
            <w:pPr>
              <w:pStyle w:val="TableContents"/>
              <w:bidi w:val="0"/>
              <w:spacing w:before="0" w:after="283"/>
              <w:jc w:val="left"/>
              <w:rPr/>
            </w:pPr>
            <w:r>
              <w:rPr/>
              <w:t>)</w:t>
            </w:r>
          </w:p>
        </w:tc>
      </w:tr>
      <w:tr>
        <w:trPr/>
        <w:tc>
          <w:tcPr>
            <w:tcW w:w="426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pPr>
            <w:r>
              <w:rPr/>
              <w:t>Interest expense, net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(6,251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(20,265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(21,504</w:t>
            </w:r>
          </w:p>
        </w:tc>
        <w:tc>
          <w:tcPr>
            <w:tcW w:w="116" w:type="dxa"/>
            <w:tcBorders/>
            <w:shd w:fill="CCEEFF" w:val="clear"/>
            <w:vAlign w:val="center"/>
          </w:tcPr>
          <w:p>
            <w:pPr>
              <w:pStyle w:val="TableContents"/>
              <w:bidi w:val="0"/>
              <w:spacing w:before="0" w:after="283"/>
              <w:jc w:val="left"/>
              <w:rPr/>
            </w:pPr>
            <w:r>
              <w:rPr/>
              <w:t>)</w:t>
            </w:r>
          </w:p>
        </w:tc>
      </w:tr>
      <w:tr>
        <w:trPr/>
        <w:tc>
          <w:tcPr>
            <w:tcW w:w="4264"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(36</w:t>
            </w:r>
          </w:p>
        </w:tc>
        <w:tc>
          <w:tcPr>
            <w:tcW w:w="116" w:type="dxa"/>
            <w:tcBorders/>
            <w:shd w:fill="FFFFFF" w:val="clear"/>
            <w:vAlign w:val="center"/>
          </w:tcPr>
          <w:p>
            <w:pPr>
              <w:pStyle w:val="TableContents"/>
              <w:bidi w:val="0"/>
              <w:spacing w:before="0" w:after="283"/>
              <w:jc w:val="left"/>
              <w:rPr/>
            </w:pPr>
            <w:r>
              <w:rPr/>
              <w:t>)</w:t>
            </w:r>
          </w:p>
        </w:tc>
      </w:tr>
      <w:tr>
        <w:trPr/>
        <w:tc>
          <w:tcPr>
            <w:tcW w:w="4264" w:type="dxa"/>
            <w:tcBorders/>
            <w:shd w:fill="CCEEFF" w:val="clear"/>
            <w:vAlign w:val="center"/>
          </w:tcPr>
          <w:p>
            <w:pPr>
              <w:pStyle w:val="TableContents"/>
              <w:bidi w:val="0"/>
              <w:spacing w:before="0" w:after="283"/>
              <w:jc w:val="left"/>
              <w:rPr/>
            </w:pPr>
            <w:r>
              <w:rPr/>
              <w:t>Debt Extinguishment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(31,843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168" w:type="dxa"/>
            <w:tcBorders/>
            <w:shd w:fill="CCEEFF" w:val="clear"/>
            <w:vAlign w:val="center"/>
          </w:tcPr>
          <w:p>
            <w:pPr>
              <w:pStyle w:val="TableContents"/>
              <w:bidi w:val="0"/>
              <w:spacing w:before="0" w:after="283"/>
              <w:jc w:val="right"/>
              <w:rPr/>
            </w:pPr>
            <w:r>
              <w:rPr/>
              <w:t>(31,843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121"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3,554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5,117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6,684</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Total Other Expense</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(34,932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(2,697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(46,860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(14,856</w:t>
            </w:r>
          </w:p>
        </w:tc>
        <w:tc>
          <w:tcPr>
            <w:tcW w:w="116" w:type="dxa"/>
            <w:tcBorders/>
            <w:shd w:fill="CCEEFF" w:val="clear"/>
            <w:vAlign w:val="center"/>
          </w:tcPr>
          <w:p>
            <w:pPr>
              <w:pStyle w:val="TableContents"/>
              <w:bidi w:val="0"/>
              <w:spacing w:before="0" w:after="283"/>
              <w:jc w:val="left"/>
              <w:rPr/>
            </w:pPr>
            <w:r>
              <w:rPr/>
              <w:t>)</w:t>
            </w:r>
          </w:p>
        </w:tc>
      </w:tr>
      <w:tr>
        <w:trPr/>
        <w:tc>
          <w:tcPr>
            <w:tcW w:w="4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Net Loss Before Taxes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(45,132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(9,842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(70,033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(40,615</w:t>
            </w:r>
          </w:p>
        </w:tc>
        <w:tc>
          <w:tcPr>
            <w:tcW w:w="116" w:type="dxa"/>
            <w:tcBorders/>
            <w:shd w:fill="CCEEFF" w:val="clear"/>
            <w:vAlign w:val="center"/>
          </w:tcPr>
          <w:p>
            <w:pPr>
              <w:pStyle w:val="TableContents"/>
              <w:bidi w:val="0"/>
              <w:spacing w:before="0" w:after="283"/>
              <w:jc w:val="left"/>
              <w:rPr/>
            </w:pPr>
            <w:r>
              <w:rPr/>
              <w:t>)</w:t>
            </w:r>
          </w:p>
        </w:tc>
      </w:tr>
      <w:tr>
        <w:trPr/>
        <w:tc>
          <w:tcPr>
            <w:tcW w:w="4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Income Tax Benefit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CCEEFF" w:val="clear"/>
            <w:tcMar>
              <w:bottom w:w="28" w:type="dxa"/>
            </w:tcMar>
            <w:vAlign w:val="center"/>
          </w:tcPr>
          <w:p>
            <w:pPr>
              <w:pStyle w:val="TableContents"/>
              <w:bidi w:val="0"/>
              <w:spacing w:before="0" w:after="283"/>
              <w:jc w:val="right"/>
              <w:rPr/>
            </w:pPr>
            <w:r>
              <w:rPr/>
              <w:t>(94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p>
        </w:tc>
      </w:tr>
      <w:tr>
        <w:trPr/>
        <w:tc>
          <w:tcPr>
            <w:tcW w:w="4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(45,038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(9,842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(69,939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(40,615</w:t>
            </w:r>
          </w:p>
        </w:tc>
        <w:tc>
          <w:tcPr>
            <w:tcW w:w="116" w:type="dxa"/>
            <w:tcBorders/>
            <w:shd w:fill="CCEEFF" w:val="clear"/>
            <w:vAlign w:val="center"/>
          </w:tcPr>
          <w:p>
            <w:pPr>
              <w:pStyle w:val="TableContents"/>
              <w:bidi w:val="0"/>
              <w:spacing w:before="0" w:after="283"/>
              <w:jc w:val="left"/>
              <w:rPr/>
            </w:pPr>
            <w:r>
              <w:rPr/>
              <w:t>)</w:t>
            </w:r>
          </w:p>
        </w:tc>
      </w:tr>
      <w:tr>
        <w:trPr/>
        <w:tc>
          <w:tcPr>
            <w:tcW w:w="4264" w:type="dxa"/>
            <w:tcBorders/>
            <w:shd w:fill="FFFFFF" w:val="clear"/>
            <w:vAlign w:val="center"/>
          </w:tcPr>
          <w:p>
            <w:pPr>
              <w:pStyle w:val="TableContents"/>
              <w:bidi w:val="0"/>
              <w:spacing w:before="0" w:after="283"/>
              <w:jc w:val="left"/>
              <w:rPr/>
            </w:pPr>
            <w:r>
              <w:rPr/>
              <w:t>Less: Preferred Stock Dividends</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single" w:sz="8" w:space="0" w:color="000000"/>
            </w:tcBorders>
            <w:shd w:fill="FFFFFF" w:val="clear"/>
            <w:tcMar>
              <w:bottom w:w="28" w:type="dxa"/>
            </w:tcMar>
            <w:vAlign w:val="center"/>
          </w:tcPr>
          <w:p>
            <w:pPr>
              <w:pStyle w:val="TableContents"/>
              <w:bidi w:val="0"/>
              <w:spacing w:before="0" w:after="283"/>
              <w:jc w:val="right"/>
              <w:rPr/>
            </w:pPr>
            <w:r>
              <w:rPr/>
              <w:t>(869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b/>
              </w:rPr>
            </w:pPr>
            <w:r>
              <w:rPr>
                <w:b/>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(45,907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(9,842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(70,808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(40,615</w:t>
            </w:r>
          </w:p>
        </w:tc>
        <w:tc>
          <w:tcPr>
            <w:tcW w:w="116" w:type="dxa"/>
            <w:tcBorders/>
            <w:shd w:fill="CCEEFF" w:val="clear"/>
            <w:vAlign w:val="center"/>
          </w:tcPr>
          <w:p>
            <w:pPr>
              <w:pStyle w:val="TableContents"/>
              <w:bidi w:val="0"/>
              <w:spacing w:before="0" w:after="283"/>
              <w:jc w:val="left"/>
              <w:rPr/>
            </w:pPr>
            <w:r>
              <w:rPr/>
              <w:t>)</w:t>
            </w:r>
          </w:p>
        </w:tc>
      </w:tr>
      <w:tr>
        <w:trPr/>
        <w:tc>
          <w:tcPr>
            <w:tcW w:w="426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1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121"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r>
      <w:tr>
        <w:trPr/>
        <w:tc>
          <w:tcPr>
            <w:tcW w:w="4264" w:type="dxa"/>
            <w:tcBorders/>
            <w:shd w:fill="CCEEFF" w:val="clear"/>
            <w:vAlign w:val="center"/>
          </w:tcPr>
          <w:p>
            <w:pPr>
              <w:pStyle w:val="TableContents"/>
              <w:bidi w:val="0"/>
              <w:spacing w:before="0" w:after="283"/>
              <w:jc w:val="left"/>
              <w:rPr/>
            </w:pPr>
            <w:r>
              <w:rPr/>
              <w:t>Net Loss Per Share- Basic &amp; Diluted</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(14.92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(13.89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8" w:type="dxa"/>
            <w:tcBorders>
              <w:bottom w:val="double" w:sz="6" w:space="0" w:color="000000"/>
            </w:tcBorders>
            <w:shd w:fill="CCEEFF" w:val="clear"/>
            <w:tcMar>
              <w:bottom w:w="28" w:type="dxa"/>
            </w:tcMar>
            <w:vAlign w:val="center"/>
          </w:tcPr>
          <w:p>
            <w:pPr>
              <w:pStyle w:val="TableContents"/>
              <w:bidi w:val="0"/>
              <w:spacing w:before="0" w:after="283"/>
              <w:jc w:val="right"/>
              <w:rPr/>
            </w:pPr>
            <w:r>
              <w:rPr/>
              <w:t>(14.80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1" w:type="dxa"/>
            <w:tcBorders>
              <w:bottom w:val="double" w:sz="6" w:space="0" w:color="000000"/>
            </w:tcBorders>
            <w:shd w:fill="CCEEFF" w:val="clear"/>
            <w:tcMar>
              <w:bottom w:w="28" w:type="dxa"/>
            </w:tcMar>
            <w:vAlign w:val="center"/>
          </w:tcPr>
          <w:p>
            <w:pPr>
              <w:pStyle w:val="TableContents"/>
              <w:bidi w:val="0"/>
              <w:spacing w:before="0" w:after="283"/>
              <w:jc w:val="right"/>
              <w:rPr/>
            </w:pPr>
            <w:r>
              <w:rPr/>
              <w:t>(59.15</w:t>
            </w:r>
          </w:p>
        </w:tc>
        <w:tc>
          <w:tcPr>
            <w:tcW w:w="116" w:type="dxa"/>
            <w:tcBorders/>
            <w:shd w:fill="CCEEFF" w:val="clear"/>
            <w:vAlign w:val="center"/>
          </w:tcPr>
          <w:p>
            <w:pPr>
              <w:pStyle w:val="TableContents"/>
              <w:bidi w:val="0"/>
              <w:spacing w:before="0" w:after="283"/>
              <w:jc w:val="left"/>
              <w:rPr/>
            </w:pPr>
            <w:r>
              <w:rPr/>
              <w:t>)</w:t>
            </w:r>
          </w:p>
        </w:tc>
      </w:tr>
      <w:tr>
        <w:trPr/>
        <w:tc>
          <w:tcPr>
            <w:tcW w:w="4264" w:type="dxa"/>
            <w:tcBorders/>
            <w:shd w:fill="FFFFFF" w:val="clear"/>
            <w:vAlign w:val="center"/>
          </w:tcPr>
          <w:p>
            <w:pPr>
              <w:pStyle w:val="TableContents"/>
              <w:bidi w:val="0"/>
              <w:spacing w:before="0" w:after="283"/>
              <w:jc w:val="left"/>
              <w:rPr/>
            </w:pPr>
            <w:r>
              <w:rPr/>
              <w:t>Weighted Average Number of Shares- Basic &amp; Diluted</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3,077,812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pPr>
            <w:r>
              <w:rPr/>
              <w:t>708,596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8" w:type="dxa"/>
            <w:tcBorders>
              <w:bottom w:val="double" w:sz="6" w:space="0" w:color="000000"/>
            </w:tcBorders>
            <w:shd w:fill="FFFFFF" w:val="clear"/>
            <w:tcMar>
              <w:bottom w:w="28" w:type="dxa"/>
            </w:tcMar>
            <w:vAlign w:val="center"/>
          </w:tcPr>
          <w:p>
            <w:pPr>
              <w:pStyle w:val="TableContents"/>
              <w:bidi w:val="0"/>
              <w:spacing w:before="0" w:after="283"/>
              <w:jc w:val="right"/>
              <w:rPr/>
            </w:pPr>
            <w:r>
              <w:rPr/>
              <w:t>4,783,337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21" w:type="dxa"/>
            <w:tcBorders>
              <w:bottom w:val="double" w:sz="6" w:space="0" w:color="000000"/>
            </w:tcBorders>
            <w:shd w:fill="FFFFFF" w:val="clear"/>
            <w:tcMar>
              <w:bottom w:w="28" w:type="dxa"/>
            </w:tcMar>
            <w:vAlign w:val="center"/>
          </w:tcPr>
          <w:p>
            <w:pPr>
              <w:pStyle w:val="TableContents"/>
              <w:bidi w:val="0"/>
              <w:spacing w:before="0" w:after="283"/>
              <w:jc w:val="right"/>
              <w:rPr/>
            </w:pPr>
            <w:r>
              <w:rPr/>
              <w:t>686,683</w:t>
            </w:r>
          </w:p>
        </w:tc>
        <w:tc>
          <w:tcPr>
            <w:tcW w:w="116"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 Months Ended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in thousands)</w:t>
      </w:r>
    </w:p>
    <w:p>
      <w:pPr>
        <w:pStyle w:val="TextBody"/>
        <w:bidi w:val="0"/>
        <w:spacing w:before="0" w:after="0"/>
        <w:jc w:val="center"/>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7340"/>
        <w:gridCol w:w="60"/>
        <w:gridCol w:w="140"/>
        <w:gridCol w:w="755"/>
        <w:gridCol w:w="95"/>
        <w:gridCol w:w="60"/>
        <w:gridCol w:w="140"/>
        <w:gridCol w:w="755"/>
        <w:gridCol w:w="110"/>
      </w:tblGrid>
      <w:tr>
        <w:trPr/>
        <w:tc>
          <w:tcPr>
            <w:tcW w:w="7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(69,939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(40,615</w:t>
            </w:r>
          </w:p>
        </w:tc>
        <w:tc>
          <w:tcPr>
            <w:tcW w:w="110" w:type="dxa"/>
            <w:tcBorders/>
            <w:shd w:fill="FFFFFF" w:val="clear"/>
            <w:vAlign w:val="center"/>
          </w:tcPr>
          <w:p>
            <w:pPr>
              <w:pStyle w:val="TableContents"/>
              <w:bidi w:val="0"/>
              <w:spacing w:before="0" w:after="283"/>
              <w:jc w:val="left"/>
              <w:rPr/>
            </w:pPr>
            <w:r>
              <w:rPr/>
              <w:t>)</w:t>
            </w:r>
          </w:p>
        </w:tc>
      </w:tr>
      <w:tr>
        <w:trPr/>
        <w:tc>
          <w:tcPr>
            <w:tcW w:w="734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Stock 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1,020</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Amortization of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7,241</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(6,684</w:t>
            </w:r>
          </w:p>
        </w:tc>
        <w:tc>
          <w:tcPr>
            <w:tcW w:w="110" w:type="dxa"/>
            <w:tcBorders/>
            <w:shd w:fill="FFFFFF" w:val="clear"/>
            <w:vAlign w:val="center"/>
          </w:tcPr>
          <w:p>
            <w:pPr>
              <w:pStyle w:val="TableContents"/>
              <w:bidi w:val="0"/>
              <w:spacing w:before="0" w:after="283"/>
              <w:jc w:val="left"/>
              <w:rPr/>
            </w:pPr>
            <w:r>
              <w:rPr/>
              <w:t>)</w:t>
            </w:r>
          </w:p>
        </w:tc>
      </w:tr>
      <w:tr>
        <w:trPr/>
        <w:tc>
          <w:tcPr>
            <w:tcW w:w="7340" w:type="dxa"/>
            <w:tcBorders/>
            <w:shd w:fill="CCEEFF" w:val="clear"/>
            <w:vAlign w:val="center"/>
          </w:tcPr>
          <w:p>
            <w:pPr>
              <w:pStyle w:val="TableContents"/>
              <w:bidi w:val="0"/>
              <w:spacing w:before="0" w:after="283"/>
              <w:jc w:val="left"/>
              <w:rPr/>
            </w:pPr>
            <w:r>
              <w:rPr/>
              <w:t>Non-cash interest expense (paid-in-kind)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12,047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10,058</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Debt restructuring fees (paid-in-kind)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1,372</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Amortization of right of 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2,231</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Loss on impairment of right-of-use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Loss on impairment of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873</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Loss on extinguishment of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Write-off of prepaid 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69</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(780</w:t>
            </w:r>
          </w:p>
        </w:tc>
        <w:tc>
          <w:tcPr>
            <w:tcW w:w="110" w:type="dxa"/>
            <w:tcBorders/>
            <w:shd w:fill="FFFFFF" w:val="clear"/>
            <w:vAlign w:val="center"/>
          </w:tcPr>
          <w:p>
            <w:pPr>
              <w:pStyle w:val="TableContents"/>
              <w:bidi w:val="0"/>
              <w:spacing w:before="0" w:after="283"/>
              <w:jc w:val="left"/>
              <w:rPr/>
            </w:pPr>
            <w:r>
              <w:rPr/>
              <w:t>)</w:t>
            </w:r>
          </w:p>
        </w:tc>
      </w:tr>
      <w:tr>
        <w:trPr/>
        <w:tc>
          <w:tcPr>
            <w:tcW w:w="734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17,062</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170</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Prepaid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w:t>
            </w:r>
          </w:p>
        </w:tc>
        <w:tc>
          <w:tcPr>
            <w:tcW w:w="110" w:type="dxa"/>
            <w:tcBorders/>
            <w:shd w:fill="CCEEFF" w:val="clear"/>
            <w:vAlign w:val="center"/>
          </w:tcPr>
          <w:p>
            <w:pPr>
              <w:pStyle w:val="TableContents"/>
              <w:bidi w:val="0"/>
              <w:spacing w:before="0" w:after="283"/>
              <w:jc w:val="left"/>
              <w:rPr/>
            </w:pPr>
            <w:r>
              <w:rPr/>
              <w:t>)</w:t>
            </w:r>
          </w:p>
        </w:tc>
      </w:tr>
      <w:tr>
        <w:trPr/>
        <w:tc>
          <w:tcPr>
            <w:tcW w:w="7340" w:type="dxa"/>
            <w:tcBorders/>
            <w:shd w:fill="FFFFFF" w:val="clear"/>
            <w:vAlign w:val="center"/>
          </w:tcPr>
          <w:p>
            <w:pPr>
              <w:pStyle w:val="TableContents"/>
              <w:bidi w:val="0"/>
              <w:spacing w:before="0" w:after="283"/>
              <w:jc w:val="left"/>
              <w:rPr/>
            </w:pPr>
            <w:r>
              <w:rPr/>
              <w:t>Prepaid income tax</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(707</w:t>
            </w:r>
          </w:p>
        </w:tc>
        <w:tc>
          <w:tcPr>
            <w:tcW w:w="110" w:type="dxa"/>
            <w:tcBorders/>
            <w:shd w:fill="CCEEFF" w:val="clear"/>
            <w:vAlign w:val="center"/>
          </w:tcPr>
          <w:p>
            <w:pPr>
              <w:pStyle w:val="TableContents"/>
              <w:bidi w:val="0"/>
              <w:spacing w:before="0" w:after="283"/>
              <w:jc w:val="left"/>
              <w:rPr/>
            </w:pPr>
            <w:r>
              <w:rPr/>
              <w:t>)</w:t>
            </w:r>
          </w:p>
        </w:tc>
      </w:tr>
      <w:tr>
        <w:trPr/>
        <w:tc>
          <w:tcPr>
            <w:tcW w:w="7340"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(445</w:t>
            </w:r>
          </w:p>
        </w:tc>
        <w:tc>
          <w:tcPr>
            <w:tcW w:w="110" w:type="dxa"/>
            <w:tcBorders/>
            <w:shd w:fill="FFFFFF" w:val="clear"/>
            <w:vAlign w:val="center"/>
          </w:tcPr>
          <w:p>
            <w:pPr>
              <w:pStyle w:val="TableContents"/>
              <w:bidi w:val="0"/>
              <w:spacing w:before="0" w:after="283"/>
              <w:jc w:val="left"/>
              <w:rPr/>
            </w:pPr>
            <w:r>
              <w:rPr/>
              <w:t>)</w:t>
            </w:r>
          </w:p>
        </w:tc>
      </w:tr>
      <w:tr>
        <w:trPr/>
        <w:tc>
          <w:tcPr>
            <w:tcW w:w="7340"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(4,029</w:t>
            </w:r>
          </w:p>
        </w:tc>
        <w:tc>
          <w:tcPr>
            <w:tcW w:w="110" w:type="dxa"/>
            <w:tcBorders/>
            <w:shd w:fill="CCEEFF" w:val="clear"/>
            <w:vAlign w:val="center"/>
          </w:tcPr>
          <w:p>
            <w:pPr>
              <w:pStyle w:val="TableContents"/>
              <w:bidi w:val="0"/>
              <w:spacing w:before="0" w:after="283"/>
              <w:jc w:val="left"/>
              <w:rPr/>
            </w:pPr>
            <w:r>
              <w:rPr/>
              <w:t>)</w:t>
            </w:r>
          </w:p>
        </w:tc>
      </w:tr>
      <w:tr>
        <w:trPr/>
        <w:tc>
          <w:tcPr>
            <w:tcW w:w="7340"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(1,344</w:t>
            </w:r>
          </w:p>
        </w:tc>
        <w:tc>
          <w:tcPr>
            <w:tcW w:w="110" w:type="dxa"/>
            <w:tcBorders/>
            <w:shd w:fill="FFFFFF" w:val="clear"/>
            <w:vAlign w:val="center"/>
          </w:tcPr>
          <w:p>
            <w:pPr>
              <w:pStyle w:val="TableContents"/>
              <w:bidi w:val="0"/>
              <w:spacing w:before="0" w:after="283"/>
              <w:jc w:val="left"/>
              <w:rPr/>
            </w:pPr>
            <w:r>
              <w:rPr/>
              <w:t>)</w:t>
            </w:r>
          </w:p>
        </w:tc>
      </w:tr>
      <w:tr>
        <w:trPr/>
        <w:tc>
          <w:tcPr>
            <w:tcW w:w="7340" w:type="dxa"/>
            <w:tcBorders/>
            <w:shd w:fill="CCEEFF" w:val="clear"/>
            <w:vAlign w:val="center"/>
          </w:tcPr>
          <w:p>
            <w:pPr>
              <w:pStyle w:val="TableContents"/>
              <w:bidi w:val="0"/>
              <w:spacing w:before="0" w:after="283"/>
              <w:jc w:val="left"/>
              <w:rPr/>
            </w:pPr>
            <w:r>
              <w:rPr/>
              <w:t>Accrued tariffs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Accrued settlement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2,500</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Deferred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4,583</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Uncertain tax position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w:t>
            </w:r>
          </w:p>
        </w:tc>
        <w:tc>
          <w:tcPr>
            <w:tcW w:w="110" w:type="dxa"/>
            <w:tcBorders/>
            <w:shd w:fill="FFFFFF" w:val="clear"/>
            <w:vAlign w:val="center"/>
          </w:tcPr>
          <w:p>
            <w:pPr>
              <w:pStyle w:val="TableContents"/>
              <w:bidi w:val="0"/>
              <w:spacing w:before="0" w:after="283"/>
              <w:jc w:val="left"/>
              <w:rPr/>
            </w:pPr>
            <w:r>
              <w:rPr/>
              <w:t>)</w:t>
            </w:r>
          </w:p>
        </w:tc>
      </w:tr>
      <w:tr>
        <w:trPr/>
        <w:tc>
          <w:tcPr>
            <w:tcW w:w="7340" w:type="dxa"/>
            <w:tcBorders/>
            <w:shd w:fill="CCEEFF" w:val="clear"/>
            <w:vAlign w:val="center"/>
          </w:tcPr>
          <w:p>
            <w:pPr>
              <w:pStyle w:val="TableContents"/>
              <w:bidi w:val="0"/>
              <w:spacing w:before="0" w:after="283"/>
              <w:jc w:val="left"/>
              <w:rPr/>
            </w:pPr>
            <w:r>
              <w:rPr/>
              <w:t>Customer deposits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116</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pPr>
            <w:r>
              <w:rPr/>
              <w:t>Total Adjustments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43,413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33,425</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b/>
              </w:rPr>
            </w:pPr>
            <w:r>
              <w:rPr>
                <w:b/>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(26,526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(7,190</w:t>
            </w:r>
          </w:p>
        </w:tc>
        <w:tc>
          <w:tcPr>
            <w:tcW w:w="110" w:type="dxa"/>
            <w:tcBorders/>
            <w:shd w:fill="CCEEFF" w:val="clear"/>
            <w:vAlign w:val="center"/>
          </w:tcPr>
          <w:p>
            <w:pPr>
              <w:pStyle w:val="TableContents"/>
              <w:bidi w:val="0"/>
              <w:spacing w:before="0" w:after="283"/>
              <w:jc w:val="left"/>
              <w:rPr>
                <w:b/>
              </w:rPr>
            </w:pPr>
            <w:r>
              <w:rPr>
                <w:b/>
              </w:rPr>
              <w:t>)</w:t>
            </w:r>
          </w:p>
        </w:tc>
      </w:tr>
      <w:tr>
        <w:trPr/>
        <w:tc>
          <w:tcPr>
            <w:tcW w:w="7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5" w:type="dxa"/>
            <w:gridSpan w:val="2"/>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(1,949</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(2,676</w:t>
            </w:r>
          </w:p>
        </w:tc>
        <w:tc>
          <w:tcPr>
            <w:tcW w:w="1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7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public offering (ATM),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2,043</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public offering ,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preferred stock offering, net of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note payable,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2,700</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note payable, related party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note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(49,081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payments on finance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exercise of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debt financing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41,338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2,002</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(7,864</w:t>
            </w:r>
          </w:p>
        </w:tc>
        <w:tc>
          <w:tcPr>
            <w:tcW w:w="1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12,713</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18,270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4,849</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Disclosures of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6,288</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of property and equipment, not yet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1,703</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right of use asset obtained in exchange for 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18,653</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dividends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Dividends paid in kind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leasehold improvements obtained in exchange for operating lease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4,683</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machinery &amp; equipment obtained in exchange for financing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Accretion of preferred stock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preferred stock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of notes payable to preferred shares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warrant liability - Penny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7,354</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Recognition of warrant liability - Investor Warrants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of accrued liability for employee stock purchase plan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w:t>
            </w:r>
          </w:p>
        </w:tc>
        <w:tc>
          <w:tcPr>
            <w:tcW w:w="110" w:type="dxa"/>
            <w:tcBorders/>
            <w:shd w:fill="CCEEFF" w:val="clear"/>
            <w:vAlign w:val="center"/>
          </w:tcPr>
          <w:p>
            <w:pPr>
              <w:pStyle w:val="TableContents"/>
              <w:bidi w:val="0"/>
              <w:spacing w:before="0" w:after="283"/>
              <w:jc w:val="left"/>
              <w:rPr/>
            </w:pPr>
            <w:r>
              <w:rPr/>
              <w:t> </w:t>
            </w:r>
          </w:p>
        </w:tc>
      </w:tr>
      <w:tr>
        <w:trPr/>
        <w:tc>
          <w:tcPr>
            <w:tcW w:w="7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Reclassification of assets held for sale to machinery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7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Reclassification of assets held for sale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sz w:val="20"/>
              </w:rPr>
              <w:t>64</w:t>
            </w:r>
            <w:r>
              <w:rPr>
                <w:rFonts w:ascii="Times New Roman;Times;Serif" w:hAnsi="Times New Roman;Times;Serif"/>
              </w:rPr>
              <w:t>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Measures (Unaudited)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27"/>
        <w:gridCol w:w="60"/>
        <w:gridCol w:w="201"/>
        <w:gridCol w:w="1079"/>
        <w:gridCol w:w="107"/>
        <w:gridCol w:w="67"/>
        <w:gridCol w:w="230"/>
        <w:gridCol w:w="1050"/>
        <w:gridCol w:w="95"/>
        <w:gridCol w:w="60"/>
        <w:gridCol w:w="200"/>
        <w:gridCol w:w="1080"/>
        <w:gridCol w:w="95"/>
        <w:gridCol w:w="60"/>
        <w:gridCol w:w="200"/>
        <w:gridCol w:w="1080"/>
        <w:gridCol w:w="114"/>
      </w:tblGrid>
      <w:tr>
        <w:trPr/>
        <w:tc>
          <w:tcPr>
            <w:tcW w:w="4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3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4" w:type="dxa"/>
            <w:tcBorders/>
            <w:vAlign w:val="center"/>
          </w:tcPr>
          <w:p>
            <w:pPr>
              <w:pStyle w:val="TableContents"/>
              <w:bidi w:val="0"/>
              <w:spacing w:before="0" w:after="283"/>
              <w:jc w:val="left"/>
              <w:rPr/>
            </w:pPr>
            <w:r>
              <w:rPr/>
              <w:t> </w:t>
            </w:r>
          </w:p>
        </w:tc>
      </w:tr>
      <w:tr>
        <w:trPr/>
        <w:tc>
          <w:tcPr>
            <w:tcW w:w="4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December 31,</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December 31,</w:t>
            </w:r>
          </w:p>
        </w:tc>
        <w:tc>
          <w:tcPr>
            <w:tcW w:w="114" w:type="dxa"/>
            <w:tcBorders/>
            <w:vAlign w:val="center"/>
          </w:tcPr>
          <w:p>
            <w:pPr>
              <w:pStyle w:val="TableContents"/>
              <w:bidi w:val="0"/>
              <w:spacing w:before="0" w:after="283"/>
              <w:jc w:val="left"/>
              <w:rPr/>
            </w:pPr>
            <w:r>
              <w:rPr/>
              <w:t> </w:t>
            </w:r>
          </w:p>
        </w:tc>
      </w:tr>
      <w:tr>
        <w:trPr/>
        <w:tc>
          <w:tcPr>
            <w:tcW w:w="442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0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4" w:type="dxa"/>
            <w:tcBorders/>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left"/>
              <w:rPr/>
            </w:pPr>
            <w:r>
              <w:rPr/>
              <w:t>EBITDA Calculation</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Net Loss Attributable to Common Shareholders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pPr>
            <w:r>
              <w:rPr/>
              <w:t>(45,907</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050" w:type="dxa"/>
            <w:tcBorders/>
            <w:shd w:fill="FFFFFF" w:val="clear"/>
            <w:vAlign w:val="center"/>
          </w:tcPr>
          <w:p>
            <w:pPr>
              <w:pStyle w:val="TableContents"/>
              <w:bidi w:val="0"/>
              <w:spacing w:before="0" w:after="283"/>
              <w:jc w:val="right"/>
              <w:rPr/>
            </w:pPr>
            <w:r>
              <w:rPr/>
              <w:t>(9,842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1080" w:type="dxa"/>
            <w:tcBorders/>
            <w:shd w:fill="FFFFFF" w:val="clear"/>
            <w:vAlign w:val="center"/>
          </w:tcPr>
          <w:p>
            <w:pPr>
              <w:pStyle w:val="TableContents"/>
              <w:bidi w:val="0"/>
              <w:spacing w:before="0" w:after="283"/>
              <w:jc w:val="right"/>
              <w:rPr/>
            </w:pPr>
            <w:r>
              <w:rPr/>
              <w:t>(70,808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1080" w:type="dxa"/>
            <w:tcBorders/>
            <w:shd w:fill="FFFFFF" w:val="clear"/>
            <w:vAlign w:val="center"/>
          </w:tcPr>
          <w:p>
            <w:pPr>
              <w:pStyle w:val="TableContents"/>
              <w:bidi w:val="0"/>
              <w:spacing w:before="0" w:after="283"/>
              <w:jc w:val="right"/>
              <w:rPr/>
            </w:pPr>
            <w:r>
              <w:rPr/>
              <w:t>(40,615</w:t>
            </w:r>
          </w:p>
        </w:tc>
        <w:tc>
          <w:tcPr>
            <w:tcW w:w="114" w:type="dxa"/>
            <w:tcBorders/>
            <w:shd w:fill="FFFFFF" w:val="clear"/>
            <w:vAlign w:val="center"/>
          </w:tcPr>
          <w:p>
            <w:pPr>
              <w:pStyle w:val="TableContents"/>
              <w:bidi w:val="0"/>
              <w:spacing w:before="0" w:after="283"/>
              <w:jc w:val="left"/>
              <w:rPr/>
            </w:pPr>
            <w:r>
              <w:rPr/>
              <w:t>)</w:t>
            </w:r>
          </w:p>
        </w:tc>
      </w:tr>
      <w:tr>
        <w:trPr/>
        <w:tc>
          <w:tcPr>
            <w:tcW w:w="4427" w:type="dxa"/>
            <w:tcBorders/>
            <w:shd w:fill="CCEEFF" w:val="clear"/>
            <w:vAlign w:val="center"/>
          </w:tcPr>
          <w:p>
            <w:pPr>
              <w:pStyle w:val="TableContents"/>
              <w:bidi w:val="0"/>
              <w:spacing w:before="0" w:after="283"/>
              <w:jc w:val="righ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3,713</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6,251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20,265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21,504</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Taxes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(94</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CCEEFF" w:val="clear"/>
            <w:tcMar>
              <w:bottom w:w="28" w:type="dxa"/>
            </w:tcMar>
            <w:vAlign w:val="center"/>
          </w:tcPr>
          <w:p>
            <w:pPr>
              <w:pStyle w:val="TableContents"/>
              <w:bidi w:val="0"/>
              <w:spacing w:before="0" w:after="283"/>
              <w:jc w:val="right"/>
              <w:rPr/>
            </w:pPr>
            <w:r>
              <w:rPr/>
              <w:t>425</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2,236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r>
              <w:rPr/>
              <w:t>1,372</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EBITDA</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w:t>
            </w:r>
          </w:p>
        </w:tc>
        <w:tc>
          <w:tcPr>
            <w:tcW w:w="1079" w:type="dxa"/>
            <w:tcBorders/>
            <w:shd w:fill="FFFFFF" w:val="clear"/>
            <w:vAlign w:val="center"/>
          </w:tcPr>
          <w:p>
            <w:pPr>
              <w:pStyle w:val="TableContents"/>
              <w:bidi w:val="0"/>
              <w:spacing w:before="0" w:after="283"/>
              <w:jc w:val="right"/>
              <w:rPr/>
            </w:pPr>
            <w:r>
              <w:rPr/>
              <w:t>(41,863</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050" w:type="dxa"/>
            <w:tcBorders/>
            <w:shd w:fill="FFFFFF" w:val="clear"/>
            <w:vAlign w:val="center"/>
          </w:tcPr>
          <w:p>
            <w:pPr>
              <w:pStyle w:val="TableContents"/>
              <w:bidi w:val="0"/>
              <w:spacing w:before="0" w:after="283"/>
              <w:jc w:val="right"/>
              <w:rPr/>
            </w:pPr>
            <w:r>
              <w:rPr/>
              <w:t>(3,210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1080" w:type="dxa"/>
            <w:tcBorders/>
            <w:shd w:fill="FFFFFF" w:val="clear"/>
            <w:vAlign w:val="center"/>
          </w:tcPr>
          <w:p>
            <w:pPr>
              <w:pStyle w:val="TableContents"/>
              <w:bidi w:val="0"/>
              <w:spacing w:before="0" w:after="283"/>
              <w:jc w:val="right"/>
              <w:rPr/>
            </w:pPr>
            <w:r>
              <w:rPr/>
              <w:t>(48,401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w:t>
            </w:r>
          </w:p>
        </w:tc>
        <w:tc>
          <w:tcPr>
            <w:tcW w:w="1080" w:type="dxa"/>
            <w:tcBorders/>
            <w:shd w:fill="FFFFFF" w:val="clear"/>
            <w:vAlign w:val="center"/>
          </w:tcPr>
          <w:p>
            <w:pPr>
              <w:pStyle w:val="TableContents"/>
              <w:bidi w:val="0"/>
              <w:spacing w:before="0" w:after="283"/>
              <w:jc w:val="right"/>
              <w:rPr/>
            </w:pPr>
            <w:r>
              <w:rPr/>
              <w:t>(17,739</w:t>
            </w:r>
          </w:p>
        </w:tc>
        <w:tc>
          <w:tcPr>
            <w:tcW w:w="114" w:type="dxa"/>
            <w:tcBorders/>
            <w:shd w:fill="FFFFFF" w:val="clear"/>
            <w:vAlign w:val="center"/>
          </w:tcPr>
          <w:p>
            <w:pPr>
              <w:pStyle w:val="TableContents"/>
              <w:bidi w:val="0"/>
              <w:spacing w:before="0" w:after="283"/>
              <w:jc w:val="left"/>
              <w:rPr/>
            </w:pPr>
            <w:r>
              <w:rPr/>
              <w:t>)</w:t>
            </w:r>
          </w:p>
        </w:tc>
      </w:tr>
      <w:tr>
        <w:trPr/>
        <w:tc>
          <w:tcPr>
            <w:tcW w:w="442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Adjustments to EBITDA</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135</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1,020</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Change in fair market value of warrant liability</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(493</w:t>
            </w:r>
          </w:p>
        </w:tc>
        <w:tc>
          <w:tcPr>
            <w:tcW w:w="107" w:type="dxa"/>
            <w:tcBorders/>
            <w:shd w:fill="FFFFFF" w:val="clear"/>
            <w:vAlign w:val="center"/>
          </w:tcPr>
          <w:p>
            <w:pPr>
              <w:pStyle w:val="TableContents"/>
              <w:bidi w:val="0"/>
              <w:spacing w:before="0" w:after="283"/>
              <w:jc w:val="left"/>
              <w:rPr/>
            </w:pPr>
            <w:r>
              <w:rPr/>
              <w:t>)</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(3,554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(5,117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(6,684</w:t>
            </w:r>
          </w:p>
        </w:tc>
        <w:tc>
          <w:tcPr>
            <w:tcW w:w="114" w:type="dxa"/>
            <w:tcBorders/>
            <w:shd w:fill="FFFFFF" w:val="clear"/>
            <w:vAlign w:val="center"/>
          </w:tcPr>
          <w:p>
            <w:pPr>
              <w:pStyle w:val="TableContents"/>
              <w:bidi w:val="0"/>
              <w:spacing w:before="0" w:after="283"/>
              <w:jc w:val="left"/>
              <w:rPr/>
            </w:pPr>
            <w:r>
              <w:rPr/>
              <w:t>)</w:t>
            </w:r>
          </w:p>
        </w:tc>
      </w:tr>
      <w:tr>
        <w:trPr/>
        <w:tc>
          <w:tcPr>
            <w:tcW w:w="4427" w:type="dxa"/>
            <w:tcBorders/>
            <w:shd w:fill="CCEEFF" w:val="clear"/>
            <w:vAlign w:val="center"/>
          </w:tcPr>
          <w:p>
            <w:pPr>
              <w:pStyle w:val="TableContents"/>
              <w:bidi w:val="0"/>
              <w:spacing w:before="0" w:after="283"/>
              <w:jc w:val="right"/>
              <w:rPr/>
            </w:pPr>
            <w:r>
              <w:rPr/>
              <w:t>Non-Recurring/One-Time Expenses: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Tariff Investigation</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463</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Stryten Agreement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284</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Severance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Loss on Impairment of 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873</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Impairment of right-of-use asset and disposal of associated assets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2,432</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3,043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    </w:t>
            </w:r>
            <w:r>
              <w:rPr/>
              <w:t>of associated 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 </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Prior year tariff estimate adjustment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Preferred Stock Financing expenses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Reverse Stock Split</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61</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90</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Litigation Fees and Loss on Settlement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289</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862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3,124</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Loss on Disposal of Assets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126</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69</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Debt Restructure Expenses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1,938</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2,291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ChEF Equity Facility termination fee</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right"/>
              <w:rPr/>
            </w:pPr>
            <w:r>
              <w:rPr/>
              <w:t>891</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891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Debt Extinguishment</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31,843</w:t>
            </w:r>
          </w:p>
        </w:tc>
        <w:tc>
          <w:tcPr>
            <w:tcW w:w="10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31,843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4427" w:type="dxa"/>
            <w:tcBorders/>
            <w:shd w:fill="FFFFFF" w:val="clear"/>
            <w:vAlign w:val="center"/>
          </w:tcPr>
          <w:p>
            <w:pPr>
              <w:pStyle w:val="TableContents"/>
              <w:bidi w:val="0"/>
              <w:spacing w:before="0" w:after="283"/>
              <w:jc w:val="right"/>
              <w:rPr/>
            </w:pPr>
            <w:r>
              <w:rPr/>
              <w:t>Preferred Stock Dividend</w:t>
            </w:r>
          </w:p>
        </w:tc>
        <w:tc>
          <w:tcPr>
            <w:tcW w:w="60" w:type="dxa"/>
            <w:tcBorders/>
            <w:shd w:fill="FFFFFF" w:val="clear"/>
            <w:vAlign w:val="center"/>
          </w:tcPr>
          <w:p>
            <w:pPr>
              <w:pStyle w:val="TableContents"/>
              <w:bidi w:val="0"/>
              <w:spacing w:before="0" w:after="283"/>
              <w:jc w:val="left"/>
              <w:rPr/>
            </w:pPr>
            <w:r>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79" w:type="dxa"/>
            <w:tcBorders>
              <w:bottom w:val="single" w:sz="8" w:space="0" w:color="000000"/>
            </w:tcBorders>
            <w:shd w:fill="FFFFFF" w:val="clear"/>
            <w:tcMar>
              <w:bottom w:w="28" w:type="dxa"/>
            </w:tcMar>
            <w:vAlign w:val="center"/>
          </w:tcPr>
          <w:p>
            <w:pPr>
              <w:pStyle w:val="TableContents"/>
              <w:bidi w:val="0"/>
              <w:spacing w:before="0" w:after="283"/>
              <w:jc w:val="right"/>
              <w:rPr/>
            </w:pPr>
            <w:r>
              <w:rPr/>
              <w:t>869</w:t>
            </w:r>
          </w:p>
        </w:tc>
        <w:tc>
          <w:tcPr>
            <w:tcW w:w="10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869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4427" w:type="dxa"/>
            <w:tcBorders/>
            <w:shd w:fill="CCEEFF" w:val="clear"/>
            <w:vAlign w:val="center"/>
          </w:tcPr>
          <w:p>
            <w:pPr>
              <w:pStyle w:val="TableContents"/>
              <w:bidi w:val="0"/>
              <w:spacing w:before="0" w:after="283"/>
              <w:jc w:val="right"/>
              <w:rPr/>
            </w:pPr>
            <w:r>
              <w:rPr/>
              <w:t>Adjusted EBITDA</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right"/>
              <w:rPr/>
            </w:pPr>
            <w:r>
              <w:rPr/>
              <w:t>(3,772</w:t>
            </w:r>
          </w:p>
        </w:tc>
        <w:tc>
          <w:tcPr>
            <w:tcW w:w="107" w:type="dxa"/>
            <w:tcBorders/>
            <w:shd w:fill="CCEEFF" w:val="clear"/>
            <w:vAlign w:val="center"/>
          </w:tcPr>
          <w:p>
            <w:pPr>
              <w:pStyle w:val="TableContents"/>
              <w:bidi w:val="0"/>
              <w:spacing w:before="0" w:after="283"/>
              <w:jc w:val="left"/>
              <w:rPr/>
            </w:pPr>
            <w:r>
              <w:rPr/>
              <w:t>)</w:t>
            </w:r>
          </w:p>
        </w:tc>
        <w:tc>
          <w:tcPr>
            <w:tcW w:w="6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(2,347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(11,795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r>
              <w:rPr/>
              <w:t>(18,500</w:t>
            </w:r>
          </w:p>
        </w:tc>
        <w:tc>
          <w:tcPr>
            <w:tcW w:w="114"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Prouty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Szymon Serowiecki</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AdvisIRy Partners</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DragonflyIR@advisiry.com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5031</Words>
  <Characters>27921</Characters>
  <CharactersWithSpaces>33792</CharactersWithSpaces>
  <Paragraphs>2746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