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193040</wp:posOffset>
            </wp:positionH>
            <wp:positionV relativeFrom="page">
              <wp:posOffset>215900</wp:posOffset>
            </wp:positionV>
            <wp:extent cx="716280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page">
              <wp:posOffset>193040</wp:posOffset>
            </wp:positionH>
            <wp:positionV relativeFrom="page">
              <wp:posOffset>242570</wp:posOffset>
            </wp:positionV>
            <wp:extent cx="71628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698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71628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71628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July 13, 2022 ( July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71628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CHARDAN NEXTECH ACQUISITION 2 CORP.</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71628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p>
      <w:pPr>
        <w:spacing w:after="0" w:line="27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4"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001-40730</w:t>
      </w:r>
    </w:p>
    <w:p>
      <w:pPr>
        <w:spacing w:after="0" w:line="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7"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85-1873463</w:t>
      </w:r>
    </w:p>
    <w:p>
      <w:pPr>
        <w:spacing w:after="0" w:line="24"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7"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6" w:lineRule="exact"/>
        <w:rPr>
          <w:sz w:val="24"/>
          <w:szCs w:val="24"/>
          <w:color w:val="auto"/>
        </w:rPr>
      </w:pPr>
    </w:p>
    <w:p>
      <w:pPr>
        <w:sectPr>
          <w:pgSz w:w="11900" w:h="16838" w:orient="portrait"/>
          <w:cols w:equalWidth="0" w:num="3">
            <w:col w:w="4520" w:space="720"/>
            <w:col w:w="2920" w:space="720"/>
            <w:col w:w="2400"/>
          </w:cols>
          <w:pgMar w:left="300" w:top="486" w:right="319" w:bottom="1440" w:gutter="0" w:footer="0" w:header="0"/>
          <w:type w:val="continuous"/>
        </w:sectPr>
      </w:pP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17 State Street, 21st Floor</w:t>
      </w:r>
    </w:p>
    <w:p>
      <w:pPr>
        <w:spacing w:after="0" w:line="24"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7"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4"/>
          <w:szCs w:val="14"/>
          <w:b w:val="1"/>
          <w:bCs w:val="1"/>
          <w:color w:val="auto"/>
        </w:rPr>
        <w:t>10004</w:t>
      </w:r>
    </w:p>
    <w:p>
      <w:pPr>
        <w:spacing w:after="0" w:line="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117" w:lineRule="exact"/>
        <w:rPr>
          <w:sz w:val="24"/>
          <w:szCs w:val="24"/>
          <w:color w:val="auto"/>
        </w:rPr>
      </w:pPr>
    </w:p>
    <w:p>
      <w:pPr>
        <w:sectPr>
          <w:pgSz w:w="11900" w:h="16838" w:orient="portrait"/>
          <w:cols w:equalWidth="0" w:num="2">
            <w:col w:w="7420" w:space="720"/>
            <w:col w:w="3140"/>
          </w:cols>
          <w:pgMar w:left="300" w:top="486"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(646) 465-9000</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1628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ind w:left="260" w:hanging="256"/>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23" w:lineRule="exact"/>
        <w:rPr>
          <w:sz w:val="24"/>
          <w:szCs w:val="24"/>
          <w:color w:val="auto"/>
        </w:rPr>
      </w:pPr>
    </w:p>
    <w:p>
      <w:pPr>
        <w:ind w:left="260" w:hanging="256"/>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23" w:lineRule="exact"/>
        <w:rPr>
          <w:rFonts w:ascii="MS PGothic" w:cs="MS PGothic" w:eastAsia="MS PGothic" w:hAnsi="MS PGothic"/>
          <w:sz w:val="14"/>
          <w:szCs w:val="14"/>
          <w:color w:val="auto"/>
        </w:rPr>
      </w:pPr>
    </w:p>
    <w:p>
      <w:pPr>
        <w:ind w:left="260" w:hanging="256"/>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3" w:lineRule="exact"/>
        <w:rPr>
          <w:rFonts w:ascii="MS PGothic" w:cs="MS PGothic" w:eastAsia="MS PGothic" w:hAnsi="MS PGothic"/>
          <w:sz w:val="14"/>
          <w:szCs w:val="14"/>
          <w:color w:val="auto"/>
        </w:rPr>
      </w:pPr>
    </w:p>
    <w:p>
      <w:pPr>
        <w:ind w:right="4760" w:firstLine="4"/>
        <w:spacing w:after="0" w:line="422" w:lineRule="auto"/>
        <w:tabs>
          <w:tab w:leader="none" w:pos="253"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Securities Exchange Act of 1934:</w:t>
      </w:r>
    </w:p>
    <w:tbl>
      <w:tblPr>
        <w:tblLayout w:type="fixed"/>
        <w:tblInd w:w="0" w:type="dxa"/>
        <w:tblCellMar>
          <w:top w:w="0" w:type="dxa"/>
          <w:left w:w="0" w:type="dxa"/>
          <w:bottom w:w="0" w:type="dxa"/>
          <w:right w:w="0" w:type="dxa"/>
        </w:tblCellMar>
      </w:tblPr>
      <w:tr>
        <w:trPr>
          <w:trHeight w:val="168"/>
        </w:trPr>
        <w:tc>
          <w:tcPr>
            <w:tcW w:w="6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6440" w:type="dxa"/>
            <w:vAlign w:val="bottom"/>
            <w:gridSpan w:val="2"/>
            <w:vMerge w:val="continue"/>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on which registered</w:t>
            </w:r>
          </w:p>
        </w:tc>
        <w:tc>
          <w:tcPr>
            <w:tcW w:w="0" w:type="dxa"/>
            <w:vAlign w:val="bottom"/>
          </w:tcPr>
          <w:p>
            <w:pPr>
              <w:spacing w:after="0"/>
              <w:rPr>
                <w:sz w:val="1"/>
                <w:szCs w:val="1"/>
                <w:color w:val="auto"/>
              </w:rPr>
            </w:pPr>
          </w:p>
        </w:tc>
      </w:tr>
      <w:tr>
        <w:trPr>
          <w:trHeight w:val="142"/>
        </w:trPr>
        <w:tc>
          <w:tcPr>
            <w:tcW w:w="63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Units, consisting of one share of Common Stock, $0.0001 par value per share, and three-quarters of one</w:t>
            </w:r>
          </w:p>
        </w:tc>
        <w:tc>
          <w:tcPr>
            <w:tcW w:w="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 Warrant</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CNTQU</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c>
          <w:tcPr>
            <w:tcW w:w="0" w:type="dxa"/>
            <w:vAlign w:val="bottom"/>
          </w:tcPr>
          <w:p>
            <w:pPr>
              <w:spacing w:after="0"/>
              <w:rPr>
                <w:sz w:val="1"/>
                <w:szCs w:val="1"/>
                <w:color w:val="auto"/>
              </w:rPr>
            </w:pPr>
          </w:p>
        </w:tc>
      </w:tr>
      <w:tr>
        <w:trPr>
          <w:trHeight w:val="168"/>
        </w:trPr>
        <w:tc>
          <w:tcPr>
            <w:tcW w:w="6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 included as part of the Units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CNTQ</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c>
          <w:tcPr>
            <w:tcW w:w="0" w:type="dxa"/>
            <w:vAlign w:val="bottom"/>
          </w:tcPr>
          <w:p>
            <w:pPr>
              <w:spacing w:after="0"/>
              <w:rPr>
                <w:sz w:val="1"/>
                <w:szCs w:val="1"/>
                <w:color w:val="auto"/>
              </w:rPr>
            </w:pPr>
          </w:p>
        </w:tc>
      </w:tr>
      <w:tr>
        <w:trPr>
          <w:trHeight w:val="168"/>
        </w:trPr>
        <w:tc>
          <w:tcPr>
            <w:tcW w:w="6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 Warrants included as part of the Units, each exercisable for one share of Common Stock for</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$11.50 per share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CNTQW</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c>
          <w:tcPr>
            <w:tcW w:w="0" w:type="dxa"/>
            <w:vAlign w:val="bottom"/>
          </w:tcPr>
          <w:p>
            <w:pPr>
              <w:spacing w:after="0"/>
              <w:rPr>
                <w:sz w:val="1"/>
                <w:szCs w:val="1"/>
                <w:color w:val="auto"/>
              </w:rPr>
            </w:pPr>
          </w:p>
        </w:tc>
      </w:tr>
    </w:tbl>
    <w:p>
      <w:pPr>
        <w:spacing w:after="0" w:line="101" w:lineRule="exact"/>
        <w:rPr>
          <w:sz w:val="24"/>
          <w:szCs w:val="24"/>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44" w:lineRule="exact"/>
        <w:rPr>
          <w:sz w:val="24"/>
          <w:szCs w:val="24"/>
          <w:color w:val="auto"/>
        </w:rPr>
      </w:pPr>
    </w:p>
    <w:p>
      <w:pPr>
        <w:jc w:val="both"/>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64135</wp:posOffset>
            </wp:positionV>
            <wp:extent cx="71628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83820</wp:posOffset>
            </wp:positionV>
            <wp:extent cx="716280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431800</wp:posOffset>
            </wp:positionV>
            <wp:extent cx="71628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8" w:lineRule="exact"/>
        <w:rPr>
          <w:sz w:val="20"/>
          <w:szCs w:val="20"/>
          <w:color w:val="auto"/>
        </w:rPr>
      </w:pPr>
    </w:p>
    <w:p>
      <w:pPr>
        <w:jc w:val="both"/>
        <w:ind w:firstLine="344"/>
        <w:spacing w:after="0" w:line="283" w:lineRule="auto"/>
        <w:rPr>
          <w:sz w:val="20"/>
          <w:szCs w:val="20"/>
          <w:color w:val="auto"/>
        </w:rPr>
      </w:pPr>
      <w:r>
        <w:rPr>
          <w:rFonts w:ascii="Times New Roman" w:cs="Times New Roman" w:eastAsia="Times New Roman" w:hAnsi="Times New Roman"/>
          <w:sz w:val="14"/>
          <w:szCs w:val="14"/>
          <w:color w:val="auto"/>
        </w:rPr>
        <w:t>As previously disclosed, on May 15, 2022, Chardan NexTech Acquisition 2 Corp., a Delaware corporation (“</w:t>
      </w:r>
      <w:r>
        <w:rPr>
          <w:rFonts w:ascii="Times New Roman" w:cs="Times New Roman" w:eastAsia="Times New Roman" w:hAnsi="Times New Roman"/>
          <w:sz w:val="14"/>
          <w:szCs w:val="14"/>
          <w:u w:val="single" w:color="auto"/>
          <w:color w:val="auto"/>
        </w:rPr>
        <w:t>Chardan</w:t>
      </w:r>
      <w:r>
        <w:rPr>
          <w:rFonts w:ascii="Times New Roman" w:cs="Times New Roman" w:eastAsia="Times New Roman" w:hAnsi="Times New Roman"/>
          <w:sz w:val="14"/>
          <w:szCs w:val="14"/>
          <w:color w:val="auto"/>
        </w:rPr>
        <w:t>”), entered into an Agreement and Plan of Merger with Dragonfly Energy Corp., a Nevada corporation (“</w:t>
      </w:r>
      <w:r>
        <w:rPr>
          <w:rFonts w:ascii="Times New Roman" w:cs="Times New Roman" w:eastAsia="Times New Roman" w:hAnsi="Times New Roman"/>
          <w:sz w:val="14"/>
          <w:szCs w:val="14"/>
          <w:u w:val="single" w:color="auto"/>
          <w:color w:val="auto"/>
        </w:rPr>
        <w:t>Dragonfly</w:t>
      </w:r>
      <w:r>
        <w:rPr>
          <w:rFonts w:ascii="Times New Roman" w:cs="Times New Roman" w:eastAsia="Times New Roman" w:hAnsi="Times New Roman"/>
          <w:sz w:val="14"/>
          <w:szCs w:val="14"/>
          <w:color w:val="auto"/>
        </w:rPr>
        <w:t>”), and Bronco Merger Sub, Inc., a Nevada corporation and a direct, wholly owned subsidiary of Chardan.</w:t>
      </w:r>
    </w:p>
    <w:p>
      <w:pPr>
        <w:spacing w:after="0" w:line="125" w:lineRule="exact"/>
        <w:rPr>
          <w:sz w:val="20"/>
          <w:szCs w:val="20"/>
          <w:color w:val="auto"/>
        </w:rPr>
      </w:pPr>
    </w:p>
    <w:p>
      <w:pPr>
        <w:jc w:val="both"/>
        <w:ind w:firstLine="344"/>
        <w:spacing w:after="0" w:line="283" w:lineRule="auto"/>
        <w:rPr>
          <w:sz w:val="20"/>
          <w:szCs w:val="20"/>
          <w:color w:val="auto"/>
        </w:rPr>
      </w:pPr>
      <w:r>
        <w:rPr>
          <w:rFonts w:ascii="Times New Roman" w:cs="Times New Roman" w:eastAsia="Times New Roman" w:hAnsi="Times New Roman"/>
          <w:sz w:val="14"/>
          <w:szCs w:val="14"/>
          <w:color w:val="auto"/>
        </w:rPr>
        <w:t>Attached as Exhibit 99.1 and incorporated herein by reference is the investor presentation dated July 12, 2022, for use by Chardan in meetings with certain of its shareholders as well as other persons with respect to Chardan’s proposed transaction with Dragonfly, as described in this Current Report on Form 8-K.</w:t>
      </w:r>
    </w:p>
    <w:p>
      <w:pPr>
        <w:spacing w:after="0" w:line="125" w:lineRule="exact"/>
        <w:rPr>
          <w:sz w:val="20"/>
          <w:szCs w:val="20"/>
          <w:color w:val="auto"/>
        </w:rPr>
      </w:pPr>
    </w:p>
    <w:p>
      <w:pPr>
        <w:jc w:val="both"/>
        <w:ind w:firstLine="344"/>
        <w:spacing w:after="0" w:line="267" w:lineRule="auto"/>
        <w:rPr>
          <w:sz w:val="20"/>
          <w:szCs w:val="20"/>
          <w:color w:val="auto"/>
        </w:rPr>
      </w:pPr>
      <w:r>
        <w:rPr>
          <w:rFonts w:ascii="Times New Roman" w:cs="Times New Roman" w:eastAsia="Times New Roman" w:hAnsi="Times New Roman"/>
          <w:sz w:val="14"/>
          <w:szCs w:val="14"/>
          <w:color w:val="auto"/>
        </w:rPr>
        <w:t>The information in this Item 7.01, including Exhibit 99.1, is furnished and shall not be deemed “filed” for purposes of Section 18 of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or otherwise subject to liabilities under that section, and shall not be deemed to be incorporated by reference into the filings of Chardan under the Securities Act or the Exchange Act, regardless of any general incorporation language in such filings.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 and Where to Find It</w:t>
      </w:r>
    </w:p>
    <w:p>
      <w:pPr>
        <w:spacing w:after="0" w:line="178"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4"/>
          <w:szCs w:val="14"/>
          <w:color w:val="auto"/>
        </w:rPr>
        <w:t>This Current Report on Form 8-K relates to a proposed transaction between Chardan and Dragonfly. Chardan has filed a registration statement on Form S-4 with the SEC, which is subject to change and includes a document that serves as a prospectus and proxy statement of Chardan , referred to as a proxy statement/prospectus. The definitive proxy statement/prospectus will be sent to all Chardan stockholders. Chardan has also filed other documents regarding the proposed transaction with the SEC. Before making any voting decision, investors and security holders of Chardan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41"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 xml:space="preserve">Investors and security holders are able to obtain free copies of the registration statement, the proxy statement/prospectus and all other relevant documents filed or that will be filed with the SEC by Chardan through the website maintained by the SEC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The documents filed by Chardan with the SEC also may be obtained by contacting Chardan NexTech Acquisition 2 Corp. at 17 State Street, 21st Floor, New York, New York 10004, or by calling (646) 465-9001.</w:t>
      </w:r>
    </w:p>
    <w:p>
      <w:pPr>
        <w:spacing w:after="0" w:line="1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78"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Dragonfly, Chardan and certain of their respective directors, executive officers and other members of management and employees may, under SEC rules, be deemed to be participants in the solicitation of proxies from Chardan’s shareholders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Chardan or Dragonfly. The definitive proxy statement will be mailed to Chardan’s shareholders as of a record date to be established for voting on the proposed business combination when it becomes available.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78"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This Current Report on Form 8-K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326390</wp:posOffset>
            </wp:positionV>
            <wp:extent cx="71628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78" w:lineRule="exact"/>
        <w:rPr>
          <w:sz w:val="20"/>
          <w:szCs w:val="20"/>
          <w:color w:val="auto"/>
        </w:rPr>
      </w:pPr>
    </w:p>
    <w:p>
      <w:pPr>
        <w:jc w:val="both"/>
        <w:ind w:firstLine="505"/>
        <w:spacing w:after="0" w:line="251" w:lineRule="auto"/>
        <w:rPr>
          <w:sz w:val="20"/>
          <w:szCs w:val="20"/>
          <w:color w:val="auto"/>
        </w:rPr>
      </w:pPr>
      <w:r>
        <w:rPr>
          <w:rFonts w:ascii="Times New Roman" w:cs="Times New Roman" w:eastAsia="Times New Roman" w:hAnsi="Times New Roman"/>
          <w:sz w:val="14"/>
          <w:szCs w:val="14"/>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Chardan, the combined company or others following the announcement of the business combination and the transactions contemplated thereby; 3) the inability to complete the business combination due to the failure to obtain approval of the stockholders of Chardan,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Chardan’s securities; 20) the risk that the transaction may not be completed by Chardan’s business combination deadline (as may be extended pursuant to Chardan’s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Chardan’s Form S-1 (File Nos. 333-252449 and 333-253016), Annual Report on Form 10-K for the year ended December 31, 2021, Quarterly Report on Form 10-Q for the three months ended March 31, 2022 and registration statement on Form S-4 with the SEC (File No. 333-265713), as amended on July 11, 2022, which is subject to change and will include a document that serves as a prospectus and proxy statement of Chardan, referred to as a proxy statement/prospectus and other documents filed by Chardan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Chardan nor Dragonfly gives any assurance that either Chardan or Dragonfly or the combined company will achieve its expected results. Neither Chardan nor Dragonfly undertakes any duty to update these forward-looking statements, except as otherwise required by law. For additional information, see “Risk Considerations” in the investor presentation, which will be provided in a Current Report on Form 8-K to be filed by Chardan with the SEC and available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71628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92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(d) Exhibits.</w:t>
            </w:r>
          </w:p>
        </w:tc>
        <w:tc>
          <w:tcPr>
            <w:tcW w:w="7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660" w:type="dxa"/>
            <w:vAlign w:val="bottom"/>
          </w:tcPr>
          <w:p>
            <w:pPr>
              <w:spacing w:after="0"/>
              <w:rPr>
                <w:sz w:val="15"/>
                <w:szCs w:val="15"/>
                <w:color w:val="auto"/>
              </w:rPr>
            </w:pPr>
          </w:p>
        </w:tc>
      </w:tr>
      <w:tr>
        <w:trPr>
          <w:trHeight w:val="305"/>
        </w:trPr>
        <w:tc>
          <w:tcPr>
            <w:tcW w:w="62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148"/>
        </w:trPr>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1</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EE"/>
              </w:rPr>
              <w:t>Investor Presentation, dated as of July 12, 2022.</w:t>
            </w:r>
          </w:p>
        </w:tc>
      </w:tr>
      <w:tr>
        <w:trPr>
          <w:trHeight w:val="20"/>
        </w:trPr>
        <w:tc>
          <w:tcPr>
            <w:tcW w:w="84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180"/>
        </w:trPr>
        <w:tc>
          <w:tcPr>
            <w:tcW w:w="840" w:type="dxa"/>
            <w:vAlign w:val="bottom"/>
            <w:gridSpan w:val="2"/>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cover page of this Current Report on Form 8-K, formatted in Inline XBRL.</w:t>
            </w:r>
          </w:p>
        </w:tc>
      </w:tr>
      <w:tr>
        <w:trPr>
          <w:trHeight w:val="526"/>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3"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80" w:type="dxa"/>
            <w:vAlign w:val="bottom"/>
          </w:tcPr>
          <w:p>
            <w:pPr>
              <w:spacing w:after="0"/>
              <w:rPr>
                <w:sz w:val="15"/>
                <w:szCs w:val="15"/>
                <w:color w:val="auto"/>
              </w:rPr>
            </w:pPr>
          </w:p>
        </w:tc>
        <w:tc>
          <w:tcPr>
            <w:tcW w:w="7900" w:type="dxa"/>
            <w:vAlign w:val="bottom"/>
            <w:gridSpan w:val="3"/>
          </w:tcPr>
          <w:p>
            <w:pPr>
              <w:ind w:left="2280"/>
              <w:spacing w:after="0"/>
              <w:rPr>
                <w:sz w:val="20"/>
                <w:szCs w:val="20"/>
                <w:color w:val="auto"/>
              </w:rPr>
            </w:pPr>
            <w:r>
              <w:rPr>
                <w:rFonts w:ascii="Times New Roman" w:cs="Times New Roman" w:eastAsia="Times New Roman" w:hAnsi="Times New Roman"/>
                <w:sz w:val="14"/>
                <w:szCs w:val="14"/>
                <w:color w:val="auto"/>
              </w:rPr>
              <w:t>CHARDAN NEXTECH ACQUISITION 2 CORP.</w:t>
            </w:r>
          </w:p>
        </w:tc>
      </w:tr>
      <w:tr>
        <w:trPr>
          <w:trHeight w:val="505"/>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Date: July 13, 2022</w:t>
            </w:r>
          </w:p>
        </w:tc>
        <w:tc>
          <w:tcPr>
            <w:tcW w:w="7900" w:type="dxa"/>
            <w:vAlign w:val="bottom"/>
            <w:gridSpan w:val="3"/>
          </w:tcPr>
          <w:p>
            <w:pPr>
              <w:ind w:left="2280"/>
              <w:spacing w:after="0"/>
              <w:rPr>
                <w:sz w:val="20"/>
                <w:szCs w:val="20"/>
                <w:color w:val="auto"/>
              </w:rPr>
            </w:pPr>
            <w:r>
              <w:rPr>
                <w:rFonts w:ascii="Times New Roman" w:cs="Times New Roman" w:eastAsia="Times New Roman" w:hAnsi="Times New Roman"/>
                <w:sz w:val="14"/>
                <w:szCs w:val="14"/>
                <w:color w:val="auto"/>
              </w:rPr>
              <w:t>By:  /s/ Jonas Grossman</w:t>
            </w:r>
          </w:p>
        </w:tc>
      </w:tr>
      <w:tr>
        <w:trPr>
          <w:trHeight w:val="144"/>
        </w:trPr>
        <w:tc>
          <w:tcPr>
            <w:tcW w:w="3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6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4820" w:type="dxa"/>
            <w:vAlign w:val="bottom"/>
            <w:tcBorders>
              <w:top w:val="single" w:sz="8" w:color="auto"/>
            </w:tcBorders>
          </w:tcPr>
          <w:p>
            <w:pPr>
              <w:ind w:left="80"/>
              <w:spacing w:after="0" w:line="144" w:lineRule="exact"/>
              <w:rPr>
                <w:sz w:val="20"/>
                <w:szCs w:val="20"/>
                <w:color w:val="auto"/>
              </w:rPr>
            </w:pPr>
            <w:r>
              <w:rPr>
                <w:rFonts w:ascii="Times New Roman" w:cs="Times New Roman" w:eastAsia="Times New Roman" w:hAnsi="Times New Roman"/>
                <w:sz w:val="14"/>
                <w:szCs w:val="14"/>
                <w:color w:val="auto"/>
              </w:rPr>
              <w:t>Jonas Grossman</w:t>
            </w:r>
          </w:p>
        </w:tc>
      </w:tr>
      <w:tr>
        <w:trPr>
          <w:trHeight w:val="183"/>
        </w:trPr>
        <w:tc>
          <w:tcPr>
            <w:tcW w:w="33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526"/>
        </w:trPr>
        <w:tc>
          <w:tcPr>
            <w:tcW w:w="33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3" w:right="319" w:bottom="1440" w:gutter="0" w:footer="0" w:header="0"/>
        </w:sectPr>
      </w:pPr>
    </w:p>
    <w:bookmarkStart w:id="5" w:name="page6"/>
    <w:bookmarkEnd w:id="5"/>
    <w:p>
      <w:pPr>
        <w:ind w:left="928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18415</wp:posOffset>
            </wp:positionV>
            <wp:extent cx="7211060" cy="42964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9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060" cy="430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9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060" cy="430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2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06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2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06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4658995</wp:posOffset>
            </wp:positionV>
            <wp:extent cx="71628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4665980</wp:posOffset>
            </wp:positionV>
            <wp:extent cx="71628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2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106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2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106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2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106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2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106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302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1060" cy="430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369570</wp:posOffset>
            </wp:positionV>
            <wp:extent cx="7211060" cy="42964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1060" cy="42964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2022-07-13T08:32:48Z</dcterms:created>
  <dcterms:modified xsi:type="dcterms:W3CDTF">2022-07-13T08:32:48Z</dcterms:modified>
</cp:coreProperties>
</file>