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10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20,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5"/>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51020"/>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7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Reno, </w:t>
            </w:r>
            <w:bookmarkStart w:id="10" w:name="xdx_90C_edei--EntityAddressStateOrProvin"/>
            <w:bookmarkEnd w:id="10"/>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B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51020__20"/>
      <w:bookmarkEnd w:id="12"/>
      <w:r>
        <w:rPr>
          <w:rFonts w:ascii="Times New Roman;Times;Serif" w:hAnsi="Times New Roman;Times;Serif"/>
          <w:b/>
          <w:i w:val="false"/>
          <w:caps w:val="false"/>
          <w:smallCaps w:val="false"/>
          <w:sz w:val="20"/>
          <w:u w:val="single"/>
        </w:rPr>
        <w:t xml:space="preserve">(775) </w:t>
      </w:r>
      <w:bookmarkStart w:id="13" w:name="xdx_904_edei--LocalPhoneNumber_c20251020"/>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9_edei--SolicitingMaterial_c2025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51020"/>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51020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5"/>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12bTitle_c20251020"/>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TradingSymbol_c20251020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E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0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w:t>
      </w:r>
      <w:r>
        <w:rPr>
          <w:rFonts w:ascii="Times New Roman;Times;Serif" w:hAnsi="Times New Roman;Times;Serif"/>
          <w:b/>
          <w:i w:val="false"/>
          <w:caps w:val="false"/>
          <w:smallCaps w:val="false"/>
          <w:sz w:val="20"/>
          <w:shd w:fill="FFFFFF" w:val="clear"/>
        </w:rPr>
        <w:t>Entry into a Definitive Material Agreement.</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2025, </w:t>
      </w:r>
      <w:r>
        <w:rPr>
          <w:rFonts w:ascii="Times New Roman;Times;Serif" w:hAnsi="Times New Roman;Times;Serif"/>
          <w:b w:val="false"/>
          <w:i w:val="false"/>
          <w:caps w:val="false"/>
          <w:smallCaps w:val="false"/>
          <w:sz w:val="20"/>
          <w:shd w:fill="FFFFFF" w:val="clear"/>
        </w:rPr>
        <w:t>Dragonfly Energy Holdings Corp. (the “Company”)</w:t>
      </w:r>
      <w:r>
        <w:rPr>
          <w:rFonts w:ascii="Times New Roman;Times;Serif" w:hAnsi="Times New Roman;Times;Serif"/>
          <w:b w:val="false"/>
          <w:i w:val="false"/>
          <w:caps w:val="false"/>
          <w:smallCaps w:val="false"/>
          <w:sz w:val="20"/>
        </w:rPr>
        <w:t>, Dragonfly Energy Corp. and Battle Born Battery Products, LLC entered into the Sixth Amendment (the “Sixth Amendment”) to its Term Loan, Guarantee and Security Agreement (as amended, the “Term Loan Agreement”) with the lenders (the “Lenders”) and Alter Domus (US) LLC, as agent, with respect to the Company’s senior secured term loan facility (the “Term Loan”). Under the Sixth Amendment, the Company has agreed to restructure its outstanding indebtedness as follows: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 prepayment of $45.0 million of outstanding indebtedness under the Term Loan Agreement (the “Loan Prepayment”) from the net proceeds from the underwritten public offering of its common stock, par value $0.0001 (the “Common Stock”) that was consummated on October 17, 2025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issue $25 million of shares of newly created Series B preferred stock of the Company (the “Preferred Stock”) in exchange for $25 million outstanding principal amount of the loan, which Preferred Stock will be issued following the filing of a certificate of designation for the Preferred Stock with the Secretary of State of the State of Nevada and will (i) be convertible into shares of the Company’s Common Stock, at the Lenders option at a conversion price of $3.15 per share, or an aggregate of 7,936,508 shares of Common Stock, (ii) have a dividend of 8% per annum payable quarterly in cash and (iii) have a dividend of 2% per annum payable quarterly in kind. In addition, the Company has a right to redeem any outstanding shares of the Preferred Stock at its option at the greater of (i) the stated value plus any outstanding dividends and (ii) the as-converted value of the shares of Common Stock underlying the Preferred Stock (the “Optional Redemption Price”). The Lenders have also agreed not to convert any shares of the Preferred Stock for a period of six months following the issuance of the Preferred Stock. In connection with any future equity offerings, the Company will be required to use 25% of the net proceeds from such offering to redeem outstanding shares of the Preferred Stock at the Optional Redemption Price. In the event the Company has not redeemed the outstanding shares Preferred Stock by October 7, 2027, the holders will have the right to require the Company to redeem the Preferred Stock at the Optional Redemption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Loan Prepayment, the Lenders have agreed to forgive the repayment of $5.0 million of the outstanding principal under the Term Loan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outstanding principal amount under the Term Loan Agreement of $17 million, after the repayment and forgiveness disclosed above, will have a fixed interest rate of 12% per annum, payable monthly commencing December 31, 2025 and will mature in October 2027;</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pay a fee to the Lenders equal to approximately $450,000 in cash and $450,000 added to principal outstanding amount of the loan under the Term Loan Agreement;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covenants under the Term Loan Agreement have been waived through December 31, 2026, and the Company has agreed to a minimum liquidity covenant of $5.0 million calculated on a monthly basis.</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terms of the Sixth Amendment herein is subject to and qualified in its entirety by the full text of the Sixth Amendment, which is attached as Exhibit 10.1 to this Current Report on Form 8-K and is incorporated herein by reference.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with respect to the issuance of the Preferred Stock is hereby incorporated by reference into this Item 3.02. The Preferred Stock and any related shares of Common Stock underlying the Preferred Stock have not been registered under the Securities Act of 1933, as amended (the “Securities Act”), and are instead being offered pursuant to the exemption provided in Section 4(a)(2) under the Securities 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7"/>
        <w:gridCol w:w="60"/>
        <w:gridCol w:w="9358"/>
      </w:tblGrid>
      <w:tr>
        <w:trPr/>
        <w:tc>
          <w:tcPr>
            <w:tcW w:w="787"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Sixth Amendment to Term Loan, Guarantee and Security Agreement, dated as of October 20, 2025, by and among the Company, Dragonfly Energy Corp., Battle Born Battery Products, LLC, the lenders from time to time party thereto and Alter Domus (US) LLC.</w:t>
              </w:r>
            </w:hyperlink>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have been omitted pursuant to Item 601(a)(5) of Regulation S-K. A copy of any omitted schedule and/or exhibit will be furnished to the Securities and Exchange Commission upon request.</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2030"/>
        <w:gridCol w:w="590"/>
        <w:gridCol w:w="567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20,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 GUARANTEE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SIXTH AMENDMENT TO TERM LOAN, GUARANTEE AND SECURITY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as of October 20, 2025, by and among DRAGONFLY ENERGY CORP.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DRAGONFLY ENERGY HOLDINGS CORP. (F/K/A CHARDAN NEXTECH ACQUISITION 2 CORP)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BATTLE BORN BATTERY PRODUCTS, LLC (“</w:t>
      </w:r>
      <w:r>
        <w:rPr>
          <w:rFonts w:ascii="Times New Roman;Times;Serif" w:hAnsi="Times New Roman;Times;Serif"/>
          <w:b w:val="false"/>
          <w:i w:val="false"/>
          <w:caps w:val="false"/>
          <w:smallCaps w:val="false"/>
          <w:sz w:val="20"/>
          <w:u w:val="single"/>
        </w:rPr>
        <w:t>Battle Born</w:t>
      </w:r>
      <w:r>
        <w:rPr>
          <w:rFonts w:ascii="Times New Roman;Times;Serif" w:hAnsi="Times New Roman;Times;Serif"/>
          <w:b w:val="false"/>
          <w:i w:val="false"/>
          <w:caps w:val="false"/>
          <w:smallCaps w:val="false"/>
          <w:sz w:val="20"/>
        </w:rPr>
        <w:t>”, and together with Holdings,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Lenders signatory hereto representing all Lenders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ALTER DOMUS (US) LLC, as agent on behalf of the Lenders under the Loan Agreement (as hereinafter defined) (in such capacity,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Holdings, the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that certain Limited Waiver and Fourth Amendment to Term Loan, Guarantee and Security Agreement and Temporary, Limited Suspension and Waiver of Warrant Terms, dated as of December 31, 2024 and that certain Fifth Amendment to Term Loan, Guarantee and Security Agreement Limited Waiver and Amendment of Warrant Terms, dated as of February 26, 2025, and as may be further amended, modified, extended, restated, replaced, and/or supplemented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Credit Parties have requested that the Agent and the Lenders amend certain provisions of the Loan Agreement and, subject to the satisfaction of the conditions set forth below, each of the Agent and the Lenders are willing to amend the Loan Agreement on the terms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Credit Parties and the Lenders intend to enter into a series of transactions (collectively,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whereby (i) the Credit Parties will use a portion of the proceeds from its previous equity offering that was consummated on October 17, 2025 to voluntarily prepay $45 million of the outstanding principal balance of the Term Loans (the “</w:t>
      </w:r>
      <w:r>
        <w:rPr>
          <w:rFonts w:ascii="Times New Roman;Times;Serif" w:hAnsi="Times New Roman;Times;Serif"/>
          <w:b w:val="false"/>
          <w:i w:val="false"/>
          <w:caps w:val="false"/>
          <w:smallCaps w:val="false"/>
          <w:sz w:val="20"/>
          <w:u w:val="single"/>
        </w:rPr>
        <w:t>Voluntary Prepayment</w:t>
      </w:r>
      <w:r>
        <w:rPr>
          <w:rFonts w:ascii="Times New Roman;Times;Serif" w:hAnsi="Times New Roman;Times;Serif"/>
          <w:b w:val="false"/>
          <w:i w:val="false"/>
          <w:caps w:val="false"/>
          <w:smallCaps w:val="false"/>
          <w:sz w:val="20"/>
        </w:rPr>
        <w:t>”), (ii) the parties will exchange $25 million in outstanding principal balance of the Term Loans into $25 million aggregate principal amount of Series B Preferred Stock of Dragonfly Energy Corp. (such exchange, the “</w:t>
      </w:r>
      <w:r>
        <w:rPr>
          <w:rFonts w:ascii="Times New Roman;Times;Serif" w:hAnsi="Times New Roman;Times;Serif"/>
          <w:b w:val="false"/>
          <w:i w:val="false"/>
          <w:caps w:val="false"/>
          <w:smallCaps w:val="false"/>
          <w:sz w:val="20"/>
          <w:u w:val="single"/>
        </w:rPr>
        <w:t>Sixth Amendment Preferred Exchange</w:t>
      </w:r>
      <w:r>
        <w:rPr>
          <w:rFonts w:ascii="Times New Roman;Times;Serif" w:hAnsi="Times New Roman;Times;Serif"/>
          <w:b w:val="false"/>
          <w:i w:val="false"/>
          <w:caps w:val="false"/>
          <w:smallCaps w:val="false"/>
          <w:sz w:val="20"/>
        </w:rPr>
        <w:t>”, such preferred equity, the “</w:t>
      </w:r>
      <w:r>
        <w:rPr>
          <w:rFonts w:ascii="Times New Roman;Times;Serif" w:hAnsi="Times New Roman;Times;Serif"/>
          <w:b w:val="false"/>
          <w:i w:val="false"/>
          <w:caps w:val="false"/>
          <w:smallCaps w:val="false"/>
          <w:sz w:val="20"/>
          <w:u w:val="single"/>
        </w:rPr>
        <w:t>Sixth Amendment Series B Preferred Equity</w:t>
      </w:r>
      <w:r>
        <w:rPr>
          <w:rFonts w:ascii="Times New Roman;Times;Serif" w:hAnsi="Times New Roman;Times;Serif"/>
          <w:b w:val="false"/>
          <w:i w:val="false"/>
          <w:caps w:val="false"/>
          <w:smallCaps w:val="false"/>
          <w:sz w:val="20"/>
        </w:rPr>
        <w:t>” and the date in which the exchange has been completed, the “</w:t>
      </w:r>
      <w:r>
        <w:rPr>
          <w:rFonts w:ascii="Times New Roman;Times;Serif" w:hAnsi="Times New Roman;Times;Serif"/>
          <w:b w:val="false"/>
          <w:i w:val="false"/>
          <w:caps w:val="false"/>
          <w:smallCaps w:val="false"/>
          <w:sz w:val="20"/>
          <w:u w:val="single"/>
        </w:rPr>
        <w:t>Exchange Date</w:t>
      </w:r>
      <w:r>
        <w:rPr>
          <w:rFonts w:ascii="Times New Roman;Times;Serif" w:hAnsi="Times New Roman;Times;Serif"/>
          <w:b w:val="false"/>
          <w:i w:val="false"/>
          <w:caps w:val="false"/>
          <w:smallCaps w:val="false"/>
          <w:sz w:val="20"/>
        </w:rPr>
        <w:t>”) and (iii) the Lenders will agree to cancel $5 million of the remaining outstanding principal balance of the Loans (the “</w:t>
      </w:r>
      <w:r>
        <w:rPr>
          <w:rFonts w:ascii="Times New Roman;Times;Serif" w:hAnsi="Times New Roman;Times;Serif"/>
          <w:b w:val="false"/>
          <w:i w:val="false"/>
          <w:caps w:val="false"/>
          <w:smallCaps w:val="false"/>
          <w:sz w:val="20"/>
          <w:u w:val="single"/>
        </w:rPr>
        <w:t>Debt 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the Lenders have agreed to amend certain related provisions in accordance with the terms set forth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Credit Parties, the Lenders and the Agent each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All terms used but not otherwise defined herein have the meanings assigned to them in the Loan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Prepayment</w:t>
            </w:r>
            <w:r>
              <w:rPr>
                <w:rFonts w:ascii="Times New Roman;Times;Serif" w:hAnsi="Times New Roman;Times;Serif"/>
                <w:b w:val="false"/>
                <w:i w:val="false"/>
                <w:caps w:val="false"/>
                <w:smallCaps w:val="false"/>
                <w:sz w:val="20"/>
              </w:rPr>
              <w:t>. On the Sixth Amendment Effective Date, in accordance with Section 1.2(b), the Credit Parties will consummate the Voluntary Prepayment in accordance with Exhibit A-1 attached hereto. Following the consummation of the Voluntary Prepayment, the Sixth Amendment Preferred Exchange, the Debt Cancellation and the application of any capitalized fees on the Sixth Amendment Effective Date, all accrued and unpaid interest and fees shall be added to the outstanding principal balance of the Loans and the outstanding balance of the Loans shall be as set forth on Exhibit A-2 attached hereto.</w:t>
            </w:r>
          </w:p>
        </w:tc>
      </w:tr>
    </w:tbl>
    <w:p>
      <w:pPr>
        <w:pStyle w:val="TextBody"/>
        <w:bidi w:val="0"/>
        <w:spacing w:before="0" w:after="0"/>
        <w:ind w:left="10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Sixth Amendment Preferred Exchange. </w:t>
            </w:r>
            <w:r>
              <w:rPr>
                <w:rFonts w:ascii="Times New Roman;Times;Serif" w:hAnsi="Times New Roman;Times;Serif"/>
                <w:b w:val="false"/>
                <w:i w:val="false"/>
                <w:caps w:val="false"/>
                <w:smallCaps w:val="false"/>
                <w:sz w:val="20"/>
              </w:rPr>
              <w:t>The Credit Parties and the Lenders hereby agree to use commercially reasonable efforts to enter into the Sixth Amendment Preferred Exchange on terms that are reasonably satisfactory to both parties as soon as reasonably practicable. The Lenders (or their designee which may include their counsel) shall give the Agent written notice of the occurrence of the Exchange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Debt Cancellation</w:t>
            </w:r>
            <w:r>
              <w:rPr>
                <w:rFonts w:ascii="Times New Roman;Times;Serif" w:hAnsi="Times New Roman;Times;Serif"/>
                <w:b w:val="false"/>
                <w:i w:val="false"/>
                <w:caps w:val="false"/>
                <w:smallCaps w:val="false"/>
                <w:sz w:val="20"/>
              </w:rPr>
              <w:t>. Upon the consummation of the Voluntary Prepayment on the Sixth Amendment Effective Date, the Lenders hereby agree to automatically reduce the outstanding principal balance of the Term Loans by $5,000,000 on a pro rata basis in accordance with Exhibit A-3 and such principal amount of the Loan shall be deemed to have been cancelled. The Lenders hereby direct the Agent to update the Register to reflect a reduction of the principal amount of the Term Loans on a pro rata basis as a result of the Debt Cancellation.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to Loan Agreement</w:t>
            </w:r>
            <w:r>
              <w:rPr>
                <w:rFonts w:ascii="Times New Roman;Times;Serif" w:hAnsi="Times New Roman;Times;Serif"/>
                <w:b w:val="false"/>
                <w:i w:val="false"/>
                <w:caps w:val="false"/>
                <w:smallCaps w:val="false"/>
                <w:sz w:val="20"/>
              </w:rPr>
              <w:t xml:space="preserve">. Subject to the satisfaction of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Loan Agreement is hereby amended in the following respects:</w:t>
            </w:r>
          </w:p>
        </w:tc>
      </w:tr>
    </w:tbl>
    <w:p>
      <w:pPr>
        <w:pStyle w:val="TextBody"/>
        <w:bidi w:val="0"/>
        <w:spacing w:before="0" w:after="0"/>
        <w:ind w:left="0" w:right="0" w:firstLine="72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bl>
    <w:p>
      <w:pPr>
        <w:pStyle w:val="TextBody"/>
        <w:bidi w:val="0"/>
        <w:spacing w:before="0" w:after="0"/>
        <w:ind w:left="108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42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new defined terms are hereby added, in the appropriate alphabetical order, to Schedule A as follows:</w:t>
            </w:r>
          </w:p>
        </w:tc>
      </w:tr>
    </w:tbl>
    <w:p>
      <w:pPr>
        <w:pStyle w:val="TextBody"/>
        <w:bidi w:val="0"/>
        <w:spacing w:before="0" w:after="0"/>
        <w:ind w:left="144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23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1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Date</w:t>
            </w:r>
            <w:r>
              <w:rPr>
                <w:rFonts w:ascii="Times New Roman;Times;Serif" w:hAnsi="Times New Roman;Times;Serif"/>
                <w:b w:val="false"/>
                <w:i w:val="false"/>
                <w:caps w:val="false"/>
                <w:smallCaps w:val="false"/>
                <w:sz w:val="20"/>
              </w:rPr>
              <w:t>” shall have the meaning as set forth in the Sixth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Sixth Amendment</w:t>
            </w:r>
            <w:r>
              <w:rPr>
                <w:rFonts w:ascii="Times New Roman;Times;Serif" w:hAnsi="Times New Roman;Times;Serif"/>
                <w:b w:val="false"/>
                <w:i w:val="false"/>
                <w:caps w:val="false"/>
                <w:smallCaps w:val="false"/>
                <w:sz w:val="20"/>
              </w:rPr>
              <w:t>” means that certain Sixth Amendment to Term Loan, Guarantee and Security Agreement entered into as of October, 20, 2025 by and among the Borrower, Lenders, the Agent and the other parties party thereto.</w:t>
            </w:r>
          </w:p>
        </w:tc>
      </w:tr>
    </w:tbl>
    <w:p>
      <w:pPr>
        <w:pStyle w:val="TextBody"/>
        <w:bidi w:val="0"/>
        <w:spacing w:before="0" w:after="0"/>
        <w:ind w:left="1800" w:right="0" w:hanging="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23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0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Sixth Amendment Effective Date</w:t>
            </w:r>
            <w:r>
              <w:rPr>
                <w:rFonts w:ascii="Times New Roman;Times;Serif" w:hAnsi="Times New Roman;Times;Serif"/>
                <w:b w:val="false"/>
                <w:i w:val="false"/>
                <w:caps w:val="false"/>
                <w:smallCaps w:val="false"/>
                <w:sz w:val="20"/>
              </w:rPr>
              <w:t>” means October, 20, 2025.</w:t>
            </w:r>
          </w:p>
        </w:tc>
      </w:tr>
    </w:tbl>
    <w:p>
      <w:pPr>
        <w:pStyle w:val="TextBody"/>
        <w:bidi w:val="0"/>
        <w:spacing w:before="0" w:after="0"/>
        <w:ind w:left="72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4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8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Sixth Amendment Series B Preferred Equity</w:t>
            </w:r>
            <w:r>
              <w:rPr>
                <w:rFonts w:ascii="Times New Roman;Times;Serif" w:hAnsi="Times New Roman;Times;Serif"/>
                <w:b w:val="false"/>
                <w:i w:val="false"/>
                <w:caps w:val="false"/>
                <w:smallCaps w:val="false"/>
                <w:sz w:val="20"/>
              </w:rPr>
              <w:t>” shall have the meaning as set forth in the Sixth Amendment.</w:t>
            </w:r>
          </w:p>
        </w:tc>
      </w:tr>
    </w:tbl>
    <w:p>
      <w:pPr>
        <w:pStyle w:val="TextBody"/>
        <w:bidi w:val="0"/>
        <w:spacing w:before="0" w:after="0"/>
        <w:ind w:left="0" w:right="0" w:hanging="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425"/>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defined terms shall be amended and restated in its entirety as follows:</w:t>
            </w:r>
          </w:p>
        </w:tc>
      </w:tr>
    </w:tbl>
    <w:p>
      <w:pPr>
        <w:pStyle w:val="TextBody"/>
        <w:bidi w:val="0"/>
        <w:spacing w:before="0" w:after="0"/>
        <w:ind w:left="144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23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5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for any of the Term Loans means:</w:t>
            </w:r>
          </w:p>
        </w:tc>
      </w:tr>
    </w:tbl>
    <w:p>
      <w:pPr>
        <w:pStyle w:val="TextBody"/>
        <w:bidi w:val="0"/>
        <w:spacing w:before="0" w:after="0"/>
        <w:ind w:left="144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20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Sixth Amendment Effective Date:</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period from the Closing Date until but excluding April 1, 2023, a per annum rate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to 13.5%, of which 6.50% shall be paid-in-kind.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Thereafter, on a quarterly basis, effective as of the first Business Day of the Fiscal Quarter following receipt by Agent of the Compliance Certificate and Credit Parties’ quarterly financial statements required to be delivered under this Agreement for the previous Fiscal Quarter (each day of such delivery, a “Delivery Date”) commencing with the Fiscal Quarter ending December 31, 2022, the Applicable Margin (and PIK Rate in the case of any Payment Date occurring on or prior to October 1, 2024) for the Term Loans shall be adjusted, if necessary, to the applicable percent per annum set forth in the pricing table set forth below corresponding to the Senior Leverage Ratio for the trailing twelve (12) Fiscal Month period ending on the last day of the most recently completed Fiscal Quarter prior to the applicable Delivery Date (each such period, a “Calculation Period”):</w:t>
      </w:r>
    </w:p>
    <w:p>
      <w:pPr>
        <w:pStyle w:val="TextBody"/>
        <w:bidi w:val="0"/>
        <w:spacing w:before="0" w:after="0"/>
        <w:ind w:left="2160" w:right="0" w:hanging="0"/>
        <w:jc w:val="both"/>
        <w:rPr>
          <w:caps w:val="false"/>
          <w:smallCaps w:val="false"/>
        </w:rPr>
      </w:pPr>
      <w:r>
        <w:rPr>
          <w:caps w:val="false"/>
          <w:smallCaps w:val="false"/>
        </w:rPr>
        <w:t> </w:t>
      </w:r>
    </w:p>
    <w:tbl>
      <w:tblPr>
        <w:tblW w:w="8408" w:type="dxa"/>
        <w:jc w:val="left"/>
        <w:tblInd w:w="0" w:type="dxa"/>
        <w:tblLayout w:type="fixed"/>
        <w:tblCellMar>
          <w:top w:w="0" w:type="dxa"/>
          <w:left w:w="0" w:type="dxa"/>
          <w:bottom w:w="28" w:type="dxa"/>
          <w:right w:w="0" w:type="dxa"/>
        </w:tblCellMar>
      </w:tblPr>
      <w:tblGrid>
        <w:gridCol w:w="4205"/>
        <w:gridCol w:w="60"/>
        <w:gridCol w:w="274"/>
        <w:gridCol w:w="1740"/>
        <w:gridCol w:w="185"/>
        <w:gridCol w:w="60"/>
        <w:gridCol w:w="300"/>
        <w:gridCol w:w="1384"/>
        <w:gridCol w:w="200"/>
      </w:tblGrid>
      <w:tr>
        <w:trPr/>
        <w:tc>
          <w:tcPr>
            <w:tcW w:w="42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LEVERAGE RATIO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MARGIN</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PIK Rate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or equal to 5.00:1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0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5.00:1 and greater than or equal to 4.00:1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0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4.00:1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21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Credit Parties shall fail to timely deliver the Compliance Certificate, financial statements, certificates and/or other information required under this Agreement, the Applicable Margin shall be conclusively presumed to equal the highest Applicable Margin specified in the pricing table set forth above for the period commencing on the required delivery date of such financial statements, certificates and/or other information until the delivery thereof. In the event that (a) any financial statement delivered pursuant to Section 4.1 or Compliance Certificate delivered pursuant to this Agreement is shown to be inaccurate and (b) such inaccuracy if corrected, would have led to the application of a higher Applicable Margin for any period (an “Applicable Period”) than the Applicable Margin applied for such Applicable Period, then (i) Borrower shall promptly (but in any event within two (2) Business Days after such inaccuracy has been shown) deliver to Agent a corrected Compliance Certificate for such Applicable Period, (ii) the Applicable Margin for such Applicable Period shall be the Applicable Margin corresponding to the information disclosed on the corrected Compliance Certificate, and (iii) Borrower shall immediately pay to Agent the accrued additional interest owing as a result of the application of such increased Applicable Margin for such Applicable Period, which payment shall be promptly applied by Agent. In the event that (x) any financial statement delivered pursuant to Section 4.1 or Compliance Certificate delivered pursuant to this Agreement is shown to be inaccurate and (x) such inaccuracy if corrected, would have led to the application of a lower Applicable Margin for any Applicable Period than the Applicable Margin applied for such Applicable Period, then (I) Borrower shall promptly (but in any event within two (2) Business Days after such inaccuracy has been shown) deliver to Agent a corrected Compliance Certificate for such Applicable Period, (II) the Applicable Margin for such Applicable Period shall be the Applicable Margin corresponding to the information disclosed on the corrected Compliance Certificate, and (III) Borrower shall receive a credit toward any future interest payments in an amount equal to the excess interest paid by Borrower as a result of the application of such lower Applicable Margin, provided that the corrected Compliance Certificate is delivered to Agent within thirty (30) days of the date originally due under Section 4.1 and after such thirty (30) day period, no credit shall be given. The rights of Agent set forth above shall survive the Termination Date and are in addition to rights of Agent and Lenders under this Agreement or any other Loan Document.</w:t>
      </w:r>
    </w:p>
    <w:p>
      <w:pPr>
        <w:pStyle w:val="TextBody"/>
        <w:bidi w:val="0"/>
        <w:spacing w:before="0" w:after="0"/>
        <w:ind w:left="144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6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Sixth Amendment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period starting with the Sixth Amendment Effective Date commencing with the Fiscal Month ending December 31, 2025, a per annum rate equal to 12.0%, of which 0.0% shall be paid-in-kind.</w:t>
            </w:r>
          </w:p>
        </w:tc>
      </w:tr>
    </w:tbl>
    <w:p>
      <w:pPr>
        <w:pStyle w:val="TextBody"/>
        <w:bidi w:val="0"/>
        <w:spacing w:before="0" w:after="0"/>
        <w:ind w:left="144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1.1(a) shall be amended and restated in its entirety as follows: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severally, but not jointly, upon the terms and subject to the conditions of this Agreement, to make to the Borrower an advance (each, a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on the Closing Date in the principal amount equal to such Lender’s Term Loan Commitment. If requested by a Lender, such Lender’s Term Loan shall be evidenced by a promissory note (each a “</w:t>
      </w:r>
      <w:r>
        <w:rPr>
          <w:rFonts w:ascii="Times New Roman;Times;Serif" w:hAnsi="Times New Roman;Times;Serif"/>
          <w:b/>
          <w:i w:val="false"/>
          <w:caps w:val="false"/>
          <w:smallCaps w:val="false"/>
          <w:sz w:val="20"/>
        </w:rPr>
        <w:t>Term Note</w:t>
      </w:r>
      <w:r>
        <w:rPr>
          <w:rFonts w:ascii="Times New Roman;Times;Serif" w:hAnsi="Times New Roman;Times;Serif"/>
          <w:b w:val="false"/>
          <w:i w:val="false"/>
          <w:caps w:val="false"/>
          <w:smallCaps w:val="false"/>
          <w:sz w:val="20"/>
        </w:rPr>
        <w:t>”) duly executed and delivered by the Borrower prior to the funding of such Term Loan in the form attached hereto as Exhibit B, and be repayable in accordance with the terms of such Term Note and this Agreement. Borrower shall repay the outstanding principal balance of the Loan to the Agent for the pro rata benefit of the Lenders in consecutive monthly installments in an amount equal to 0.4167% of the principal amount of Loans outstanding at such time, due and payable on the first Business Day of each Fiscal Month beginning with the first full Fiscal Month following the Sixth Amendment Effective Date (each such date, a “</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and a payment of the entire outstanding balance of the Loan on the Stated Maturity Date. Once repaid, any amount borrowed under the Term Loan Commitment of each Lender may not be re-borrowed. Subject to Section 1.2, all amounts owed hereunder with respect to the Term Loans shall be paid in full no later than the Maturity Date.</w:t>
      </w:r>
    </w:p>
    <w:p>
      <w:pPr>
        <w:pStyle w:val="TextBody"/>
        <w:bidi w:val="0"/>
        <w:spacing w:before="0" w:after="0"/>
        <w:ind w:left="10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1.5(a) shall be amended and restated in its entirety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balance of the Loan shall accrue interest at a per annum rate equal to the Applicable Margin. All computations of interest on the Loan shall be made by Agent on the basis of a three hundred and sixty (360) day year, in each case for the actual number of days occurring in the period for which such interest is payable. In no event will Agent charge interest at a rate that exceeds the Maximum Lawful Rate. For the avoidance of doubt, no date of payment shall be included in any interest computation provided such payment is received on or before 1:00 p.m. New York City time.</w:t>
      </w:r>
    </w:p>
    <w:p>
      <w:pPr>
        <w:pStyle w:val="TextBody"/>
        <w:bidi w:val="0"/>
        <w:spacing w:before="0" w:after="0"/>
        <w:ind w:left="108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1.5(b) shall be amended and restated in its entirety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pay interest to Agent for the pro rata benefit of the Lenders on the outstanding balance of the Loan on a monthly basis. Interest shall be payable on the balance of the Loan (i) monthly in arrears and shall be due on the first Business Day of each Fiscal Month beginning with the Fiscal Month ending December 31, 2025, (ii) on the Maturity Date of the Loan, and (iii) if any interest accrues or remains payable after the Maturity Date of the Loan, upon demand by Agent.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Payment Date from the Sixth Amendment Effective Date interest shall be payable in cash at a rate per annum equal to the Applicable Margin.</w:t>
      </w:r>
    </w:p>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4.2(a) shall be amended and restated in its entirety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Maximum Senior Leverage Ratio. Commencing with the Fiscal Quarter ending March 31, 2027, the Credit Parties shall not permit the Senior Leverage Ratio, as of the last day of any Fiscal Quarter, to exceed 3.00 to 1.00.</w:t>
      </w:r>
    </w:p>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4.2(b) shall be amended and restated in its entirety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Liquidity. The Credit Parties shall not permit their Liquidity (determined on a consolidated basis) to be less than $5,000,000 as of the last day of each Fiscal Month (commencing with the Fiscal Month ending October 31, 2025).</w:t>
      </w:r>
    </w:p>
    <w:p>
      <w:pPr>
        <w:pStyle w:val="TextBody"/>
        <w:bidi w:val="0"/>
        <w:spacing w:before="0" w:after="0"/>
        <w:ind w:left="108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4.2(c) shall be amended and restated in its entirety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Fixed Charge Coverage Ratio. If Liquidity is less than $15,000,000 as of the last day of any Fiscal Quarter (commencing with the Fiscal Quarter ending March 31, 2027), then the Credit Parties shall not permit the Fixed Charge Coverage Ratio for the trailing four (4) Fiscal Quarter period ending on the last day of any such Fiscal Quarter to be less than 1.15:1.00.</w:t>
      </w:r>
    </w:p>
    <w:p>
      <w:pPr>
        <w:pStyle w:val="TextBody"/>
        <w:bidi w:val="0"/>
        <w:spacing w:before="0" w:after="0"/>
        <w:ind w:left="108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4.2(d) shall be amended and restated in its entirety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Maximum Capital Expenditure.</w:t>
      </w:r>
    </w:p>
    <w:p>
      <w:pPr>
        <w:pStyle w:val="TextBody"/>
        <w:bidi w:val="0"/>
        <w:spacing w:before="0" w:after="0"/>
        <w:ind w:left="3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shall not make and shall not cause or permit their Subsidiaries to make Capital Expenditures in any Fiscal Year in excess of $5,000,000.</w:t>
            </w:r>
          </w:p>
        </w:tc>
      </w:tr>
    </w:tbl>
    <w:p>
      <w:pPr>
        <w:pStyle w:val="TextBody"/>
        <w:bidi w:val="0"/>
        <w:spacing w:before="0" w:after="0"/>
        <w:ind w:left="1800"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60"/>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the Required Lenders may approve, in their sole discretion, additional Capital Expenditures by providing prior written consent.</w:t>
      </w:r>
    </w:p>
    <w:p>
      <w:pPr>
        <w:pStyle w:val="TextBody"/>
        <w:bidi w:val="0"/>
        <w:spacing w:before="0" w:after="0"/>
        <w:ind w:left="10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27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shall be amended by adding the following clause in the appropriate alphabetical order: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From and after the Exchange Date, Borrower shall have failed to pay in full in cash the Cash Dividend payable in respect of the Sixth Amendment Series B Preferred Equity (and as defined in the certificate of designation with respect to the Sixth Amendment Series B Preferred Equity) within three (3) Business Days after such Cash Dividend has become payable in accordance with the certificate of designation with respect to the Sixth Amendment Series B Preferred Equity.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as of the date first written above (the “</w:t>
            </w:r>
            <w:r>
              <w:rPr>
                <w:rFonts w:ascii="Times New Roman;Times;Serif" w:hAnsi="Times New Roman;Times;Serif"/>
                <w:b w:val="false"/>
                <w:i w:val="false"/>
                <w:caps w:val="false"/>
                <w:smallCaps w:val="false"/>
                <w:sz w:val="20"/>
                <w:u w:val="single"/>
              </w:rPr>
              <w:t>Sixth Amendment Effective Date</w:t>
            </w:r>
            <w:r>
              <w:rPr>
                <w:rFonts w:ascii="Times New Roman;Times;Serif" w:hAnsi="Times New Roman;Times;Serif"/>
                <w:b w:val="false"/>
                <w:i w:val="false"/>
                <w:caps w:val="false"/>
                <w:smallCaps w:val="false"/>
                <w:sz w:val="20"/>
              </w:rPr>
              <w:t>”) upon the satisfaction of the below:</w:t>
            </w:r>
          </w:p>
        </w:tc>
      </w:tr>
    </w:tbl>
    <w:p>
      <w:pPr>
        <w:pStyle w:val="TextBody"/>
        <w:bidi w:val="0"/>
        <w:spacing w:before="0" w:after="0"/>
        <w:ind w:left="720" w:right="0" w:hanging="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7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of this Amendment shall have been executed and delivered by the Credit Parties, the Agent and the Lenders;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certain Sixth Amendment Fee Letter, dated as of the date hereof, shall have been executed and delivered by the Credit Parties and the Lenders;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the legal fees and expenses of Proskauer Rose LLP, counsel for the Lenders, incurred in connection with the preparation, negotiation, execution and delivery of this Amendment and other services rendered in connection with the Loan Agreement prior to the date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w:t>
            </w:r>
          </w:p>
        </w:tc>
      </w:tr>
    </w:tbl>
    <w:p>
      <w:pPr>
        <w:pStyle w:val="TextBody"/>
        <w:bidi w:val="0"/>
        <w:spacing w:before="0" w:after="0"/>
        <w:ind w:left="108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7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the Agent’s outstanding annual agency fee;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all reasonable and documented out-of-pocket expenses incurred by the Lenders party hereto and the Agent owing and payable pursuant to Section 10.2 of the Loan Agreement and all accrued and unpaid fees, owing and payable to the Lenders party hereto and the Agent shall have been paid to the extent invoiced and delivered to the Borrower on or before the Sixth Amendment Effective Date; and</w:t>
            </w:r>
          </w:p>
        </w:tc>
      </w:tr>
    </w:tbl>
    <w:p>
      <w:pPr>
        <w:pStyle w:val="TextBody"/>
        <w:bidi w:val="0"/>
        <w:spacing w:before="0" w:after="0"/>
        <w:ind w:left="72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7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Prepayment shall have been made by the Borrower.</w:t>
            </w:r>
          </w:p>
        </w:tc>
      </w:tr>
    </w:tbl>
    <w:p>
      <w:pPr>
        <w:pStyle w:val="TextBody"/>
        <w:bidi w:val="0"/>
        <w:spacing w:before="0" w:after="0"/>
        <w:ind w:left="0" w:right="0" w:firstLine="72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(it being understood and agreed that any representation or warranty which by its terms is made as of a specified date will be true and correct in all material respects only as of such specified date, and that any representation or warranty which is subject to any materiality qualifier shall be true and correct in all respects subject to such materiality qualifier).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no Default or Event of Default will have occurred and be continuing on and as of the Sixth Amendment Effective Date.</w:t>
            </w:r>
          </w:p>
        </w:tc>
      </w:tr>
    </w:tbl>
    <w:p>
      <w:pPr>
        <w:pStyle w:val="TextBody"/>
        <w:bidi w:val="0"/>
        <w:spacing w:before="0" w:after="0"/>
        <w:ind w:left="0" w:right="0" w:firstLine="72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designated a Loan Document by the Agent.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Full Force and Effect</w:t>
            </w:r>
            <w:r>
              <w:rPr>
                <w:rFonts w:ascii="Times New Roman;Times;Serif" w:hAnsi="Times New Roman;Times;Serif"/>
                <w:b w:val="false"/>
                <w:i w:val="false"/>
                <w:caps w:val="false"/>
                <w:smallCaps w:val="false"/>
                <w:sz w:val="20"/>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3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CHOICE OF LAW</w:t>
            </w:r>
            <w:r>
              <w:rPr>
                <w:rFonts w:ascii="Times New Roman;Times;Serif" w:hAnsi="Times New Roman;Times;Serif"/>
                <w:b/>
                <w:i w:val="false"/>
                <w:caps w:val="false"/>
                <w:smallCaps w:val="false"/>
                <w:sz w:val="20"/>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Amendment are for the purposes of reference only and shall not affect the construction of this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 In consideration of the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Times;Serif" w:hAnsi="Times New Roman;Times;Serif"/>
                <w:b w:val="false"/>
                <w:i w:val="false"/>
                <w:caps w:val="false"/>
                <w:smallCaps w:val="false"/>
                <w:sz w:val="20"/>
                <w:u w:val="single"/>
              </w:rPr>
              <w:t>Released Person</w:t>
            </w:r>
            <w:r>
              <w:rPr>
                <w:rFonts w:ascii="Times New Roman;Times;Serif" w:hAnsi="Times New Roman;Times;Serif"/>
                <w:b w:val="false"/>
                <w:i w:val="false"/>
                <w:caps w:val="false"/>
                <w:smallCaps w:val="false"/>
                <w:sz w:val="20"/>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Limited Waiver</w:t>
            </w:r>
            <w:r>
              <w:rPr>
                <w:rFonts w:ascii="Times New Roman;Times;Serif" w:hAnsi="Times New Roman;Times;Serif"/>
                <w:b w:val="false"/>
                <w:i w:val="false"/>
                <w:caps w:val="false"/>
                <w:smallCaps w:val="false"/>
                <w:sz w:val="20"/>
              </w:rPr>
              <w:t>. The foregoing amendments are limited to the specific instances for which they are expressly given, and shall not (a) constitute a waiver, modification or alteration of the terms, conditions or covenants of the Loan Agreement or any other Loan Document, (b) constitute a waiver, release or limitation upon the exercise by the Agent or the Lenders of any of their respective rights, legal or equitable under the Loan Agreement or any other Loan Document (all such rights and remedies being expressly reserved by the Agent and the Lenders save and except those expressly waived herein) or (c) establish a custom or course of dealing or conduct between the Lenders, on the one hand, and the Credit Parties on the other hand. Except to the extent otherwise expressly provided herein, the Loan Agreement and each of the other Loan Documents shall remain in full force and effect in accordance with their respective terms.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Each of the Lenders, by their execution of this Amendment, hereby directs the Agent to execute this Amendment. In doing so, the Agent shall be entitled to all of its rights, benefits and protections set forth in the Loan Agreement. Upon receipt of written notice that the Exchange Date has occurred pursuant to Section 2.2 of this Amendment, the Lenders hereby direct the Agent to update the Register to reflect a reduction of the principal amount of the Term Loans on a pro rata basis as a result of the Sixth Amendment Preferred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by their duly authorized officers, all as of the date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265"/>
        <w:gridCol w:w="592"/>
        <w:gridCol w:w="2172"/>
      </w:tblGrid>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BORROWER</w:t>
            </w:r>
            <w:r>
              <w:rPr>
                <w:rFonts w:ascii="Times New Roman;Times;Serif" w:hAnsi="Times New Roman;Times;Serif"/>
                <w:b/>
                <w:i w:val="false"/>
                <w:caps w:val="false"/>
                <w:smallCaps w:val="false"/>
                <w:sz w:val="20"/>
              </w:rPr>
              <w:t>:</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CORP.</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92" w:type="dxa"/>
            <w:tcBorders/>
            <w:vAlign w:val="center"/>
          </w:tcPr>
          <w:p>
            <w:pPr>
              <w:pStyle w:val="TableContents"/>
              <w:bidi w:val="0"/>
              <w:spacing w:before="0" w:after="283"/>
              <w:jc w:val="left"/>
              <w:rPr>
                <w:caps w:val="false"/>
                <w:smallCaps w:val="false"/>
              </w:rPr>
            </w:pPr>
            <w:r>
              <w:rPr>
                <w:caps w:val="false"/>
                <w:smallCaps w:val="false"/>
              </w:rPr>
              <w:t> </w:t>
            </w:r>
          </w:p>
        </w:tc>
        <w:tc>
          <w:tcPr>
            <w:tcW w:w="2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Denis Phares</w:t>
            </w:r>
            <w:r>
              <w:rPr>
                <w:rFonts w:ascii="Times New Roman;Times;Serif" w:hAnsi="Times New Roman;Times;Serif"/>
                <w:b w:val="false"/>
                <w:i w:val="false"/>
                <w:caps w:val="false"/>
                <w:smallCaps w:val="false"/>
                <w:sz w:val="20"/>
              </w:rPr>
              <w:t xml:space="preserve">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Denis Phares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1490"/>
        <w:gridCol w:w="958"/>
        <w:gridCol w:w="3516"/>
      </w:tblGrid>
      <w:tr>
        <w:trPr/>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GUARANTORS </w:t>
            </w:r>
            <w:r>
              <w:rPr>
                <w:rFonts w:ascii="Times New Roman;Times;Serif" w:hAnsi="Times New Roman;Times;Serif"/>
                <w:b/>
                <w:i w:val="false"/>
                <w:caps w:val="false"/>
                <w:smallCaps w:val="false"/>
                <w:sz w:val="20"/>
              </w:rPr>
              <w:t>:</w:t>
            </w:r>
          </w:p>
        </w:tc>
        <w:tc>
          <w:tcPr>
            <w:tcW w:w="4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(F/K/A</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4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CHARDAN NEXTECH ACQUISITION 2 CORP.)</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caps w:val="false"/>
                <w:smallCaps w:val="false"/>
              </w:rPr>
            </w:pPr>
            <w:r>
              <w:rPr>
                <w:caps w:val="false"/>
                <w:smallCaps w:val="false"/>
              </w:rPr>
              <w:t> </w:t>
            </w:r>
          </w:p>
        </w:tc>
        <w:tc>
          <w:tcPr>
            <w:tcW w:w="35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Denis Phares</w:t>
            </w:r>
            <w:r>
              <w:rPr>
                <w:rFonts w:ascii="Times New Roman;Times;Serif" w:hAnsi="Times New Roman;Times;Serif"/>
                <w:b w:val="false"/>
                <w:i w:val="false"/>
                <w:caps w:val="false"/>
                <w:smallCaps w:val="false"/>
                <w:sz w:val="20"/>
              </w:rPr>
              <w:t xml:space="preserve"> </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Denis Phares </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861"/>
        <w:gridCol w:w="31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BATTLE BORN BATTERY PRODUCTS,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31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Denis Phares</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Denis Phares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99" w:type="dxa"/>
        <w:jc w:val="left"/>
        <w:tblInd w:w="0" w:type="dxa"/>
        <w:tblLayout w:type="fixed"/>
        <w:tblCellMar>
          <w:top w:w="0" w:type="dxa"/>
          <w:left w:w="0" w:type="dxa"/>
          <w:bottom w:w="0" w:type="dxa"/>
          <w:right w:w="0" w:type="dxa"/>
        </w:tblCellMar>
      </w:tblPr>
      <w:tblGrid>
        <w:gridCol w:w="785"/>
        <w:gridCol w:w="593"/>
        <w:gridCol w:w="1721"/>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AGENT:</w:t>
            </w:r>
          </w:p>
        </w:tc>
        <w:tc>
          <w:tcPr>
            <w:tcW w:w="23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 DOMUS (US) LLC</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caps w:val="false"/>
                <w:smallCaps w:val="false"/>
              </w:rPr>
            </w:pPr>
            <w:r>
              <w:rPr>
                <w:caps w:val="false"/>
                <w:smallCaps w:val="false"/>
              </w:rPr>
              <w:t> </w:t>
            </w:r>
          </w:p>
        </w:tc>
        <w:tc>
          <w:tcPr>
            <w:tcW w:w="1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Pinju Chiu</w:t>
            </w:r>
            <w:r>
              <w:rPr>
                <w:rFonts w:ascii="Times New Roman;Times;Serif" w:hAnsi="Times New Roman;Times;Serif"/>
                <w:b w:val="false"/>
                <w:i w:val="false"/>
                <w:caps w:val="false"/>
                <w:smallCaps w:val="false"/>
                <w:sz w:val="20"/>
              </w:rPr>
              <w:t xml:space="preserve">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Pinju Chiu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Associate Counsel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1010"/>
        <w:gridCol w:w="590"/>
        <w:gridCol w:w="4595"/>
      </w:tblGrid>
      <w:tr>
        <w:trPr/>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i w:val="false"/>
                <w:caps w:val="false"/>
                <w:smallCaps w:val="false"/>
                <w:sz w:val="20"/>
              </w:rPr>
              <w:t>:</w:t>
            </w:r>
          </w:p>
        </w:tc>
        <w:tc>
          <w:tcPr>
            <w:tcW w:w="5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IMPACT CREDIT FUND I LP</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Impact Credit Fund I GP LLC, its general partner</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Harry Giovani</w:t>
            </w:r>
            <w:r>
              <w:rPr>
                <w:rFonts w:ascii="Times New Roman;Times;Serif" w:hAnsi="Times New Roman;Times;Serif"/>
                <w:b w:val="false"/>
                <w:i w:val="false"/>
                <w:caps w:val="false"/>
                <w:smallCaps w:val="false"/>
                <w:sz w:val="20"/>
              </w:rPr>
              <w:t xml:space="preserve">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Harry Giovani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Partner </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590"/>
        <w:gridCol w:w="4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IMPACT CREDIT FUND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Impact Credit Fund II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Harry Giovani</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Harry Giovani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Partner </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590"/>
        <w:gridCol w:w="3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BP HOLDINGS XVII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BPC AS Cayman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BPC AS LLC, its 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Michael Haynes</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Haynes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Portfolio Manager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Prepayment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Schedule of Term Loan Commitments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Cancellation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5211</Words>
  <Characters>27037</Characters>
  <CharactersWithSpaces>32276</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