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3690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622 - 3448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622-3448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 Skolnick,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262-6700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21, 2022,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 Registration Statement on Form S-1 (File No. 333-267983), covering the resale of up to 21,512,027 shares of its common stock, par value $0.0001 per share, as amended by Amendment No. 1 on December 9, 2022, which was subsequently declared effective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30, 2022, and as further amended by the Post-Effective Amendment No. 1 on September 25, 2023, which was subsequently declared effective by the SEC on September 28, 2023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Post-Effective Amendment No. 2 (this “</w:t>
      </w:r>
      <w:r>
        <w:rPr>
          <w:rFonts w:ascii="Times New Roman" w:cs="Times New Roman" w:eastAsia="Times New Roman" w:hAnsi="Times New Roman"/>
          <w:sz w:val="18"/>
          <w:szCs w:val="18"/>
          <w:b w:val="1"/>
          <w:bCs w:val="1"/>
          <w:color w:val="auto"/>
        </w:rPr>
        <w:t>Post-Effective Amendment No. 2</w:t>
      </w:r>
      <w:r>
        <w:rPr>
          <w:rFonts w:ascii="Times New Roman" w:cs="Times New Roman" w:eastAsia="Times New Roman" w:hAnsi="Times New Roman"/>
          <w:sz w:val="18"/>
          <w:szCs w:val="18"/>
          <w:color w:val="auto"/>
        </w:rPr>
        <w:t>”) to the Registration Statement is being filed to (i) include information contained in the registrant’s Annual Report on Form 10-K for the fiscal year ended December 31, 2023, which was filed with the SEC on April 16, 2024, as amended by Amendment No. 1 to the Annual Report on Form 10-K/A, which was filed with the SEC on April 19, 2024 (as amended,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and (ii) update certain other information in the Registration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No additional securities are being registered under this Post-Effective Amendment No. 2.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 20,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154305</wp:posOffset>
            </wp:positionV>
            <wp:extent cx="174879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21,512,027 Shares of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potential offer and resale, from time to time, of up to 21,512,027 shares of our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the selling stockholder, Chardan Capital Markets LLC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common stock to which this prospectus relates includes shares that have been or may be issued to CCM pursuant to a purchase agreement between us and CCM, dated October 7, 2022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 and, as amended and restated on May 20, 2024, the “</w:t>
      </w:r>
      <w:r>
        <w:rPr>
          <w:rFonts w:ascii="Times New Roman" w:cs="Times New Roman" w:eastAsia="Times New Roman" w:hAnsi="Times New Roman"/>
          <w:sz w:val="18"/>
          <w:szCs w:val="18"/>
          <w:b w:val="1"/>
          <w:bCs w:val="1"/>
          <w:color w:val="auto"/>
        </w:rPr>
        <w:t>A&amp;R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as may be further amended, supplemented, and restated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establishing an equity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CCM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ChEF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 (Conflicts of Interest)</w:t>
      </w:r>
      <w:r>
        <w:rPr>
          <w:rFonts w:ascii="Times New Roman" w:cs="Times New Roman" w:eastAsia="Times New Roman" w:hAnsi="Times New Roman"/>
          <w:sz w:val="18"/>
          <w:szCs w:val="18"/>
          <w:color w:val="auto"/>
        </w:rPr>
        <w:t>” for more information about how CCM may sell the shares of common stock being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prospectus and for a description of compensation payable to CCM.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104 for more information.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filed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May 17, 2024, the closing price of our common stock was $1.12. As of May 16, 2024, the closing price of our public warrants was $0.0498.</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applicable federal securities laws and will be subject to reduced public company reporting requirements.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9 OF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9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INTRODUCTORY NOTE</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60" w:type="dxa"/>
            <w:vAlign w:val="bottom"/>
            <w:tcBorders>
              <w:bottom w:val="single" w:sz="8" w:color="CCEEFF"/>
            </w:tcBorders>
            <w:gridSpan w:val="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580" w:type="dxa"/>
            <w:vAlign w:val="bottom"/>
            <w:tcBorders>
              <w:top w:val="single" w:sz="8" w:color="CCEEFF"/>
            </w:tcBorders>
            <w:gridSpan w:val="19"/>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280" w:type="dxa"/>
            <w:vAlign w:val="bottom"/>
            <w:tcBorders>
              <w:top w:val="single" w:sz="8" w:color="CCEEFF"/>
            </w:tcBorders>
            <w:gridSpan w:val="16"/>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39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900" w:type="dxa"/>
            <w:vAlign w:val="bottom"/>
            <w:tcBorders>
              <w:top w:val="single" w:sz="8" w:color="CCEEFF"/>
            </w:tcBorders>
            <w:gridSpan w:val="7"/>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94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38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7740" w:type="dxa"/>
            <w:vAlign w:val="bottom"/>
            <w:tcBorders>
              <w:bottom w:val="single" w:sz="8" w:color="CCEEFF"/>
            </w:tcBorders>
            <w:gridSpan w:val="13"/>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100</w:t>
            </w:r>
          </w:p>
        </w:tc>
      </w:tr>
      <w:tr>
        <w:trPr>
          <w:trHeight w:val="176"/>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CHEF EQUITY FACILITY</w:t>
            </w:r>
          </w:p>
        </w:tc>
        <w:tc>
          <w:tcPr>
            <w:tcW w:w="7820" w:type="dxa"/>
            <w:vAlign w:val="bottom"/>
            <w:tcBorders>
              <w:bottom w:val="single" w:sz="8" w:color="CCEEFF"/>
            </w:tcBorders>
            <w:gridSpan w:val="1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5"/>
        </w:trPr>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138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38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400" w:type="dxa"/>
            <w:vAlign w:val="bottom"/>
            <w:tcBorders>
              <w:top w:val="single" w:sz="8" w:color="CCEEFF"/>
            </w:tcBorders>
            <w:gridSpan w:val="17"/>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8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176"/>
        </w:trPr>
        <w:tc>
          <w:tcPr>
            <w:tcW w:w="38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040" w:type="dxa"/>
            <w:vAlign w:val="bottom"/>
            <w:tcBorders>
              <w:top w:val="single" w:sz="8" w:color="CCEEFF"/>
            </w:tcBorders>
            <w:gridSpan w:val="8"/>
          </w:tcPr>
          <w:p>
            <w:pPr>
              <w:spacing w:after="0"/>
              <w:rPr>
                <w:sz w:val="15"/>
                <w:szCs w:val="15"/>
                <w:color w:val="auto"/>
              </w:rPr>
            </w:pPr>
          </w:p>
        </w:tc>
        <w:tc>
          <w:tcPr>
            <w:tcW w:w="1380" w:type="dxa"/>
            <w:vAlign w:val="bottom"/>
            <w:tcBorders>
              <w:top w:val="single" w:sz="8" w:color="CCEEFF"/>
            </w:tcBorders>
          </w:tcPr>
          <w:p>
            <w:pPr>
              <w:ind w:left="9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 this prospectus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(ii) 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 On March 31, 2023, Dragonfly was reincorporated under the laws of the State of Nevada pursuant to a reincorporation by conversion.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 issued at Closing in connection with the Term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means the 457,142 shares of common stock issued upon exercise of the $10 Warrants.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the articles of incorporation of Dragonfly, in effect as of the date of this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Nevada corporation.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means the Nevada Revised Statutes.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purchase shares of Dragonfly common stock with an exercise price of $0.01 per share (i) issued in connection with the Term Loan to initially acquire 2,593,056 shares of common stock issued at Closing, (ii) issued pursuant to certain anti-dilution provision set forth within the form of Penny Warrant, and (iii) issued in connection with certain waivers received from the Term Loan Lenders and Administrative Agent.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two manufacturing facilities.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710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SUMMARY OF THE PROSPECTUS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solar, oil and gas,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2020, we have sold over 300,000 batteries. For the quarters ended March 31, 2024, and March 31, 2023, we sold 11,098 and 20,331 batteries, respectively, and had $12.5 million and $18.8 million in net sales, respectively. We have a dual-brand strategy for battery products,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direct-to-consumers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cells incorporated into our batteries from a limited number of carefully selected suppliers that can meet our demanding quality standards and with whom we have developed long-term relationships.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 Jones</w:t>
      </w:r>
      <w:r>
        <w:rPr>
          <w:rFonts w:ascii="Times New Roman" w:cs="Times New Roman" w:eastAsia="Times New Roman" w:hAnsi="Times New Roman"/>
          <w:sz w:val="18"/>
          <w:szCs w:val="18"/>
          <w:color w:val="auto"/>
        </w:rPr>
        <w:t>”) and the other parties thereto,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allowing us to include our own alternator regulator in systems that we sell.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we are continuing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613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9. Such risks include, but are not limited to, the following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ind w:left="660" w:hanging="331"/>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jc w:val="both"/>
        <w:ind w:left="66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common stock from CCM at different times will likely pay different prices.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7"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jc w:val="both"/>
        <w:ind w:left="660" w:right="20" w:hanging="331"/>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two manufacturing facility until the construction of our new facility is completed, if at all. If our facilities become inoperable for any reason, or our automation and expansion plans do not yield the desired effects, our ability to produce our products could be negatively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11" w:name="page12"/>
    <w:bookmarkEnd w:id="11"/>
    <w:p>
      <w:pPr>
        <w:ind w:left="66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7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660" w:hanging="331"/>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ind w:left="660" w:hanging="331"/>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time-consuming and could cause us to incur substantial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660" w:hanging="331"/>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the Russia-Ukraine conflict and Hamas’ attack on Israel, could reduce consumer spending and disrupt our supply chain which could negatively affect our results of operations.</w:t>
      </w:r>
    </w:p>
    <w:p>
      <w:pPr>
        <w:ind w:left="660" w:hanging="331"/>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31"/>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ind w:left="660" w:hanging="331"/>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660" w:hanging="331"/>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jc w:val="both"/>
        <w:ind w:left="660" w:hanging="331"/>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660" w:hanging="331"/>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and may be dilutive to existing stockholders.</w:t>
      </w:r>
    </w:p>
    <w:p>
      <w:pPr>
        <w:spacing w:after="0" w:line="27" w:lineRule="exact"/>
        <w:rPr>
          <w:rFonts w:ascii="Times New Roman" w:cs="Times New Roman" w:eastAsia="Times New Roman" w:hAnsi="Times New Roman"/>
          <w:sz w:val="18"/>
          <w:szCs w:val="18"/>
          <w:color w:val="auto"/>
        </w:rPr>
      </w:pPr>
    </w:p>
    <w:p>
      <w:pPr>
        <w:ind w:left="660" w:hanging="331"/>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31" w:right="519" w:bottom="1440" w:gutter="0" w:footer="0" w:header="0"/>
        </w:sectPr>
      </w:pPr>
    </w:p>
    <w:bookmarkStart w:id="12" w:name="page13"/>
    <w:bookmarkEnd w:id="12"/>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offered by CCM as the selling stockholder</w:t>
      </w:r>
    </w:p>
    <w:p>
      <w:pPr>
        <w:spacing w:after="0" w:line="20" w:lineRule="exact"/>
        <w:rPr>
          <w:sz w:val="20"/>
          <w:szCs w:val="20"/>
          <w:color w:val="auto"/>
        </w:rPr>
      </w:pPr>
      <w:r>
        <w:rPr>
          <w:sz w:val="20"/>
          <w:szCs w:val="20"/>
          <w:color w:val="auto"/>
        </w:rPr>
        <w:br w:type="column"/>
      </w:r>
    </w:p>
    <w:p>
      <w:pPr>
        <w:ind w:left="19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-268605</wp:posOffset>
            </wp:positionV>
            <wp:extent cx="7127875" cy="8396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 to 21,512,027 shares of common stock that we may sell to CCM, from time to time in accordance with the Purchase Agreement. All sales under the Purchase Agreement are at our sole discretion.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actual number of our common stock issued and sold to CCM under the ChEF Equity Facility will vary depending on the then current market price of our common stock sold to CCM under the ChEF Equity Facility. As of May 13, 2024, 588,500 shares have been issued pursuant to the Purchase Agreement with CCM for aggregate net proceeds to us of $1,278,566.</w:t>
      </w:r>
    </w:p>
    <w:p>
      <w:pPr>
        <w:spacing w:after="0" w:line="180" w:lineRule="exact"/>
        <w:rPr>
          <w:sz w:val="20"/>
          <w:szCs w:val="20"/>
          <w:color w:val="auto"/>
        </w:rPr>
      </w:pPr>
    </w:p>
    <w:p>
      <w:pPr>
        <w:sectPr>
          <w:pgSz w:w="11900" w:h="16838" w:orient="portrait"/>
          <w:cols w:equalWidth="0" w:num="2">
            <w:col w:w="2400" w:space="460"/>
            <w:col w:w="8060"/>
          </w:cols>
          <w:pgMar w:left="480" w:top="927" w:right="499" w:bottom="1440" w:gutter="0" w:footer="0" w:header="0"/>
        </w:sect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Terms of the Offering</w:t>
      </w:r>
      <w:r>
        <w:rPr>
          <w:sz w:val="20"/>
          <w:szCs w:val="20"/>
          <w:color w:val="auto"/>
        </w:rPr>
        <w:tab/>
      </w:r>
      <w:r>
        <w:rPr>
          <w:rFonts w:ascii="Times New Roman" w:cs="Times New Roman" w:eastAsia="Times New Roman" w:hAnsi="Times New Roman"/>
          <w:sz w:val="18"/>
          <w:szCs w:val="18"/>
          <w:color w:val="auto"/>
        </w:rPr>
        <w:t>CCM will determine when and how it will dispose of any shares of common stock registered under this</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prospectus for resale.</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receive no proceeds from the sale of shares of common stock by CCM in this offering. We may receive</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up to $150 million in gross proceeds from the sale of shares to CCM pursuant to the Purchase Agreement from</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time to time. However, the actual proceeds we receive may be less than $150 million (before being reduced for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discount to CCM) depending on the number of shares of common stock sold and the price at which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shares of common stock are sold. Any proceeds we receive from CCM, we intend to use for the repayment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or a portion of our outstanding debt and for working capital and general corporate purposes. Additionally,</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pending the uses described above, we plan to invest the net proceeds from the sale of shares of common stock</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to CCM, if any, in short- and intermediate-term, interest-bearing obligations, investment-grade instruments,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certificates of deposit or direct or guaranteed obligations of the U.S. government.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03"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CCM, an affiliate of the Sponsor, is a member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and is expected to act as an executing broker for the resale of common stock in this offering. CCM’s receipt of</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all the proceeds from resales of common stock results in a “conflict of interest” under FINRA Rule 5121.</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Accordingly, resales by CCM will be conducted in compliance with FINRA Rule 5121. To the extent that the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common stock does not have a “bona fide public market,” as defined in FINRA Rule 5121, a qualified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independent underwriter will participate in the preparation of, and exercise the usual standards of “due</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diligence” with respect to, the registration statement. LifeSci Capital, LLC has agreed to act as qualified</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independent underwriter for this offering and will receive an upfront fee of $100,000 and, beginning one year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after the date of the Purchase Agreement until its termination, a quarterly fee of $25,000 for doing so, or up to</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$300,000 in the aggregate. Pursuant to FINRA Rule 5121, CCM will not confirm resales of common stock to</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any account over which it exercises discretionary authority without the prior written approval of the customer.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Plan of Distribution (Conflicts of Interest) - Conflicts of Interest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Nasdaq ticker symbol</w:t>
      </w:r>
      <w:r>
        <w:rPr>
          <w:sz w:val="20"/>
          <w:szCs w:val="20"/>
          <w:color w:val="auto"/>
        </w:rPr>
        <w:tab/>
      </w:r>
      <w:r>
        <w:rPr>
          <w:rFonts w:ascii="Times New Roman" w:cs="Times New Roman" w:eastAsia="Times New Roman" w:hAnsi="Times New Roman"/>
          <w:sz w:val="17"/>
          <w:szCs w:val="17"/>
          <w:color w:val="auto"/>
        </w:rPr>
        <w:t>Our common stock is currently listed on the Nasdaq Global Market under the symbol “DFLI”.</w:t>
      </w:r>
    </w:p>
    <w:p>
      <w:pPr>
        <w:spacing w:after="0" w:line="22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Any investment in the securities offered hereby is speculative and involves a high degree of risk. You should</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carefully consider the information set forth under “Risk Factors” and elsewhere in this prospectus.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May 13, 2024, does not give effect to issuances of our common stock, warrants or options to purchase shares of our common stock, or the exercise of warrants or options after such date, and excludes:</w:t>
      </w:r>
    </w:p>
    <w:p>
      <w:pPr>
        <w:spacing w:after="0" w:line="162" w:lineRule="exact"/>
        <w:rPr>
          <w:sz w:val="20"/>
          <w:szCs w:val="20"/>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Earnout Shares reserved for issuance;</w:t>
      </w:r>
    </w:p>
    <w:p>
      <w:pPr>
        <w:spacing w:after="0" w:line="27" w:lineRule="exact"/>
        <w:rPr>
          <w:rFonts w:ascii="Times New Roman" w:cs="Times New Roman" w:eastAsia="Times New Roman" w:hAnsi="Times New Roman"/>
          <w:sz w:val="18"/>
          <w:szCs w:val="18"/>
          <w:color w:val="auto"/>
        </w:rPr>
      </w:pPr>
    </w:p>
    <w:p>
      <w:pPr>
        <w:ind w:left="66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exercise of the private placement warrants that were originally issued in a private placement at the time of the CNTQ IPO;</w:t>
      </w:r>
    </w:p>
    <w:p>
      <w:pPr>
        <w:ind w:left="660" w:right="2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9,422,519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issuable upon exercise of the Public Warrants sold as part of the units in the CNTQ IPO;</w:t>
      </w: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4,434,510 shares of common stock (the “</w:t>
      </w:r>
      <w:r>
        <w:rPr>
          <w:rFonts w:ascii="Times New Roman" w:cs="Times New Roman" w:eastAsia="Times New Roman" w:hAnsi="Times New Roman"/>
          <w:sz w:val="18"/>
          <w:szCs w:val="18"/>
          <w:b w:val="1"/>
          <w:bCs w:val="1"/>
          <w:color w:val="auto"/>
        </w:rPr>
        <w:t>Penny Warrant Shares</w:t>
      </w:r>
      <w:r>
        <w:rPr>
          <w:rFonts w:ascii="Times New Roman" w:cs="Times New Roman" w:eastAsia="Times New Roman" w:hAnsi="Times New Roman"/>
          <w:sz w:val="18"/>
          <w:szCs w:val="18"/>
          <w:color w:val="auto"/>
        </w:rPr>
        <w:t>”) currently issuable upon exercise of the Penny Warrants;</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shares of common stock (the “</w:t>
      </w:r>
      <w:r>
        <w:rPr>
          <w:rFonts w:ascii="Times New Roman" w:cs="Times New Roman" w:eastAsia="Times New Roman" w:hAnsi="Times New Roman"/>
          <w:sz w:val="18"/>
          <w:szCs w:val="18"/>
          <w:b w:val="1"/>
          <w:bCs w:val="1"/>
          <w:color w:val="auto"/>
        </w:rPr>
        <w:t>Investor Warrant Shares</w:t>
      </w:r>
      <w:r>
        <w:rPr>
          <w:rFonts w:ascii="Times New Roman" w:cs="Times New Roman" w:eastAsia="Times New Roman" w:hAnsi="Times New Roman"/>
          <w:sz w:val="18"/>
          <w:szCs w:val="18"/>
          <w:color w:val="auto"/>
        </w:rPr>
        <w:t>”) currently issuable upon exercise of the Investor Warrants issued as part of the June 2023 S-1 Offering;</w:t>
      </w:r>
    </w:p>
    <w:p>
      <w:pPr>
        <w:ind w:left="660" w:hanging="331"/>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shares of common stock (the “</w:t>
      </w:r>
      <w:r>
        <w:rPr>
          <w:rFonts w:ascii="Times New Roman" w:cs="Times New Roman" w:eastAsia="Times New Roman" w:hAnsi="Times New Roman"/>
          <w:sz w:val="18"/>
          <w:szCs w:val="18"/>
          <w:b w:val="1"/>
          <w:bCs w:val="1"/>
          <w:color w:val="auto"/>
        </w:rPr>
        <w:t>Underwriters’ Warrant Shares</w:t>
      </w:r>
      <w:r>
        <w:rPr>
          <w:rFonts w:ascii="Times New Roman" w:cs="Times New Roman" w:eastAsia="Times New Roman" w:hAnsi="Times New Roman"/>
          <w:sz w:val="18"/>
          <w:szCs w:val="18"/>
          <w:color w:val="auto"/>
        </w:rPr>
        <w:t>”) currently issuable upon the exercise of the Underwriters’ Warrants (defined below) issued as part of the June 2023 S-1 Offering;</w:t>
      </w: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2,014,531 shares of common stock underlying outstanding options; and</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2,421,752 shares of common stock underlying outstanding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this prospectus. These risk factors are not exhaustive, and investors are encouraged to perform their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ChEF</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104 for more information regarding the Purchase Agreement and the ChEF Equity Facility. 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CCM for shares of common stock that we may elect to sell to CCM under the ChEF Equity Facility, if any, will fluctuate based on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VWAP Purchase Date (as defined in the Purchase Agreement) for such purchase to exceed $3 million or (c) a number of shares that would equal 20% of the total number of shares of common stock that would count towards VWAP on the applicable VWAP Purchase Date of such purchase. Our inability to access a portion or the full amount available under the ChEF Equity Facility, in the absence of any other financing sources, could have a material adverse effect on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CCM is an affiliate of CNTQ’s Sponsor.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on page 100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 beneficially own, or it would cause the Sponsor and such affiliates to be deemed to beneficially own, more than 7.5% of our common stock.</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shares that we may sell to CCM under the Purchase Agreement will fluctuate based on the price of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market liquidity at the time, sales of such shares may cause the trading price of shares of our common stock to fall.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(as defined herein). The shares being registered for resale into the public markets represent a substantial majority of our outstanding common stock as of May 13, 2024.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 36% of the shares of our common stock outstanding as of May 13, 2024.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Our management team may invest or spend the proceeds from sales of our common stock made pursuant to the Purchase Agreement in ways with which you may not agree or in ways which may not yield a significant return.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the repayment of all or a portion of our outstanding debt and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CCM at different times will likely pay different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demand for our products, including sales to OEM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We may be unable to convert these relationships into meaningful orders or renew these arrangements going forward, which may require us to expend additional cost and management resources to engage other target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medium and heavy-duty trucking, specialty and work vehicles, solar integration, oil and gas, material handling, industrial,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maintain approximately a five-month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two manufacturing facilities until the construction of our new facility is completed, if at all. If our facilities become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We have entered a lease for a 390,240 square foot facility that is currently under construction, but is expected to be completed in the second half of 2024; however, there is no guarantee this will be completed or that we will be able to effectively utilize the new space.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LFP batteries use lithium iron phosphate (“</w:t>
      </w:r>
      <w:r>
        <w:rPr>
          <w:rFonts w:ascii="Times New Roman" w:cs="Times New Roman" w:eastAsia="Times New Roman" w:hAnsi="Times New Roman"/>
          <w:sz w:val="18"/>
          <w:szCs w:val="18"/>
          <w:b w:val="1"/>
          <w:bCs w:val="1"/>
          <w:color w:val="auto"/>
        </w:rPr>
        <w:t>LiFePO4</w:t>
      </w:r>
      <w:r>
        <w:rPr>
          <w:rFonts w:ascii="Times New Roman" w:cs="Times New Roman" w:eastAsia="Times New Roman" w:hAnsi="Times New Roman"/>
          <w:sz w:val="18"/>
          <w:szCs w:val="18"/>
          <w:color w:val="auto"/>
        </w:rPr>
        <w:t>”)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facilities.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facilities,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solid-state batteries fail to perform as expected, our ability to further develop, market and sell our solid-state batteries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Third-Party Vendors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 w:cs="Times New Roman" w:eastAsia="Times New Roman" w:hAnsi="Times New Roman"/>
          <w:sz w:val="18"/>
          <w:szCs w:val="18"/>
          <w:b w:val="1"/>
          <w:bCs w:val="1"/>
          <w:color w:val="auto"/>
        </w:rPr>
        <w:t>CBP</w:t>
      </w:r>
      <w:r>
        <w:rPr>
          <w:rFonts w:ascii="Times New Roman" w:cs="Times New Roman" w:eastAsia="Times New Roman" w:hAnsi="Times New Roman"/>
          <w:sz w:val="18"/>
          <w:szCs w:val="18"/>
          <w:color w:val="auto"/>
        </w:rPr>
        <w:t>”) in the amount of approximately $1.58 million in the aggregate, related to the improper classification and valuation of certain of the products used in our batteries.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geopolitical conditions, U.S.-China trade relations and other factors beyond our control may adversely impact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jurisdiction of the Committee for Foreign Investment in the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such as armed conflict, trade wars, retaliatory tariffs, and acts of terrorism or war.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events, our ability to obtain supplies from our China-based suppliers may be limited or adversely affected, and we may incur operational constraints.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0"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the Russia-Ukraine conflict and Hamas’ attack on Israel, could reduce consumer spending and disrupt our supply chain which could negatively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Hamas’ attack on Israel, and other political tensions, and foreign governmental debt concerns. Such challenges have caused, and may continue to cause, uncertainty and instability in local economies and in global financial markets.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conditions, including economic uncertainty, may negatively impact our financial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global macroeconomic environment could be negatively affected by, among other things,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faced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the securities exchanges and the listing standards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impose additional reporting and other obligations on public companies. Compliance with public company requirements has increased costs and made certain activities more time-consuming. A number of those requirements have required and will continue to require us to carry out activities we have not done previously. For example, we have created new standing committees of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filings required of a public company, our business and financial condition have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members of our management team have limited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we had cash totaling $8.5 million. Our net loss for the quarter ended March 31, 2024 was $10.4 million compared to a net income of $4.8 million for the quarter ended March 31, 2023.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March 31, 2024, we incurred losses and had a negative cash flow from operations. As of March 31, 2024, we had approximately $8.5 million in cash and cash equivalents and working capital of $4.2 million. As of March 31, 2024, the principal amount outstanding under the Term Loan (as defined herein) was $69.7 million. Our ability to achieve profitability and positive cash flow depends on our ability to increase revenue, contain our expenses and maintain compliance with the financial covenants in our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and May 13,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and March 31, 2024, respectively. On March 31, 2024 and April 29, 2024, we received additional waivers from our Administrative Agent and Term Loan Lenders in regard to our compliance with our liquidity requirement under the Term Loan as of the last day of the fiscal quarter ended March 31, 2024 and as of the last day of the fiscal month ended April 30, 2024, respectively. It is probable that we will fail to meet these covenants again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 These restrictive covenants restrict our ability to, among other things: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Annual Report on Form 10-K for the year ended December 31, 2023, our management identified material weaknesses in our internal control over financial reporting as a result of our failure to capture, and record, and pay tariffs correctly related to the imported merchandise on previously filed 2022 and 2021 financial statements. We are in the process of developing a plan to remediate these material weaknesses.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Global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the Nasdaq Global Market and the Nasdaq Capital Market, respectively. On December 12, 2023, we received a letter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the Listing Qualifications Staff of Nasdaq indicating that, based upon the closing bid price of its common stock for the 30 consecutive business days preceding the date of the Notice, we are not in compliance with the requirement to maintain a minimum bid price of $1.00 per share for continued listing on the Nasdaq Global Market, as set forth in Nasdaq Listing Rule 5450(a)(1). We were provided a compliance period of 180 calendar days from the date of the Notice, or until June 10, 2024, to regain compliance with the minimum closing bid requirement, pursuant to Nasdaq Listing Rule 5810(c)(3)(A).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monitor the closing bid price of our common stock and seek to regain compliance with all applicable Nasdaq requirements within the allotted compliance periods and may, if appropriate, consider available options, including implementation of a reverse stock split, to regain compliance with the minimum closing bid requirement. If we seek to implement a reverse stock split in order to remain listed on the Nasdaq Global Market, the announcement or implementation of such a reverse stock split could negatively affect the price of its common stock.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or comply with the other continued listing standards of Nasdaq.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outstanding securities may cause the market price of our securities to drop significantly, even if our business is doing well.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registering 21,512,027 shares of common stock to be issued and sold to CCM in connection with the ChEF Equity Facility under this prospectus. The 21,512,027 shares that may be resold and/or issued into the public markets pursuant to the ChEF Equity Facility represent approximately 36% of the shares of our common stock outstanding as of May 13, 2024.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registration statements registering the resale of up to 47,428,544 shares and 12,266,971 warrants to purchase common stock that may be resold and/or issued into the public markets by certain securityholders. The shares registered for resale into the public markets represent approximately 82% of our outstanding common stock as of May 13, 2024.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 Hamas’ attack on Israel).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of outstanding warrants to acquire our common stock will increase the number of shares eligible for future resale in the public market and result in dilution to our stockholders. As of May 13, 2024, there are currently (i) 9,422,529 shares of common stock issuable upon the exercise of outstanding public warrants at an exercise price of $11.50 per share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(ii) 1,501,386 shares of common stock issuable upon the exercise of outstanding private warrants at an exercise price of $11.50 per share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(iii) 4,434,510 shares of common stock issuable upon exercise of outstanding Penny Warrants at an exercise price of $0.01 per share; (iv) 11,131,900 shares of common stock issuable upon exercise of outstanding Investor Warrants at an exercise price of $2.00 per share; and (v) 570,250 shares of common stock issuable upon the exercise of the Underwriters’ Warrants at an exercise price of $2.50 per share. The $10 Warrants were exercised in full in 2022 and are no longer outstanding.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 Under the terms of the Investor Warrants and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in such fundamental transaction.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5540" w:right="1940" w:hanging="5208"/>
        <w:spacing w:after="0" w:line="53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its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As our Board is responsible for appointing the members of our management team, these provisions could in turn affect any attempt by our stockholders to replace current members of our management team. These provisions provide, among other things, that:</w:t>
      </w:r>
    </w:p>
    <w:p>
      <w:pPr>
        <w:spacing w:after="0" w:line="189"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each class serving staggered three-year terms, which may delay the ability of stockholders to change the membership of a majority of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exclusive right to expand the size of our Board and to elect directors to fill a vacancy created by the expansion of the Board or the resignation, death or removal of a director, which prevents stockholders from being able to fill vacancies on our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alter certain provisions of our Bylaws without obtaining stockholder approval;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40"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a public company, we are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 identified material weaknesses in our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over financial reporting. These material weaknesses could continue to adversely affect our ability to report our results of operations and financial condition accurately and in a timely manner”. </w:t>
      </w:r>
      <w:r>
        <w:rPr>
          <w:rFonts w:ascii="Times New Roman" w:cs="Times New Roman" w:eastAsia="Times New Roman" w:hAnsi="Times New Roman"/>
          <w:sz w:val="18"/>
          <w:szCs w:val="18"/>
          <w:color w:val="auto"/>
        </w:rPr>
        <w:t>We are continuing to develop and refine our disclosure controls and other procedures that are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“Plan of Distribution” elsewhere in this prospectus for more information.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CCM pursuant to the Purchase Agreement for the repayment of all or a portion of our outstanding debt and for working capital and general corporate purposes.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any accompanying prospectus supplements,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that CCM will pay for the shares to be resold pursuant to this prospectus will depend upon the timing of sales and will fluctuate based on the trading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60,260,282 outstanding shares of common stock. This total excludes: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 reserved for issuance;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Private Warrants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9,422,529 Public Warrants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1,884,510 Penny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Investor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Underwriters’ Warrant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2,315,299 shares underlying outstanding options;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262,125 shares underlying outstanding RSUs.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May 17, 2024, the closing price of our common stock was $1.12. As of May 16, 2024, the closing price of our public warrants was $0.0498. As of May 17, 2024, there were 89 holders of record of our common stock and 2 holders of record of our Public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and will depend on our financial condition, operating results, capital requirements, general business conditions, and other factors that our Board may deem relevant.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Registration Statement to “Dragonfly,” the “Company,” “we,” “us,” or “our” mean Dragonfly Energy Holdings Corp. and its subsidiaries unless stated otherwise or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RV, marine vessel, solar, oil and gas and off-grid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deep cycle lithium iron phosphate LFP batteries provide numerous advantages compared to incumbent products, such as lead-acid batteries. LFP batteries are non-toxic and environmentally friendly, do not rely on scarce or controversial metals and are a highly cost-effective storage solution. LFP batteries use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and Battle Born. Battle Born branded products are primarily sold DTC,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DTC sales in the RV market. Since 2020, we have sold over 300,000 batteries. For the quarters ended March 31, 2024, and March 31, 2023, we sold 11,098 and 20,331 batteries, respectively, and had $12.5 million and $18.8 million in net sales, respectively. Historically, we have increased total sales through a combination of: increasing DTC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who fulfills certain of its LFP battery requirements through our Supply Agreement (as defined herein),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 For the year ended December 31, 2023, we faced a number of demand headwinds associated with increased inflation and rising interest rates, which caused a significant year-over-year decline in units produced for North American RV OEMs. The impact of these unit declines combined with the associated lower demand in the direct-to-consumer business caused total revenue to decline for the year ended December 31, 2023 compared to the same period last year. Based on our discussions with customers and current unit forecast projections, we expect our revenue in the RV market to increase in the second quarter of 2024.</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 w:cs="Times New Roman" w:eastAsia="Times New Roman" w:hAnsi="Times New Roman"/>
          <w:sz w:val="18"/>
          <w:szCs w:val="18"/>
          <w:b w:val="1"/>
          <w:bCs w:val="1"/>
          <w:color w:val="auto"/>
        </w:rPr>
        <w:t>Connexa</w:t>
      </w:r>
      <w:r>
        <w:rPr>
          <w:rFonts w:ascii="Times New Roman" w:cs="Times New Roman" w:eastAsia="Times New Roman" w:hAnsi="Times New Roman"/>
          <w:sz w:val="18"/>
          <w:szCs w:val="18"/>
          <w:color w:val="auto"/>
        </w:rPr>
        <w:t>”)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the Wakespeed of Thomason Jones, allowing us to include our own alternator regulator in systems that we sell.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current 99,000 square foot facility in Reno, Nevada, which has allowed us to increase our production capacity and gave us the ability to increase sales to existing customers and penetrate new markets. Our 99,000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 w:cs="Times New Roman" w:eastAsia="Times New Roman" w:hAnsi="Times New Roman"/>
          <w:sz w:val="18"/>
          <w:szCs w:val="18"/>
          <w:b w:val="1"/>
          <w:bCs w:val="1"/>
          <w:color w:val="auto"/>
        </w:rPr>
        <w:t>Fernley Lease Agreement</w:t>
      </w:r>
      <w:r>
        <w:rPr>
          <w:rFonts w:ascii="Times New Roman" w:cs="Times New Roman" w:eastAsia="Times New Roman" w:hAnsi="Times New Roman"/>
          <w:sz w:val="18"/>
          <w:szCs w:val="18"/>
          <w:color w:val="auto"/>
        </w:rPr>
        <w:t>”). We plan to continue to expand our production capacity as needed and have entered into a lease for a 390,240 square foot facility in Reno, Nevada that is currently under construction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Battle Born Batteries and Wakespeed brands, we operate in three primary consumer end markets: RVs, marine vessels, and off-grid storage systems. We are strategically expanding into additional markets, with a focus on heavy-duty trucks, work trucks,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 for powering appliances, air conditioning, lighting, and other devices commonly found in these applications.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 w:cs="Times New Roman" w:eastAsia="Times New Roman" w:hAnsi="Times New Roman"/>
          <w:sz w:val="18"/>
          <w:szCs w:val="18"/>
          <w:b w:val="1"/>
          <w:bCs w:val="1"/>
          <w:color w:val="auto"/>
        </w:rPr>
        <w:t>PPC</w:t>
      </w:r>
      <w:r>
        <w:rPr>
          <w:rFonts w:ascii="Times New Roman" w:cs="Times New Roman" w:eastAsia="Times New Roman" w:hAnsi="Times New Roman"/>
          <w:sz w:val="18"/>
          <w:szCs w:val="18"/>
          <w:color w:val="auto"/>
        </w:rPr>
        <w:t>”) advertising campaigns across various platforms, including search engines, social media, and connected TV to efficiently convert high-intent customers at the bottom of the purchase funnel.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upon our success in collaborating with RV and marine OEMs, we have begun expanding into the heavy-duty trucking market. We are leveraging our expertise in designing and supporting lithium-ion storage systems to tailor solutions meeting specific OEM requirements. These solutions have been adopted as factory-installed features, demonstrating their value proposition for truck fleets seeking to:</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diesel fuel costs: our technology delivers significant fuel savings, offering a rapid return on investment.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anti-idling regulations: Lithium-ion batteries enable efficient power management eliminating the need for long haul truck drivers to idle, thus aligning with increasingly stringent regulations.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sustainability efforts: Transitioning to long lasting and greener lithium-ion solutions contributes to improved environmental impact.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approach has resulted in successful pilot programs with fleets representing over 15% of the North American heavy-duty trucking market.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Environmentally Friendly, Socially Responsible and Safer. </w:t>
      </w:r>
      <w:r>
        <w:rPr>
          <w:rFonts w:ascii="Times New Roman" w:cs="Times New Roman" w:eastAsia="Times New Roman" w:hAnsi="Times New Roman"/>
          <w:sz w:val="18"/>
          <w:szCs w:val="18"/>
          <w:color w:val="auto"/>
        </w:rPr>
        <w:t>Lead-acid batteries that are not recycled or disposed of properly are extremely toxic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Longer Lifespan. </w:t>
      </w:r>
      <w:r>
        <w:rPr>
          <w:rFonts w:ascii="Times New Roman" w:cs="Times New Roman" w:eastAsia="Times New Roman" w:hAnsi="Times New Roman"/>
          <w:sz w:val="18"/>
          <w:szCs w:val="18"/>
          <w:color w:val="auto"/>
        </w:rPr>
        <w:t>Lithium-ion batteries have longer lifecycles compared to lead-acid batteries. LFP batteries are able to cycle (i.e., discharge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 and Performance. </w:t>
      </w:r>
      <w:r>
        <w:rPr>
          <w:rFonts w:ascii="Times New Roman" w:cs="Times New Roman" w:eastAsia="Times New Roman" w:hAnsi="Times New Roman"/>
          <w:sz w:val="18"/>
          <w:szCs w:val="18"/>
          <w:color w:val="auto"/>
        </w:rPr>
        <w:t>As new technologies evolve and people consume more electricity, the importance of battery power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Charging. </w:t>
      </w:r>
      <w:r>
        <w:rPr>
          <w:rFonts w:ascii="Times New Roman" w:cs="Times New Roman" w:eastAsia="Times New Roman" w:hAnsi="Times New Roman"/>
          <w:sz w:val="18"/>
          <w:szCs w:val="18"/>
          <w:color w:val="auto"/>
        </w:rPr>
        <w:t>Lead-acid batteries were the first rechargeable batteries on the market. However, due to new advancements in energy density (i.e.,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Maintenance-Free. </w:t>
      </w:r>
      <w:r>
        <w:rPr>
          <w:rFonts w:ascii="Times New Roman" w:cs="Times New Roman" w:eastAsia="Times New Roman" w:hAnsi="Times New Roman"/>
          <w:sz w:val="18"/>
          <w:szCs w:val="18"/>
          <w:color w:val="auto"/>
        </w:rPr>
        <w:t>LFP batteries provide the benefit of being a maintenance-free option compared to lead-acid batteries. Unlike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in 2021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Recreational Vehicles. </w:t>
      </w:r>
      <w:r>
        <w:rPr>
          <w:rFonts w:ascii="Times New Roman" w:cs="Times New Roman" w:eastAsia="Times New Roman" w:hAnsi="Times New Roman"/>
          <w:sz w:val="18"/>
          <w:szCs w:val="18"/>
          <w:color w:val="auto"/>
        </w:rPr>
        <w:t>The growth of the RV market is expected to continue to drive demand for LFP storage batteries. According to the 2022 RV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Marine Vessels. </w:t>
      </w:r>
      <w:r>
        <w:rPr>
          <w:rFonts w:ascii="Times New Roman" w:cs="Times New Roman" w:eastAsia="Times New Roman" w:hAnsi="Times New Roman"/>
          <w:sz w:val="18"/>
          <w:szCs w:val="18"/>
          <w:color w:val="auto"/>
        </w:rPr>
        <w:t>As boating becomes more popular in North America, the need for a reliable, non-flammable energy storage system is becoming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Off-Grid Residences. </w:t>
      </w:r>
      <w:r>
        <w:rPr>
          <w:rFonts w:ascii="Times New Roman" w:cs="Times New Roman" w:eastAsia="Times New Roman" w:hAnsi="Times New Roman"/>
          <w:sz w:val="18"/>
          <w:szCs w:val="18"/>
          <w:color w:val="auto"/>
        </w:rPr>
        <w:t>Many people are turning to off-grid housing and, as individuals and governments become more conscious of their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Adjacent Markets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Heavy Duty Truck. </w:t>
      </w:r>
      <w:r>
        <w:rPr>
          <w:rFonts w:ascii="Times New Roman" w:cs="Times New Roman" w:eastAsia="Times New Roman" w:hAnsi="Times New Roman"/>
          <w:sz w:val="18"/>
          <w:szCs w:val="18"/>
          <w:color w:val="auto"/>
        </w:rPr>
        <w:t>The heavy-duty truck market encompasses a broad range of vehicles designed for extensive commercial and industrial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long-haul transport, construction, and logistics. With more than 250,000 Class 8 units sold in 2023,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18"/>
          <w:szCs w:val="18"/>
          <w:b w:val="1"/>
          <w:bCs w:val="1"/>
          <w:color w:val="auto"/>
        </w:rPr>
        <w:t>APUs</w:t>
      </w:r>
      <w:r>
        <w:rPr>
          <w:rFonts w:ascii="Times New Roman" w:cs="Times New Roman" w:eastAsia="Times New Roman" w:hAnsi="Times New Roman"/>
          <w:sz w:val="18"/>
          <w:szCs w:val="18"/>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18"/>
          <w:szCs w:val="18"/>
          <w:b w:val="1"/>
          <w:bCs w:val="1"/>
          <w:color w:val="auto"/>
        </w:rPr>
        <w:t>TRUs</w:t>
      </w:r>
      <w:r>
        <w:rPr>
          <w:rFonts w:ascii="Times New Roman" w:cs="Times New Roman" w:eastAsia="Times New Roman" w:hAnsi="Times New Roman"/>
          <w:sz w:val="18"/>
          <w:szCs w:val="18"/>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 Material Handlings / Work Truck. </w:t>
      </w:r>
      <w:r>
        <w:rPr>
          <w:rFonts w:ascii="Times New Roman" w:cs="Times New Roman" w:eastAsia="Times New Roman" w:hAnsi="Times New Roman"/>
          <w:sz w:val="18"/>
          <w:szCs w:val="18"/>
          <w:color w:val="auto"/>
        </w:rPr>
        <w:t>The industrial vehicle market includes work trucks, material handling and warehousing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Specialty Vehicles. </w:t>
      </w:r>
      <w:r>
        <w:rPr>
          <w:rFonts w:ascii="Times New Roman" w:cs="Times New Roman" w:eastAsia="Times New Roman" w:hAnsi="Times New Roman"/>
          <w:sz w:val="18"/>
          <w:szCs w:val="18"/>
          <w:color w:val="auto"/>
        </w:rPr>
        <w:t>According to Mordor Intelligence, as of 2019, approximately 40% of the specialty vehicle market in the United States consists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left="328" w:hanging="328"/>
        <w:spacing w:after="0" w:line="255"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Emergency and Standby Power. </w:t>
      </w:r>
      <w:r>
        <w:rPr>
          <w:rFonts w:ascii="Times New Roman" w:cs="Times New Roman" w:eastAsia="Times New Roman" w:hAnsi="Times New Roman"/>
          <w:sz w:val="18"/>
          <w:szCs w:val="18"/>
          <w:color w:val="auto"/>
        </w:rPr>
        <w:t>Demand for reliable emergency and standby power sources is expected to continue to drive demand for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Telecom. </w:t>
      </w:r>
      <w:r>
        <w:rPr>
          <w:rFonts w:ascii="Times New Roman" w:cs="Times New Roman" w:eastAsia="Times New Roman" w:hAnsi="Times New Roman"/>
          <w:sz w:val="18"/>
          <w:szCs w:val="18"/>
          <w:color w:val="auto"/>
        </w:rPr>
        <w:t>Demand for mobile data continues to increase and network providers are investing heavily in 5G networks, particularly in unserved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Rail. </w:t>
      </w:r>
      <w:r>
        <w:rPr>
          <w:rFonts w:ascii="Times New Roman" w:cs="Times New Roman" w:eastAsia="Times New Roman" w:hAnsi="Times New Roman"/>
          <w:sz w:val="18"/>
          <w:szCs w:val="18"/>
          <w:color w:val="auto"/>
        </w:rPr>
        <w:t>Rail transportation is a large potential market, with an estimated U.S. market size of $110.1 billion in 2023, according to IBISWorld.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Centers. </w:t>
      </w:r>
      <w:r>
        <w:rPr>
          <w:rFonts w:ascii="Times New Roman" w:cs="Times New Roman" w:eastAsia="Times New Roman" w:hAnsi="Times New Roman"/>
          <w:sz w:val="18"/>
          <w:szCs w:val="18"/>
          <w:color w:val="auto"/>
        </w:rPr>
        <w:t>Data centers have seen strong growth in recent years, with over 5,000 data centers in the United States as of March 2024 according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On-grid Storage. </w:t>
      </w:r>
      <w:r>
        <w:rPr>
          <w:rFonts w:ascii="Times New Roman" w:cs="Times New Roman" w:eastAsia="Times New Roman" w:hAnsi="Times New Roman"/>
          <w:sz w:val="18"/>
          <w:szCs w:val="18"/>
          <w:color w:val="auto"/>
        </w:rPr>
        <w:t>On-grid energy storage is used on a large-scale platform within an electrical power grid in conjunction with variable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58" w:lineRule="exact"/>
        <w:rPr>
          <w:sz w:val="20"/>
          <w:szCs w:val="20"/>
          <w:color w:val="auto"/>
        </w:rPr>
      </w:pPr>
    </w:p>
    <w:p>
      <w:pPr>
        <w:jc w:val="both"/>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Premier Lithium-Ion Battery Technology. </w:t>
      </w:r>
      <w:r>
        <w:rPr>
          <w:rFonts w:ascii="Times New Roman" w:cs="Times New Roman" w:eastAsia="Times New Roman" w:hAnsi="Times New Roman"/>
          <w:sz w:val="18"/>
          <w:szCs w:val="18"/>
          <w:color w:val="auto"/>
        </w:rPr>
        <w:t>Each of our innovative batteries features custom designed components to enhance power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Growing Patent Portfolio. </w:t>
      </w:r>
      <w:r>
        <w:rPr>
          <w:rFonts w:ascii="Times New Roman" w:cs="Times New Roman" w:eastAsia="Times New Roman" w:hAnsi="Times New Roman"/>
          <w:sz w:val="18"/>
          <w:szCs w:val="18"/>
          <w:color w:val="auto"/>
        </w:rPr>
        <w:t>We have developed and filed patent applications on commercially relevant aspects of our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compositions systems and production processes. To date, we have owned 44 issued patents, with an additional 48 patent applications pending, in the United States, Canada, Australia, Korea, Japan, India, China, and Europe (with individual patents in Germany, France and the United Kingdom).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78"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Proven Go-To-Market Strategy. </w:t>
      </w:r>
      <w:r>
        <w:rPr>
          <w:rFonts w:ascii="Times New Roman" w:cs="Times New Roman" w:eastAsia="Times New Roman" w:hAnsi="Times New Roman"/>
          <w:sz w:val="17"/>
          <w:szCs w:val="17"/>
          <w:color w:val="auto"/>
        </w:rPr>
        <w:t>We have successfully established a DTC platform and have developed strong working relationships with major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p>
      <w:pPr>
        <w:spacing w:after="0" w:line="163" w:lineRule="exact"/>
        <w:rPr>
          <w:rFonts w:ascii="Times New Roman" w:cs="Times New Roman" w:eastAsia="Times New Roman" w:hAnsi="Times New Roman"/>
          <w:sz w:val="17"/>
          <w:szCs w:val="17"/>
          <w:color w:val="auto"/>
        </w:rPr>
      </w:pPr>
    </w:p>
    <w:p>
      <w:pPr>
        <w:jc w:val="both"/>
        <w:ind w:left="660" w:hanging="328"/>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Customer Base with Brand Recognition. </w:t>
      </w:r>
      <w:r>
        <w:rPr>
          <w:rFonts w:ascii="Times New Roman" w:cs="Times New Roman" w:eastAsia="Times New Roman" w:hAnsi="Times New Roman"/>
          <w:sz w:val="18"/>
          <w:szCs w:val="18"/>
          <w:color w:val="auto"/>
        </w:rPr>
        <w:t>We have a growing customer base of more than 25,000 customers featuring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Quality Manufacturing Process. </w:t>
      </w:r>
      <w:r>
        <w:rPr>
          <w:rFonts w:ascii="Times New Roman" w:cs="Times New Roman" w:eastAsia="Times New Roman" w:hAnsi="Times New Roman"/>
          <w:sz w:val="18"/>
          <w:szCs w:val="18"/>
          <w:color w:val="auto"/>
        </w:rPr>
        <w:t>Unlike competitors that outsource their manufacturing processes, our batteries are designed,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Drop-in Replacement. </w:t>
      </w:r>
      <w:r>
        <w:rPr>
          <w:rFonts w:ascii="Times New Roman" w:cs="Times New Roman" w:eastAsia="Times New Roman" w:hAnsi="Times New Roman"/>
          <w:sz w:val="18"/>
          <w:szCs w:val="18"/>
          <w:color w:val="auto"/>
        </w:rPr>
        <w:t>Our battery modules are largely designed to be “drop-in replacements” for traditional lead-acid batteries, which means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221" w:lineRule="exact"/>
        <w:rPr>
          <w:sz w:val="20"/>
          <w:szCs w:val="20"/>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Product Offerings. </w:t>
      </w:r>
      <w:r>
        <w:rPr>
          <w:rFonts w:ascii="Times New Roman" w:cs="Times New Roman" w:eastAsia="Times New Roman" w:hAnsi="Times New Roman"/>
          <w:sz w:val="18"/>
          <w:szCs w:val="18"/>
          <w:color w:val="auto"/>
        </w:rPr>
        <w:t>In the short-term, our aim is to further diversify our product offerings to give consumers, as well as OEMs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January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End Markets. </w:t>
      </w:r>
      <w:r>
        <w:rPr>
          <w:rFonts w:ascii="Times New Roman" w:cs="Times New Roman" w:eastAsia="Times New Roman" w:hAnsi="Times New Roman"/>
          <w:sz w:val="18"/>
          <w:szCs w:val="18"/>
          <w:color w:val="auto"/>
        </w:rPr>
        <w:t>We have identified additional end markets that we believe in the medium- to longer-term will increasingly look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Commercialize our Dry Electrode Cell Manufacturing Technology. </w:t>
      </w:r>
      <w:r>
        <w:rPr>
          <w:rFonts w:ascii="Times New Roman" w:cs="Times New Roman" w:eastAsia="Times New Roman" w:hAnsi="Times New Roman"/>
          <w:sz w:val="18"/>
          <w:szCs w:val="18"/>
          <w:color w:val="auto"/>
        </w:rPr>
        <w:t>In July 2023, we completed the construction of our proprietary and patented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Commercialize Solid-State Technology. </w:t>
      </w:r>
      <w:r>
        <w:rPr>
          <w:rFonts w:ascii="Times New Roman" w:cs="Times New Roman" w:eastAsia="Times New Roman" w:hAnsi="Times New Roman"/>
          <w:sz w:val="18"/>
          <w:szCs w:val="18"/>
          <w:color w:val="auto"/>
        </w:rPr>
        <w:t>We believe solid-state technology presents a significant advantage to all products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128270</wp:posOffset>
            </wp:positionV>
            <wp:extent cx="4937760" cy="129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8"/>
          <w:szCs w:val="18"/>
          <w:i w:val="1"/>
          <w:iCs w:val="1"/>
          <w:color w:val="auto"/>
        </w:rPr>
        <w:t>Lithium and Cobalt: A tale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 commodities</w:t>
      </w:r>
      <w:r>
        <w:rPr>
          <w:rFonts w:ascii="Times New Roman" w:cs="Times New Roman" w:eastAsia="Times New Roman" w:hAnsi="Times New Roman"/>
          <w:sz w:val="18"/>
          <w:szCs w:val="18"/>
          <w:color w:val="auto"/>
        </w:rPr>
        <w:t>”, global forecasts for cobalt show supply shortages arising as early as 2022, slowing down NMC battery growth. Both of these elements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Dry Electrode Cell Manufacturing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July 2023, we completed the construction of our dry-electrode manufacturing pilot line.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various industries with clean, reliable, and efficient power solutions through our comprehensive product portfolio. These products and solutions are sold to both OEMs and retail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Looking beyond batteries, we also offer a diverse range of power products.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under 135 degrees Fahrenheit, and is designed to cut off charging at 24 degrees Fahrenheit to protect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225" w:lineRule="exact"/>
        <w:rPr>
          <w:rFonts w:ascii="Times New Roman" w:cs="Times New Roman" w:eastAsia="Times New Roman" w:hAnsi="Times New Roman"/>
          <w:sz w:val="18"/>
          <w:szCs w:val="18"/>
          <w:color w:val="auto"/>
        </w:rPr>
      </w:pPr>
    </w:p>
    <w:p>
      <w:pPr>
        <w:jc w:val="center"/>
        <w:ind w:left="5540" w:right="200" w:hanging="5208"/>
        <w:spacing w:after="0" w:line="532" w:lineRule="auto"/>
        <w:tabs>
          <w:tab w:leader="none" w:pos="6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OEMs in the second quarter of 2024 as an adjacent component and in our product bundles.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Alternator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Products. </w:t>
      </w:r>
      <w:r>
        <w:rPr>
          <w:rFonts w:ascii="Times New Roman" w:cs="Times New Roman" w:eastAsia="Times New Roman" w:hAnsi="Times New Roman"/>
          <w:sz w:val="18"/>
          <w:szCs w:val="18"/>
          <w:color w:val="auto"/>
        </w:rPr>
        <w:t>Our current offerings feature battery products that serve the RV, marine vessel and off-grid markets. Although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left="660" w:hanging="328"/>
        <w:spacing w:after="0" w:line="257"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Integrator. </w:t>
      </w:r>
      <w:r>
        <w:rPr>
          <w:rFonts w:ascii="Times New Roman" w:cs="Times New Roman" w:eastAsia="Times New Roman" w:hAnsi="Times New Roman"/>
          <w:sz w:val="18"/>
          <w:szCs w:val="18"/>
          <w:color w:val="auto"/>
        </w:rPr>
        <w:t>A natural evolution of our business is to offer customers a system integration solution providing more efficient power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equivalents, and factory footprint while eliminating the need for solvents like N-Methyl-2-pyrrolidone (“</w:t>
      </w:r>
      <w:r>
        <w:rPr>
          <w:rFonts w:ascii="Times New Roman" w:cs="Times New Roman" w:eastAsia="Times New Roman" w:hAnsi="Times New Roman"/>
          <w:sz w:val="18"/>
          <w:szCs w:val="18"/>
          <w:b w:val="1"/>
          <w:bCs w:val="1"/>
          <w:color w:val="auto"/>
        </w:rPr>
        <w:t>NMP</w:t>
      </w:r>
      <w:r>
        <w:rPr>
          <w:rFonts w:ascii="Times New Roman" w:cs="Times New Roman" w:eastAsia="Times New Roman" w:hAnsi="Times New Roman"/>
          <w:sz w:val="18"/>
          <w:szCs w:val="18"/>
          <w:color w:val="auto"/>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 w:cs="Times New Roman" w:eastAsia="Times New Roman" w:hAnsi="Times New Roman"/>
          <w:sz w:val="18"/>
          <w:szCs w:val="18"/>
          <w:b w:val="1"/>
          <w:bCs w:val="1"/>
          <w:color w:val="auto"/>
        </w:rPr>
        <w:t>Sphere Energy Assessment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are being optimized in 2024. A new set of spray dryers will arrive at our facilities in the second quarter of 2024, enabling us to produce larger volumes of material for the electrode coating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1971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once the new headquarters facility is completed, which is expected to occur in the second half of 2024.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 w:cs="Times New Roman" w:eastAsia="Times New Roman" w:hAnsi="Times New Roman"/>
          <w:sz w:val="18"/>
          <w:szCs w:val="18"/>
          <w:b w:val="1"/>
          <w:bCs w:val="1"/>
          <w:color w:val="auto"/>
        </w:rPr>
        <w:t>NMR</w:t>
      </w:r>
      <w:r>
        <w:rPr>
          <w:rFonts w:ascii="Times New Roman" w:cs="Times New Roman" w:eastAsia="Times New Roman" w:hAnsi="Times New Roman"/>
          <w:sz w:val="18"/>
          <w:szCs w:val="18"/>
          <w:color w:val="auto"/>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130810</wp:posOffset>
            </wp:positionV>
            <wp:extent cx="4928870" cy="1585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887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solid-state technology continues to progress as we qualify new chemistries and refine the dry electrode process for solid-state applications. Currently, we are cycling solid-state coin cells with the aim of producing prototype pouch cells by the end of 2024.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estate property. This facility leverages a semi-automated production process for battery module and pack assembly. We currently have two production lines with another line currently in construction. We continue to have the capability to expand our production volumes and line quantities to support increased volumes of new products we intend to introduce soon. On February 8, 2022, we entered into a 124-month lease for an additional 390,240 square foot warehouse, which is scheduled to complete construction in the second half of 2024 in Reno, Nevada. We intend to utilize this facility for the existing pack assembly business and new cell manufacturing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pursuant to which we agreed to lease an approximately 64,000 square foot facility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133350</wp:posOffset>
            </wp:positionV>
            <wp:extent cx="4937760" cy="9944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77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serve more than 25,000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2023 and 2022, OEM sales represented 42.7% and 39.2% of our total revenues, respectively. For the quarters ended March 31, 2024 and March 31, 2023, OEM sales represented 58.4% and 46.6% of our total revenues,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37.8% of our revenue for the year ended December 31, 2023,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w:t>
      </w:r>
    </w:p>
    <w:p>
      <w:pPr>
        <w:spacing w:after="0" w:line="27" w:lineRule="exact"/>
        <w:rPr>
          <w:sz w:val="20"/>
          <w:szCs w:val="20"/>
          <w:color w:val="auto"/>
        </w:rPr>
      </w:pPr>
    </w:p>
    <w:p>
      <w:pPr>
        <w:jc w:val="both"/>
        <w:ind w:firstLine="8"/>
        <w:spacing w:after="0" w:line="251"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leverage targeted pay-per-click advertising campaigns across various platforms, including search engines, social media, and connected TV. This data-driven approach ensures efficient conversion of high-intent customers at the bottom of the purchase funnel, maximizing return on investment and driving targeted brand awareness among potential buyers.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owned 44 issued patents and 48 pending patent applications.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2023, we own 21 trademark registrations to cover our house marks in the United States and we have 7 pending trademark applications relating to our design logos and slogans in the United States and we have 4 pending trademark applications internationally.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had 152 employees; 143 full-time, 2 part-time and 7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 participate in volunteer roles on a safety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 the very beginning. Inclusion and equity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 they used to be. We have responded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by staying mindful and acting intentionally to gather cross-functional input on new initiatives and continuous improvement efforts.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 people. We encourage professional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employees, through ongoing learning, credentialing, and collaboration with their industry peers.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CNTQ and Legacy Dragonfly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CNTQ changed its name to Dragonfly Energy Holdings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completion of the Business Combination, CNTQ was a shell company. CNTQ was incorporated in the state of Delaware on June 23, 2020. CNTQ consummated its initial public offering at a price of $10 per unit on August 13, 2021 (the “</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CNTQ, Merger Sub, Legacy Dragonfly or the holders of any of the following securities:</w:t>
      </w:r>
    </w:p>
    <w:p>
      <w:pPr>
        <w:spacing w:after="0" w:line="15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 (“</w:t>
      </w:r>
      <w:r>
        <w:rPr>
          <w:rFonts w:ascii="Times New Roman" w:cs="Times New Roman" w:eastAsia="Times New Roman" w:hAnsi="Times New Roman"/>
          <w:sz w:val="18"/>
          <w:szCs w:val="18"/>
          <w:b w:val="1"/>
          <w:bCs w:val="1"/>
          <w:color w:val="auto"/>
        </w:rPr>
        <w:t>Legacy Dragonfly Common Stock</w:t>
      </w:r>
      <w:r>
        <w:rPr>
          <w:rFonts w:ascii="Times New Roman" w:cs="Times New Roman" w:eastAsia="Times New Roman" w:hAnsi="Times New Roman"/>
          <w:sz w:val="18"/>
          <w:szCs w:val="18"/>
          <w:color w:val="auto"/>
        </w:rPr>
        <w:t>”), converted into</w:t>
      </w:r>
    </w:p>
    <w:p>
      <w:pPr>
        <w:spacing w:after="0" w:line="3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tranche of 15,000,000 shares was issuable if our 2023 total audited revenue was equal to or greater than $250 million and our 2023 audited operating income was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first tranche milestone was not achieved for the year ended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our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(i) 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2023, September 29, 2023, December 29, 2023 and May 13, 2024, we obtained waivers from our Administrative Agent and Term Loan Lenders relating to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under the Term Loan during the quarters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fiscal day for the month ended April 30, 2024,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upon a request from our Term Loan Lenders under the term loan agreement, we repaid $5,274,575 of principal to satisfy a portion of our outstanding principal under the Term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Original Penny Warrants</w:t>
      </w:r>
      <w:r>
        <w:rPr>
          <w:rFonts w:ascii="Times New Roman" w:cs="Times New Roman" w:eastAsia="Times New Roman" w:hAnsi="Times New Roman"/>
          <w:sz w:val="18"/>
          <w:szCs w:val="18"/>
          <w:color w:val="auto"/>
        </w:rPr>
        <w:t>”)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During the year ended December 31, 2023 we issued additional Penny Warrants to purchase 4,783 shares of common stock to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in accordance with the anti-dilution provisions of the penny warrants with respect to certain sales made by us under the ChEF Equity Facility (the “</w:t>
      </w:r>
      <w:r>
        <w:rPr>
          <w:rFonts w:ascii="Times New Roman" w:cs="Times New Roman" w:eastAsia="Times New Roman" w:hAnsi="Times New Roman"/>
          <w:sz w:val="18"/>
          <w:szCs w:val="18"/>
          <w:b w:val="1"/>
          <w:bCs w:val="1"/>
          <w:color w:val="auto"/>
        </w:rPr>
        <w:t>Anti-Dilution Penny Warrants</w:t>
      </w:r>
      <w:r>
        <w:rPr>
          <w:rFonts w:ascii="Times New Roman" w:cs="Times New Roman" w:eastAsia="Times New Roman" w:hAnsi="Times New Roman"/>
          <w:sz w:val="18"/>
          <w:szCs w:val="18"/>
          <w:color w:val="auto"/>
        </w:rPr>
        <w:t>” and, together with the Waiver Penny Warrants (as defined below), the Original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and collectively with the $10 Warrants, the Underwriters’ Warrants and the Investor Warrants (as defined below),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May 13, 2024, 1,996,323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at or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(or replacement thereof) sold at a per share price above $5.00.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the equity facility letter agreement dated May 15, 2022 between Legacy Dragonfly and CCM 5, we entered into the Original Purchase Agreement and the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with CCM in connection with the Closing. On May 20, 2024, we entered into the A&amp;R Purchase Agreement with CCM to update the VWAP Purchase mechanics to include Intraday VWAP Purchases (as defined in the Purchase Agreement). Pursuant to and on the terms of the Purchase Agreement, we have the right to sell and direct CCM to purchase an amount of shares of our common stock, up to a maximum aggregate purchase price of $150 million, from time to time, over the term of the ChEF Equity Facility. In addition, we appointed LifeSci Capital, LLC as a “qualified independent underwriter” with respect to the transactions contemplated by the Purchase Agreement.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Purchase Agreement, CCM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together with its affiliates, of more than 9.9%,</w:t>
      </w:r>
    </w:p>
    <w:p>
      <w:pPr>
        <w:spacing w:after="0" w:line="1" w:lineRule="exact"/>
        <w:rPr>
          <w:sz w:val="20"/>
          <w:szCs w:val="20"/>
          <w:color w:val="auto"/>
        </w:rPr>
      </w:pPr>
    </w:p>
    <w:p>
      <w:pPr>
        <w:jc w:val="both"/>
        <w:ind w:firstLine="8"/>
        <w:spacing w:after="0" w:line="253"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cause the aggregate purchase price on the applicable VWAP Purchase Date (as defined in the Purchase Agreement) for such purchases to exceed $3 million and (iii) equal to 20% of the total number of shares of common stock that would count towards VWAP on the applicable VWAP Purchase Date of such purchase. As of May 13, 2024, 588,500 shares have been issued pursuant to the Purchase Agreement with CCM for aggregate net proceeds to us of $1,278,566.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CCM is an affiliate of the Sponsor. In light of the beneficial ownership limitation set forth above, the Sponsor has agreed that the private placement warrants held by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we have agreed to provide CCM with certain registration rights with respect to the shares of common stock issued subject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CNTQ, Legacy Dragonfly and the Sponsor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8"/>
          <w:szCs w:val="18"/>
          <w:b w:val="1"/>
          <w:bCs w:val="1"/>
          <w:color w:val="auto"/>
        </w:rPr>
        <w:t>Insider Registration Rights Agreement</w:t>
      </w:r>
      <w:r>
        <w:rPr>
          <w:rFonts w:ascii="Times New Roman" w:cs="Times New Roman" w:eastAsia="Times New Roman" w:hAnsi="Times New Roman"/>
          <w:sz w:val="18"/>
          <w:szCs w:val="18"/>
          <w:color w:val="auto"/>
        </w:rPr>
        <w:t>”) with the Sponsor, CNTQ’s officers, directors, initial stockholders, CCM and Warrant Holdings, an affiliate of the Sponsor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and certain Legacy Dragonfly stockholders for the registration of certain securities held by the Insiders.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4, 2022, we entered into an asset purchase agreement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Thomason Jones, pursuant to which we acquired intellectual property rights relating to Wakespeed, including all trademarks and certain patents, and inventory for a purchase price of approximately $444,000 which was the approximated fair market value. William Thomason and Richard Jones, our engineer and sales representatives, each of whom was hired in connection with the entry into the Thomason Jones APA, are the managing members of Thomason Jones.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our former Chief Legal Officer (the “</w:t>
      </w:r>
      <w:r>
        <w:rPr>
          <w:rFonts w:ascii="Times New Roman" w:cs="Times New Roman" w:eastAsia="Times New Roman" w:hAnsi="Times New Roman"/>
          <w:sz w:val="18"/>
          <w:szCs w:val="18"/>
          <w:b w:val="1"/>
          <w:bCs w:val="1"/>
          <w:color w:val="auto"/>
        </w:rPr>
        <w:t>CLO</w:t>
      </w:r>
      <w:r>
        <w:rPr>
          <w:rFonts w:ascii="Times New Roman" w:cs="Times New Roman" w:eastAsia="Times New Roman" w:hAnsi="Times New Roman"/>
          <w:sz w:val="18"/>
          <w:szCs w:val="18"/>
          <w:color w:val="auto"/>
        </w:rPr>
        <w:t>”). As consideration for the CLO’s execution of the agreement, we agreed to pay the employee payments equivalent to $720,000 for wages and benefits divided into 24 monthly payments commencing on June 1, 2023, and all outstanding equity-based compensation awards to become fully vested. The CLO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Roth Capital Partners, LLC, as representative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we sold to the Underwriters, in a firm commitment underwritten public offering (the “</w:t>
      </w:r>
      <w:r>
        <w:rPr>
          <w:rFonts w:ascii="Times New Roman" w:cs="Times New Roman" w:eastAsia="Times New Roman" w:hAnsi="Times New Roman"/>
          <w:sz w:val="18"/>
          <w:szCs w:val="18"/>
          <w:b w:val="1"/>
          <w:bCs w:val="1"/>
          <w:color w:val="auto"/>
        </w:rPr>
        <w:t>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Offering</w:t>
      </w:r>
      <w:r>
        <w:rPr>
          <w:rFonts w:ascii="Times New Roman" w:cs="Times New Roman" w:eastAsia="Times New Roman" w:hAnsi="Times New Roman"/>
          <w:sz w:val="18"/>
          <w:szCs w:val="18"/>
          <w:color w:val="auto"/>
        </w:rPr>
        <w:t>”), an aggregate of (i) 10,000,000 shares of our common stock, par value $0.0001, and (ii) accompanying warrants to 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shares of common stock (the “</w:t>
      </w:r>
      <w:r>
        <w:rPr>
          <w:rFonts w:ascii="Times New Roman" w:cs="Times New Roman" w:eastAsia="Times New Roman" w:hAnsi="Times New Roman"/>
          <w:sz w:val="18"/>
          <w:szCs w:val="18"/>
          <w:b w:val="1"/>
          <w:bCs w:val="1"/>
          <w:color w:val="auto"/>
        </w:rPr>
        <w:t>Investor Warrants</w:t>
      </w:r>
      <w:r>
        <w:rPr>
          <w:rFonts w:ascii="Times New Roman" w:cs="Times New Roman" w:eastAsia="Times New Roman" w:hAnsi="Times New Roman"/>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3" w:name="page64"/>
    <w:bookmarkEnd w:id="63"/>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29, 2023, we obtained a waiver from our Administrative Agent and Term Loan Lenders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in regards to our compliance with the Tests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December 2023 Penny Warrants</w:t>
      </w:r>
      <w:r>
        <w:rPr>
          <w:rFonts w:ascii="Times New Roman" w:cs="Times New Roman" w:eastAsia="Times New Roman" w:hAnsi="Times New Roman"/>
          <w:sz w:val="18"/>
          <w:szCs w:val="18"/>
          <w:color w:val="auto"/>
        </w:rPr>
        <w:t>”) to purchase up to 1,286,671 shares of our common stock (the “</w:t>
      </w:r>
      <w:r>
        <w:rPr>
          <w:rFonts w:ascii="Times New Roman" w:cs="Times New Roman" w:eastAsia="Times New Roman" w:hAnsi="Times New Roman"/>
          <w:sz w:val="18"/>
          <w:szCs w:val="18"/>
          <w:b w:val="1"/>
          <w:bCs w:val="1"/>
          <w:color w:val="auto"/>
        </w:rPr>
        <w:t>December 2023 Penny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December 31, 2023. The December 2023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and, together with the December 2024 Penny Warrants, the “</w:t>
      </w:r>
      <w:r>
        <w:rPr>
          <w:rFonts w:ascii="Times New Roman" w:cs="Times New Roman" w:eastAsia="Times New Roman" w:hAnsi="Times New Roman"/>
          <w:sz w:val="18"/>
          <w:szCs w:val="18"/>
          <w:b w:val="1"/>
          <w:bCs w:val="1"/>
          <w:color w:val="auto"/>
        </w:rPr>
        <w:t>Waiver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and, together with the December 2023 Penny Warrant Shares, the “</w:t>
      </w:r>
      <w:r>
        <w:rPr>
          <w:rFonts w:ascii="Times New Roman" w:cs="Times New Roman" w:eastAsia="Times New Roman" w:hAnsi="Times New Roman"/>
          <w:sz w:val="18"/>
          <w:szCs w:val="18"/>
          <w:b w:val="1"/>
          <w:bCs w:val="1"/>
          <w:color w:val="auto"/>
        </w:rPr>
        <w:t>Waiver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Reincorporation</w:t>
      </w:r>
    </w:p>
    <w:p>
      <w:pPr>
        <w:spacing w:after="0" w:line="2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March 31,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we changed our state of incorporation from the State of Delaware to the State of Nevada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pursuant to a plan of conversion dated March 30, 2023 (the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The Reincorporation was accomplished by filing:</w:t>
      </w:r>
    </w:p>
    <w:p>
      <w:pPr>
        <w:spacing w:after="0" w:line="1" w:lineRule="exact"/>
        <w:rPr>
          <w:sz w:val="20"/>
          <w:szCs w:val="20"/>
          <w:color w:val="auto"/>
        </w:rPr>
      </w:pPr>
    </w:p>
    <w:p>
      <w:pPr>
        <w:jc w:val="both"/>
        <w:ind w:firstLine="8"/>
        <w:spacing w:after="0" w:line="255" w:lineRule="auto"/>
        <w:tabs>
          <w:tab w:leader="none" w:pos="2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with the Secretary of State of the State of Nevada. In connection with the Reincorporation, our Board adopted new bylaws in the form attached to the Plan of Conversion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Reincorporation was previously submitted to a vote of, and approved by, our stockholders at a special meeting of stockholders held on February 28,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we entered into amendments to the employment agreements with our Chief Executive Officer, our Chief Revenue Officer and our Chief Marketing Officer to amend the terms of their annual equity compensation (the “</w:t>
      </w:r>
      <w:r>
        <w:rPr>
          <w:rFonts w:ascii="Times New Roman" w:cs="Times New Roman" w:eastAsia="Times New Roman" w:hAnsi="Times New Roman"/>
          <w:sz w:val="18"/>
          <w:szCs w:val="18"/>
          <w:b w:val="1"/>
          <w:bCs w:val="1"/>
          <w:color w:val="auto"/>
        </w:rPr>
        <w:t>Amended Employee Agreements</w:t>
      </w:r>
      <w:r>
        <w:rPr>
          <w:rFonts w:ascii="Times New Roman" w:cs="Times New Roman" w:eastAsia="Times New Roman" w:hAnsi="Times New Roman"/>
          <w:sz w:val="18"/>
          <w:szCs w:val="18"/>
          <w:color w:val="auto"/>
        </w:rPr>
        <w:t>”).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of the Board.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12, 2024, we issued a total of 836,295 RSUs under Dragonfly Energy Holdings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to the following employees pursuant to their Amended Employee Agreements: (i) 567,407 RSUs to our Chief Executive Officer; (ii) 181,481 RSUs to our Chief Revenue Officer; and (iii) 87,407 RSUs to our Chief Marketing Officer. In addition to the RSU awards, our Board also approved the following cash awards to the above referenced employees: (i) $510,667 to our Chief Executive Officer; (ii) $163,333 to our Chief Revenue Officer; and (iii) $78,668 to our Chief Marketing Officer. Each of the approved cash awards will not be paid out to the employees until we have achieved a minimum cash balance of $30,000,000, and are subject to each employee’s continued employment on the date of payment.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the 2022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for the approximately 64,000 square foot Premises to be used for warehousing, assembly and light manufacturing, painting, storage fulfillment, and distribution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6" w:right="339" w:bottom="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RV, marine vessel, solar, oil and gas, and off-grid industries, with disruptive cell manufacturing and solid-state cell technology currently under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2020, we have sold over 300,000 batteries. For the quarters ended March 31, 2024, and March 31, 2023, we sold 11,098 and 20,331 batteries, respectively, and had $12.5 million and $18.8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we announced that we achieved full certification for our energy storage products to be deployed for use in oil &amp; gas operations in North America. As a result of this certification, we are working Connexa to deliver a power product to Alegacy Equipment, a market leading natural gas compressor package company, and their affiliate Agnes Systems. The power system, which Connexa expects to integrate, are expected to be used in natural gas compression equipment to reduce methane emissions across the oilfield. We expect the first of these systems to be deployed in the third quarter of 2024 and this business line to begin contributing to net sales by the fourth quarter of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 Pursuant to the Asset Purchase Agreement dated April 22, 2022 by and among us and Thomason Jones and the other parties thereto, we also acquired the assets, including Wakespeed of Thomason Jones, allowing us to include our own alternator regulator in systems that we sell.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CNTQ was treated as the acquired company for financial statement reporting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opportunistically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$20.7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received the December 2023 Waiver from the Term Loan Lenders in regards to our compliance with the Tests as of the last day of the quarter ended December 31, 2023. The December 2023 Waiver provided for a one-time issuance of the Waiver Penny Warrants to purchase up to 1,286,671 Waiver Penny Warrant Shares,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13, 2024, we received a waiver (the “</w:t>
      </w:r>
      <w:r>
        <w:rPr>
          <w:rFonts w:ascii="Times New Roman" w:cs="Times New Roman" w:eastAsia="Times New Roman" w:hAnsi="Times New Roman"/>
          <w:sz w:val="18"/>
          <w:szCs w:val="18"/>
          <w:b w:val="1"/>
          <w:bCs w:val="1"/>
          <w:color w:val="auto"/>
        </w:rPr>
        <w:t>May 2024 Waiver</w:t>
      </w:r>
      <w:r>
        <w:rPr>
          <w:rFonts w:ascii="Times New Roman" w:cs="Times New Roman" w:eastAsia="Times New Roman" w:hAnsi="Times New Roman"/>
          <w:sz w:val="18"/>
          <w:szCs w:val="18"/>
          <w:color w:val="auto"/>
        </w:rPr>
        <w:t>”) from the Term Loan Lenders in regards to our compliance with the Tests as of the last day of the quarter ended March 31, 2024. The May 2024 Waiver provided for a one-time issuance of penny warrants (the “</w:t>
      </w:r>
      <w:r>
        <w:rPr>
          <w:rFonts w:ascii="Times New Roman" w:cs="Times New Roman" w:eastAsia="Times New Roman" w:hAnsi="Times New Roman"/>
          <w:sz w:val="18"/>
          <w:szCs w:val="18"/>
          <w:b w:val="1"/>
          <w:bCs w:val="1"/>
          <w:color w:val="auto"/>
        </w:rPr>
        <w:t>May 2024 Penny Warrants</w:t>
      </w:r>
      <w:r>
        <w:rPr>
          <w:rFonts w:ascii="Times New Roman" w:cs="Times New Roman" w:eastAsia="Times New Roman" w:hAnsi="Times New Roman"/>
          <w:sz w:val="18"/>
          <w:szCs w:val="18"/>
          <w:color w:val="auto"/>
        </w:rPr>
        <w:t>”) to purchase up to 2,550,000 shares of our common stock (the “</w:t>
      </w:r>
      <w:r>
        <w:rPr>
          <w:rFonts w:ascii="Times New Roman" w:cs="Times New Roman" w:eastAsia="Times New Roman" w:hAnsi="Times New Roman"/>
          <w:sz w:val="18"/>
          <w:szCs w:val="18"/>
          <w:b w:val="1"/>
          <w:bCs w:val="1"/>
          <w:color w:val="auto"/>
        </w:rPr>
        <w:t>May 2024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we had cash totaling $8.5 million. Our net loss for the quarter ended March 31, 2024 was $10.4 million and our net income for the quarter ended March 31, 2023 was $4.8 million. As of December 31, 2023, we had cash totaling $12.7 million. Our net loss for the years ended December 31, 2023 and December 31, 2022, were $13.8 million and $40.0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below we expect that we will need to raise additional funds, including through the use of the ChEF Equity Facility and the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ectPr>
          <w:pgSz w:w="11900" w:h="16838" w:orient="portrait"/>
          <w:cols w:equalWidth="0" w:num="1">
            <w:col w:w="11240"/>
          </w:cols>
          <w:pgMar w:left="320" w:top="686" w:right="339" w:bottom="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forecast projections, we expect our revenue in the RV market to increase in the second half of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medium and heavy-duty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w:t>
      </w:r>
    </w:p>
    <w:p>
      <w:pPr>
        <w:spacing w:after="0" w:line="3" w:lineRule="exact"/>
        <w:rPr>
          <w:sz w:val="20"/>
          <w:szCs w:val="20"/>
          <w:color w:val="auto"/>
        </w:rPr>
      </w:pPr>
    </w:p>
    <w:p>
      <w:pPr>
        <w:jc w:val="both"/>
        <w:ind w:firstLine="8"/>
        <w:spacing w:after="0" w:line="253" w:lineRule="auto"/>
        <w:tabs>
          <w:tab w:leader="none" w:pos="2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 lease for an additional 390,240 square foot warehouse in Reno, Nevada, which is expected to be completed in the second half of 2024. This facility, combined with our existing facility, will allow further scaling of our increasingly automated battery pack assembly capabilities, expand our warehousing space, and allow for deployment of our solid-state cell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March 31, 2024, and March 31,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2024 and March 31, 2023. This data should be read together with our financial statements and related notes included elsewhere in this Registration Statement,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12,505</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18,791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9,454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75.6</w:t>
            </w:r>
          </w:p>
        </w:tc>
        <w:tc>
          <w:tcPr>
            <w:tcW w:w="4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1,333</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4,813</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38.5</w:t>
            </w:r>
          </w:p>
        </w:tc>
        <w:tc>
          <w:tcPr>
            <w:tcW w:w="4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2,744</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21.9</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3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14,559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3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(4,760)</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236</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4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32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(10,367)</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(10,367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5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5,203</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7,302</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12,505</w:t>
            </w: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18,791</w:t>
            </w:r>
          </w:p>
        </w:tc>
      </w:tr>
      <w:tr>
        <w:trPr>
          <w:trHeight w:val="27"/>
        </w:trPr>
        <w:tc>
          <w:tcPr>
            <w:tcW w:w="39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decreased by $6.3 million, or 33.5%, to $12.5 million for the quarter ended March 31, 2024, as compared to $18.8 million for the quarter ended March 31, 2023. This decrease was primarily due to lower DTC and OEM battery and accessory sales offset by a higher average sales price. For the quarter ended March 31, 2024, DTC revenue decreased by $4.8 million due to decreased customer demand for our products related to rising interest rates and inflation. OEM revenue decreased by $1.5 million primarily due to our largest Recreation Vehicle (RV) customers changing our product from a standard offering to an option. Excluding this customer our RV OEM sales were up 69% year over year. We expect our sales to increase as the cyclical recovery of the RV market gains momentum in the second half of 2024. We expect our deployment of products for use in oil and gas operations in North America to begin contributing to net sales by the fourth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$4.7 million, or 33.1%, to $9.5 million for the quarter ended March 31, 2024, as compared to $14.1 million for the quarter ended March 31, 2023. This decrease was primarily due to lower unit volume and lower material costs associated with consuming lower-priced inventory resulting in a $4.6 million decrease of product cost and $0.1 million decrease in overhead expense associated with lower labor costs due to reduced headcount. We expect our Cost of Goods Sold to increase in conjunction with the anticipated increase in revenue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$1.6 million, or 34.6%, to $3.1 million for the quarter ended March 31, 2024, as compared to $4.7 million for the quarter ended March 31, 2023. The decrease in gross profit was primarily due to a lower unit volume of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$0.4 million, or 51.5%, to $1.3 million for the quarter ended March 31, 2024, as compared to $0.9 million for the quarter ended March 31, 2023. The increase was primarily due to higher wage expense in the amount of $0.3 million and $0.1 million for increased patent and material expenses. While we expect to continue to grow the Research and Development headcount, we expect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$4.7 million, or 49.3%, to $4.8 million for the quarter ended March 31, 2024, as compared to $9.5 million for the quarter ended March 31, 2023. This decrease was primarily due to the issuance of stock-based compensation in the prior year in the amount of $3.5 million along with lower employee related costs in the amount of $0.5 million due to decreased headcount. In addition, legal and compliance costs decreased by $0.6 million due to reduced support required for Exchange Act reporting and compliance, including the preparation of our Annual Report. Travel expenses in General and Administrative decreased by $0.2 million due to allocation to the other functional areas in 2024. We expect General and Administrative Expenses, as a percentage of revenue, to decline over the next 12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$1.4 million, or 34.4%, to $2.7 million for the quarter ended March 31, 2024, as compared to $4.2 million for the quarter ended March 31, 2023. This decrease was primarily due to lower employee-related costs in the amount of $1.3 million of which $0.8 million is due to the prior year stock- based compensation. Lower shipping costs in the amount of $0.4 million is related to a reduction in units sold is offset by $0.3 million other marketing expense which includes travel expenses allocated from general and administrative to selling and marketing in 2024. We expect our Selling and Marketing Expenses to be relatively stable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$4.5 million for the quarter ended March 31, 2024 as compared to total other income of $14.7 million for the quarter ended March 31, 2023. Other expense of $4.5 million in quarter ended March 31, 2024 was comprised primarily of interest expense of $4.8 million related to our debt securities offset by a change in fair market value of warrant liability in the amount of $0.2 million. The $14.8 million of other income in quarter ended March 31, 2023 is comprised of the change in fair market value of warrant liability of $18.5 million offset by interest expense of $3.9 million related to our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March 31, 2024 or March 31, 2023. Based on available evidence as of March 31, 2024 and March 31, 2023, management believes it is more likely than not that some or all the deferred tax assets will not be realized. Accordingly, we established a 100% valuation allowance. As a result of the full valuation allowance, we did not record a tax benefit during the quarter ended March 31, 2023 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$10.4 million for the quarter ended March 31, 2024, as compared to net income of $4.8 million for the quarter ended March 31, 2023. As described above, this result was driven by lower sales partially offset by lower cost of goods sold, and lower operating expenses, and a decrease in other income (due to the change in fair market value of our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Years Ended December 31, 2023 and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 This data should be read together with our financial statements and related notes included elsewhere in this Registration Statement,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64,392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86,251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48,946</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76.0</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62,633</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3,863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2,764</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26,389</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41,566</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12,623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13,671</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w:t>
            </w: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42,875</w:t>
            </w:r>
          </w:p>
        </w:tc>
        <w:tc>
          <w:tcPr>
            <w:tcW w:w="34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(16,015)</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29,582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5,446</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Taxes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(13,843)</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(40,700)</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7"/>
                <w:szCs w:val="17"/>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120" w:type="dxa"/>
            <w:vAlign w:val="bottom"/>
            <w:tcBorders>
              <w:bottom w:val="single" w:sz="8" w:color="auto"/>
            </w:tcBorders>
            <w:gridSpan w:val="4"/>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3"/>
          </w:tcPr>
          <w:p>
            <w:pPr>
              <w:jc w:val="center"/>
              <w:ind w:right="45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36,875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57.3</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27,517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37"/>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by $21.9 million, or 25.3%, to $64.4 million for the year ended December 31, 2023, as compared to $86.3 million for the year ended December 31, 2022. This decrease was primarily due to lower DTC and OEM battery and accessory sales due to a decline in demand in our core RV markets, and a slight decrease in average sale prices for our batteries. For the year ended December 31, 2023, OEM revenue decreased by $6.3 million as a result of weaker overall demand in the RV market. DTC revenue decreased by $15.6 million as a result of decreased customer demand for our products due to rising interest rates and inflation. We expect our sales to increase as the cyclical recovery of the RV market gains momentum in the coming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decreased by $13.7 million, or 21.9%, to $48.9 million for the year ended December 31, 2023, as compared to $62.6 million for the year ended December 31, 2022. This decrease was primarily due to a $13.1 million decrease in product cost due to lower unit volume, partially offset by higher material cost associated with consuming higher priced inventory and an adjustment to customs due to tariff correction of $0.3 million, and a $0.6 million decrease in overhead expense associated with lower labor cost due to reduced headcount. We expect our Cost of Goods Sold to increase in conjunction with the anticipated increase in revenue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by $8.2 million, or 34.6%, to $15.4 million for the year ended December 31, 2023, as compared to $23.6 million for the year ended December 31, 2022. The decrease in gross profit was primarily due to lower unit volumes and a change in revenue mix that included a larger percentage of lower margin OEM sales and a lower percentage of higher margin DTC sales, together with higher material costs as noted above. Gross Profit percentage decreased by 4.3% from 27.4% in 2022 to 23.1% in 2023. Lower volume caused a reduction in absorption of labor and overhead impacting gross profit by 2.3% along with an increase in material costs reducing gross profit by 1.1%. We expect our Gross Profit, as a percentage of revenue, to remain relatively stable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$1.1 million, or 39.8%, to $3.9 million for the year ended December 31, 2023, as compared to $2.8 million for the year ended December 31, 2022. The increase was primarily due $0.8 million in higher material and patent expense along with increased wages and depreciation expense associated with cell manufacturing development work. While we expect to continue to grow its Research and Development headcount, it expects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$15.2 million, or 36.5%, to $26.4 million for the year ended December 31, 2023, as compared to $41.6 million for the year ended December 31, 2022. This decrease was primarily due to the absence of $23.4 million of fiscal year 2022 expenses associated with the Business Combination and professional fees and a decrease in employee-related costs in the amount of $2.5 million offset by an increase in stock-based compensation costs of $4.5 million. We also incurred higher compliance, insurance, and professional fees related to public company costs in the amount of $4.5 million, and a $1.7 million increase in investor relations expenses. We expect General and Administrative Expenses, as a percentage of revenue, to decline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$1.1 million, or 7.7%, to $12.6 million for the year ended December 31, 2023, as compared to $13.7 million for the year ended December 31, 2022. This decrease was primarily due to a $2.0 million reduction in shipping costs due to lower unit volumes, partially offset by higher employee related costs of $0.8 million due to increased headcount and higher stock-based compensation. We expect our Selling and Marketing Expenses to be relatively stable over the next 12 months.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totaled $13.6 million for the year ended December 31, 2023 as compared to total other expense of $6.3 million for the year ended December 31, 2022. Other income in 2023 is comprised primarily of a change in fair market value of warrant liability in the amount of $29.6 million, partially offset by interest expense of $16.0 million related to our debt securities. Other expense in 2022 is comprised primarily of interest expense of $6.9 million related to senior secured note of $45 million combined with debt securities of $75 million, debt extinguishment expense of $4.8 million due to the retirement of the $45 million in senior secured notes as a result of the Business Combination, partially offset by $5.4 million in the change of the fair market value of our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benefit for the year ended December 31, 2023, was minimal as compared to a $0.7 million benefit for the year ended December 31, 2022.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$13.8 million for the year ended December 31, 2023, as compared to a net loss of $40.0 million for the year ended December 31, 2022. As described above, this result was driven by lower sales due to reduced demand in the RV market, partially offset by lower cost of goods sold, lower operating expenses and increased other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(the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In addition, there are other items within our financial statements that require estimation but are not deemed critical as defined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estimates used in these and other items could have a material impact on our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10— Warrants” in our accompanying consolidated financial statements for information on the warrants.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leases do not provide an implicit rate, our incremental borrowing rate is used as a discount rate in determining the present value of lease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incremental borrowing rate was determined by comparing current low- and high-end mortgage loan rates and calculating an average. For our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Damonte lease, to be conservative in our estimate, we chose to use the high-end average as our incremental borrowing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for the three months ended March 31, 2024, and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3"/>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(10,367)</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4,760</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8"/>
                <w:szCs w:val="18"/>
                <w:color w:val="auto"/>
              </w:rPr>
            </w:pP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332</w:t>
            </w:r>
          </w:p>
        </w:tc>
        <w:tc>
          <w:tcPr>
            <w:tcW w:w="1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w:t>
            </w:r>
          </w:p>
        </w:tc>
      </w:tr>
      <w:tr>
        <w:trPr>
          <w:trHeight w:val="203"/>
        </w:trPr>
        <w:tc>
          <w:tcPr>
            <w:tcW w:w="5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16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(5,275)</w:t>
            </w:r>
          </w:p>
        </w:tc>
        <w:tc>
          <w:tcPr>
            <w:tcW w:w="3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8,928</w:t>
            </w:r>
          </w:p>
        </w:tc>
        <w:tc>
          <w:tcPr>
            <w:tcW w:w="80" w:type="dxa"/>
            <w:vAlign w:val="bottom"/>
            <w:tcBorders>
              <w:top w:val="single" w:sz="8" w:color="CCEEFF"/>
            </w:tcBorders>
          </w:tcPr>
          <w:p>
            <w:pPr>
              <w:spacing w:after="0"/>
              <w:rPr>
                <w:sz w:val="17"/>
                <w:szCs w:val="17"/>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80" w:type="dxa"/>
            <w:vAlign w:val="bottom"/>
          </w:tcPr>
          <w:p>
            <w:pPr>
              <w:spacing w:after="0"/>
              <w:rPr>
                <w:sz w:val="22"/>
                <w:szCs w:val="22"/>
                <w:color w:val="auto"/>
              </w:rPr>
            </w:pPr>
          </w:p>
        </w:tc>
      </w:tr>
      <w:tr>
        <w:trPr>
          <w:trHeight w:val="290"/>
        </w:trPr>
        <w:tc>
          <w:tcPr>
            <w:tcW w:w="53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(2)</w:t>
            </w:r>
          </w:p>
        </w:tc>
        <w:tc>
          <w:tcPr>
            <w:tcW w:w="16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(236)</w:t>
            </w:r>
          </w:p>
        </w:tc>
        <w:tc>
          <w:tcPr>
            <w:tcW w:w="1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(18,523)</w:t>
            </w:r>
          </w:p>
        </w:tc>
      </w:tr>
      <w:tr>
        <w:trPr>
          <w:trHeight w:val="203"/>
        </w:trPr>
        <w:tc>
          <w:tcPr>
            <w:tcW w:w="53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(5,245</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(5,108</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5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right="180" w:firstLine="8"/>
        <w:spacing w:after="0" w:line="498"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for the three months ended March 31, 2024 and March 31, 2023. The table below presents our adjusted EBITDA, reconciled to net (loss) income for the years ended December 31,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3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(13,817)</w:t>
            </w:r>
          </w:p>
        </w:tc>
        <w:tc>
          <w:tcPr>
            <w:tcW w:w="130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16,015</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6,710</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56"/>
        </w:trPr>
        <w:tc>
          <w:tcPr>
            <w:tcW w:w="54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June 2023 Offering Costs </w:t>
            </w:r>
            <w:r>
              <w:rPr>
                <w:rFonts w:ascii="Times New Roman" w:cs="Times New Roman" w:eastAsia="Times New Roman" w:hAnsi="Times New Roman"/>
                <w:sz w:val="29"/>
                <w:szCs w:val="29"/>
                <w:color w:val="auto"/>
                <w:vertAlign w:val="superscript"/>
              </w:rPr>
              <w:t>(2)</w:t>
            </w:r>
          </w:p>
        </w:tc>
        <w:tc>
          <w:tcPr>
            <w:tcW w:w="1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9"/>
                <w:szCs w:val="29"/>
                <w:color w:val="auto"/>
                <w:vertAlign w:val="superscript"/>
              </w:rPr>
              <w:t>(3)</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Separation Agreement</w:t>
            </w:r>
            <w:r>
              <w:rPr>
                <w:rFonts w:ascii="Times New Roman" w:cs="Times New Roman" w:eastAsia="Times New Roman" w:hAnsi="Times New Roman"/>
                <w:sz w:val="29"/>
                <w:szCs w:val="29"/>
                <w:color w:val="auto"/>
                <w:vertAlign w:val="superscript"/>
              </w:rPr>
              <w:t>(4)</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w:t>
            </w:r>
          </w:p>
        </w:tc>
      </w:tr>
      <w:tr>
        <w:trPr>
          <w:trHeight w:val="256"/>
        </w:trPr>
        <w:tc>
          <w:tcPr>
            <w:tcW w:w="54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9"/>
                <w:szCs w:val="29"/>
                <w:color w:val="auto"/>
                <w:vertAlign w:val="superscript"/>
              </w:rPr>
              <w:t>(5)</w:t>
            </w:r>
          </w:p>
        </w:tc>
        <w:tc>
          <w:tcPr>
            <w:tcW w:w="1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21,337</w:t>
            </w:r>
          </w:p>
        </w:tc>
      </w:tr>
      <w:tr>
        <w:trPr>
          <w:trHeight w:val="257"/>
        </w:trPr>
        <w:tc>
          <w:tcPr>
            <w:tcW w:w="54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Debt extinguishment </w:t>
            </w:r>
            <w:r>
              <w:rPr>
                <w:rFonts w:ascii="Times New Roman" w:cs="Times New Roman" w:eastAsia="Times New Roman" w:hAnsi="Times New Roman"/>
                <w:sz w:val="29"/>
                <w:szCs w:val="29"/>
                <w:color w:val="auto"/>
                <w:vertAlign w:val="superscript"/>
              </w:rPr>
              <w:t>(6)</w:t>
            </w: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50"/>
        </w:trPr>
        <w:tc>
          <w:tcPr>
            <w:tcW w:w="54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 xml:space="preserve">Change in fair market value of warrant liability </w:t>
            </w:r>
            <w:r>
              <w:rPr>
                <w:rFonts w:ascii="Times New Roman" w:cs="Times New Roman" w:eastAsia="Times New Roman" w:hAnsi="Times New Roman"/>
                <w:sz w:val="28"/>
                <w:szCs w:val="28"/>
                <w:color w:val="auto"/>
                <w:vertAlign w:val="superscript"/>
              </w:rPr>
              <w:t>(7)</w:t>
            </w:r>
          </w:p>
        </w:tc>
        <w:tc>
          <w:tcPr>
            <w:tcW w:w="16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(29,582)</w:t>
            </w: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2023 Offering Costs related to the warrant liability are comprised of fees and expenses, including legal, accounting, and other expenses associated with this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prior to the Business Combination, in connection with the promissory note, with a maturity date of March 1, 2026, between us and John Marchetti, our Senior Vice President of Operations and our former Chief Financial Officer.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 in 2022 is comprised of $1.2 million in cash severance associated with the Separation Agreement, dated October 25, 2022, as amended on November 14, 2022, between us and Sean Nichols, our former Chief Operating Officer. Separation Agreement in 2023 is comprised of $720 in cash severance associated with separation agreement dated April 26, 2023, between us and our former Chief Legal Officer.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expenses, including legal, accounting, and others associated with the Business Combination.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the date the warrants were issued through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2024, we had cash totaling $8.5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4"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2023. As a result, our inventory balance at March 31, 2024 decreased by $5.2 million to $33.6 million, compared to $38.8 million at December 31, 2023.</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in part, to repay the $45 million fixed rate senior notes, and ChEF Equity Facility. As of December 31, 2023, we had $76 million outstanding under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0" w:lineRule="auto"/>
        <w:tabs>
          <w:tab w:leader="none" w:pos="3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and May 13, 2024, we obtained waivers from Administrative Agent and EICF Agent LLC and certain third-party financing source of our failure to satisfy the Tests under the Term Loan during the quarters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fiscal day for the month ended April 30, 2024, respectively.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w:t>
      </w:r>
    </w:p>
    <w:p>
      <w:pPr>
        <w:spacing w:after="0" w:line="4" w:lineRule="exact"/>
        <w:rPr>
          <w:rFonts w:ascii="Times New Roman" w:cs="Times New Roman" w:eastAsia="Times New Roman" w:hAnsi="Times New Roman"/>
          <w:sz w:val="18"/>
          <w:szCs w:val="18"/>
          <w:color w:val="auto"/>
        </w:rPr>
      </w:pPr>
    </w:p>
    <w:p>
      <w:pPr>
        <w:ind w:firstLine="8"/>
        <w:spacing w:after="0" w:line="260" w:lineRule="auto"/>
        <w:tabs>
          <w:tab w:leader="none" w:pos="2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have filed a registration statement registering the resale of up to 21,512,027 shares that may be resold into the public markets by CCM,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From January 1, 2024 through May 13, 2024, we did not issue any shares of common stock under the ChEF Equity Facility.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2024, we issued the January Note in the Principal Amount of $1.0 million to Brian Nelson, one of our directors, in a private placement in exchange for cash in an equal amount. The January Note became due and payable in full on February 5, 2024. We were also obligated to pay the January Loan Fee in the amount of $50,000 to Mr. Nelson on February 5, 2024. The January Principal Amount of the January Note and the January Loan Fee were paid in full on February 1, 2024. 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a registration statement registering the resale of up to 47,428,544 shares and 12,266,971 warrants to purchase common stock that may be resold and/or issued into the public markets, which represents approximately 82% of the shares of our common stock outstanding as of March 31, 2024.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we identified an underpayment of tariffs to CBP in the amount of approximately $1.58 million in the aggregate, related to the improper classification and valuation of certain of the products used in our batteries. We have reported the underpayment to CBP.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incurred losses and had a negative cash flow from operations. As of December 31, 2023, we had approximately $12.7 million in cash and cash equivalents and working capital of $15.5 million. For the quarter ended March 31, 2024, we generated a net loss of $10.4 million and had a negative cash flow from operations. As of March 31, 2024, we had approximately $8.5 million in cash and cash equivalents and working capital of $4.2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and May 13, 2024, we obtained waivers from our Administrative Agent and Term Loan Lenders of our failures to satisfy the fixed charge coverage ratio and maximum senior leverage ratio with respect to the minimum cash requirements under the Term Loan for the quarters ended, March 31, 2023, September 30, 2023, December 31, 2024 and March 31, 2024, respectively. On March 31, 2024 and April 29, 2024, we received additional waivers from our Administrative Agent and Term Loan Lenders in regard to our compliance with our liquidity requirement under the Term Loan as of the last day of the fiscal quarter ended March 31, 2024 and as of the last day of the fiscal month ended April 30, 2024, respectively.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March 31, 2023</w:t>
            </w: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(3,395)</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8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4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$3.4 million for the three months ended March 31, 2024, primarily due to a net loss of $10.4 million partially offset by $1.3 million of payment in-kind interest accrued on the term loan and $5.2 million decrease in inventory as a result of management’s decision to lower overall stocking levels to adjust for more modest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$3.8 million for the three months ended March 31, 2023. Net income of $4.8 million was offset by $11.8 million in operating adjustments, primarily due to a $18.5 million change in the fair market value of warrant liability and an increase in working capital of $3.2 million as a result of an increase accounts payable offset by an increase in inventory and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$0.8 million for the three months ended March 31, 2024, as compared to net cash used in investing activities of $0.6 million for the three months ended March 31, 2023. The increase in cash used in investing activities was primarily due to an increase in capital equipment expenses to support our core battery business and ongoing efforts to develop solid-state battery technology and manufacturing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zero net cash provided in financing activities, proceeds of $2.7 million note payable was subsequently repaid for the three months ended March 31, 2024, as compared to net cash provided by financing activities of $2.4 million for the three months ended March 31, 2023 which consisted of $1.0 million note payable and proceeds related to public warrants.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440" w:type="dxa"/>
            <w:vAlign w:val="bottom"/>
          </w:tcPr>
          <w:p>
            <w:pPr>
              <w:spacing w:after="0"/>
              <w:rPr>
                <w:sz w:val="24"/>
                <w:szCs w:val="24"/>
                <w:color w:val="auto"/>
              </w:rPr>
            </w:pPr>
          </w:p>
        </w:tc>
        <w:tc>
          <w:tcPr>
            <w:tcW w:w="30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w:t>
            </w:r>
          </w:p>
        </w:tc>
        <w:tc>
          <w:tcPr>
            <w:tcW w:w="1080" w:type="dxa"/>
            <w:vAlign w:val="bottom"/>
          </w:tcPr>
          <w:p>
            <w:pPr>
              <w:spacing w:after="0"/>
              <w:rPr>
                <w:sz w:val="18"/>
                <w:szCs w:val="18"/>
                <w:color w:val="auto"/>
              </w:rPr>
            </w:pPr>
          </w:p>
        </w:tc>
        <w:tc>
          <w:tcPr>
            <w:tcW w:w="20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(17,706)</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(6,885)</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19,523</w:t>
            </w:r>
          </w:p>
        </w:tc>
        <w:tc>
          <w:tcPr>
            <w:tcW w:w="12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$6.9 million for the year ended December 31, 2023, as compared to $6.8 million for the year ended December 31, 2022. The cash used in investing activities was primarily driven by capital expenditures to support our core battery business and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$19.5 million for the year ended December 31, 2023, primarily as a result of proceeds $20.7 million from the June 2023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partially offset by a $45.0 million expense for the repayment of the senior secured notes.</w:t>
      </w:r>
    </w:p>
    <w:p>
      <w:pPr>
        <w:sectPr>
          <w:pgSz w:w="11900" w:h="16838" w:orient="portrait"/>
          <w:cols w:equalWidth="0" w:num="1">
            <w:col w:w="11240"/>
          </w:cols>
          <w:pgMar w:left="320" w:top="688" w:right="339" w:bottom="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and financing lease liabilities. As of March 31, 2024, we had $1.7 million in short-term operating lease liabilities and $22.8 million in long-term operating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March 31, 2024, the principal amount outstanding under the Term Loan was $69.7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p>
        </w:tc>
      </w:tr>
      <w:tr>
        <w:trPr>
          <w:trHeight w:val="43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r>
      <w:tr>
        <w:trPr>
          <w:trHeight w:val="198"/>
        </w:trPr>
        <w:tc>
          <w:tcPr>
            <w:tcW w:w="3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Interim Chief Financial Officer and Chairman of the</w:t>
            </w:r>
          </w:p>
        </w:tc>
      </w:tr>
      <w:tr>
        <w:trPr>
          <w:trHeight w:val="23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Denis Phares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Dr. Phares is the co-founder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Wade Seaburg </w:t>
      </w:r>
      <w:r>
        <w:rPr>
          <w:rFonts w:ascii="Times New Roman" w:cs="Times New Roman" w:eastAsia="Times New Roman" w:hAnsi="Times New Roman"/>
          <w:sz w:val="18"/>
          <w:szCs w:val="18"/>
          <w:color w:val="auto"/>
        </w:rPr>
        <w:t>has served as our Chief Revenue Officer since November 2022. Prior to the Business Combination, Mr. Seaburg served as an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 w:cs="Times New Roman" w:eastAsia="Times New Roman" w:hAnsi="Times New Roman"/>
          <w:sz w:val="18"/>
          <w:szCs w:val="18"/>
          <w:b w:val="1"/>
          <w:bCs w:val="1"/>
          <w:color w:val="auto"/>
        </w:rPr>
        <w:t>WESCO</w:t>
      </w:r>
      <w:r>
        <w:rPr>
          <w:rFonts w:ascii="Times New Roman" w:cs="Times New Roman" w:eastAsia="Times New Roman" w:hAnsi="Times New Roman"/>
          <w:sz w:val="18"/>
          <w:szCs w:val="18"/>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Prior to the Business Combination, Mr. Bourns served as the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our Board since October 2022. Prior to the Business Combination, Ms. Ingargiola served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Legacy Dragonfly 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and as Audit Committee Chair for Electrameccanica Vehicles Corp. (Nasdaq: SOLO) (“</w:t>
      </w:r>
      <w:r>
        <w:rPr>
          <w:rFonts w:ascii="Times New Roman" w:cs="Times New Roman" w:eastAsia="Times New Roman" w:hAnsi="Times New Roman"/>
          <w:sz w:val="18"/>
          <w:szCs w:val="18"/>
          <w:b w:val="1"/>
          <w:bCs w:val="1"/>
          <w:color w:val="auto"/>
        </w:rPr>
        <w:t>Electrameccanica</w:t>
      </w:r>
      <w:r>
        <w:rPr>
          <w:rFonts w:ascii="Times New Roman" w:cs="Times New Roman" w:eastAsia="Times New Roman" w:hAnsi="Times New Roman"/>
          <w:sz w:val="18"/>
          <w:szCs w:val="18"/>
          <w:color w:val="auto"/>
        </w:rPr>
        <w:t>”) since March 2018 to March 2024, and following the sale of Electrameccanica to XOS, Inc. (“</w:t>
      </w:r>
      <w:r>
        <w:rPr>
          <w:rFonts w:ascii="Times New Roman" w:cs="Times New Roman" w:eastAsia="Times New Roman" w:hAnsi="Times New Roman"/>
          <w:sz w:val="18"/>
          <w:szCs w:val="18"/>
          <w:b w:val="1"/>
          <w:bCs w:val="1"/>
          <w:color w:val="auto"/>
        </w:rPr>
        <w:t>XOS</w:t>
      </w:r>
      <w:r>
        <w:rPr>
          <w:rFonts w:ascii="Times New Roman" w:cs="Times New Roman" w:eastAsia="Times New Roman" w:hAnsi="Times New Roman"/>
          <w:sz w:val="18"/>
          <w:szCs w:val="18"/>
          <w:color w:val="auto"/>
        </w:rPr>
        <w:t>”) in March 2024, commenced as a director of XOS,, as a member of the board and Audit Committee Chair for BioCorRx Inc. (OTC: BICX) since April 2018, and as a member of the board and Audit Committee Chair of Vision Marine Technologies, Inc. (NASDAQ: VMAR) since December 2020. Ms. Ingargiola holds a M.B.A. in Health Administration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Rick Parod </w:t>
      </w:r>
      <w:r>
        <w:rPr>
          <w:rFonts w:ascii="Times New Roman" w:cs="Times New Roman" w:eastAsia="Times New Roman" w:hAnsi="Times New Roman"/>
          <w:sz w:val="18"/>
          <w:szCs w:val="18"/>
          <w:color w:val="auto"/>
        </w:rPr>
        <w:t>has served as a member of our Board since October 2022. Mr. Parod currently serves as the CEO of AdeptAg, a company that serves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received a B.S. in accounting from Northern Illinois University and an M.B.A from Pepperdine University. Mr. Parod is qualified to serve on our Board based on his experience in manufacturing operations, product development and sales and marketing.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Karina Montilla Edmonds, Ph.D. </w:t>
      </w:r>
      <w:r>
        <w:rPr>
          <w:rFonts w:ascii="Times New Roman" w:cs="Times New Roman" w:eastAsia="Times New Roman" w:hAnsi="Times New Roman"/>
          <w:sz w:val="18"/>
          <w:szCs w:val="18"/>
          <w:color w:val="auto"/>
        </w:rPr>
        <w:t>has served as a member of our Board since October 2022. Dr. Edmonds currently serves as the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our Board since October 2022. Prior to the Business Combination, Mr. Nelson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Jonathan Bellows </w:t>
      </w:r>
      <w:r>
        <w:rPr>
          <w:rFonts w:ascii="Times New Roman" w:cs="Times New Roman" w:eastAsia="Times New Roman" w:hAnsi="Times New Roman"/>
          <w:sz w:val="18"/>
          <w:szCs w:val="18"/>
          <w:color w:val="auto"/>
        </w:rPr>
        <w:t>has served as a member of our Board since October 2022. Mr. Bellows currently serves as President of KORE Power, which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 - Johnson in 1998, where he earned his B.A. in History. Mr. Bellows is qualified to serve on our Board based on his energy storage industry expertise and operating and leadership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Perry Boyle </w:t>
      </w:r>
      <w:r>
        <w:rPr>
          <w:rFonts w:ascii="Times New Roman" w:cs="Times New Roman" w:eastAsia="Times New Roman" w:hAnsi="Times New Roman"/>
          <w:sz w:val="18"/>
          <w:szCs w:val="18"/>
          <w:color w:val="auto"/>
        </w:rPr>
        <w:t>has served as a member of our Board since October 2022. Prior to the Business Combination, he served on the board of directors of CNTQ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seven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2026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2024 annual meeting of stockholders; and</w:t>
      </w:r>
    </w:p>
    <w:p>
      <w:pPr>
        <w:spacing w:after="0" w:line="225" w:lineRule="exact"/>
        <w:rPr>
          <w:rFonts w:ascii="Times New Roman" w:cs="Times New Roman" w:eastAsia="Times New Roman" w:hAnsi="Times New Roman"/>
          <w:sz w:val="18"/>
          <w:szCs w:val="18"/>
          <w:color w:val="auto"/>
        </w:rPr>
      </w:pPr>
    </w:p>
    <w:p>
      <w:pPr>
        <w:jc w:val="center"/>
        <w:ind w:left="5540" w:right="220" w:hanging="5208"/>
        <w:spacing w:after="0" w:line="563" w:lineRule="auto"/>
        <w:tabs>
          <w:tab w:leader="none" w:pos="6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2025 annual meeting of stockholders.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our assessment of risks. The Board focuses on the most significant risks we face and our general risk management strategy, and also ensures that risks undertaken by us are consistent with the Board’s risk strategy. While the Board oversees our risk management, management is responsible for day-to-day risk management processes. We believe this division of responsibilities is the most effective approach for addressing the risks we face and that our Board leadership structure supports this approach.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has determined that Rick Parod, Perry Boyle, Jonathan Bellows, Karina Montilla Edmonds, Brian Nelson, and Luisa Ingargiola are an “independent directors” as such term is defined under the applicable rules of Nasdaq.</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Our Board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Oversight/Risk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three standing committees — an Audit Committee, a Compensation Committee, and a Nominating and Corporate Governance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our directors and senior management’s compensation and the administration of our compensation plans. Our Board determined that each of the members of the Compensation Committee are a non-employee director, as defined in Rule 16b-3 promulgated under the Exchange Act and satisfies the independence requirements of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color w:val="auto"/>
        </w:rPr>
        <w:t>https://dragonflyenergy.com/.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disclose any amendments to our Code of Conduct and Ethics, or waivers of its requirements on our website identified above, or in filings under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the Company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and directors. This discussion may contain forward-looking statements that are based on our current plans, considerations, expectations and determinations regarding future compensation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2023</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2023, the two most highly-compensated executive officers (other than the Chief Executive Officer) who were serving as executive officers during the fiscal years ended December 31, 2023 and December 31, 2022, and up to two additional individuals for whom disclosure would have been provided but for the fact that such individuals were not serving as an executive officer as of December 31, 2023 for services rendered in all capacities to us for the fiscal year ended December 31, 2023.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0" w:type="dxa"/>
            <w:vAlign w:val="bottom"/>
          </w:tcPr>
          <w:p>
            <w:pPr>
              <w:spacing w:after="0"/>
              <w:rPr>
                <w:sz w:val="21"/>
                <w:szCs w:val="21"/>
                <w:color w:val="auto"/>
              </w:rPr>
            </w:pPr>
          </w:p>
        </w:tc>
        <w:tc>
          <w:tcPr>
            <w:tcW w:w="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1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255,333</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877,333</w:t>
            </w: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8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Interim</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806,207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1,531,545</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3,019,7524</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Sean Nichols(5)</w:t>
            </w:r>
          </w:p>
        </w:tc>
        <w:tc>
          <w:tcPr>
            <w:tcW w:w="5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615,891(6)</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615,891</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598,462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655,587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157,693(7)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1,411,742</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81,666</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(8)</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196"/>
        </w:trPr>
        <w:tc>
          <w:tcPr>
            <w:tcW w:w="8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Revenue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262,115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489,978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1,052,093</w:t>
            </w:r>
          </w:p>
        </w:tc>
      </w:tr>
      <w:tr>
        <w:trPr>
          <w:trHeight w:val="196"/>
        </w:trPr>
        <w:tc>
          <w:tcPr>
            <w:tcW w:w="1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Tyler Bourns</w:t>
            </w:r>
          </w:p>
        </w:tc>
        <w:tc>
          <w:tcPr>
            <w:tcW w:w="5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7"/>
                <w:szCs w:val="17"/>
                <w:color w:val="auto"/>
              </w:rPr>
            </w:pPr>
          </w:p>
        </w:tc>
        <w:tc>
          <w:tcPr>
            <w:tcW w:w="8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280,000</w:t>
            </w:r>
          </w:p>
        </w:tc>
        <w:tc>
          <w:tcPr>
            <w:tcW w:w="8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60"/>
              <w:spacing w:after="0" w:line="195" w:lineRule="exact"/>
              <w:rPr>
                <w:sz w:val="20"/>
                <w:szCs w:val="20"/>
                <w:color w:val="auto"/>
              </w:rPr>
            </w:pPr>
            <w:r>
              <w:rPr>
                <w:rFonts w:ascii="Times New Roman" w:cs="Times New Roman" w:eastAsia="Times New Roman" w:hAnsi="Times New Roman"/>
                <w:sz w:val="18"/>
                <w:szCs w:val="18"/>
                <w:color w:val="auto"/>
              </w:rPr>
              <w:t>39,333</w:t>
            </w:r>
          </w:p>
        </w:tc>
        <w:tc>
          <w:tcPr>
            <w:tcW w:w="60" w:type="dxa"/>
            <w:vAlign w:val="bottom"/>
          </w:tcPr>
          <w:p>
            <w:pPr>
              <w:spacing w:after="0"/>
              <w:rPr>
                <w:sz w:val="17"/>
                <w:szCs w:val="17"/>
                <w:color w:val="auto"/>
              </w:rPr>
            </w:pPr>
          </w:p>
        </w:tc>
        <w:tc>
          <w:tcPr>
            <w:tcW w:w="76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line="195" w:lineRule="exact"/>
              <w:rPr>
                <w:sz w:val="20"/>
                <w:szCs w:val="20"/>
                <w:color w:val="auto"/>
              </w:rPr>
            </w:pPr>
            <w:r>
              <w:rPr>
                <w:rFonts w:ascii="Times New Roman" w:cs="Times New Roman" w:eastAsia="Times New Roman" w:hAnsi="Times New Roman"/>
                <w:sz w:val="18"/>
                <w:szCs w:val="18"/>
                <w:color w:val="auto"/>
              </w:rPr>
              <w:t>— (9)</w:t>
            </w:r>
          </w:p>
        </w:tc>
        <w:tc>
          <w:tcPr>
            <w:tcW w:w="130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319,333</w:t>
            </w:r>
          </w:p>
        </w:tc>
      </w:tr>
      <w:tr>
        <w:trPr>
          <w:trHeight w:val="21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235,995</w:t>
            </w:r>
          </w:p>
        </w:tc>
        <w:tc>
          <w:tcPr>
            <w:tcW w:w="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493,495</w:t>
            </w: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(10)</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227,692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107,667(10)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r>
        <w:trPr>
          <w:trHeight w:val="196"/>
        </w:trPr>
        <w:tc>
          <w:tcPr>
            <w:tcW w:w="162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w w:val="99"/>
              </w:rPr>
              <w:t>Former Senior Vice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316,153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769,366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645,998</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11,057(7)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1,742,574</w:t>
            </w:r>
          </w:p>
        </w:tc>
      </w:tr>
    </w:tbl>
    <w:p>
      <w:pPr>
        <w:spacing w:after="0" w:line="198" w:lineRule="exact"/>
        <w:rPr>
          <w:sz w:val="20"/>
          <w:szCs w:val="20"/>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years ended December 31, 2023 and December 31,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2023 and December 31, 2022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the fiscal years ended December 31, 2023 and December 31, 2022 under our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F-11 of our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$510,667 for services performed in December 31, 2023, which will not be paid out to Dr. Phares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we announced that Mr. Nichols would be stepping down as our Chief Operating Officer on November 7,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(as defined below) and the transfer of the title of a Company van during the year ended December 31,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comprises of payments made to Mr. Nichols under his Separation Agreement during the year ended December 31, 2022.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$78,668 for services performed in December 31, 2023, which</w:t>
      </w:r>
    </w:p>
    <w:p>
      <w:pPr>
        <w:sectPr>
          <w:pgSz w:w="11900" w:h="16838" w:orient="portrait"/>
          <w:cols w:equalWidth="0" w:num="1">
            <w:col w:w="11240"/>
          </w:cols>
          <w:pgMar w:left="320" w:top="684" w:right="339" w:bottom="0" w:gutter="0" w:footer="0" w:header="0"/>
        </w:sectPr>
      </w:pPr>
    </w:p>
    <w:bookmarkStart w:id="88" w:name="page89"/>
    <w:bookmarkEnd w:id="88"/>
    <w:p>
      <w:pPr>
        <w:ind w:left="328" w:right="20"/>
        <w:spacing w:after="0" w:line="282" w:lineRule="auto"/>
        <w:rPr>
          <w:sz w:val="20"/>
          <w:szCs w:val="20"/>
          <w:color w:val="auto"/>
        </w:rPr>
      </w:pPr>
      <w:r>
        <w:rPr>
          <w:rFonts w:ascii="Times New Roman" w:cs="Times New Roman" w:eastAsia="Times New Roman" w:hAnsi="Times New Roman"/>
          <w:sz w:val="18"/>
          <w:szCs w:val="18"/>
          <w:color w:val="auto"/>
        </w:rPr>
        <w:t>will not be paid out to Mr. Bourns until we have achieved a minimum cash balance of $30,000,000, subject to his continued employment on the date of payment.</w:t>
      </w:r>
    </w:p>
    <w:p>
      <w:pPr>
        <w:spacing w:after="0" w:line="162" w:lineRule="exact"/>
        <w:rPr>
          <w:sz w:val="20"/>
          <w:szCs w:val="20"/>
          <w:color w:val="auto"/>
        </w:rPr>
      </w:pPr>
    </w:p>
    <w:p>
      <w:pPr>
        <w:jc w:val="both"/>
        <w:ind w:left="328" w:hanging="328"/>
        <w:spacing w:after="0" w:line="261"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239,259 RSUs were forfeited.</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was not to be paid out to Mr. Marchetti until we had achieved a minimum cash balance of $30,000,000, subject to his continued employment on the date of payment. As a result of the termination of Mr. Marchetti’s employment, his contingent cash award was forfeited.</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2023,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Plan Awards: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Option</w:t>
            </w:r>
          </w:p>
        </w:tc>
      </w:tr>
      <w:tr>
        <w:trPr>
          <w:trHeight w:val="230"/>
        </w:trPr>
        <w:tc>
          <w:tcPr>
            <w:tcW w:w="3940" w:type="dxa"/>
            <w:vAlign w:val="bottom"/>
          </w:tcPr>
          <w:p>
            <w:pPr>
              <w:spacing w:after="0"/>
              <w:rPr>
                <w:sz w:val="19"/>
                <w:szCs w:val="19"/>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0.32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12/5/2029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132,995(1)</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103,423</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09/13/2031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0.59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06/09/2030</w:t>
            </w:r>
          </w:p>
        </w:tc>
      </w:tr>
      <w:tr>
        <w:trPr>
          <w:trHeight w:val="216"/>
        </w:trPr>
        <w:tc>
          <w:tcPr>
            <w:tcW w:w="39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3,965(2)</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2,443</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0.59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10/19/2030</w:t>
            </w:r>
          </w:p>
        </w:tc>
      </w:tr>
      <w:tr>
        <w:trPr>
          <w:trHeight w:val="216"/>
        </w:trPr>
        <w:tc>
          <w:tcPr>
            <w:tcW w:w="39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51,716(3)</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36,940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08/04/2031</w:t>
            </w:r>
          </w:p>
        </w:tc>
      </w:tr>
      <w:tr>
        <w:trPr>
          <w:trHeight w:val="216"/>
        </w:trPr>
        <w:tc>
          <w:tcPr>
            <w:tcW w:w="39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13,918(4)</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16,989</w:t>
            </w:r>
          </w:p>
        </w:tc>
        <w:tc>
          <w:tcPr>
            <w:tcW w:w="1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39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12/06/2031</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27,716(5)</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25,478</w:t>
            </w:r>
          </w:p>
        </w:tc>
        <w:tc>
          <w:tcPr>
            <w:tcW w:w="1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12/06/2031</w:t>
            </w:r>
          </w:p>
        </w:tc>
      </w:tr>
    </w:tbl>
    <w:p>
      <w:pPr>
        <w:spacing w:after="0" w:line="183" w:lineRule="exact"/>
        <w:rPr>
          <w:sz w:val="20"/>
          <w:szCs w:val="20"/>
          <w:color w:val="auto"/>
        </w:rPr>
      </w:pPr>
    </w:p>
    <w:p>
      <w:pPr>
        <w:jc w:val="both"/>
        <w:ind w:left="660" w:hanging="328"/>
        <w:spacing w:after="0" w:line="203"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September 10, 2022, with the remaining shares vesting in equal monthly installments over a period of 36 months commencing on October 23641810, 2022. Mr. Marchetti’s employment with us ended on April 19, 2024. As a result, Mr. Marchetti’s vested options were terminated and his unvested options were forfeited on April 19, 2024.</w:t>
      </w:r>
    </w:p>
    <w:p>
      <w:pPr>
        <w:spacing w:after="0" w:line="2"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October 14, 2021, with the remaining shares vesting in equal monthly installments over a period of 36 months commencing on November 14, 2021.</w:t>
      </w:r>
    </w:p>
    <w:p>
      <w:pPr>
        <w:spacing w:after="0" w:line="1" w:lineRule="exact"/>
        <w:rPr>
          <w:rFonts w:ascii="Times New Roman" w:cs="Times New Roman" w:eastAsia="Times New Roman" w:hAnsi="Times New Roman"/>
          <w:sz w:val="36"/>
          <w:szCs w:val="36"/>
          <w:color w:val="auto"/>
          <w:vertAlign w:val="superscript"/>
        </w:rPr>
      </w:pPr>
    </w:p>
    <w:p>
      <w:pPr>
        <w:ind w:left="660" w:right="2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182" w:lineRule="auto"/>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November 23, 2022, with the remaining shares vesting in equal monthly installments over a period of 36 months commencing on December 23,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567,407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Marchetti was granted 239,259 RSUs, Mr. Seaburg was granted 181,481 RSUs, and Mr. Bourns was granted 87,407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$510,667 to Dr. Phares; (ii) $215,333 to Mr. Marchetti,</w:t>
      </w:r>
    </w:p>
    <w:p>
      <w:pPr>
        <w:spacing w:after="0" w:line="3" w:lineRule="exact"/>
        <w:rPr>
          <w:sz w:val="20"/>
          <w:szCs w:val="20"/>
          <w:color w:val="auto"/>
        </w:rPr>
      </w:pPr>
    </w:p>
    <w:p>
      <w:pPr>
        <w:ind w:firstLine="8"/>
        <w:spacing w:after="0" w:line="260" w:lineRule="auto"/>
        <w:tabs>
          <w:tab w:leader="none" w:pos="3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$163,333 to Mr. Seaburg; and (iv) $78,668 to Mr. Bourns. Each of the approved cash awards will not be paid out to the employees until we have achieved a minimum cash balance of $30,000,000, and are subject to each employee’s continued employment on the date of 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239,259 RSUs and cash award of $215,333.33 were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4,436,283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and the 2022 Plan. As of the Closing, these options were vested with respect to 1,623,990 shares and were unvested with respect to 2,812,293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Plan and 2021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90" w:name="page91"/>
    <w:bookmarkEnd w:id="90"/>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the 2022 Plan for purposes of granting equity-based awards to attract, motivate, retain and reward selected employees and other eligible persons. Our Compensation Committee of the Board administers the 2022 Plan. The plan administrator has broad authority to (without limitation):</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The total number of shares that may be issued pursuant to incentive stock options granted under the 2022 Plan is 84,212 shares. Any shares subject to awards that are not paid, delivered or exercised before they expire or are canceled or terminated, or otherwise fail to vest, will become available for other award grants under the 2022 Plan. As of May 13, 2024, 3,554,985 awards have been granted under the 2022 Plan, and 8,872,021 shares authorized under the 2022 Plan are available for award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spacing w:after="0" w:line="256"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and Compensation Committee may grant stock and performance incentives or other compensation, in stock or cash, under other plans or authority.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have been initially authorized for issuance under the ESPP. The share limit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 provides flexibility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 join an offering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start date of that period. Employees may participate in only one offering period at a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 accumulated deductions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10,000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may at any time amend, suspend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with Mr. Nichols that became effective and fully irrevocable on November 2, 2022. Pursuant to the Separation Agreement, Mr. Nichols received a cash payment of $100,000 in one installment in December 2022 and received a cash payment of $1,000,000 in 24 monthly installments commencing in December 2022. Mr. Nichols’ outstanding equity awards granted by us fully vested and, in the case of options, was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the Board appointed Dr. Phares to succeed Mr. Marchetti as our Interim Chief Financial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12, 2024, we entered into amendments to the employment agreements with Dr. Phares, Mr. Marchetti, Mr. Seaburg and Mr. Bourns to amend the terms of their annual equity compensation (the “</w:t>
      </w:r>
      <w:r>
        <w:rPr>
          <w:rFonts w:ascii="Times New Roman" w:cs="Times New Roman" w:eastAsia="Times New Roman" w:hAnsi="Times New Roman"/>
          <w:sz w:val="18"/>
          <w:szCs w:val="18"/>
          <w:b w:val="1"/>
          <w:bCs w:val="1"/>
          <w:color w:val="auto"/>
        </w:rPr>
        <w:t>Amended Employee Agreements</w:t>
      </w:r>
      <w:r>
        <w:rPr>
          <w:rFonts w:ascii="Times New Roman" w:cs="Times New Roman" w:eastAsia="Times New Roman" w:hAnsi="Times New Roman"/>
          <w:sz w:val="18"/>
          <w:szCs w:val="18"/>
          <w:color w:val="auto"/>
        </w:rPr>
        <w:t>”).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RSUs and/or cash with a value of $300,000 upon their initial appointment to the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on the October 7, 2022, we granted each of our Non-Employee Directors then serving of the Board (i.e. Jonathan Bellows, Perry Boyle, Karina Montilla Edmonds, Luisa Ingargiola, Brian Nelson, and Rick Parod) an award of 30,000 RSUs under the 2022 Plan that are eligible to vest on the first anniversary of the grant date, subject to the director’s continued service on the Board through the vesting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Board (i.e. Jonathan Bellows, Perry Boyle, Karina Montilla Edmonds, Luisa Ingargiola, Brian Nelson, and Rick Parod) an award of 222,222 RSUs units under the 2022 Plan that are eligible to vest in three equal annual installments, beginning on the first anniversary of the grant date, subject to the director’s continued service on the Board through each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for services on our Board during the year ended December 31, 2023. Dr. Phares did not receive any additional compensation for his service on the Board during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1"/>
                <w:szCs w:val="21"/>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100,000</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68,800</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168,800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198,800</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73,800</w:t>
            </w: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173,800</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58,800</w:t>
            </w: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158,800</w:t>
            </w:r>
          </w:p>
        </w:tc>
      </w:tr>
    </w:tbl>
    <w:p>
      <w:pPr>
        <w:spacing w:after="0" w:line="179" w:lineRule="exact"/>
        <w:rPr>
          <w:sz w:val="20"/>
          <w:szCs w:val="20"/>
          <w:color w:val="auto"/>
        </w:rPr>
      </w:pPr>
    </w:p>
    <w:p>
      <w:pPr>
        <w:jc w:val="both"/>
        <w:ind w:left="660" w:hanging="652"/>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F-33 of our Notes to Consolidated Financial Statements included this prospectus. As of May 13, 2024, each Non-Employee Director held 222,222 unvested RSUs.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following options remained outstanding: (i) Luisa Ingargiola held options exercisable for 75,852 shares of common stock; and (ii) Brian Nelson held options exercisable for 39,420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we describe below each transaction or series of similar transactions, since January 1, 2022, to which we were a party or will be a party, in which:</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for our named executive officers and directors are described in the section entitled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former Chief Financial Officer in September 2021, we loaned Mr. Marchetti $350,000 to repay amounts owed by him to his former employer and entered into a related promissory note with a maturity of March 1, 2026. In connection with the Business Combination and our obligations as a publicly traded company, we forgave all amounts owed under the promissory note effective March 2022. On April 19, 2024, Mr. Marchetti’s employment with us was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the Separation Agreement with Mr. Nichols that became effective and fully irrevocable on November 2, 2022, which was subsequently amended on November 14, 2022. Pursuant to the Separation Agreement, Mr. Nichols received a cash payment of $100,000 in one installment in December 2022 and was entitled to receive a cash payment of $1,000,000 in 24 monthly installments commencing in December 2022. Mr. Nichols’ outstanding equity awards granted by us fully vested and, in the case of options, were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Brian Nelson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 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Registration Rights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Insiders, Legacy Dragonfly, and certain Legacy Dragonfly stockholders entered into and the Insider Restated Registration Rights Agreement. Pursuant to the Insider Registration Rights Agreement, the Insiders and the undersigned parties listed thereto were provided the right to demand registrations, piggy-back registrations and shelf registrations with respect to Registrable Securities (as defined in the Insider Registration Rights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 the Sponsor agreed to purchase, and CNTQ agreed to sell to the Sponsor, an aggregate of 500,000 shares of CNTQ Common Stock for gross proceeds to CNTQ of $5 million in the PIPE Investment. On September 28, 2022, the Sponsor and CCM entered into an assignment, assumption and joinder agreement, pursuant to which the Sponsor assigned all of the Sponsor’s rights, benefits and obligations under the Subscription Agreement to CCM.</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Consistent with the Debt Commitment Letter, in connection with the Closing, CNTQ, Legacy Dragonfly and the Initial Term Loan Lenders entered into the Term Loan, Guarantee and Security Agreement (the “</w:t>
      </w:r>
      <w:r>
        <w:rPr>
          <w:rFonts w:ascii="Times New Roman" w:cs="Times New Roman" w:eastAsia="Times New Roman" w:hAnsi="Times New Roman"/>
          <w:sz w:val="17"/>
          <w:szCs w:val="17"/>
          <w:b w:val="1"/>
          <w:bCs w:val="1"/>
          <w:color w:val="auto"/>
        </w:rPr>
        <w:t>Term Loan Agreement</w:t>
      </w:r>
      <w:r>
        <w:rPr>
          <w:rFonts w:ascii="Times New Roman" w:cs="Times New Roman" w:eastAsia="Times New Roman" w:hAnsi="Times New Roman"/>
          <w:sz w:val="17"/>
          <w:szCs w:val="17"/>
          <w:color w:val="auto"/>
        </w:rPr>
        <w:t>”) setting forth the terms of a senior secured term loan facility in an aggregate principal amount of $75 million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7"/>
          <w:szCs w:val="17"/>
          <w:b w:val="1"/>
          <w:bCs w:val="1"/>
          <w:color w:val="auto"/>
        </w:rPr>
        <w:t>Backstop Commitment Letter</w:t>
      </w:r>
      <w:r>
        <w:rPr>
          <w:rFonts w:ascii="Times New Roman" w:cs="Times New Roman" w:eastAsia="Times New Roman" w:hAnsi="Times New Roman"/>
          <w:sz w:val="17"/>
          <w:szCs w:val="17"/>
          <w:color w:val="auto"/>
        </w:rPr>
        <w:t>”), with a certain third-party financing source (the “</w:t>
      </w:r>
      <w:r>
        <w:rPr>
          <w:rFonts w:ascii="Times New Roman" w:cs="Times New Roman" w:eastAsia="Times New Roman" w:hAnsi="Times New Roman"/>
          <w:sz w:val="17"/>
          <w:szCs w:val="17"/>
          <w:b w:val="1"/>
          <w:bCs w:val="1"/>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and collectively with EIP,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pursuant to which the Backstop Lender committed to purchase from the Chardan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aggregate amount of the Term Loan held by the Chardan Lender (the “</w:t>
      </w:r>
      <w:r>
        <w:rPr>
          <w:rFonts w:ascii="Times New Roman" w:cs="Times New Roman" w:eastAsia="Times New Roman" w:hAnsi="Times New Roman"/>
          <w:sz w:val="17"/>
          <w:szCs w:val="17"/>
          <w:b w:val="1"/>
          <w:bCs w:val="1"/>
          <w:color w:val="auto"/>
        </w:rPr>
        <w:t>Backstopped Loans</w:t>
      </w:r>
      <w:r>
        <w:rPr>
          <w:rFonts w:ascii="Times New Roman" w:cs="Times New Roman" w:eastAsia="Times New Roman" w:hAnsi="Times New Roman"/>
          <w:sz w:val="17"/>
          <w:szCs w:val="17"/>
          <w:color w:val="auto"/>
        </w:rPr>
        <w:t>”) immediately following the issuance of the Term Loan on the Closing Date. Pursuant to an assignment agreement, the Backstopped Loans were assigned by CCM 5 to the Backstop Lender on the Closing Date.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w:t>
      </w:r>
    </w:p>
    <w:p>
      <w:pPr>
        <w:spacing w:after="0" w:line="3" w:lineRule="exact"/>
        <w:rPr>
          <w:sz w:val="20"/>
          <w:szCs w:val="20"/>
          <w:color w:val="auto"/>
        </w:rPr>
      </w:pPr>
    </w:p>
    <w:p>
      <w:pPr>
        <w:jc w:val="both"/>
        <w:ind w:firstLine="8"/>
        <w:spacing w:after="0" w:line="253" w:lineRule="auto"/>
        <w:tabs>
          <w:tab w:leader="none" w:pos="2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CNTQ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2023, September 29, 2023, December 29, 2023 and May 13, 2024, we obtained waivers from our Administrative Agent and Term Loan Lenders of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with respect to the minimum cash requirements under the Term Loan during the quarter ended March 31, 2023 September 30, 2023, December 31, 2023 and March 31, 2024, respectively. On March 31, 2024 and April 29, 2024, we received additional waivers from the Administrative Agent and the Term Loan Lenders in regard to our compliance with the liquidity requirement under the Term Loan as of the last day of the fiscal quarter ended March 31, 2024 and as of the last day of the fiscal month ended April 30,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we entered into the June 2023 Offering, an aggregate of (i) 10,000,000 shares of our common stock, par value $0.0001, and (ii) the Investor Warrants, at the combined public offering price of $2.00 per share and accompanying Investor Warrant, less underwriting discounts and commissions, and</w:t>
      </w:r>
    </w:p>
    <w:p>
      <w:pPr>
        <w:jc w:val="both"/>
        <w:ind w:firstLine="8"/>
        <w:spacing w:after="0" w:line="255" w:lineRule="auto"/>
        <w:tabs>
          <w:tab w:leader="none" w:pos="3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the Original Penny Warrants to the Term Loan Lenders under the Term Loan to purchase 2,593,056 shares upon the exercise of at an exercise price of $0.01 per share, which was equal to approximately 5.6% of common stock calculated on an agreed fully diluted outstanding basis on the issuance date and (ii) $10 Warrants to the Term Loan Lenders under the Term Loan exercisable to purchase 1,600,000 shares of our common stock at an exercise price of $10.00 per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2023 Waiver provided for a one-time issuance of December 2023 Penny Warrants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May 2024 Waiver provided for a one-time issuance of May 2024 Penny Warrants to purchase up to 2,550,000 shares of our common stock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May 13, 2024, 1,996,323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w:t>
      </w:r>
    </w:p>
    <w:p>
      <w:pPr>
        <w:sectPr>
          <w:pgSz w:w="11900" w:h="16927" w:orient="portrait"/>
          <w:cols w:equalWidth="0" w:num="1">
            <w:col w:w="11240"/>
          </w:cols>
          <w:pgMar w:left="320" w:top="688" w:right="339" w:bottom="0" w:gutter="0" w:footer="0" w:header="0"/>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8"/>
          <w:szCs w:val="18"/>
          <w:color w:val="auto"/>
        </w:rPr>
        <w:t>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we and CCM we entered into the Original Purchase Agreement and the ChEF RRA with CCM in connection with the Closing. In addition, we appointed LifeSci Capital, LLC as “qualified independent underwriter” with respect to the transactions contemplated by the Purchase Agreement. On May 20, 2024, we entered into the A&amp;R Purchase Agreement with CCM to update the VWAP mechanics to include Intraday VWAP Purchases (as defined in the Purchase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ChEF Equity Facility. During the year ended December 31, 2022, we did not sell any shares of our common stock under the ChEF Equity Facility. During the year ended December 31, 2023, we issued and sold approximately 588,500 shares of our common stock under the ChEF Equity Facility, resulting in net cash proceeds of $1,278,566. From January 1, 2024 through May 13, 2024, we did not issue any shares of common stock under the ChEF Equity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0"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or ratified by our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13, 2024 there were 60,509,476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jc w:val="both"/>
        <w:ind w:left="660" w:hanging="328"/>
        <w:spacing w:after="0" w:line="255"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contain certain anti-dilution and adjustment rights upon certain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Equity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Investor Warrants that were issued in the June 2023 Offering, expire five years from the date of the closing,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Warrants that were issued in the June 2023 Offering expire on June 20, 2028, have an exercise price of $2.50 per share, are immediately exercisable and contain a cashless exercise provision. The cashless exercise of the warrants is calculated pursuant to the formula set forth in the Underwriters’ Warrants. In addition, the Underwriters’ Warrants contain additional registration rights in the event of an ineffective registration statement prior to their full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It is the present intention of our Board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authorizes a total of 5,000,000 shares of preferred stock, par value $0.0001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our Charter, our Board is authorized to issue shares of preferred stock in one or more series without stockholder approval. Our Board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both"/>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Charter,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w:t>
      </w:r>
    </w:p>
    <w:p>
      <w:pPr>
        <w:spacing w:after="0" w:line="3" w:lineRule="exact"/>
        <w:rPr>
          <w:sz w:val="20"/>
          <w:szCs w:val="20"/>
          <w:color w:val="auto"/>
        </w:rPr>
      </w:pPr>
    </w:p>
    <w:p>
      <w:pPr>
        <w:jc w:val="both"/>
        <w:ind w:firstLine="8"/>
        <w:spacing w:after="0" w:line="251" w:lineRule="auto"/>
        <w:tabs>
          <w:tab w:leader="none" w:pos="3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13, 2024,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May 13, 2024 (“</w:t>
      </w:r>
      <w:r>
        <w:rPr>
          <w:rFonts w:ascii="Times New Roman" w:cs="Times New Roman" w:eastAsia="Times New Roman" w:hAnsi="Times New Roman"/>
          <w:sz w:val="18"/>
          <w:szCs w:val="18"/>
          <w:b w:val="1"/>
          <w:bCs w:val="1"/>
          <w:color w:val="auto"/>
        </w:rPr>
        <w:t>Presently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reflects 60,509,476 shares common stock outstanding as of May 13, 2024 plus any shares issuable upon exercise of Presently Exercisable Securities held by such person or entity.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Dynavolt Technology (HK) Ltd. </w:t>
            </w:r>
            <w:r>
              <w:rPr>
                <w:rFonts w:ascii="Times New Roman" w:cs="Times New Roman" w:eastAsia="Times New Roman" w:hAnsi="Times New Roman"/>
                <w:sz w:val="29"/>
                <w:szCs w:val="29"/>
                <w:color w:val="auto"/>
                <w:vertAlign w:val="superscript"/>
              </w:rPr>
              <w:t>(1)</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11,820,900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19.54%</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 Gong</w:t>
            </w:r>
            <w:r>
              <w:rPr>
                <w:rFonts w:ascii="Times New Roman" w:cs="Times New Roman" w:eastAsia="Times New Roman" w:hAnsi="Times New Roman"/>
                <w:sz w:val="29"/>
                <w:szCs w:val="29"/>
                <w:color w:val="auto"/>
                <w:vertAlign w:val="superscript"/>
              </w:rPr>
              <w:t>(2)</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3,073,434</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Denis Phares </w:t>
            </w:r>
            <w:r>
              <w:rPr>
                <w:rFonts w:ascii="Times New Roman" w:cs="Times New Roman" w:eastAsia="Times New Roman" w:hAnsi="Times New Roman"/>
                <w:sz w:val="29"/>
                <w:szCs w:val="29"/>
                <w:color w:val="auto"/>
                <w:vertAlign w:val="superscript"/>
              </w:rPr>
              <w:t>(3)(4)</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16,208,889</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9"/>
                <w:szCs w:val="29"/>
                <w:color w:val="auto"/>
                <w:vertAlign w:val="superscript"/>
              </w:rPr>
              <w:t>(3)(5)</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535,853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(6)</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Wade Seaburg </w:t>
            </w:r>
            <w:r>
              <w:rPr>
                <w:rFonts w:ascii="Times New Roman" w:cs="Times New Roman" w:eastAsia="Times New Roman" w:hAnsi="Times New Roman"/>
                <w:sz w:val="29"/>
                <w:szCs w:val="29"/>
                <w:color w:val="auto"/>
                <w:vertAlign w:val="superscript"/>
              </w:rPr>
              <w:t>(7)</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225,915</w:t>
            </w:r>
          </w:p>
        </w:tc>
        <w:tc>
          <w:tcPr>
            <w:tcW w:w="1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Tyler Bourns </w:t>
            </w:r>
            <w:r>
              <w:rPr>
                <w:rFonts w:ascii="Times New Roman" w:cs="Times New Roman" w:eastAsia="Times New Roman" w:hAnsi="Times New Roman"/>
                <w:sz w:val="29"/>
                <w:szCs w:val="29"/>
                <w:color w:val="auto"/>
                <w:vertAlign w:val="superscript"/>
              </w:rPr>
              <w:t>(8)</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65,167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Luisa Ingargiola </w:t>
            </w:r>
            <w:r>
              <w:rPr>
                <w:rFonts w:ascii="Times New Roman" w:cs="Times New Roman" w:eastAsia="Times New Roman" w:hAnsi="Times New Roman"/>
                <w:sz w:val="29"/>
                <w:szCs w:val="29"/>
                <w:color w:val="auto"/>
                <w:vertAlign w:val="superscript"/>
              </w:rPr>
              <w:t>(9)</w:t>
            </w:r>
          </w:p>
        </w:tc>
        <w:tc>
          <w:tcPr>
            <w:tcW w:w="8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124,815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Brian Nelson </w:t>
            </w:r>
            <w:r>
              <w:rPr>
                <w:rFonts w:ascii="Times New Roman" w:cs="Times New Roman" w:eastAsia="Times New Roman" w:hAnsi="Times New Roman"/>
                <w:sz w:val="29"/>
                <w:szCs w:val="29"/>
                <w:color w:val="auto"/>
                <w:vertAlign w:val="superscript"/>
              </w:rPr>
              <w:t>(10)</w:t>
            </w:r>
          </w:p>
        </w:tc>
        <w:tc>
          <w:tcPr>
            <w:tcW w:w="86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83,217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52,000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8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8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p>
        </w:tc>
        <w:tc>
          <w:tcPr>
            <w:tcW w:w="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16,850,303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1" w:lineRule="exact"/>
        <w:rPr>
          <w:sz w:val="20"/>
          <w:szCs w:val="20"/>
          <w:color w:val="auto"/>
        </w:rPr>
      </w:pPr>
    </w:p>
    <w:p>
      <w:pPr>
        <w:ind w:left="340" w:hanging="332"/>
        <w:spacing w:after="0" w:line="28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Dynavolt Technology (HK) Ltd. (“</w:t>
      </w:r>
      <w:r>
        <w:rPr>
          <w:rFonts w:ascii="Times New Roman" w:cs="Times New Roman" w:eastAsia="Times New Roman" w:hAnsi="Times New Roman"/>
          <w:sz w:val="18"/>
          <w:szCs w:val="18"/>
          <w:b w:val="1"/>
          <w:bCs w:val="1"/>
          <w:color w:val="auto"/>
        </w:rPr>
        <w:t>Dynavolt</w:t>
      </w:r>
      <w:r>
        <w:rPr>
          <w:rFonts w:ascii="Times New Roman" w:cs="Times New Roman" w:eastAsia="Times New Roman" w:hAnsi="Times New Roman"/>
          <w:sz w:val="18"/>
          <w:szCs w:val="18"/>
          <w:color w:val="auto"/>
        </w:rPr>
        <w:t>”) on October 12, 2022. The business address of Dynavolt is Flat/Room 02-03 26/F, Bea Tower Millennium City 5, 418 Kwun Tong Road, Kwun Tong, Hong Kong.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both"/>
        <w:ind w:left="332" w:hanging="332"/>
        <w:spacing w:after="0" w:line="261"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Li Gong on October 12, 2022. Includes (i) 147,138 shares of common stock held on behalf of the SAKURA GRAT, dated February 11, 2021, of which Mr. Gong is a trustee, and (ii) 2,217,042 shares of common stock on behalf of the LML Family Trust, dated January 14, 2019, of which Mr. Gong is a trustee. The business address of Mr. Gong is 930 Tahoe Blvd. Suite 802, PMB 860, Incline Village, Nevada 89451.</w:t>
      </w:r>
    </w:p>
    <w:p>
      <w:pPr>
        <w:spacing w:after="0" w:line="179"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25,000,000 shares of common stock not yet payable as the earnout contingencies have not yet been met and will not be met within 60 days of May 13, 2024.</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1,217,906 shares held on behalf of the Phares 2021 GRAT dated July 9, 2021, of which Dr. Phares is the trustee, and (ii) 177,316 shares of common stock issuable upon exercise of outstanding stock options exercisable within 60 days of May 13, 2024.</w:t>
      </w:r>
    </w:p>
    <w:p>
      <w:pPr>
        <w:spacing w:after="0" w:line="161"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Mr. Nichols and information available to us. On November 7, 2022, Mr. Nichols resigned from his position as our Chief Operating Officer.</w:t>
      </w:r>
    </w:p>
    <w:p>
      <w:pPr>
        <w:spacing w:after="0" w:line="161"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100,645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34,370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94,815 shares of common stock issuable upon exercise of outstanding stock options exercisable within 60 days of May 13, 2024.</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53,217 shares of common stock issuable upon exercise of outstanding stock options exercisable within 60 days of May 13, 2024.</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selling stockholder and the shares that it may offer and sell from time to time under this prospectus. The percentage of ownership in the table below is based on 60,509,476 shares of common stock outstanding as of May 13, 2024. The table is prepared based on information supplied to us by the selling stockholder, and reflects its holdings as of May 13, 2024. Beneficial ownership is determined in accordance with Section 13(d) of the Exchange Act and Rule 13d-3 thereunder.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Sold in this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Assuming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issues the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Owned Before</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Before this</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 this</w:t>
            </w:r>
          </w:p>
        </w:tc>
      </w:tr>
      <w:tr>
        <w:trPr>
          <w:trHeight w:val="245"/>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4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4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1"/>
                <w:szCs w:val="2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LLC(1)</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21,512,027(3)</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less than 1% of the outstanding shares and/or assumes all shares registered hereunder have been resold by CCM.</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CCM is 17 State Street, Suite 2130, New York, NY 10004.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3"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 Stock</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ind w:left="660" w:hanging="328"/>
        <w:spacing w:after="0" w:line="25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 Withholding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we entered into the Original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 On May 20, 2024, we entered into the A&amp;R Purchase Agreement with CCM to update the VWAP mechanics to include Intraday VWAP Purchases. As of May 13, 2024, we have sold 588,500 shares under the ChEF Equity Facility for aggregate net proceeds to us of $1,278,566.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conditions set forth in the Purchase Agreement, we have the right, but not the obligation, from time to time at our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we elect to sell to CCM pursuant to the Purchase Agreement will be determined by reference to the VWAP of the common stock during the applicable VWAP Purchase Date on which we have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payable by way of an additional 3.0% discount to such VWAP until the Commitment Fee has been paid in full.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by us at any time at our sole discretion, without any cost or penalty, but subject to the full payment of the Commitment Fee, payable by us to CCM pursuant to the conditions set forth in the Purchase Agreement, by giving five trading days written notice to CCM to terminate the Purchase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VWAP Purchase Date of such purchase.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approximately 36% of the total number of shares of our common stock outstanding as of May 13, 2024.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5" w:lineRule="exact"/>
        <w:rPr>
          <w:sz w:val="20"/>
          <w:szCs w:val="20"/>
          <w:color w:val="auto"/>
        </w:rPr>
      </w:pPr>
    </w:p>
    <w:p>
      <w:pPr>
        <w:ind w:firstLine="8"/>
        <w:spacing w:after="0" w:line="195" w:lineRule="auto"/>
        <w:tabs>
          <w:tab w:leader="none" w:pos="12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Skadden: We have kept the level of detail with respect to the VWAP mechanics similar to the last POS AM and original S-1 filing. Please advise if you would like to include additional disclosure relating to the VWAP and Intraday VWAP mechanics.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 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limitations described above, and subject to the conditions precedent in the Purchase Agreement, we will control the timing and amount of any sales of our common stock to CCM.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sole discretion to terminate the Purchase Agreement, CCM may terminate effective upon ten (10) Trading Days’ prior written notice to us, upon the occurrence of certain events, including:</w:t>
      </w:r>
    </w:p>
    <w:p>
      <w:pPr>
        <w:spacing w:after="0" w:line="162" w:lineRule="exact"/>
        <w:rPr>
          <w:sz w:val="20"/>
          <w:szCs w:val="20"/>
          <w:color w:val="auto"/>
        </w:rPr>
      </w:pPr>
    </w:p>
    <w:p>
      <w:pPr>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occurrence, state of facts or event constituting a Material Adverse Effect (as defined in the Purchase Agreement) has occurred and is continuing;</w:t>
      </w: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transactions shall have occurred;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breach or default in any material respect of any of its covenants and agreements in the ChEF RRA, and, if such breach or default is capable of being cured, such breach or default is not cured within fifteen (15) Trading Days after notice of such breach or default is delivered to us.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 Selling or Hedging by CCM</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CCM has agreed that neither it nor any entity managed or controlled by CCM (the “</w:t>
      </w:r>
      <w:r>
        <w:rPr>
          <w:rFonts w:ascii="Times New Roman" w:cs="Times New Roman" w:eastAsia="Times New Roman" w:hAnsi="Times New Roman"/>
          <w:sz w:val="18"/>
          <w:szCs w:val="18"/>
          <w:b w:val="1"/>
          <w:bCs w:val="1"/>
          <w:color w:val="auto"/>
        </w:rPr>
        <w:t>Restricted Persons</w:t>
      </w:r>
      <w:r>
        <w:rPr>
          <w:rFonts w:ascii="Times New Roman" w:cs="Times New Roman" w:eastAsia="Times New Roman" w:hAnsi="Times New Roman"/>
          <w:sz w:val="18"/>
          <w:szCs w:val="18"/>
          <w:color w:val="auto"/>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Certain Specified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our right to terminate as described above and for such time the Purchase Agreement is in effect, we shall not effect or enter into an agreement to effect any issuance by us or any of our subsidiaries of common stock or common stock equivalents (or a combination of units thereof) involving certain specified transactions. Such restrictions do not include follow-on offerings or follow-on public offerings, in each case where we issue or sell any securities with a fixed price. Furthermore, we may enter into certain exempt issuances under the Purchase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 As of May 13, 2024, we have sold 588,500 shares under the ChEF Equity Facility for aggregate net proceeds to us of $1,278,566.</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CCM from our sale of shares to CCM under the Purchase Agreement at varying purchase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 Outstanding</w:t>
            </w:r>
          </w:p>
        </w:tc>
        <w:tc>
          <w:tcPr>
            <w:tcW w:w="2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Proceeds from the Sale of Shares</w:t>
            </w:r>
          </w:p>
        </w:tc>
      </w:tr>
      <w:tr>
        <w:trPr>
          <w:trHeight w:val="216"/>
        </w:trPr>
        <w:tc>
          <w:tcPr>
            <w:tcW w:w="120" w:type="dxa"/>
            <w:vAlign w:val="bottom"/>
          </w:tcPr>
          <w:p>
            <w:pPr>
              <w:spacing w:after="0"/>
              <w:rPr>
                <w:sz w:val="18"/>
                <w:szCs w:val="18"/>
                <w:color w:val="auto"/>
              </w:rPr>
            </w:pP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Assumed Average Purchase</w:t>
            </w:r>
          </w:p>
        </w:tc>
        <w:tc>
          <w:tcPr>
            <w:tcW w:w="2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 Registered Shares</w:t>
            </w:r>
          </w:p>
        </w:tc>
        <w:tc>
          <w:tcPr>
            <w:tcW w:w="2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Shares After Giving Effect to the</w:t>
            </w:r>
          </w:p>
        </w:tc>
        <w:tc>
          <w:tcPr>
            <w:tcW w:w="140" w:type="dxa"/>
            <w:vAlign w:val="bottom"/>
          </w:tcPr>
          <w:p>
            <w:pPr>
              <w:spacing w:after="0"/>
              <w:rPr>
                <w:sz w:val="18"/>
                <w:szCs w:val="18"/>
                <w:color w:val="auto"/>
              </w:rPr>
            </w:pPr>
          </w:p>
        </w:tc>
        <w:tc>
          <w:tcPr>
            <w:tcW w:w="2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CCM Under the Purchase</w:t>
            </w:r>
          </w:p>
        </w:tc>
      </w:tr>
      <w:tr>
        <w:trPr>
          <w:trHeight w:val="245"/>
        </w:trPr>
        <w:tc>
          <w:tcPr>
            <w:tcW w:w="1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44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 be Issued if Full Purchase(1)</w:t>
            </w:r>
          </w:p>
        </w:tc>
        <w:tc>
          <w:tcPr>
            <w:tcW w:w="320" w:type="dxa"/>
            <w:vAlign w:val="bottom"/>
            <w:tcBorders>
              <w:bottom w:val="single" w:sz="8" w:color="CCEEFF"/>
            </w:tcBorders>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to CCM(2)</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Agreement(1)</w:t>
            </w:r>
          </w:p>
        </w:tc>
        <w:tc>
          <w:tcPr>
            <w:tcW w:w="100" w:type="dxa"/>
            <w:vAlign w:val="bottom"/>
            <w:tcBorders>
              <w:bottom w:val="single" w:sz="8" w:color="CCEEFF"/>
            </w:tcBorders>
          </w:tcPr>
          <w:p>
            <w:pPr>
              <w:spacing w:after="0"/>
              <w:rPr>
                <w:sz w:val="21"/>
                <w:szCs w:val="21"/>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5"/>
              </w:rPr>
              <w:t>0.75</w:t>
            </w:r>
          </w:p>
        </w:tc>
        <w:tc>
          <w:tcPr>
            <w:tcW w:w="4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w:t>
            </w:r>
          </w:p>
        </w:tc>
        <w:tc>
          <w:tcPr>
            <w:tcW w:w="3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564,690.71</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1.00</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752,920.95</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1.12(3)</w:t>
            </w:r>
          </w:p>
        </w:tc>
        <w:tc>
          <w:tcPr>
            <w:tcW w:w="2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843,271.46</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1.25</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941,151.18</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1.75</w:t>
            </w:r>
          </w:p>
        </w:tc>
        <w:tc>
          <w:tcPr>
            <w:tcW w:w="2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1,317,611.65</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2.00</w:t>
            </w:r>
          </w:p>
        </w:tc>
        <w:tc>
          <w:tcPr>
            <w:tcW w:w="2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21,512,027</w:t>
            </w:r>
          </w:p>
        </w:tc>
        <w:tc>
          <w:tcPr>
            <w:tcW w:w="2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1,505,841.89</w:t>
            </w:r>
          </w:p>
        </w:tc>
      </w:tr>
    </w:tbl>
    <w:p>
      <w:pPr>
        <w:spacing w:after="0" w:line="179" w:lineRule="exact"/>
        <w:rPr>
          <w:sz w:val="20"/>
          <w:szCs w:val="20"/>
          <w:color w:val="auto"/>
        </w:rPr>
      </w:pPr>
    </w:p>
    <w:p>
      <w:pPr>
        <w:jc w:val="both"/>
        <w:ind w:left="340" w:hanging="332"/>
        <w:spacing w:after="0" w:line="255"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13, 2024, we have issued 588,500 shares under the ChEF Equity Facility for gross proceeds of $1,278,566. Although the Purchase Agreement provides that we may sell up to $150 million of our common stock to CCM, we are only registering 21,512,027 shares under this prospectus and may need to file additional registration statements to register additional shares if we determine to sell more than the 21,512,027 shares registered for resale pursuant to this Registration Statement.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is based on the number of shares issuable at the corresponding assumed purchase price as set forth in the adjacent column. The denominator is based on 60,509,476 shares of our common stock outstanding immediately as of May 13, 2024,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shares of common stock on May 17,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common stock offered by this prospectus could be effected in one or more of the following methods:</w:t>
      </w:r>
    </w:p>
    <w:p>
      <w:pPr>
        <w:spacing w:after="0" w:line="225"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CCM is a selling securityholder and is an “underwriter” within the meaning of Section 2(a)(11) of the Securities Act.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advised CCM that the anti-manipulation rules of Regulation M under the Exchange Act may apply to sales of shares in the market and to the activities of CCM and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subject to entering into separate agreements containing customary terms and conditions,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receive an upfront fee of $100,000 for performing the services required by a qualified independent underwriter under FINRA Rule 5121(a)(2)(A) prior to the filing of the initial registration statement relating to this offering, including conducting due diligence in connection with this offering and advising of any required changes to the registration statement (the “</w:t>
      </w:r>
      <w:r>
        <w:rPr>
          <w:rFonts w:ascii="Times New Roman" w:cs="Times New Roman" w:eastAsia="Times New Roman" w:hAnsi="Times New Roman"/>
          <w:sz w:val="18"/>
          <w:szCs w:val="18"/>
          <w:b w:val="1"/>
          <w:bCs w:val="1"/>
          <w:color w:val="auto"/>
        </w:rPr>
        <w:t>QIU Services</w:t>
      </w:r>
      <w:r>
        <w:rPr>
          <w:rFonts w:ascii="Times New Roman" w:cs="Times New Roman" w:eastAsia="Times New Roman" w:hAnsi="Times New Roman"/>
          <w:sz w:val="18"/>
          <w:szCs w:val="18"/>
          <w:color w:val="auto"/>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the Nasdaq Global Market under the trading symbol “DFLI.”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December 31, 2023 included in this prospectus and in this Registration Statement, have been so included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review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December 31, 2022 and for the year then ended, included in this prospectus and in this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15, 2023,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our Board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 On November 15, 2023, the Audit Committee appointed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as our new independent registered public accounting firm commencing with our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the substantial doubt about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provided BDO with a copy of the foregoing disclosures.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the Company’s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the Company’s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the Company; (iii) designing and implementing controls to sufficiently supervise and review the work completed by specialist engaged by the Company;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was discussed among the Company’s management, the Audit Committee and BDO. BDO has been authorized by the Company to respond fully to the inquiries of Marcum, the successor accountant, including concerning this change in auditors.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our fiscal year ended December 31, 2022 and the subsequent interim periods through November 17, 2023, neither we nor anyone acting on our behalf consulted with Marcum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concluded was an important factor considered by us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243)</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0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and 2022</w:t>
            </w:r>
          </w:p>
        </w:tc>
        <w:tc>
          <w:tcPr>
            <w:tcW w:w="1500" w:type="dxa"/>
            <w:vAlign w:val="bottom"/>
            <w:tcBorders>
              <w:bottom w:val="single" w:sz="8" w:color="CCEEFF"/>
            </w:tcBorders>
            <w:gridSpan w:val="2"/>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2023 and 2022</w:t>
            </w:r>
          </w:p>
        </w:tc>
        <w:tc>
          <w:tcPr>
            <w:tcW w:w="174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40" w:type="dxa"/>
            <w:vAlign w:val="bottom"/>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31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75"/>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1740" w:type="dxa"/>
            <w:vAlign w:val="bottom"/>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F-41</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 2023</w:t>
            </w:r>
          </w:p>
        </w:tc>
        <w:tc>
          <w:tcPr>
            <w:tcW w:w="1740" w:type="dxa"/>
            <w:vAlign w:val="bottom"/>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F-42</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2024 and 2023</w:t>
            </w:r>
          </w:p>
        </w:tc>
        <w:tc>
          <w:tcPr>
            <w:tcW w:w="12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F-43</w:t>
            </w:r>
          </w:p>
        </w:tc>
      </w:tr>
      <w:tr>
        <w:trPr>
          <w:trHeight w:val="175"/>
        </w:trPr>
        <w:tc>
          <w:tcPr>
            <w:tcW w:w="9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1740" w:type="dxa"/>
            <w:vAlign w:val="bottom"/>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9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740" w:type="dxa"/>
            <w:vAlign w:val="bottom"/>
            <w:shd w:val="clear" w:color="auto" w:fill="CCEEFF"/>
          </w:tcPr>
          <w:p>
            <w:pPr>
              <w:jc w:val="center"/>
              <w:ind w:left="990"/>
              <w:spacing w:after="0" w:line="176" w:lineRule="exact"/>
              <w:rPr>
                <w:sz w:val="20"/>
                <w:szCs w:val="20"/>
                <w:color w:val="auto"/>
              </w:rPr>
            </w:pPr>
            <w:r>
              <w:rPr>
                <w:rFonts w:ascii="Times New Roman" w:cs="Times New Roman" w:eastAsia="Times New Roman" w:hAnsi="Times New Roman"/>
                <w:sz w:val="18"/>
                <w:szCs w:val="18"/>
                <w:color w:val="auto"/>
                <w:w w:val="99"/>
              </w:rPr>
              <w:t>F-46</w:t>
            </w:r>
          </w:p>
        </w:tc>
      </w:tr>
      <w:tr>
        <w:trPr>
          <w:trHeight w:val="439"/>
        </w:trPr>
        <w:tc>
          <w:tcPr>
            <w:tcW w:w="316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40" w:type="dxa"/>
            <w:vAlign w:val="bottom"/>
            <w:tcBorders>
              <w:top w:val="single" w:sz="8" w:color="CCEEFF"/>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1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Dragonfly Energy Holdings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Dragonfly Energy Holdings Corp. (the “Company”) as of December 31, 2023, the related consolidated statements of operations,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15 to the financial statements, the 2022 financial statements have been revised to correct for the under reporting of tariffs. The financial statements of the Company for the year ended December 31, 2022, before the effects of the adjustments to correct the errors discussed in Note 15 to the financial statements, were audited by other auditors whose report, dated April 17, 2023, expressed an unqualified opinion on those statements and included an explanatory paragraph regarding the Company’s ability to continue as a going concern. We have also audited the adjustments described in Note 15 that were applied to revise the 2022 financial statements to correct the errors. In our opinion, such adjustments are appropriate and have been properly applied. Except for the corrections described in Note 15 we were not engaged to audit, review, or apply any procedures to the financial position of the Company as of December 31, 2022, and the results of its operations and its cash flows for the year then ended, other than stated above and, accordingly, we do not express an opinion or any other form of assurance on the 2022 financial statements taken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incurred loss from operations and had negative cash flow from operations and concluded it is probable the Company will not comply with future covenants of the Term Loan and does not have sufficient resources to repay the Term Loan, which raises substantial doubt about its ability to continue as a going concern.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before the effects of the adjustments for the correction of the error described in Note 15, the accompanying consolidated balance sheet of Dragonfly Energy Holdings Corp. (the “Company”) as of December 31, 2022, the related consolidated statements of operations, shareholders’ equity, and cash flows for the year then ended (the 2022 consolidated financial statements before the effects of the adjustments discussed in Note 15 are not presented herein). In our opinion, except for the error described in Note 15, the 2022 consolidated financial statements present fairly, in all material respects, the financial position of the Company as of December 31, 2022, and the results of its operations and its cash flows for the year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for the correction of the error described in Note 15 and, accordingly, we do not express an opinion or any other form of assurance about whether such adjustments are appropriate and have been properly applied. Those adjustments were audited by Marcum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38,778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16,714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(2,824)</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lease right of use asset, net</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19,683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6)</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and 43,272,728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64,392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86,251</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48,946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62,633</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23,618</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41,566</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12,623</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13,671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42,875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58,001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(27,429)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16"/>
        </w:trPr>
        <w:tc>
          <w:tcPr>
            <w:tcW w:w="4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(16,015)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5,446</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23"/>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(13,843)</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52,786,481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38,565,307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48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080"/>
              <w:spacing w:after="0"/>
              <w:rPr>
                <w:sz w:val="20"/>
                <w:szCs w:val="20"/>
                <w:color w:val="auto"/>
              </w:rPr>
            </w:pPr>
            <w:r>
              <w:rPr>
                <w:rFonts w:ascii="Times New Roman" w:cs="Times New Roman" w:eastAsia="Times New Roman" w:hAnsi="Times New Roman"/>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0"/>
                <w:szCs w:val="20"/>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Deficit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36,496,998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12,269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(39,991)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1,498,301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581,351</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capitalization, net of transaction costs (See note 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4,238,936</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457,142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16,669</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43,272,728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 of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588,500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public offering, net of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11,405,000</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917,662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64,971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investor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3,069,323</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641,998</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(41,539)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F-6</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6,710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extinguishment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Assumption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4,938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11,411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(3,527)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55"/>
        </w:trPr>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(6,862)</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ectPr>
          <w:pgSz w:w="11900" w:h="16838" w:orient="portrait"/>
          <w:cols w:equalWidth="0" w:num="2">
            <w:col w:w="6720" w:space="720"/>
            <w:col w:w="3800"/>
          </w:cols>
          <w:pgMar w:left="320" w:top="657"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2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24,177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from public offering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investor warrants</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17,781</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28,630</w:t>
            </w:r>
          </w:p>
        </w:tc>
        <w:tc>
          <w:tcPr>
            <w:tcW w:w="0" w:type="dxa"/>
            <w:vAlign w:val="bottom"/>
          </w:tcPr>
          <w:p>
            <w:pPr>
              <w:spacing w:after="0"/>
              <w:rPr>
                <w:sz w:val="1"/>
                <w:szCs w:val="1"/>
                <w:color w:val="auto"/>
              </w:rPr>
            </w:pPr>
          </w:p>
        </w:tc>
      </w:tr>
      <w:tr>
        <w:trPr>
          <w:trHeight w:val="23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197"/>
        </w:trPr>
        <w:tc>
          <w:tcPr>
            <w:tcW w:w="51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23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26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23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13,762</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warrant liability – Penny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impact of cash exercise of liability classified warrants</w:t>
            </w:r>
          </w:p>
        </w:tc>
        <w:tc>
          <w:tcPr>
            <w:tcW w:w="23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12,629</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996"/>
              <w:spacing w:after="0"/>
              <w:rPr>
                <w:sz w:val="20"/>
                <w:szCs w:val="20"/>
                <w:color w:val="auto"/>
              </w:rPr>
            </w:pPr>
            <w:r>
              <w:rPr>
                <w:rFonts w:ascii="Times New Roman" w:cs="Times New Roman" w:eastAsia="Times New Roman" w:hAnsi="Times New Roman"/>
                <w:sz w:val="18"/>
                <w:szCs w:val="18"/>
                <w:color w:val="auto"/>
              </w:rPr>
              <w:t>F-8</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Note 3 – Reverse Capitalization for further details of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Company filed an amendment to the articles of incorporation with the State of Nevada, to increase the number of authorized shares of its common stock to 250,000,000 shares. The par value remained at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and 2022, the Company incurred loss from operations and had negative cash flow from operations. As of December 31, 2023, the Company had $12,713 in cash and cash equivalents and working capital of $15,543.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7).</w:t>
      </w:r>
      <w:r>
        <w:rPr>
          <w:rFonts w:ascii="Times New Roman" w:cs="Times New Roman" w:eastAsia="Times New Roman" w:hAnsi="Times New Roman"/>
          <w:sz w:val="18"/>
          <w:szCs w:val="18"/>
          <w:color w:val="auto"/>
        </w:rPr>
        <w:t xml:space="preserve">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On September 29, 2023 and December 29, 2023, the Company obtained a second and third waiver from the Term Loan administrative agent and lenders of its failures to satisfy the fixed charge coverage ratio and maximum senior leverage ratio with respect to the minimum cash requirements under the Term Loan during the quarters ended September 30, 2023 and December 31, 2023. On March 31, 2024, the Company obtained a waiver from the Term Loan administrative agent and lenders of its failures to satisfy the liquidity test during the quarter ended March 31, 2023.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did not have a material impact to the financial statements or financial statement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when purchased with a maturity of three months or less to be cash equivalents. As of December 31, 2023 and 2022,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2023 and 2022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Company had a reserve of $67 and $0 as of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2023 and 2022 was $1,237 and $891,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classes of property and equipment and estimated useful lives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Shorter of Useful Life or Remaining Term of Lease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2023 and 2022, the contract liability related to the Company’s customer deposits approximated $201 and $238,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$230 of the contract liability pertaining to the year ended December 31, 2022 during the year ended December 31, 2023. After the year ended December 31, 2023, the residual balance of $8 was recognized during the quarter ending March 31, 2024. The entire contract liability balance of $434 as of January 1, 2022 was recognized as revenue during the year ended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to Customer</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80" w:type="dxa"/>
            <w:vAlign w:val="bottom"/>
            <w:shd w:val="clear" w:color="auto" w:fill="CCEEFF"/>
          </w:tcPr>
          <w:p>
            <w:pPr>
              <w:spacing w:after="0"/>
              <w:rPr>
                <w:sz w:val="18"/>
                <w:szCs w:val="18"/>
                <w:color w:val="auto"/>
              </w:rPr>
            </w:pPr>
          </w:p>
        </w:tc>
      </w:tr>
      <w:tr>
        <w:trPr>
          <w:trHeight w:val="23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33,805</w:t>
            </w:r>
          </w:p>
        </w:tc>
      </w:tr>
      <w:tr>
        <w:trPr>
          <w:trHeight w:val="230"/>
        </w:trPr>
        <w:tc>
          <w:tcPr>
            <w:tcW w:w="3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$3,466 and $5,440 for the years ended December 31,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2023 and 2022 to be $307 and $328, respectively.</w:t>
      </w: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7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3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5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28% and 10%, respectively, of accounts receivable as of December 31, 2023. Receivables from three customers comprised approximately 18%, 10% and 10%, respectively, of accounts receivable as of December 31, 2022. There are no other significant accounts receivable concentration.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from one customer comprised approximately 16% of revenue for the year ended December 31, 2023. Sales from one customer accounted for approximately 22% of revenue for the year ended December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65% of accounts payables as of December 31, 2023. Payables to one vendor comprised approximately 61% of accounts payables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one vendor accounted for approximately 14% of the Company’s total purchases.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one vendor accounted for approximately 28% of the Company’s total purchases.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$2,167 and $2,334 for the years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12).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15)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and $128 as of December 31, 2023 and 2022,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Earnings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16,708,414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Pr>
          <w:p>
            <w:pPr>
              <w:spacing w:after="0"/>
              <w:rPr>
                <w:sz w:val="18"/>
                <w:szCs w:val="18"/>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2,364,787</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3,642,958</w:t>
            </w:r>
          </w:p>
        </w:tc>
        <w:tc>
          <w:tcPr>
            <w:tcW w:w="60" w:type="dxa"/>
            <w:vAlign w:val="bottom"/>
            <w:shd w:val="clear" w:color="auto" w:fill="CCEEFF"/>
          </w:tcPr>
          <w:p>
            <w:pPr>
              <w:spacing w:after="0"/>
              <w:rPr>
                <w:sz w:val="21"/>
                <w:szCs w:val="21"/>
                <w:color w:val="auto"/>
              </w:rPr>
            </w:pPr>
          </w:p>
        </w:tc>
      </w:tr>
      <w:tr>
        <w:trPr>
          <w:trHeight w:val="216"/>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26,922,362</w:t>
            </w: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20,531,372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Note 3 - Reverse Capitalization for details and discussion of the retrospective adjustment of net loss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 and these accompanying notes. The reclassifications did not have a material impact on the Company’s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812"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“PIPE Financing”).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Amounts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CNTQ trust and PIPE Investors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CNTQ</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in merger transaction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assumed in merger</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CNTQ note payable settlement at close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transaction cost paid at close</w:t>
            </w:r>
          </w:p>
        </w:tc>
        <w:tc>
          <w:tcPr>
            <w:tcW w:w="1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17"/>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deficit assumed in recapitalization</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merger</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CNTQ shares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(2,016,912)</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Public Shares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CNTQ Sponsor Shares</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560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Legacy Dragonfly shares </w:t>
            </w:r>
            <w:r>
              <w:rPr>
                <w:rFonts w:ascii="Times New Roman" w:cs="Times New Roman" w:eastAsia="Times New Roman" w:hAnsi="Times New Roman"/>
                <w:sz w:val="29"/>
                <w:szCs w:val="29"/>
                <w:color w:val="auto"/>
                <w:vertAlign w:val="superscript"/>
              </w:rPr>
              <w:t>(1)(2)</w:t>
            </w: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30"/>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1)- The number of Legacy Dragonfly shares was determined from the shares of Legacy Dragonfly outstanding immediately prior to the closing of the merger converted at the Exchange Ratio. All fractional shares were rounded down.</w:t>
      </w:r>
    </w:p>
    <w:p>
      <w:pPr>
        <w:spacing w:after="0" w:line="26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2)- The preferred shares of Legacy Dragonfly were exchanged on a 1 to 1 ratio to common stock and the shares were then exchanged for shares of Dragonfly Energy Holdings Corp. at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the reverse capitalization transaction, the Company issued public warrants, private placement warrants and Term Loan warrants. Refer to Note 10 for a further description of the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Earnout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Pr>
          <w:p>
            <w:pPr>
              <w:spacing w:after="0"/>
              <w:rPr>
                <w:sz w:val="18"/>
                <w:szCs w:val="18"/>
                <w:color w:val="auto"/>
              </w:rPr>
            </w:pPr>
          </w:p>
        </w:tc>
      </w:tr>
      <w:tr>
        <w:trPr>
          <w:trHeight w:val="2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30,841</w:t>
            </w:r>
          </w:p>
        </w:tc>
      </w:tr>
      <w:tr>
        <w:trPr>
          <w:trHeight w:val="23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December 31, 2023 and 2022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December 31, 2023 and, 2022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for Level 3 items measured at fair value on recurring basis using significant unobservable inputs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-133985</wp:posOffset>
            </wp:positionV>
            <wp:extent cx="570039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Warrant exercises</w:t>
      </w:r>
    </w:p>
    <w:p>
      <w:pPr>
        <w:ind w:left="1140"/>
        <w:spacing w:after="0" w:line="219" w:lineRule="auto"/>
        <w:rPr>
          <w:sz w:val="20"/>
          <w:szCs w:val="20"/>
          <w:color w:val="auto"/>
        </w:rPr>
      </w:pPr>
      <w:r>
        <w:rPr>
          <w:rFonts w:ascii="Times New Roman" w:cs="Times New Roman" w:eastAsia="Times New Roman" w:hAnsi="Times New Roman"/>
          <w:sz w:val="17"/>
          <w:szCs w:val="17"/>
          <w:color w:val="auto"/>
        </w:rPr>
        <w:t>Change in fair value, loss (gain) included in net loss</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Term Loan</w:t>
      </w:r>
    </w:p>
    <w:p>
      <w:pPr>
        <w:spacing w:after="0" w:line="18" w:lineRule="exact"/>
        <w:rPr>
          <w:sz w:val="20"/>
          <w:szCs w:val="20"/>
          <w:color w:val="auto"/>
        </w:rPr>
      </w:pPr>
    </w:p>
    <w:p>
      <w:pPr>
        <w:ind w:left="1040" w:hanging="1036"/>
        <w:spacing w:after="0"/>
        <w:tabs>
          <w:tab w:leader="none" w:pos="1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(11,284)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(19,241)</w:t>
      </w:r>
    </w:p>
    <w:p>
      <w:pPr>
        <w:spacing w:after="0" w:line="63" w:lineRule="exact"/>
        <w:rPr>
          <w:sz w:val="20"/>
          <w:szCs w:val="20"/>
          <w:color w:val="auto"/>
        </w:rPr>
      </w:pPr>
    </w:p>
    <w:p>
      <w:pPr>
        <w:ind w:left="1120" w:hanging="1116"/>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9683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Warrant Liability-</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u w:val="single" w:color="auto"/>
          <w:color w:val="auto"/>
        </w:rPr>
        <w:t>June Public Offering</w:t>
      </w:r>
    </w:p>
    <w:p>
      <w:pPr>
        <w:spacing w:after="0" w:line="18" w:lineRule="exact"/>
        <w:rPr>
          <w:sz w:val="20"/>
          <w:szCs w:val="20"/>
          <w:color w:val="auto"/>
        </w:rPr>
      </w:pPr>
    </w:p>
    <w:p>
      <w:pPr>
        <w:jc w:val="both"/>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13,762</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(617)</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(9,711)</w:t>
      </w:r>
    </w:p>
    <w:p>
      <w:pPr>
        <w:spacing w:after="0" w:line="75" w:lineRule="exact"/>
        <w:rPr>
          <w:sz w:val="20"/>
          <w:szCs w:val="20"/>
          <w:color w:val="auto"/>
        </w:rPr>
      </w:pPr>
    </w:p>
    <w:p>
      <w:pPr>
        <w:ind w:left="1120" w:hanging="1114"/>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9683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0" w:space="720"/>
            <w:col w:w="1580" w:space="200"/>
            <w:col w:w="2740"/>
          </w:cols>
          <w:pgMar w:left="320" w:top="657" w:right="339" w:bottom="1440" w:gutter="0" w:footer="0" w:header="0"/>
          <w:type w:val="continuous"/>
        </w:sectPr>
      </w:pPr>
    </w:p>
    <w:p>
      <w:pPr>
        <w:spacing w:after="0" w:line="6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Term Loan</w:t>
      </w:r>
    </w:p>
    <w:p>
      <w:pPr>
        <w:spacing w:after="0" w:line="29"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1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52,956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77"/>
        </w:trPr>
        <w:tc>
          <w:tcPr>
            <w:tcW w:w="5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loss (gain) included in net loss</w:t>
            </w:r>
            <w:r>
              <w:rPr>
                <w:rFonts w:ascii="Times New Roman" w:cs="Times New Roman" w:eastAsia="Times New Roman" w:hAnsi="Times New Roman"/>
                <w:sz w:val="29"/>
                <w:szCs w:val="29"/>
                <w:color w:val="auto"/>
                <w:vertAlign w:val="superscript"/>
              </w:rPr>
              <w:t>(1)</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INVENTORY</w:t>
            </w:r>
          </w:p>
        </w:tc>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2"/>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7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1394"/>
              <w:spacing w:after="0"/>
              <w:rPr>
                <w:sz w:val="20"/>
                <w:szCs w:val="20"/>
                <w:color w:val="auto"/>
              </w:rPr>
            </w:pPr>
            <w:r>
              <w:rPr>
                <w:rFonts w:ascii="Times New Roman" w:cs="Times New Roman" w:eastAsia="Times New Roman" w:hAnsi="Times New Roman"/>
                <w:sz w:val="18"/>
                <w:szCs w:val="18"/>
                <w:color w:val="auto"/>
              </w:rPr>
              <w:t>F-20</w:t>
            </w: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As of December 31, 2023, the lease has not commenced as the Company does not have control over the asset. Subsequent to year end the building has passed inspections and a certificate of substantial completion has been issued.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operating leases are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0"/>
        </w:trPr>
        <w:tc>
          <w:tcPr>
            <w:tcW w:w="5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3,763</w:t>
            </w:r>
          </w:p>
        </w:tc>
        <w:tc>
          <w:tcPr>
            <w:tcW w:w="60" w:type="dxa"/>
            <w:vAlign w:val="bottom"/>
            <w:tcBorders>
              <w:bottom w:val="single" w:sz="8" w:color="CCEEFF"/>
            </w:tcBorders>
          </w:tcPr>
          <w:p>
            <w:pPr>
              <w:spacing w:after="0"/>
              <w:rPr>
                <w:sz w:val="18"/>
                <w:szCs w:val="18"/>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37"/>
        </w:trPr>
        <w:tc>
          <w:tcPr>
            <w:tcW w:w="2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tcPr>
          <w:p>
            <w:pPr>
              <w:spacing w:after="0"/>
              <w:rPr>
                <w:sz w:val="20"/>
                <w:szCs w:val="20"/>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Classification</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16"/>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480" w:type="dxa"/>
            <w:vAlign w:val="bottom"/>
          </w:tcPr>
          <w:p>
            <w:pPr>
              <w:spacing w:after="0"/>
              <w:rPr>
                <w:sz w:val="24"/>
                <w:szCs w:val="24"/>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20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entered into a finance lease agreement for equipment to support the Company’s operations. Payments under the finance lease agreement are fixed for a term of 3-5 years. The leased assets are recognized in property plant &amp; equipment.</w:t>
      </w:r>
    </w:p>
    <w:p>
      <w:pPr>
        <w:sectPr>
          <w:pgSz w:w="11900" w:h="16838" w:orient="portrait"/>
          <w:cols w:equalWidth="0" w:num="1">
            <w:col w:w="11220"/>
          </w:cols>
          <w:pgMar w:left="320" w:top="657"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4.2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20"/>
          </w:cols>
          <w:pgMar w:left="320" w:top="657" w:right="35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financing leases are as follows: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Fiscal Years Ending</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20"/>
                <w:szCs w:val="20"/>
                <w:color w:val="auto"/>
              </w:rPr>
            </w:pPr>
          </w:p>
        </w:tc>
      </w:tr>
      <w:tr>
        <w:trPr>
          <w:trHeight w:val="236"/>
        </w:trPr>
        <w:tc>
          <w:tcPr>
            <w:tcW w:w="226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53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Contingencies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See Note 8 for further discussion regarding contingent consideration arising from the April 2022 Asset Purchase agreement with Thomason Jones Company,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further discussion regarding the earnout related to the reverse capitalization transaction.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Financing—Trust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required the entry into a Lender Collateral Residual Value Insurance Policy (the “Insurance Policy”, with UMB Bank as named insured for $45,000), and the engagement of a placement agent, which is Tribe Capital Markets,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date of the financing the Company received a wire for $35,474, which is comprised of the gross proceeds of $45,000 less $3,188 in deposits to certain reserve accounts (see subsection labeled Reserve Accounts below), and $6,338 in expenses withdrawn from the gross proceeds, which included $4,725 in prepaid policy premiums and related costs underlying the Insurance Policy (see subsection labeled Collateral below), a prepaid loan monitoring fee of $60 and $1,553 in debt issuance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“Maturity Date”). 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Collateral below) as such funds must be reimbursed by the Company to the insurer. 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Term Loan Agreement below) and the outstanding principal balance for the Series 2021-6 Notes underlying the Trust Indenture was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Guarantee and Security Agreement (the “Term Loan Agreement”) setting forth the terms of a senior secured term loan facility in an aggregate principal amount of $75,000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delayed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a total of $14,272 and $3,195,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$1,471 and $38, respectively, during the years ended December 31, 2023 and 2022.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balance of $19,683 on December 31, 2023 consisted of $69,725 in principal, plus $6,130 PIK interest, less $56,172 in unamortized debt discount related to the debt issuance costs. The carrying balance of $19,242 on December 31, 2022 consisted of $75,000 in principal, plus $1,192 payment in kind interest, less $56,950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December 31, 2023, the Company was not in compliance with our financial covenants pertaining to the fixed charge coverage ratio, liquidity, and the maximum senior leverage ratio. On December 29, 2023, the Company received a waiver from its Administrative Agent and Term Loan Lenders in regards to its compliance with the Tests as of the last day of the quarter ended December 31, 2023.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debt maturities are as 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3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79,669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tcPr>
          <w:p>
            <w:pPr>
              <w:spacing w:after="0"/>
              <w:rPr>
                <w:sz w:val="20"/>
                <w:szCs w:val="20"/>
                <w:color w:val="auto"/>
              </w:rPr>
            </w:pPr>
          </w:p>
        </w:tc>
        <w:tc>
          <w:tcPr>
            <w:tcW w:w="53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75,855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(56,172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Financial Accounting Standards Board (FASB) Accounting Standards Codification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its former Chief Financial Officer $469 to repay amounts owed by him to his former employer and entered into a related Promissory Note with a maturity date of March 1, 2026. The loan was forgiven in full in March of 2022, prior to the merger and was recorded within general and administrative expense.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former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77,316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“March Note”) with a board member in the amount of $1,000, or the March Principal Amount. Upon execution of the Note and funding of the original principal sum, a payment of $100 (the “March Loan Fee”) was fully earned as of the date of the March Note and was due and payable in full in cash on April 4, 2023. The Company paid the March Principal Amount and the March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Public Warrant entitles the holder to the right to purchase one share of common stock at an exercise price of $11.50 per share. The Company may elect to redeem the Public Warrants subject to certain conditions,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On the Closing Date, there were 9,487,500 Public Warrants issued and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 (Continued)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received proceeds from public warrant exercises of $747 in exchange for 64,971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receive any proceeds from public warrants during the year 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 (Underwriter and Investor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underwriting agreement as further described in Note 11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Investor Warrant, less underwriting discounts and commissions.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their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1900" w:h="16838" w:orient="portrait"/>
          <w:cols w:equalWidth="0" w:num="1">
            <w:col w:w="11240"/>
          </w:cols>
          <w:pgMar w:left="320" w:top="657"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98919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920"/>
        <w:spacing w:after="0" w:line="266" w:lineRule="auto"/>
        <w:rPr>
          <w:sz w:val="20"/>
          <w:szCs w:val="20"/>
          <w:color w:val="auto"/>
        </w:rPr>
      </w:pPr>
      <w:r>
        <w:rPr>
          <w:rFonts w:ascii="Times New Roman" w:cs="Times New Roman" w:eastAsia="Times New Roman" w:hAnsi="Times New Roman"/>
          <w:sz w:val="18"/>
          <w:szCs w:val="18"/>
          <w:color w:val="auto"/>
        </w:rPr>
        <w:t>Underwriters’ Warrants Outstanding, January 1, 2023 Underwriters’ Warrants issued</w:t>
      </w:r>
    </w:p>
    <w:p>
      <w:pPr>
        <w:ind w:left="660"/>
        <w:spacing w:after="0"/>
        <w:rPr>
          <w:sz w:val="20"/>
          <w:szCs w:val="20"/>
          <w:color w:val="auto"/>
        </w:rPr>
      </w:pPr>
      <w:r>
        <w:rPr>
          <w:rFonts w:ascii="Times New Roman" w:cs="Times New Roman" w:eastAsia="Times New Roman" w:hAnsi="Times New Roman"/>
          <w:sz w:val="18"/>
          <w:szCs w:val="18"/>
          <w:color w:val="auto"/>
        </w:rPr>
        <w:t>Underwriters’ Warrants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98919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7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45"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34290</wp:posOffset>
            </wp:positionV>
            <wp:extent cx="9518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ectPr>
          <w:pgSz w:w="11900" w:h="16838" w:orient="portrait"/>
          <w:cols w:equalWidth="0" w:num="2">
            <w:col w:w="6420" w:space="720"/>
            <w:col w:w="4100"/>
          </w:cols>
          <w:pgMar w:left="320" w:top="657" w:right="339" w:bottom="144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During the year ended December 31, 2023, private placement warrant holders exercised 3,126,472 warrants on a cashless basis, with the Company agreeing to issue 1,100,000 shares of Common Stock in connection with such exercise. There were 1,501,386 and 4,627,858 private warrants outstanding as of December 31, 2023 and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Inception Date Fair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Initial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Warrant Class</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Recognition Date</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6"/>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Private Placement Warrants</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8/11/2026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3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warrants from January 1, 2023 to December 31, 2023:</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4,627,858</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(3,126,472)</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(64,971)</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Warrants:</w:t>
      </w:r>
    </w:p>
    <w:p>
      <w:pPr>
        <w:spacing w:after="0" w:line="225"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427736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42773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Warrants:</w:t>
      </w:r>
    </w:p>
    <w:p>
      <w:pPr>
        <w:spacing w:after="0" w:line="20" w:lineRule="exact"/>
        <w:rPr>
          <w:sz w:val="20"/>
          <w:szCs w:val="20"/>
          <w:color w:val="auto"/>
        </w:rPr>
      </w:pPr>
      <w:r>
        <w:rPr>
          <w:sz w:val="20"/>
          <w:szCs w:val="20"/>
          <w:color w:val="auto"/>
        </w:rPr>
        <w:br w:type="column"/>
      </w: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4,193,056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(1,600,000)</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(2,000,000)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1,291,454</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1,884,510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34290</wp:posOffset>
            </wp:positionV>
            <wp:extent cx="8058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ectPr>
          <w:pgSz w:w="11900" w:h="16838" w:orient="portrait"/>
          <w:cols w:equalWidth="0" w:num="2">
            <w:col w:w="5400" w:space="720"/>
            <w:col w:w="5120"/>
          </w:cols>
          <w:pgMar w:left="320" w:top="657"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11,405,000</w:t>
            </w:r>
          </w:p>
        </w:tc>
        <w:tc>
          <w:tcPr>
            <w:tcW w:w="60" w:type="dxa"/>
            <w:vAlign w:val="bottom"/>
          </w:tcPr>
          <w:p>
            <w:pPr>
              <w:spacing w:after="0"/>
              <w:rPr>
                <w:sz w:val="18"/>
                <w:szCs w:val="18"/>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(273,100)</w:t>
            </w: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December 31, 2023</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 forward of the aggregate fair values of the Company’s warrant liabilities for which fair value is determined by Level 3 Inputs. The only class of warrants that were determined to be Level 3 were the term loan and June Offering Investor Warrants.</w:t>
      </w:r>
    </w:p>
    <w:p>
      <w:pPr>
        <w:sectPr>
          <w:pgSz w:w="11900" w:h="16838" w:orient="portrait"/>
          <w:cols w:equalWidth="0" w:num="1">
            <w:col w:w="11240"/>
          </w:cols>
          <w:pgMar w:left="320" w:top="6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427736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427736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Liability</w:t>
      </w:r>
    </w:p>
    <w:p>
      <w:pPr>
        <w:spacing w:after="0" w:line="18" w:lineRule="exact"/>
        <w:rPr>
          <w:sz w:val="20"/>
          <w:szCs w:val="20"/>
          <w:color w:val="auto"/>
        </w:rPr>
      </w:pPr>
    </w:p>
    <w:p>
      <w:pPr>
        <w:ind w:left="1240" w:hanging="1231"/>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(16,669)</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(5,446)</w:t>
      </w:r>
    </w:p>
    <w:p>
      <w:pPr>
        <w:spacing w:after="0" w:line="23" w:lineRule="exact"/>
        <w:rPr>
          <w:sz w:val="20"/>
          <w:szCs w:val="20"/>
          <w:color w:val="auto"/>
        </w:rPr>
      </w:pPr>
    </w:p>
    <w:p>
      <w:pPr>
        <w:ind w:left="820" w:hanging="811"/>
        <w:spacing w:after="0"/>
        <w:tabs>
          <w:tab w:leader="none" w:pos="8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47" w:lineRule="exact"/>
        <w:rPr>
          <w:sz w:val="20"/>
          <w:szCs w:val="20"/>
          <w:color w:val="auto"/>
        </w:rPr>
      </w:pPr>
    </w:p>
    <w:p>
      <w:pPr>
        <w:ind w:left="820" w:hanging="811"/>
        <w:spacing w:after="0"/>
        <w:tabs>
          <w:tab w:leader="none" w:pos="8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14,460</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(11,901)</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(28,952)</w:t>
      </w:r>
    </w:p>
    <w:p>
      <w:pPr>
        <w:spacing w:after="0" w:line="23" w:lineRule="exact"/>
        <w:rPr>
          <w:sz w:val="20"/>
          <w:szCs w:val="20"/>
          <w:color w:val="auto"/>
        </w:rPr>
      </w:pPr>
    </w:p>
    <w:p>
      <w:pPr>
        <w:ind w:left="900" w:hanging="891"/>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229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300" w:space="720"/>
            <w:col w:w="5220"/>
          </w:cols>
          <w:pgMar w:left="320" w:top="657"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2023 and 2022, there were 60,260,282 and 43,272,728 shares issued and outstanding. No dividends on common stock had been declared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and 2022, the Company had reserved shares of common stock for issuance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60,260,282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43,272,728</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24,510,575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16,708,414</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tcPr>
          <w:p>
            <w:pPr>
              <w:spacing w:after="0"/>
              <w:rPr>
                <w:sz w:val="18"/>
                <w:szCs w:val="18"/>
                <w:color w:val="auto"/>
              </w:rPr>
            </w:pPr>
          </w:p>
        </w:tc>
      </w:tr>
      <w:tr>
        <w:trPr>
          <w:trHeight w:val="23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4,469,280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4,924,914</w:t>
            </w:r>
          </w:p>
        </w:tc>
        <w:tc>
          <w:tcPr>
            <w:tcW w:w="60" w:type="dxa"/>
            <w:vAlign w:val="bottom"/>
            <w:shd w:val="clear" w:color="auto" w:fill="CCEEFF"/>
          </w:tcPr>
          <w:p>
            <w:pPr>
              <w:spacing w:after="0"/>
              <w:rPr>
                <w:sz w:val="20"/>
                <w:szCs w:val="20"/>
                <w:color w:val="auto"/>
              </w:rPr>
            </w:pPr>
          </w:p>
        </w:tc>
      </w:tr>
      <w:tr>
        <w:trPr>
          <w:trHeight w:val="203"/>
        </w:trPr>
        <w:tc>
          <w:tcPr>
            <w:tcW w:w="4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131,604,924</w:t>
            </w: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108,549,014</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(“ChEF Equity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the Company issued 588,500 shares pursuant to the Purchase Agreement with CCM LLC for aggregate net proceeds to the Company of $1,273 from the period January 1, 2023 through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Average Grant</w:t>
            </w: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1500" w:type="dxa"/>
            <w:vAlign w:val="bottom"/>
            <w:gridSpan w:val="2"/>
          </w:tcPr>
          <w:p>
            <w:pPr>
              <w:jc w:val="right"/>
              <w:ind w:right="460"/>
              <w:spacing w:after="0" w:line="270"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572,428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(581,351)</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2023</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3,642,958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143,607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(504,116)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(917,662)</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1,530,078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292"/>
        <w:spacing w:after="0" w:line="284" w:lineRule="auto"/>
        <w:tabs>
          <w:tab w:leader="none" w:pos="36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Number of options and weighted average exercise price prior to the merger has been adjusted to reflect the exchange of Legacy Dragonfly’s stock options for New Dragonfly stock options at an exchange ratio of approximately 1.182 as a result of the merger. See Note 3 for further information.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$6,710 and $2,467 was recognized in the Company’s consolidated statements of operations for the year ended December 31, 2023 and 2022, respectively. Of the $6,710 of share-based compensation incurred during the year ended December 31, 2023, $133 is allocated to cost of goods sold, $116 to research and development, $1,097 to selling and marketing, and $5,364 to general and administrative expenses. Of the $2,467 of share-based compensation incurred during the year ended December 31, 2022, $155 is allocated to cost of goods sold, $149 to research and development, $654 to selling and marketing, and $1,509 to general and administrative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7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1.57</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2.71%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45.0%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the Company granted 180,000 restricted stock units under the 2022 Plan which vested in full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in full immediately upon grant. The fair value of the restricted stock units on the date of grant was $3,464 and was recorded as compensation expense during the year ended December 31, 2023. The Company granted an additional 47,000 restricted stock units which have not vested. The fair value of the 47,000 unvested restricted stock units was $126 and an expense of $22 was recorded during the year ended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restricted stock units prior to October 7, 2022. The following table presents the restricted stock units activity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Average Fair</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tcPr>
          <w:p>
            <w:pPr>
              <w:spacing w:after="0"/>
              <w:rPr>
                <w:sz w:val="19"/>
                <w:szCs w:val="19"/>
                <w:color w:val="auto"/>
              </w:rPr>
            </w:pPr>
          </w:p>
        </w:tc>
      </w:tr>
      <w:tr>
        <w:trPr>
          <w:trHeight w:val="21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2023</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508,998</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(641,998)</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December 31, 2023</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47,000</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4,469,280 shares of unissued authorized and available for future awards under the 2022 Equity Incentive Plan and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 State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 State</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5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Start up costs</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1,595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top w:val="single" w:sz="8" w:color="CCEEFF"/>
            </w:tcBorders>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F-36</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2023 and 2022,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income (loss) before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(transaction costs)</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(warrants)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(6,089)</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12,294</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7,324</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2020, 2021 and 2022.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limitations described below, as of December 31, 2023, the Company had federal net operating loss carryforwards of approximately $34,941 available to reduce future taxable income which do not expire, but are limited to 80% utilization against taxable income. As of December 31, 2023, the Company had state net operating loss carryforwards of approximately $14,969 available to reduce future taxable income, which start to expire in 2037. The Company also had research and development credits of $847 as of December 31, 2023 to offset future federal income taxes, which are set to expire in 2042.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2023. The valuation allowance as of December 31, 2023 was $19,617, primarily due to the company entering into a 3 year cumulative loss position and no expectation of income for the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Company’s gross uncertain tax positions is as follows: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Gross Uncertain</w:t>
            </w:r>
          </w:p>
        </w:tc>
      </w:tr>
      <w:tr>
        <w:trPr>
          <w:trHeight w:val="241"/>
        </w:trPr>
        <w:tc>
          <w:tcPr>
            <w:tcW w:w="6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Tax Position</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6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uncertain tax positions decreased during the year ended December 31, 2023 because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the authority to provide regulations and other guidance to carry out and prevent the abuse or avoidance of the excise tax. During the year ended December 31, 2023, the Company did not undergo any repurchases of its stock that were subject to the IR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2022 financial statements for the underpayment of tariffs to U.S. Customs and Border Protection (“CBP”) in the amount of $1.58 million in the aggregate,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consolidated financial statements for 2022 and related notes included herein to correct this error for the 2022 financial statements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 (CONTINUED)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 December 31, 2022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6"/>
                <w:szCs w:val="16"/>
                <w:color w:val="auto"/>
              </w:rPr>
              <w:t>As previously reported</w:t>
            </w:r>
          </w:p>
        </w:tc>
        <w:tc>
          <w:tcPr>
            <w:tcW w:w="1460" w:type="dxa"/>
            <w:vAlign w:val="bottom"/>
          </w:tcPr>
          <w:p>
            <w:pPr>
              <w:jc w:val="center"/>
              <w:ind w:left="371"/>
              <w:spacing w:after="0" w:line="142" w:lineRule="exact"/>
              <w:rPr>
                <w:sz w:val="20"/>
                <w:szCs w:val="20"/>
                <w:color w:val="auto"/>
              </w:rPr>
            </w:pPr>
            <w:r>
              <w:rPr>
                <w:rFonts w:ascii="Times New Roman" w:cs="Times New Roman" w:eastAsia="Times New Roman" w:hAnsi="Times New Roman"/>
                <w:sz w:val="16"/>
                <w:szCs w:val="16"/>
                <w:color w:val="auto"/>
              </w:rPr>
              <w:t>Adjustment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right"/>
              <w:ind w:right="490"/>
              <w:spacing w:after="0" w:line="142" w:lineRule="exact"/>
              <w:rPr>
                <w:sz w:val="20"/>
                <w:szCs w:val="20"/>
                <w:color w:val="auto"/>
              </w:rPr>
            </w:pPr>
            <w:r>
              <w:rPr>
                <w:rFonts w:ascii="Times New Roman" w:cs="Times New Roman" w:eastAsia="Times New Roman" w:hAnsi="Times New Roman"/>
                <w:sz w:val="16"/>
                <w:szCs w:val="16"/>
                <w:color w:val="auto"/>
              </w:rPr>
              <w:t>As revised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Borders>
              <w:top w:val="single" w:sz="8" w:color="auto"/>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73,489</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88,761</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auto"/>
              </w:rPr>
              <w:t>Accrued tariffs</w:t>
            </w:r>
          </w:p>
        </w:tc>
        <w:tc>
          <w:tcPr>
            <w:tcW w:w="1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460" w:type="dxa"/>
            <w:vAlign w:val="bottom"/>
          </w:tcPr>
          <w:p>
            <w:pPr>
              <w:jc w:val="right"/>
              <w:ind w:right="127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40,531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41,463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77,430</w:t>
            </w:r>
          </w:p>
        </w:tc>
        <w:tc>
          <w:tcPr>
            <w:tcW w:w="14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78,362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11,332</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439"/>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24,004</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23,618</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(33,997)</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(6,945)</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(40,280)</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Inventory</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(22,719)</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Accrued tariffs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Cash Used in Operating Activities</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(45,696)</w:t>
            </w:r>
          </w:p>
        </w:tc>
        <w:tc>
          <w:tcPr>
            <w:tcW w:w="14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Shareholder’ Equity</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Balance –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 – December 31, 2022</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(27,133)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439"/>
        </w:trPr>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F-39</w:t>
            </w:r>
          </w:p>
        </w:tc>
        <w:tc>
          <w:tcPr>
            <w:tcW w:w="1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2024, the Company received a waiver from its Administrative Agent and Term Loan Lenders in regard to the Company’s compliance with its liquidity requirement as of the last day of the fiscal quarter ended March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 RSUs to the following employees: (i) 568 RSUs to the Chief Executive Officer; (ii) 181 RSUs to the Chief Revenue Officer; and (iii) 87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8,501</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33,578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23,988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9,550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(41,539)</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12,505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7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Taxes</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17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45,104,515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1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48,455,996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8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43,272,728</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r>
      <w:tr>
        <w:trPr>
          <w:trHeight w:val="216"/>
        </w:trPr>
        <w:tc>
          <w:tcPr>
            <w:tcW w:w="41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 of</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73,500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36,009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64,971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2,348,294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10,167</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4,487</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45,795,502</w:t>
            </w:r>
          </w:p>
        </w:tc>
        <w:tc>
          <w:tcPr>
            <w:tcW w:w="1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31,609</w:t>
            </w: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60,260,282</w:t>
            </w:r>
          </w:p>
        </w:tc>
        <w:tc>
          <w:tcPr>
            <w:tcW w:w="1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r>
      <w:tr>
        <w:trPr>
          <w:trHeight w:val="216"/>
        </w:trPr>
        <w:tc>
          <w:tcPr>
            <w:tcW w:w="4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(10,367)</w:t>
            </w: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69,711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0020" w:type="dxa"/>
            <w:vAlign w:val="bottom"/>
            <w:gridSpan w:val="14"/>
          </w:tcPr>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F-43</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62" w:name="page163"/>
    <w:bookmarkEnd w:id="162"/>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FOR THE THREE MONTHS ENDED MARCH 31, 2024 AND 2023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(10,367)   $</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(18,523)</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1,260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6,465</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662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6,972</w:t>
            </w:r>
          </w:p>
        </w:tc>
        <w:tc>
          <w:tcPr>
            <w:tcW w:w="3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(817)</w:t>
            </w: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3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net</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2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8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21,095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3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5" w:name="page166"/>
    <w:bookmarkEnd w:id="16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incurred losses from operations and had negative cash flow from operations. As of March 31, 2024, the Company had $8,501 in cash and cash equivalents and working capital of $4,168.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6).</w:t>
      </w:r>
      <w:r>
        <w:rPr>
          <w:rFonts w:ascii="Times New Roman" w:cs="Times New Roman" w:eastAsia="Times New Roman" w:hAnsi="Times New Roman"/>
          <w:sz w:val="18"/>
          <w:szCs w:val="18"/>
          <w:color w:val="auto"/>
        </w:rPr>
        <w:t xml:space="preserve"> On March 31, 2024, the Company obtained a waiver from the Term Loan administrative agent and lenders of its failures to satisfy the liquidity requirement under the Term Loan for the quarter ended March 31, 2024.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6" w:name="page167"/>
    <w:bookmarkEnd w:id="16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As of March 31, 2024 and December 31, 2023,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March 31, 2024 and December 31, 2023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inventory reserve as of March 31, 2024 and December 31, 2023 is immaterial.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right of use assets,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7" w:name="page168"/>
    <w:bookmarkEnd w:id="16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March 31, 2024 and December 31, 2023, the contract liability related to the Company’s customer deposits are $231 and $201,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8" w:name="page169"/>
    <w:bookmarkEnd w:id="16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(Continued)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$134 of the contract liability as of December 31, 2023 during the three months ended March 31, 2024. The Company recognized $211 of the contract liability as of December 31, 2022 during the three months ended March 31,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Disaggregation of Revenue</w:t>
            </w:r>
          </w:p>
        </w:tc>
        <w:tc>
          <w:tcPr>
            <w:tcW w:w="4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41"/>
        </w:trPr>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48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Direct to Customer</w:t>
            </w: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5,203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170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8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7,302</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8,753</w:t>
            </w:r>
          </w:p>
        </w:tc>
        <w:tc>
          <w:tcPr>
            <w:tcW w:w="60" w:type="dxa"/>
            <w:vAlign w:val="bottom"/>
            <w:shd w:val="clear" w:color="auto" w:fill="CCEEFF"/>
          </w:tcPr>
          <w:p>
            <w:pPr>
              <w:spacing w:after="0"/>
              <w:rPr>
                <w:sz w:val="21"/>
                <w:szCs w:val="21"/>
                <w:color w:val="auto"/>
              </w:rPr>
            </w:pPr>
          </w:p>
        </w:tc>
      </w:tr>
      <w:tr>
        <w:trPr>
          <w:trHeight w:val="217"/>
        </w:trPr>
        <w:tc>
          <w:tcPr>
            <w:tcW w:w="170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12,505</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March 31, 2024 and December 31, 2023 to be $414 and $307, respectively.</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March 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0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197</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17"/>
        </w:trPr>
        <w:tc>
          <w:tcPr>
            <w:tcW w:w="48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receivables from Customer A, Customer B and Customer C comprised approximately 22%, 14% and 12%, respectively, of accounts receivable. As of December 31, 2023, receivables from Customer D and Customer E comprised approximately 28% and 10%, respectively, of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sales from Customer A accounted for approximately 16% of the Company’s total revenue. For the three months ended March 31, 2023, sales from Customer B accounted for approximately 26% of the Company’s total revenue.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payables to Vendor A comprised approximately 60% of accounts payables. As of December 31, 2023, payables to Vendor A comprised approximately 65% of accounts payables.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Vendor A accounted for approximately 12% of the Company’s total purchases. For the three months ended March 31, 2023, Vendor B and Vendor C accounted for approximately 38% and 10%, respectively, of the Company’s total purchases.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9" w:name="page170"/>
    <w:bookmarkEnd w:id="16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11).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0" w:name="page171"/>
    <w:bookmarkEnd w:id="17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as of March 31, 2024, and December 31, 2023,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Income per Common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earnings by the weighted-average number of common shares outstanding during the period. Diluted net (loss) income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income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income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1" w:name="page172"/>
    <w:bookmarkEnd w:id="17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2" w:name="page173"/>
    <w:bookmarkEnd w:id="17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Fair Value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Pr>
          <w:p>
            <w:pPr>
              <w:spacing w:after="0"/>
              <w:rPr>
                <w:sz w:val="18"/>
                <w:szCs w:val="18"/>
                <w:color w:val="auto"/>
              </w:rPr>
            </w:pP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Condensed Consolidated Balance Sheets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Carrying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As of December 31, 2023</w:t>
            </w: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March 31, 2024 and December 31, 2023 because of the relatively short maturity of these instruments.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March 31, 2024 and December 31, 2023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3" w:name="page174"/>
    <w:bookmarkEnd w:id="17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Warrant liability-</w:t>
            </w:r>
          </w:p>
        </w:tc>
      </w:tr>
      <w:tr>
        <w:trPr>
          <w:trHeight w:val="216"/>
        </w:trPr>
        <w:tc>
          <w:tcPr>
            <w:tcW w:w="486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Warrant Liability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June Public</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Offering</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77"/>
        </w:trPr>
        <w:tc>
          <w:tcPr>
            <w:tcW w:w="4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7"/>
              </w:rPr>
              <w:t>Warrant Liability -</w:t>
            </w:r>
          </w:p>
        </w:tc>
      </w:t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9"/>
              </w:rPr>
              <w:t>Term Loan</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2023</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(8,822)</w:t>
            </w:r>
          </w:p>
        </w:tc>
      </w:tr>
      <w:tr>
        <w:trPr>
          <w:trHeight w:val="290"/>
        </w:trPr>
        <w:tc>
          <w:tcPr>
            <w:tcW w:w="4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(17,998)</w:t>
            </w:r>
          </w:p>
        </w:tc>
      </w:tr>
      <w:tr>
        <w:trPr>
          <w:trHeight w:val="217"/>
        </w:trPr>
        <w:tc>
          <w:tcPr>
            <w:tcW w:w="4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2023</w:t>
            </w:r>
          </w:p>
        </w:tc>
        <w:tc>
          <w:tcPr>
            <w:tcW w:w="2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INVENTORY</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680" w:type="dxa"/>
            <w:vAlign w:val="bottom"/>
          </w:tcPr>
          <w:p>
            <w:pPr>
              <w:spacing w:after="0"/>
              <w:rPr>
                <w:sz w:val="24"/>
                <w:szCs w:val="24"/>
                <w:color w:val="auto"/>
              </w:rPr>
            </w:pPr>
          </w:p>
        </w:tc>
      </w:tr>
      <w:tr>
        <w:trPr>
          <w:trHeight w:val="241"/>
        </w:trPr>
        <w:tc>
          <w:tcPr>
            <w:tcW w:w="1700" w:type="dxa"/>
            <w:vAlign w:val="bottom"/>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7,174</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F-55</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4" w:name="page175"/>
    <w:bookmarkEnd w:id="17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$118 to $361.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 certificate of substantial completion has been issued and the lease commencement date was March 25, 2024.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9.29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the Company’s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7"/>
        </w:trPr>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w:t>
            </w:r>
          </w:p>
        </w:tc>
        <w:tc>
          <w:tcPr>
            <w:tcW w:w="40" w:type="dxa"/>
            <w:vAlign w:val="bottom"/>
          </w:tcPr>
          <w:p>
            <w:pPr>
              <w:spacing w:after="0"/>
              <w:rPr>
                <w:sz w:val="22"/>
                <w:szCs w:val="2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4,267</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3,810</w:t>
            </w:r>
          </w:p>
        </w:tc>
        <w:tc>
          <w:tcPr>
            <w:tcW w:w="4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3,004</w:t>
            </w:r>
          </w:p>
        </w:tc>
        <w:tc>
          <w:tcPr>
            <w:tcW w:w="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3,094</w:t>
            </w:r>
          </w:p>
        </w:tc>
        <w:tc>
          <w:tcPr>
            <w:tcW w:w="40" w:type="dxa"/>
            <w:vAlign w:val="bottom"/>
          </w:tcPr>
          <w:p>
            <w:pPr>
              <w:spacing w:after="0"/>
              <w:rPr>
                <w:sz w:val="18"/>
                <w:szCs w:val="18"/>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19,070</w:t>
            </w:r>
          </w:p>
        </w:tc>
        <w:tc>
          <w:tcPr>
            <w:tcW w:w="40" w:type="dxa"/>
            <w:vAlign w:val="bottom"/>
            <w:shd w:val="clear" w:color="auto" w:fill="CCEEFF"/>
          </w:tcPr>
          <w:p>
            <w:pPr>
              <w:spacing w:after="0"/>
              <w:rPr>
                <w:sz w:val="21"/>
                <w:szCs w:val="21"/>
                <w:color w:val="auto"/>
              </w:rPr>
            </w:pPr>
          </w:p>
        </w:tc>
      </w:tr>
      <w:tr>
        <w:trPr>
          <w:trHeight w:val="22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w:t>
            </w: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5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11,260</w:t>
            </w:r>
          </w:p>
        </w:tc>
        <w:tc>
          <w:tcPr>
            <w:tcW w:w="40" w:type="dxa"/>
            <w:vAlign w:val="bottom"/>
            <w:shd w:val="clear" w:color="auto" w:fill="CCEEFF"/>
          </w:tcPr>
          <w:p>
            <w:pPr>
              <w:spacing w:after="0"/>
              <w:rPr>
                <w:sz w:val="22"/>
                <w:szCs w:val="22"/>
                <w:color w:val="auto"/>
              </w:rPr>
            </w:pPr>
          </w:p>
        </w:tc>
      </w:tr>
      <w:tr>
        <w:trPr>
          <w:trHeight w:val="216"/>
        </w:trPr>
        <w:tc>
          <w:tcPr>
            <w:tcW w:w="5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398"/>
        </w:trPr>
        <w:tc>
          <w:tcPr>
            <w:tcW w:w="8340" w:type="dxa"/>
            <w:vAlign w:val="bottom"/>
            <w:gridSpan w:val="8"/>
          </w:tcPr>
          <w:p>
            <w:pPr>
              <w:jc w:val="right"/>
              <w:ind w:right="1160"/>
              <w:spacing w:after="0"/>
              <w:rPr>
                <w:sz w:val="20"/>
                <w:szCs w:val="20"/>
                <w:color w:val="auto"/>
              </w:rPr>
            </w:pPr>
            <w:r>
              <w:rPr>
                <w:rFonts w:ascii="Times New Roman" w:cs="Times New Roman" w:eastAsia="Times New Roman" w:hAnsi="Times New Roman"/>
                <w:sz w:val="29"/>
                <w:szCs w:val="29"/>
                <w:color w:val="auto"/>
                <w:w w:val="99"/>
                <w:vertAlign w:val="superscript"/>
              </w:rPr>
              <w:t>(1)</w:t>
            </w:r>
            <w:r>
              <w:rPr>
                <w:rFonts w:ascii="Times New Roman" w:cs="Times New Roman" w:eastAsia="Times New Roman" w:hAnsi="Times New Roman"/>
                <w:sz w:val="18"/>
                <w:szCs w:val="18"/>
                <w:color w:val="auto"/>
                <w:w w:val="99"/>
              </w:rPr>
              <w:t>Represents scheduled payments for the remaining nine-month period ending December 31, 2024.</w:t>
            </w: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7"/>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Classification</w:t>
            </w: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4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5" w:name="page176"/>
    <w:bookmarkEnd w:id="17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5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2.5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700" w:space="720"/>
            <w:col w:w="482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minimum lease payments under these operating leases are as follows:</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1980" w:type="dxa"/>
            <w:vAlign w:val="bottom"/>
          </w:tcPr>
          <w:p>
            <w:pPr>
              <w:spacing w:after="0"/>
              <w:rPr>
                <w:sz w:val="22"/>
                <w:szCs w:val="22"/>
                <w:color w:val="auto"/>
              </w:rPr>
            </w:pPr>
          </w:p>
        </w:tc>
        <w:tc>
          <w:tcPr>
            <w:tcW w:w="5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29"/>
                <w:szCs w:val="29"/>
                <w:color w:val="auto"/>
                <w:vertAlign w:val="superscript"/>
              </w:rPr>
              <w:t>(1)</w:t>
            </w:r>
          </w:p>
        </w:tc>
        <w:tc>
          <w:tcPr>
            <w:tcW w:w="6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r>
      <w:tr>
        <w:trPr>
          <w:trHeight w:val="216"/>
        </w:trPr>
        <w:tc>
          <w:tcPr>
            <w:tcW w:w="19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6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r>
      <w:tr>
        <w:trPr>
          <w:trHeight w:val="250"/>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6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r>
      <w:tr>
        <w:trPr>
          <w:trHeight w:val="210"/>
        </w:trPr>
        <w:tc>
          <w:tcPr>
            <w:tcW w:w="1980" w:type="dxa"/>
            <w:vAlign w:val="bottom"/>
          </w:tcPr>
          <w:p>
            <w:pPr>
              <w:spacing w:after="0"/>
              <w:rPr>
                <w:sz w:val="18"/>
                <w:szCs w:val="18"/>
                <w:color w:val="auto"/>
              </w:rPr>
            </w:pPr>
          </w:p>
        </w:tc>
        <w:tc>
          <w:tcPr>
            <w:tcW w:w="58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43"/>
        </w:trPr>
        <w:tc>
          <w:tcPr>
            <w:tcW w:w="198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198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r>
      <w:tr>
        <w:trPr>
          <w:trHeight w:val="20"/>
        </w:trPr>
        <w:tc>
          <w:tcPr>
            <w:tcW w:w="19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Represents scheduled payments for the remaining nine-month period ending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7 for further discussion regarding contingent consideration arising from the April 2022 Asset Purchase agreement with Thomason Jones Company, LLC.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6" w:name="page177"/>
    <w:bookmarkEnd w:id="17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pushed back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9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a total of $3,701 and $3,496,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$894 and $219, respectively, during the three months ended March 31, 2024 and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balance of $21,837 on March 31, 2024 consisted of $69,725 in principal, plus $7,389 PIK interest, less $55,277 in unamortized debt discount related to the debt issuance costs. The carrying balance of $19,683 on December 31, 2023 consisted of $69,725 in principal, plus $6,130 PIK interest, less $56,172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7" w:name="page178"/>
    <w:bookmarkEnd w:id="177"/>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March 31, 2024, the Company was not in compliance with our financial covenants pertaining to the fixed charge coverage ratio, liquidity, and the maximum senior leverage ratio. On March 31, 2024, the Company received a waiver from its Administrative Agent and Term Loan Lenders in regards to its compliance with the liquidity requirement under the Term Loan as of the last day of the quarter ended March 31, 2024.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31, 2024, the future debt maturities are as follows: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78,703</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70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vMerge w:val="continue"/>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7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77,114</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(55,277)</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17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5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FASB ASC</w:t>
      </w:r>
    </w:p>
    <w:p>
      <w:pPr>
        <w:spacing w:after="0" w:line="1" w:lineRule="exact"/>
        <w:rPr>
          <w:sz w:val="20"/>
          <w:szCs w:val="20"/>
          <w:color w:val="auto"/>
        </w:rPr>
      </w:pPr>
    </w:p>
    <w:p>
      <w:pPr>
        <w:jc w:val="both"/>
        <w:ind w:firstLine="8"/>
        <w:spacing w:after="0" w:line="255" w:lineRule="auto"/>
        <w:tabs>
          <w:tab w:leader="none" w:pos="3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8" w:name="page179"/>
    <w:bookmarkEnd w:id="17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76,316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$116 of general and administrative expense for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Public Warrants are classified as equity as of March 31, 2024 and March 31, 2023 there were 9,487,500 Public Warrants issued and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no public warrants were exercised.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9" w:name="page180"/>
    <w:bookmarkEnd w:id="17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3,126,472 warrants on a cashless basis, with the Company agreeing to issue 1,100,000 shares of Common Stock in connection with such exercise. There were 1,501,386 private warrants outstanding as of March 31,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0" w:name="page181"/>
    <w:bookmarkEnd w:id="180"/>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8.52 -9.75</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1680" w:type="dxa"/>
            <w:vAlign w:val="bottom"/>
          </w:tcPr>
          <w:p>
            <w:pPr>
              <w:spacing w:after="0"/>
              <w:rPr>
                <w:sz w:val="18"/>
                <w:szCs w:val="18"/>
                <w:color w:val="auto"/>
              </w:rPr>
            </w:pPr>
          </w:p>
        </w:tc>
      </w:tr>
      <w:tr>
        <w:trPr>
          <w:trHeight w:val="241"/>
        </w:trPr>
        <w:tc>
          <w:tcPr>
            <w:tcW w:w="1700" w:type="dxa"/>
            <w:vAlign w:val="bottom"/>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680" w:type="dxa"/>
            <w:vAlign w:val="bottom"/>
          </w:tcPr>
          <w:p>
            <w:pPr>
              <w:spacing w:after="0"/>
              <w:rPr>
                <w:sz w:val="18"/>
                <w:szCs w:val="18"/>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F-62</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81" w:name="page182"/>
    <w:bookmarkEnd w:id="181"/>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WARRANTS (CONTINUED)</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1,884,510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Warrants: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40" w:type="dxa"/>
            <w:vAlign w:val="bottom"/>
            <w:gridSpan w:val="2"/>
          </w:tcPr>
          <w:p>
            <w:pPr>
              <w:ind w:left="1140"/>
              <w:spacing w:after="0" w:line="203" w:lineRule="exact"/>
              <w:rPr>
                <w:sz w:val="20"/>
                <w:szCs w:val="20"/>
                <w:color w:val="auto"/>
              </w:rPr>
            </w:pPr>
            <w:r>
              <w:rPr>
                <w:rFonts w:ascii="Times New Roman" w:cs="Times New Roman" w:eastAsia="Times New Roman" w:hAnsi="Times New Roman"/>
                <w:sz w:val="18"/>
                <w:szCs w:val="18"/>
                <w:color w:val="auto"/>
              </w:rPr>
              <w:t>Warrants outstanding, March 31, 2024</w:t>
            </w:r>
          </w:p>
        </w:tc>
        <w:tc>
          <w:tcPr>
            <w:tcW w:w="1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had reserved shares of common stock for issuance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45,795,502</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24,510,575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12,266,971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40,000,000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10,986,525</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4,319,309</w:t>
            </w:r>
          </w:p>
        </w:tc>
        <w:tc>
          <w:tcPr>
            <w:tcW w:w="8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138,072,681</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106,113,174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Chardan Capital Markets LLC, a New York limited liability company (“CCM LLC”) entered into a purchase agreement (the “Purchase Agreement”) and a Registration Rights Agreement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73,500 shares pursuant to the Purchase Agreement with CCM LLC for aggregate net proceeds to the Company of $597 from the period January 1, 2023 through March 31, 2023. No issuances have occurred for the period of January 1, 2024 through March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2" w:name="page183"/>
    <w:bookmarkEnd w:id="18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$266 and $4,487 was recognized in the Company’s consolidated statements of operations for the three months ended March 31, 2024 and 2023, respectively. Of the $266 of share-based compensation incurred during the three months ended March 31, 2024, $32 is allocated to cost of goods sold, $65 to research and development, $60 to selling and marketing, and $109 to general and administrative expenses. Of the $4,487 of share-based compensation incurred during the three months ended March 31, 2023, $36 is allocated to cost of goods sold, $29 to research and development, $856 to selling and marketing, and $3,566 to general and administrative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Date Fair</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41"/>
        </w:trPr>
        <w:tc>
          <w:tcPr>
            <w:tcW w:w="41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Value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Life (in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intrinsic value</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2,364,787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1,651,913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2,315,299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2023, the Company granted 461,998 restricted stock units under the 2022 plan which vest immediately. The fair value of the restricted stock units on the date of grant was $3,464 and was recorded as compensation expense during the three months ended March 31, 2023. On February 5, 2024, the Company granted 220,000 restricted stock units of which 100,000 vested immediately. The fair value of the 220,000 restricted stock units was $95 and an expense of $45 was recorded as compensation expense during the three months ended March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units activity 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Market Value</w:t>
            </w:r>
          </w:p>
        </w:tc>
      </w:tr>
      <w:tr>
        <w:trPr>
          <w:trHeight w:val="216"/>
        </w:trPr>
        <w:tc>
          <w:tcPr>
            <w:tcW w:w="56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(104,875)</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March 31, 2024</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162,125</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there were 10,986,525 shares of unissued authorized and available for future awards under the 2022 Equity Incentive Plan and Employee Stock Purchase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3" w:name="page184"/>
    <w:bookmarkEnd w:id="18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(LOSS) INCOME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net (loss) income per share for the three months ended March 31, 2024 and 2023:</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(Loss) Income per common share:</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45,104,515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196"/>
        </w:trPr>
        <w:tc>
          <w:tcPr>
            <w:tcW w:w="6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(Loss) Income per common share: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2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60,260,282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45,104,515</w:t>
            </w: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related to stock options and warrants</w:t>
            </w: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3,351,481</w:t>
            </w: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60,260,282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48,455,996</w:t>
            </w:r>
          </w:p>
        </w:tc>
        <w:tc>
          <w:tcPr>
            <w:tcW w:w="100" w:type="dxa"/>
            <w:vAlign w:val="bottom"/>
            <w:tcBorders>
              <w:top w:val="single" w:sz="8" w:color="CCEEFF"/>
            </w:tcBorders>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 2024</w:t>
            </w: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March 31, 2023</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9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10,923,915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162,125</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111,015</w:t>
            </w: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4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2,315,299</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03"/>
        </w:trPr>
        <w:tc>
          <w:tcPr>
            <w:tcW w:w="580" w:type="dxa"/>
            <w:vAlign w:val="bottom"/>
          </w:tcPr>
          <w:p>
            <w:pPr>
              <w:spacing w:after="0"/>
              <w:rPr>
                <w:sz w:val="17"/>
                <w:szCs w:val="17"/>
                <w:color w:val="auto"/>
              </w:rPr>
            </w:pPr>
          </w:p>
        </w:tc>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80" w:type="dxa"/>
            <w:vAlign w:val="bottom"/>
            <w:tcBorders>
              <w:top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26,987,999</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11,034,930</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right"/>
              <w:ind w:right="3080"/>
              <w:spacing w:after="0"/>
              <w:rPr>
                <w:sz w:val="20"/>
                <w:szCs w:val="20"/>
                <w:color w:val="auto"/>
              </w:rPr>
            </w:pPr>
            <w:r>
              <w:rPr>
                <w:rFonts w:ascii="Times New Roman" w:cs="Times New Roman" w:eastAsia="Times New Roman" w:hAnsi="Times New Roman"/>
                <w:sz w:val="18"/>
                <w:szCs w:val="18"/>
                <w:color w:val="auto"/>
              </w:rPr>
              <w:t>F-65</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84" w:name="page185"/>
    <w:bookmarkEnd w:id="18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financial statements for the quarter ended March 31,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March 31, 2023 and related notes included herein to correct this error for the financial statements for the quarter ended March 31, 2023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 Diluted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Accrued Tariffs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0" w:lineRule="exact"/>
        <w:rPr>
          <w:sz w:val="20"/>
          <w:szCs w:val="20"/>
          <w:color w:val="auto"/>
        </w:rPr>
      </w:pPr>
    </w:p>
    <w:p>
      <w:pPr>
        <w:ind w:right="1940"/>
        <w:spacing w:after="0" w:line="261" w:lineRule="auto"/>
        <w:rPr>
          <w:sz w:val="20"/>
          <w:szCs w:val="20"/>
          <w:color w:val="auto"/>
        </w:rPr>
      </w:pPr>
      <w:r>
        <w:rPr>
          <w:rFonts w:ascii="Times New Roman" w:cs="Times New Roman" w:eastAsia="Times New Roman" w:hAnsi="Times New Roman"/>
          <w:sz w:val="18"/>
          <w:szCs w:val="18"/>
          <w:color w:val="auto"/>
        </w:rPr>
        <w:t>Accumulated Deficit - January 1, 2023 Net Income</w:t>
      </w:r>
    </w:p>
    <w:p>
      <w:pPr>
        <w:spacing w:after="0"/>
        <w:rPr>
          <w:sz w:val="20"/>
          <w:szCs w:val="20"/>
          <w:color w:val="auto"/>
        </w:rPr>
      </w:pPr>
      <w:r>
        <w:rPr>
          <w:rFonts w:ascii="Times New Roman" w:cs="Times New Roman" w:eastAsia="Times New Roman" w:hAnsi="Times New Roman"/>
          <w:sz w:val="18"/>
          <w:szCs w:val="18"/>
          <w:color w:val="auto"/>
        </w:rPr>
        <w:t>Accumulated Deficit - March 31,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the Period Ended 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Borders>
              <w:top w:val="single" w:sz="8" w:color="auto"/>
            </w:tcBorders>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14,048</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14,124</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4,667</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(9,816)</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(9,892)</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(0.10)</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4,892</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4,775</w:t>
            </w:r>
          </w:p>
        </w:tc>
        <w:tc>
          <w:tcPr>
            <w:tcW w:w="60" w:type="dxa"/>
            <w:vAlign w:val="bottom"/>
          </w:tcPr>
          <w:p>
            <w:pPr>
              <w:spacing w:after="0"/>
              <w:rPr>
                <w:sz w:val="17"/>
                <w:szCs w:val="17"/>
                <w:color w:val="auto"/>
              </w:rPr>
            </w:pPr>
          </w:p>
        </w:tc>
      </w:tr>
      <w:tr>
        <w:trPr>
          <w:trHeight w:val="234"/>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439"/>
        </w:trPr>
        <w:tc>
          <w:tcPr>
            <w:tcW w:w="462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Period Ended March 31, 2023</w:t>
            </w:r>
          </w:p>
        </w:tc>
      </w:tr>
      <w:tr>
        <w:trPr>
          <w:trHeight w:val="198"/>
        </w:trPr>
        <w:tc>
          <w:tcPr>
            <w:tcW w:w="164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As previously</w:t>
            </w: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Adjustment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As revised</w:t>
            </w:r>
          </w:p>
        </w:tc>
      </w:tr>
      <w:tr>
        <w:trPr>
          <w:trHeight w:val="198"/>
        </w:trPr>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(27,133)</w:t>
            </w:r>
          </w:p>
        </w:tc>
        <w:tc>
          <w:tcPr>
            <w:tcW w:w="3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17"/>
                <w:szCs w:val="17"/>
                <w:color w:val="auto"/>
              </w:rPr>
            </w:pPr>
          </w:p>
        </w:tc>
        <w:tc>
          <w:tcPr>
            <w:tcW w:w="13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(27,722)</w:t>
            </w:r>
          </w:p>
        </w:tc>
        <w:tc>
          <w:tcPr>
            <w:tcW w:w="60" w:type="dxa"/>
            <w:vAlign w:val="bottom"/>
          </w:tcPr>
          <w:p>
            <w:pPr>
              <w:spacing w:after="0"/>
              <w:rPr>
                <w:sz w:val="17"/>
                <w:szCs w:val="17"/>
                <w:color w:val="auto"/>
              </w:rPr>
            </w:pPr>
          </w:p>
        </w:tc>
      </w:tr>
      <w:tr>
        <w:trPr>
          <w:trHeight w:val="216"/>
        </w:trPr>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r>
      <w:tr>
        <w:trPr>
          <w:trHeight w:val="234"/>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(22,241)</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-2673985</wp:posOffset>
            </wp:positionV>
            <wp:extent cx="641223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-2399665</wp:posOffset>
            </wp:positionV>
            <wp:extent cx="641223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-2125345</wp:posOffset>
            </wp:positionV>
            <wp:extent cx="641223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-2965450</wp:posOffset>
            </wp:positionV>
            <wp:extent cx="641223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-1285240</wp:posOffset>
            </wp:positionV>
            <wp:extent cx="641223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-136525</wp:posOffset>
            </wp:positionV>
            <wp:extent cx="641223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-427990</wp:posOffset>
            </wp:positionV>
            <wp:extent cx="641223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185" w:name="page186"/>
    <w:bookmarkEnd w:id="18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2024, the Company issued 3,428 shares in exchange for 4,875 vested RSU’s less shares deducted to cover taxes. On April 24, 2024, the Company issued 244,774 shares in connection with its Employee Stock Purchase Plan for a total consideration of approximately $112. On April 30, 2024, the Company issued 992 shares as a result of exercised stock options upon the receipt of proceeds of approximately $1.</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836,295 RSUs to the following employees: (i) 567,407 RSUs to the Chief Executive Officer; (ii) 181,481 RSUs to the Chief Revenue Officer; and (iii) 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Company obtained a waiver from the Term Loan administrative agent and lenders in regard to the Company’s compliance with the liquidity requirement under the Term Loan as of the last day of the fiscal month ended April 30, 2024.</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2024, the Company received a waiver from its Administrative Agent and Term Loan Lenders (the “May 2024 Waiver”) in regards to its compliance with the to satisfy the Senior Leverage Ratio and Fixed Charge Coverage Ratio tests (the “Tests”) as of the last day of the quarter ended March 31, 2024 from the Term Loan Lenders in regards to its compliance with the Tests as of the last day of the quarter ended March 31, 2024. The May 2024 Waiver provided for a one-time issuance of penny warrants (the “May 2024 Penny Warrants”) to purchase up to 2,550,000 shares of the Company’s common stock, par value $0.0001 per share (the “May 2024 Penny Warrant Shares”),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color w:val="auto"/>
        </w:rPr>
        <w:t>Up to 21,512,027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438785</wp:posOffset>
            </wp:positionV>
            <wp:extent cx="1748790" cy="436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3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17,246.30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5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our Articles of Incorporation nor our Bylaws prevent us from indemnifying our officers, directors and agents to the extent permitted under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8" w:name="page189"/>
    <w:bookmarkEnd w:id="188"/>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and Business Combination Issuances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At the Closing, we issued an additional 15,000 shares to CCM pursuant to the terms of the Subscription Agreement. See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 The Business Combination - PIPE Investment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At Closing, in connection with the entry into the Term Loan Agreement, we entered into (i) the Penny Warrants and (ii) the $10 Warrants. See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Person Transactions - Debt Financing - Warrant Agreements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 Private Placements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issued additional Penny Warrants to purchase 501 shares of common stock to the Term Loan Lenders in accordance with the anti-dilution provisions of the Penny Warrants with respect to certain sales made by the Company under the ChEF Equity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obtained the December 2023 Waiver from the Term Loan Lenders in regards to our compliance with the Tests as of the last day of the quarter ended December 31, 2023. The December 2023 Waiver provided for a one-time issuance of Penny Warrants to purchase up to 1,286,671 December 2023 Penny Warrant Shares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we received the May 2024 Waiver from the Term Loan Lenders in regards to our compliance with the Tests as of the last day of the quarter ended March 31, 2024. The May 2024 Waiver provided for the issuance of the May 2024 Penny Warrants to purchase up to 2,550,000 shares of our common stock,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i w:val="1"/>
          <w:iCs w:val="1"/>
          <w:color w:val="auto"/>
        </w:rPr>
        <w:t>RSU Grants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we granted each of our non-employee directors (i.e. Jonathan Bellows, Perry Boyle, Karina Edmonds, Luisa Ingargiola, Brian Nelson, and Rick Parod) an award of 30,000 RSUs under the 2022 Plan. The RSUs are eligible to vest on the first anniversary of the grant date, subject to each director’s continued service on our Board through the vesting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2023, we issued the March 2023 Note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we issued the January Note in the January Principal Amount of $1.0 million to Brian Nelson, one of our directors, in a private placement in exchange for cash in an equal amount. The January Note became due and payable in full on February 2, 2024. We were also obligated to pay the January Loan Fee of $50,000 to Mr. Nelson on February 2, 2024. We paid the January Principal Amount and the January Loan Fee in full on February 2,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27, 2024 we issued the February Note in the February Principal Amount of $1.7 million to Mr. Nelson, in a private placement in exchange for cash in an equal amount. The February Note became due and payable in full on March 1, 2024. We were also obligated to pay the February Loan Fee of $85,000 to Mr. Nelson on March 1, 2024. We paid the February Principal Amount and the February Loan Fee on March 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transactions relating to the issuance of the Waiver Penny Warrants, RSUs, the March 2023 Note, the January Note and the February Note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3"/>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36"/>
        </w:trPr>
        <w:tc>
          <w:tcPr>
            <w:tcW w:w="9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80" w:type="dxa"/>
            <w:vAlign w:val="bottom"/>
            <w:gridSpan w:val="18"/>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5"/>
                <w:szCs w:val="15"/>
                <w:color w:val="auto"/>
              </w:rPr>
            </w:pPr>
          </w:p>
        </w:tc>
        <w:tc>
          <w:tcPr>
            <w:tcW w:w="2480" w:type="dxa"/>
            <w:vAlign w:val="bottom"/>
            <w:tcBorders>
              <w:top w:val="single" w:sz="8" w:color="auto"/>
              <w:bottom w:val="single" w:sz="8" w:color="0000EE"/>
            </w:tcBorders>
            <w:gridSpan w:val="7"/>
          </w:tcPr>
          <w:p>
            <w:pPr>
              <w:spacing w:after="0" w:line="176" w:lineRule="exact"/>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Form of Underwriting Agreement.</w:t>
              </w:r>
            </w:hyperlink>
          </w:p>
        </w:tc>
        <w:tc>
          <w:tcPr>
            <w:tcW w:w="5000" w:type="dxa"/>
            <w:vAlign w:val="bottom"/>
            <w:tcBorders>
              <w:top w:val="single" w:sz="8" w:color="auto"/>
            </w:tcBorders>
            <w:gridSpan w:val="20"/>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5"/>
                <w:szCs w:val="15"/>
                <w:color w:val="auto"/>
              </w:rPr>
            </w:pPr>
          </w:p>
        </w:tc>
        <w:tc>
          <w:tcPr>
            <w:tcW w:w="980" w:type="dxa"/>
            <w:vAlign w:val="bottom"/>
            <w:tcBorders>
              <w:top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06/14/2023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Agreement and Plan of Merger, dated as of May 15, 2022, by and among Dragonfly Energy Holdings</w:t>
              </w:r>
            </w:hyperlink>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Corp. (f/k/a Chardan NexTech Acquisition 2 Corp.), Bronco Merger Sub, Inc. and Dragonfly Energy</w:t>
              </w:r>
            </w:hyperlink>
          </w:p>
        </w:tc>
        <w:tc>
          <w:tcPr>
            <w:tcW w:w="3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Corp. (included as Annex A to the proxy statement/prospectus).</w:t>
              </w:r>
            </w:hyperlink>
          </w:p>
        </w:tc>
        <w:tc>
          <w:tcPr>
            <w:tcW w:w="2640" w:type="dxa"/>
            <w:vAlign w:val="bottom"/>
            <w:tcBorders>
              <w:top w:val="single" w:sz="8" w:color="0000EE"/>
            </w:tcBorders>
            <w:gridSpan w:val="6"/>
          </w:tcPr>
          <w:p>
            <w:pPr>
              <w:spacing w:after="0"/>
              <w:rPr>
                <w:sz w:val="17"/>
                <w:szCs w:val="17"/>
                <w:color w:val="auto"/>
              </w:rPr>
            </w:pPr>
          </w:p>
        </w:tc>
        <w:tc>
          <w:tcPr>
            <w:tcW w:w="3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7"/>
                <w:szCs w:val="17"/>
                <w:color w:val="auto"/>
              </w:rPr>
            </w:pPr>
          </w:p>
        </w:tc>
        <w:tc>
          <w:tcPr>
            <w:tcW w:w="7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Amendment to Agreement and Plan of Merger, dated as of July 12, 2022, by and among Dragonfly</w:t>
              </w:r>
            </w:hyperlink>
          </w:p>
        </w:tc>
        <w:tc>
          <w:tcPr>
            <w:tcW w:w="480" w:type="dxa"/>
            <w:vAlign w:val="bottom"/>
            <w:gridSpan w:val="7"/>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8"/>
              </w:rPr>
              <w:t>2.1(a)</w:t>
            </w: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Energy Holdings Corp. (f/k/a Chardan NexTech Acquisition 2 Corp.), Bronco Merger Sub, Inc.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248">
              <w:r>
                <w:rPr>
                  <w:rFonts w:ascii="Times New Roman" w:cs="Times New Roman" w:eastAsia="Times New Roman" w:hAnsi="Times New Roman"/>
                  <w:sz w:val="18"/>
                  <w:szCs w:val="18"/>
                  <w:color w:val="0000EE"/>
                  <w:w w:val="97"/>
                </w:rPr>
                <w:t>Dragonfly Energy Corp.</w:t>
              </w:r>
            </w:hyperlink>
          </w:p>
        </w:tc>
        <w:tc>
          <w:tcPr>
            <w:tcW w:w="5400" w:type="dxa"/>
            <w:vAlign w:val="bottom"/>
            <w:tcBorders>
              <w:top w:val="single" w:sz="8" w:color="0000EE"/>
            </w:tcBorders>
            <w:gridSpan w:val="20"/>
          </w:tcPr>
          <w:p>
            <w:pPr>
              <w:spacing w:after="0"/>
              <w:rPr>
                <w:sz w:val="17"/>
                <w:szCs w:val="17"/>
                <w:color w:val="auto"/>
              </w:rPr>
            </w:pPr>
          </w:p>
        </w:tc>
        <w:tc>
          <w:tcPr>
            <w:tcW w:w="4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49">
              <w:r>
                <w:rPr>
                  <w:rFonts w:ascii="Times New Roman" w:cs="Times New Roman" w:eastAsia="Times New Roman" w:hAnsi="Times New Roman"/>
                  <w:sz w:val="18"/>
                  <w:szCs w:val="18"/>
                  <w:color w:val="0000EE"/>
                  <w:w w:val="97"/>
                </w:rPr>
                <w:t>Plan of Conversion.</w:t>
              </w:r>
            </w:hyperlink>
          </w:p>
        </w:tc>
        <w:tc>
          <w:tcPr>
            <w:tcW w:w="6180" w:type="dxa"/>
            <w:vAlign w:val="bottom"/>
            <w:gridSpan w:val="27"/>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Articles of Incorporation of Dragonfly Energy Holdings Corp.</w:t>
              </w:r>
            </w:hyperlink>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Bylaws of Dragonfly Energy Holdings Corp.</w:t>
              </w:r>
            </w:hyperlink>
          </w:p>
        </w:tc>
        <w:tc>
          <w:tcPr>
            <w:tcW w:w="1240" w:type="dxa"/>
            <w:vAlign w:val="bottom"/>
            <w:tcBorders>
              <w:top w:val="single" w:sz="8" w:color="0000EE"/>
            </w:tcBorders>
            <w:gridSpan w:val="6"/>
          </w:tcPr>
          <w:p>
            <w:pPr>
              <w:spacing w:after="0"/>
              <w:rPr>
                <w:sz w:val="17"/>
                <w:szCs w:val="17"/>
                <w:color w:val="auto"/>
              </w:rPr>
            </w:pPr>
          </w:p>
        </w:tc>
        <w:tc>
          <w:tcPr>
            <w:tcW w:w="3140" w:type="dxa"/>
            <w:vAlign w:val="bottom"/>
            <w:gridSpan w:val="12"/>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Specimen Common Stock Certificate of Dragonfly Energy Holdings Corp.</w:t>
              </w:r>
            </w:hyperlink>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253">
              <w:r>
                <w:rPr>
                  <w:rFonts w:ascii="Times New Roman" w:cs="Times New Roman" w:eastAsia="Times New Roman" w:hAnsi="Times New Roman"/>
                  <w:sz w:val="18"/>
                  <w:szCs w:val="18"/>
                  <w:color w:val="0000EE"/>
                  <w:w w:val="98"/>
                </w:rPr>
                <w:t xml:space="preserve">Form of </w:t>
              </w:r>
              <w:r>
                <w:rPr>
                  <w:rFonts w:ascii="Times New Roman" w:cs="Times New Roman" w:eastAsia="Times New Roman" w:hAnsi="Times New Roman"/>
                  <w:sz w:val="18"/>
                  <w:szCs w:val="18"/>
                  <w:u w:val="single" w:color="auto"/>
                  <w:color w:val="0000EE"/>
                  <w:w w:val="98"/>
                </w:rPr>
                <w:t>$</w:t>
              </w:r>
              <w:r>
                <w:rPr>
                  <w:rFonts w:ascii="Times New Roman" w:cs="Times New Roman" w:eastAsia="Times New Roman" w:hAnsi="Times New Roman"/>
                  <w:sz w:val="18"/>
                  <w:szCs w:val="18"/>
                  <w:color w:val="0000EE"/>
                  <w:w w:val="98"/>
                </w:rPr>
                <w:t>10 Warrant of Dragonfly Energy Holdings Corp.</w:t>
              </w:r>
            </w:hyperlink>
          </w:p>
        </w:tc>
        <w:tc>
          <w:tcPr>
            <w:tcW w:w="1160" w:type="dxa"/>
            <w:vAlign w:val="bottom"/>
            <w:tcBorders>
              <w:top w:val="single" w:sz="8" w:color="0000EE"/>
            </w:tcBorders>
            <w:gridSpan w:val="5"/>
          </w:tcPr>
          <w:p>
            <w:pPr>
              <w:spacing w:after="0"/>
              <w:rPr>
                <w:sz w:val="17"/>
                <w:szCs w:val="17"/>
                <w:color w:val="auto"/>
              </w:rPr>
            </w:pPr>
          </w:p>
        </w:tc>
        <w:tc>
          <w:tcPr>
            <w:tcW w:w="2240" w:type="dxa"/>
            <w:vAlign w:val="bottom"/>
            <w:gridSpan w:val="9"/>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4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54">
              <w:r>
                <w:rPr>
                  <w:rFonts w:ascii="Times New Roman" w:cs="Times New Roman" w:eastAsia="Times New Roman" w:hAnsi="Times New Roman"/>
                  <w:sz w:val="18"/>
                  <w:szCs w:val="18"/>
                  <w:color w:val="0000EE"/>
                  <w:w w:val="98"/>
                </w:rPr>
                <w:t>Form of Penny Warrant of Dragonfly Energy Holdings Corp.</w:t>
              </w:r>
            </w:hyperlink>
          </w:p>
        </w:tc>
        <w:tc>
          <w:tcPr>
            <w:tcW w:w="3220" w:type="dxa"/>
            <w:vAlign w:val="bottom"/>
            <w:gridSpan w:val="13"/>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Warrant Agreement, dated as of October 19, 2022, between Dragonfly Energy Holdings Corp. and</w:t>
              </w:r>
            </w:hyperlink>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10/21/2022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American Stock Transfer &amp; Trust Company, LLC.</w:t>
              </w:r>
            </w:hyperlink>
          </w:p>
        </w:tc>
        <w:tc>
          <w:tcPr>
            <w:tcW w:w="54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48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256">
              <w:r>
                <w:rPr>
                  <w:rFonts w:ascii="Times New Roman" w:cs="Times New Roman" w:eastAsia="Times New Roman" w:hAnsi="Times New Roman"/>
                  <w:sz w:val="18"/>
                  <w:szCs w:val="18"/>
                  <w:color w:val="0000EE"/>
                  <w:w w:val="98"/>
                </w:rPr>
                <w:t>Specimen Warrant Certificate of Dragonfly Energy Holdings Corp.</w:t>
              </w:r>
            </w:hyperlink>
          </w:p>
        </w:tc>
        <w:tc>
          <w:tcPr>
            <w:tcW w:w="2780" w:type="dxa"/>
            <w:vAlign w:val="bottom"/>
            <w:gridSpan w:val="10"/>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4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57">
              <w:r>
                <w:rPr>
                  <w:rFonts w:ascii="Times New Roman" w:cs="Times New Roman" w:eastAsia="Times New Roman" w:hAnsi="Times New Roman"/>
                  <w:sz w:val="18"/>
                  <w:szCs w:val="18"/>
                  <w:color w:val="0000EE"/>
                  <w:w w:val="98"/>
                </w:rPr>
                <w:t>Promissory Note of the Company, dated March 5, 2023.</w:t>
              </w:r>
            </w:hyperlink>
          </w:p>
        </w:tc>
        <w:tc>
          <w:tcPr>
            <w:tcW w:w="3580" w:type="dxa"/>
            <w:vAlign w:val="bottom"/>
            <w:gridSpan w:val="15"/>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03/09/2023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58">
              <w:r>
                <w:rPr>
                  <w:rFonts w:ascii="Times New Roman" w:cs="Times New Roman" w:eastAsia="Times New Roman" w:hAnsi="Times New Roman"/>
                  <w:sz w:val="18"/>
                  <w:szCs w:val="18"/>
                  <w:color w:val="0000EE"/>
                  <w:w w:val="98"/>
                </w:rPr>
                <w:t>Description of Securities.</w:t>
              </w:r>
            </w:hyperlink>
          </w:p>
        </w:tc>
        <w:tc>
          <w:tcPr>
            <w:tcW w:w="5780" w:type="dxa"/>
            <w:vAlign w:val="bottom"/>
            <w:gridSpan w:val="25"/>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Form of Underwriters’ Warrant.</w:t>
              </w:r>
            </w:hyperlink>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06/14/2023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2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Form of Investor Warrant.</w:t>
              </w:r>
            </w:hyperlink>
          </w:p>
        </w:tc>
        <w:tc>
          <w:tcPr>
            <w:tcW w:w="5320" w:type="dxa"/>
            <w:vAlign w:val="bottom"/>
            <w:gridSpan w:val="22"/>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06/21/2023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Form of December 2023 Lender Penny Warrant.</w:t>
              </w:r>
            </w:hyperlink>
          </w:p>
        </w:tc>
        <w:tc>
          <w:tcPr>
            <w:tcW w:w="7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12/29/2023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7"/>
                <w:szCs w:val="17"/>
                <w:color w:val="auto"/>
              </w:rPr>
            </w:pPr>
          </w:p>
        </w:tc>
        <w:tc>
          <w:tcPr>
            <w:tcW w:w="34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May 2024 Penny Warrant.</w:t>
              </w:r>
            </w:hyperlink>
          </w:p>
        </w:tc>
        <w:tc>
          <w:tcPr>
            <w:tcW w:w="4140" w:type="dxa"/>
            <w:vAlign w:val="bottom"/>
            <w:gridSpan w:val="17"/>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05/15/2024</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20" w:type="dxa"/>
            <w:vAlign w:val="bottom"/>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Parsons Behle &amp; Latimer.</w:t>
            </w:r>
          </w:p>
        </w:tc>
        <w:tc>
          <w:tcPr>
            <w:tcW w:w="492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74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Sponsor Support Agreement, dated as of May 15, 2022, by and among Chardan NexTech Investments 2</w:t>
              </w:r>
            </w:hyperlink>
          </w:p>
        </w:tc>
        <w:tc>
          <w:tcPr>
            <w:tcW w:w="140" w:type="dxa"/>
            <w:vAlign w:val="bottom"/>
            <w:gridSpan w:val="2"/>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LLC, Dragonfly Energy Corp. and Chardan NexTech Investments 2 LLC (included as Annex E to the</w:t>
              </w:r>
            </w:hyperlink>
          </w:p>
        </w:tc>
        <w:tc>
          <w:tcPr>
            <w:tcW w:w="3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8"/>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Commitment Letter, dated as of May 15, 2022, by and among Dragonfly Energy Holdings Corp. (f/k/a</w:t>
              </w:r>
            </w:hyperlink>
          </w:p>
        </w:tc>
        <w:tc>
          <w:tcPr>
            <w:tcW w:w="10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Chardan NexTech Acquisition 2 Corp.), Dragonfly Energy Corp., CCM Investments 5 LLC and EICF</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65">
              <w:r>
                <w:rPr>
                  <w:rFonts w:ascii="Times New Roman" w:cs="Times New Roman" w:eastAsia="Times New Roman" w:hAnsi="Times New Roman"/>
                  <w:sz w:val="18"/>
                  <w:szCs w:val="18"/>
                  <w:color w:val="0000EE"/>
                  <w:w w:val="99"/>
                </w:rPr>
                <w:t>Agent LLC (included as Annex J to the proxy statement/prospectus).</w:t>
              </w:r>
            </w:hyperlink>
          </w:p>
        </w:tc>
        <w:tc>
          <w:tcPr>
            <w:tcW w:w="2540" w:type="dxa"/>
            <w:vAlign w:val="bottom"/>
            <w:gridSpan w:val="1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Equity Facility Letter Agreement, dated as of May 15, 2022, by and among Dragonfly Energy Corp.,</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4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Dragonfly Energy Holdings Corp. (f/k/a Chardan NexTech Acquisition 2 Corp.) and CCM Investments</w:t>
              </w:r>
            </w:hyperlink>
          </w:p>
        </w:tc>
        <w:tc>
          <w:tcPr>
            <w:tcW w:w="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5 LLC (included as Annex K to the proxy statement/prospectus).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3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Subscription Agreement, dated as of May 15, 2022, between Dragonfly Energy Holdings Corp. (f/k/a</w:t>
              </w:r>
            </w:hyperlink>
          </w:p>
        </w:tc>
        <w:tc>
          <w:tcPr>
            <w:tcW w:w="20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Chardan NexTech Acquisition 2 Corp.) and Chardan NexTech Investments 2 LLC (included as Annex F</w:t>
              </w:r>
            </w:hyperlink>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to the proxy statement/prospectus).</w:t>
              </w:r>
            </w:hyperlink>
          </w:p>
        </w:tc>
        <w:tc>
          <w:tcPr>
            <w:tcW w:w="4960" w:type="dxa"/>
            <w:vAlign w:val="bottom"/>
            <w:gridSpan w:val="2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5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Dragonfly Energy Holdings Corp. 2022 Equity Incentive Plan.</w:t>
              </w:r>
            </w:hyperlink>
          </w:p>
        </w:tc>
        <w:tc>
          <w:tcPr>
            <w:tcW w:w="2980" w:type="dxa"/>
            <w:vAlign w:val="bottom"/>
            <w:gridSpan w:val="1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8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Dragonfly Energy Holdings Corp. Employee Stock Purchase Plan.</w:t>
              </w:r>
            </w:hyperlink>
          </w:p>
        </w:tc>
        <w:tc>
          <w:tcPr>
            <w:tcW w:w="270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3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Form of Director Indemnification Agreement.</w:t>
              </w:r>
            </w:hyperlink>
          </w:p>
        </w:tc>
        <w:tc>
          <w:tcPr>
            <w:tcW w:w="4180" w:type="dxa"/>
            <w:vAlign w:val="bottom"/>
            <w:gridSpan w:val="2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Multi-tenant Industrial Triple Net Lease, dated as of March 1, 2021, between Dragonfly Energy Corp.</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and Icon Reno Property Owner Pool 3 Nevada, LLC.</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Lease, dated as of February 8, 2022, between Dragonfly Energy Corp. and Prologis, L.P.</w:t>
              </w:r>
            </w:hyperlink>
          </w:p>
        </w:tc>
        <w:tc>
          <w:tcPr>
            <w:tcW w:w="112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Purchase Agreement, dated as of October 7, 2022, between Dragonfly Energy Holdings Corp. and</w:t>
              </w:r>
            </w:hyperlink>
          </w:p>
        </w:tc>
        <w:tc>
          <w:tcPr>
            <w:tcW w:w="420" w:type="dxa"/>
            <w:vAlign w:val="bottom"/>
            <w:gridSpan w:val="1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Chardan Capital Markets LLC.</w:t>
              </w:r>
            </w:hyperlink>
          </w:p>
        </w:tc>
        <w:tc>
          <w:tcPr>
            <w:tcW w:w="5260" w:type="dxa"/>
            <w:vAlign w:val="bottom"/>
            <w:gridSpan w:val="2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Registration Rights Agreement, dated as of October 7, 2022, between Dragonfly Energy Holdings</w:t>
              </w:r>
            </w:hyperlink>
          </w:p>
        </w:tc>
        <w:tc>
          <w:tcPr>
            <w:tcW w:w="4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Corp. and Chardan Capital Markets LLC.</w:t>
              </w:r>
            </w:hyperlink>
          </w:p>
        </w:tc>
        <w:tc>
          <w:tcPr>
            <w:tcW w:w="4500" w:type="dxa"/>
            <w:vAlign w:val="bottom"/>
            <w:gridSpan w:val="21"/>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Term Loan Agreement, dated as of October 7, 2022, by and among the Dragonfly Energy Holdings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75">
              <w:r>
                <w:rPr>
                  <w:rFonts w:ascii="Times New Roman" w:cs="Times New Roman" w:eastAsia="Times New Roman" w:hAnsi="Times New Roman"/>
                  <w:sz w:val="18"/>
                  <w:szCs w:val="18"/>
                  <w:color w:val="0000EE"/>
                  <w:w w:val="99"/>
                </w:rPr>
                <w:t>Corp., Dragonfly Energy Corp., the lenders from time to time party thereto and Alter Domus (US) LLC.</w:t>
              </w:r>
            </w:hyperlink>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Pledge Agreement, dated as of October 7, 2022, by and among Dragonfly Energy Holdings Corp. and</w:t>
              </w:r>
            </w:hyperlink>
          </w:p>
        </w:tc>
      </w:tr>
      <w:tr>
        <w:trPr>
          <w:trHeight w:val="196"/>
        </w:trPr>
        <w:tc>
          <w:tcPr>
            <w:tcW w:w="11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Alter Domus (US) LLC.</w:t>
              </w:r>
            </w:hyperlink>
          </w:p>
        </w:tc>
        <w:tc>
          <w:tcPr>
            <w:tcW w:w="5540" w:type="dxa"/>
            <w:vAlign w:val="bottom"/>
            <w:tcBorders>
              <w:top w:val="single" w:sz="8" w:color="0000EE"/>
            </w:tcBorders>
            <w:gridSpan w:val="2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Employment Agreement, dated as of January 1, 2022, by and between Dragonfly Energy Corp. and</w:t>
              </w:r>
            </w:hyperlink>
          </w:p>
        </w:tc>
        <w:tc>
          <w:tcPr>
            <w:tcW w:w="34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77">
              <w:r>
                <w:rPr>
                  <w:rFonts w:ascii="Times New Roman" w:cs="Times New Roman" w:eastAsia="Times New Roman" w:hAnsi="Times New Roman"/>
                  <w:sz w:val="18"/>
                  <w:szCs w:val="18"/>
                  <w:color w:val="0000EE"/>
                  <w:w w:val="98"/>
                </w:rPr>
                <w:t>Denis Phares.</w:t>
              </w:r>
            </w:hyperlink>
          </w:p>
        </w:tc>
        <w:tc>
          <w:tcPr>
            <w:tcW w:w="6500" w:type="dxa"/>
            <w:vAlign w:val="bottom"/>
            <w:gridSpan w:val="3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Amendment to Employment Agreement, dated as of May 15, 2022, by and between Dragonfly Energy</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Corp. and Denis Phares.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Employment Agreement, dated as of January 1, 2022, by and between Dragonfly Energy Corp. and</w:t>
              </w:r>
            </w:hyperlink>
          </w:p>
        </w:tc>
        <w:tc>
          <w:tcPr>
            <w:tcW w:w="34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Sean Nichols.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Amendment to Employment Agreement, dated as of May 15, 2022, by and between Dragonfly Energy</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Corp. and Sean Nichols.</w:t>
              </w:r>
            </w:hyperlink>
          </w:p>
        </w:tc>
        <w:tc>
          <w:tcPr>
            <w:tcW w:w="5740" w:type="dxa"/>
            <w:vAlign w:val="bottom"/>
            <w:gridSpan w:val="2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Employment Agreement, dated as of August 17, 2021, by and between Dragonfly Energy Corp. and</w:t>
              </w:r>
            </w:hyperlink>
          </w:p>
        </w:tc>
      </w:tr>
      <w:tr>
        <w:trPr>
          <w:trHeight w:val="196"/>
        </w:trPr>
        <w:tc>
          <w:tcPr>
            <w:tcW w:w="11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John Marchetti.</w:t>
              </w:r>
            </w:hyperlink>
          </w:p>
        </w:tc>
        <w:tc>
          <w:tcPr>
            <w:tcW w:w="6120" w:type="dxa"/>
            <w:vAlign w:val="bottom"/>
            <w:tcBorders>
              <w:top w:val="single" w:sz="8" w:color="0000EE"/>
            </w:tcBorders>
            <w:gridSpan w:val="22"/>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Dragonfly Energy Corp. 2019 Stock Incentive Plan.</w:t>
              </w:r>
            </w:hyperlink>
          </w:p>
        </w:tc>
        <w:tc>
          <w:tcPr>
            <w:tcW w:w="3760" w:type="dxa"/>
            <w:vAlign w:val="bottom"/>
            <w:gridSpan w:val="1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Dragonfly Energy Corp. 2021 Stock Incentive Plan.</w:t>
              </w:r>
            </w:hyperlink>
          </w:p>
        </w:tc>
        <w:tc>
          <w:tcPr>
            <w:tcW w:w="3760" w:type="dxa"/>
            <w:vAlign w:val="bottom"/>
            <w:gridSpan w:val="1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Amended and Restated Registration Rights Agreement, dated as of October 7, 2022, by and among</w:t>
              </w:r>
            </w:hyperlink>
          </w:p>
        </w:tc>
      </w:tr>
      <w:tr>
        <w:trPr>
          <w:trHeight w:val="196"/>
        </w:trPr>
        <w:tc>
          <w:tcPr>
            <w:tcW w:w="110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Dragonfly Energy Holdings Corp. and each of the stockholders thereto.</w:t>
              </w:r>
            </w:hyperlink>
          </w:p>
        </w:tc>
        <w:tc>
          <w:tcPr>
            <w:tcW w:w="2000" w:type="dxa"/>
            <w:vAlign w:val="bottom"/>
            <w:tcBorders>
              <w:top w:val="single" w:sz="8" w:color="0000EE"/>
            </w:tcBorders>
            <w:gridSpan w:val="4"/>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Director Compensation Policy.</w:t>
              </w:r>
            </w:hyperlink>
          </w:p>
        </w:tc>
      </w:tr>
      <w:tr>
        <w:trPr>
          <w:trHeight w:val="20"/>
        </w:trPr>
        <w:tc>
          <w:tcPr>
            <w:tcW w:w="11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40" w:type="dxa"/>
            <w:vAlign w:val="bottom"/>
            <w:gridSpan w:val="17"/>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2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Corp. and Denis Phares.</w:t>
              </w:r>
            </w:hyperlink>
          </w:p>
        </w:tc>
        <w:tc>
          <w:tcPr>
            <w:tcW w:w="2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20" w:type="dxa"/>
            <w:vAlign w:val="bottom"/>
            <w:gridSpan w:val="25"/>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500" w:type="dxa"/>
            <w:vAlign w:val="bottom"/>
            <w:gridSpan w:val="31"/>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2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Corp. and John Marchetti.</w:t>
              </w:r>
            </w:hyperlink>
          </w:p>
        </w:tc>
        <w:tc>
          <w:tcPr>
            <w:tcW w:w="2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30"/>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216"/>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216"/>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S-4/A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09/14/2022</w:t>
            </w:r>
          </w:p>
        </w:tc>
      </w:tr>
      <w:tr>
        <w:trPr>
          <w:trHeight w:val="23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41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23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1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216"/>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23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41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11/4/2022</w:t>
            </w:r>
          </w:p>
        </w:tc>
      </w:tr>
      <w:tr>
        <w:trPr>
          <w:trHeight w:val="23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11/4/2022</w:t>
            </w:r>
          </w:p>
        </w:tc>
      </w:tr>
      <w:tr>
        <w:trPr>
          <w:trHeight w:val="432"/>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11/4/2022</w:t>
            </w:r>
          </w:p>
        </w:tc>
      </w:tr>
    </w:tbl>
    <w:p>
      <w:pPr>
        <w:sectPr>
          <w:pgSz w:w="11900" w:h="16838" w:orient="portrait"/>
          <w:cols w:equalWidth="0" w:num="2">
            <w:col w:w="8600" w:space="240"/>
            <w:col w:w="2320"/>
          </w:cols>
          <w:pgMar w:left="320" w:top="675" w:right="41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6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First Amended and Restated Employment Agreement, dated February 24, 2023, by and between</w:t>
              </w:r>
            </w:hyperlink>
          </w:p>
        </w:tc>
        <w:tc>
          <w:tcPr>
            <w:tcW w:w="700" w:type="dxa"/>
            <w:vAlign w:val="bottom"/>
            <w:gridSpan w:val="19"/>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03/02/2023</w:t>
            </w:r>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Dragonfly Energy Holdings Corp. and John Marchetti.</w:t>
              </w:r>
            </w:hyperlink>
          </w:p>
        </w:tc>
        <w:tc>
          <w:tcPr>
            <w:tcW w:w="370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70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Separation Agreement by and between Dragonfly Energy Holdings Corp. and Sean Nichols, dated</w:t>
              </w:r>
            </w:hyperlink>
          </w:p>
        </w:tc>
        <w:tc>
          <w:tcPr>
            <w:tcW w:w="560" w:type="dxa"/>
            <w:vAlign w:val="bottom"/>
            <w:gridSpan w:val="1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October 25, 2022.</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First Amendment to Separation Agreement by and between Dragonfly Energy Holdings Corp. and Sean</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48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Nichols, dated November 14, 2022.</w:t>
              </w:r>
            </w:hyperlink>
          </w:p>
        </w:tc>
        <w:tc>
          <w:tcPr>
            <w:tcW w:w="1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72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Asset Purchase Agreement, dated April 22, 2022, by and among Dragonfly Energy Corp., Thomason</w:t>
              </w:r>
            </w:hyperlink>
          </w:p>
        </w:tc>
        <w:tc>
          <w:tcPr>
            <w:tcW w:w="360" w:type="dxa"/>
            <w:vAlign w:val="bottom"/>
            <w:gridSpan w:val="9"/>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44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Jones Company, LLC, William Thomason and Richard Jones.</w:t>
              </w:r>
            </w:hyperlink>
          </w:p>
        </w:tc>
        <w:tc>
          <w:tcPr>
            <w:tcW w:w="3180" w:type="dxa"/>
            <w:vAlign w:val="bottom"/>
            <w:gridSpan w:val="23"/>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70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Manufacturing Supply Agreement, dated November 19, 2021, by and between Dragonfly Energy</w:t>
              </w:r>
            </w:hyperlink>
          </w:p>
        </w:tc>
        <w:tc>
          <w:tcPr>
            <w:tcW w:w="620" w:type="dxa"/>
            <w:vAlign w:val="bottom"/>
            <w:gridSpan w:val="1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3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93">
              <w:r>
                <w:rPr>
                  <w:rFonts w:ascii="Times New Roman" w:cs="Times New Roman" w:eastAsia="Times New Roman" w:hAnsi="Times New Roman"/>
                  <w:sz w:val="18"/>
                  <w:szCs w:val="18"/>
                  <w:color w:val="0000EE"/>
                  <w:w w:val="98"/>
                </w:rPr>
                <w:t>Holdings Corp. and Keystone RV Company.</w:t>
              </w:r>
            </w:hyperlink>
          </w:p>
        </w:tc>
        <w:tc>
          <w:tcPr>
            <w:tcW w:w="4440" w:type="dxa"/>
            <w:vAlign w:val="bottom"/>
            <w:gridSpan w:val="30"/>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Asset Purchase Agreement, dated January 1, 2022, by and between Dragonfly Energy Holdings Corp.</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and Bourns Productions, Inc.</w:t>
              </w:r>
            </w:hyperlink>
          </w:p>
        </w:tc>
        <w:tc>
          <w:tcPr>
            <w:tcW w:w="5220" w:type="dxa"/>
            <w:vAlign w:val="bottom"/>
            <w:tcBorders>
              <w:top w:val="single" w:sz="8" w:color="0000EE"/>
            </w:tcBorders>
            <w:gridSpan w:val="26"/>
          </w:tcPr>
          <w:p>
            <w:pPr>
              <w:spacing w:after="0"/>
              <w:rPr>
                <w:sz w:val="17"/>
                <w:szCs w:val="17"/>
                <w:color w:val="auto"/>
              </w:rPr>
            </w:pPr>
          </w:p>
        </w:tc>
        <w:tc>
          <w:tcPr>
            <w:tcW w:w="32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71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Assignment and Assumption Agreement, dated January 1, 2022, by and between Dragonfly Energy</w:t>
              </w:r>
            </w:hyperlink>
          </w:p>
        </w:tc>
        <w:tc>
          <w:tcPr>
            <w:tcW w:w="480" w:type="dxa"/>
            <w:vAlign w:val="bottom"/>
            <w:gridSpan w:val="1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Corp. and Bourns Productions, Inc.</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Assignment and Assumption of Lease Agreement, dated January 1, 2022, by and among Dragonfly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Energy Corp., Bourns Productions, Inc. and Los Angeles &amp; Steel Co.</w:t>
              </w:r>
            </w:hyperlink>
          </w:p>
        </w:tc>
        <w:tc>
          <w:tcPr>
            <w:tcW w:w="2140" w:type="dxa"/>
            <w:vAlign w:val="bottom"/>
            <w:tcBorders>
              <w:top w:val="single" w:sz="8" w:color="0000EE"/>
            </w:tcBorders>
            <w:gridSpan w:val="7"/>
          </w:tcPr>
          <w:p>
            <w:pPr>
              <w:spacing w:after="0"/>
              <w:rPr>
                <w:sz w:val="17"/>
                <w:szCs w:val="17"/>
                <w:color w:val="auto"/>
              </w:rPr>
            </w:pPr>
          </w:p>
        </w:tc>
        <w:tc>
          <w:tcPr>
            <w:tcW w:w="50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Research and Development Lab Lease, dated April 25, 2019, by and between Dragonfly Energy Corp.</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36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and BRE RS Greg Park Owner LLC.</w:t>
              </w:r>
            </w:hyperlink>
          </w:p>
        </w:tc>
        <w:tc>
          <w:tcPr>
            <w:tcW w:w="2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Amendment No. 1 to Research and Lab Lease, dated March 12, 2020, by and between Dragonfly</w:t>
              </w:r>
            </w:hyperlink>
          </w:p>
        </w:tc>
        <w:tc>
          <w:tcPr>
            <w:tcW w:w="640" w:type="dxa"/>
            <w:vAlign w:val="bottom"/>
            <w:gridSpan w:val="1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Energy Corp. and DRE RS Greg Park Owner LLC.</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Amendment No. 2 to Research and Lab Lease, dated July 27, 2020, by and between Dragonfly Energy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380" w:type="dxa"/>
            <w:vAlign w:val="bottom"/>
            <w:tcBorders>
              <w:top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Corp. and DRE RS Greg Park Owner LLC.</w:t>
              </w:r>
            </w:hyperlink>
          </w:p>
        </w:tc>
        <w:tc>
          <w:tcPr>
            <w:tcW w:w="2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Amendment No. 3 to Research and Lab Lease, dated August 26, 2020, by and between Dragonfly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0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Energy Corp. and DRE RS Greg Park Owner LLC.</w:t>
              </w:r>
            </w:hyperlink>
          </w:p>
        </w:tc>
        <w:tc>
          <w:tcPr>
            <w:tcW w:w="60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Amendment No. 4 to Research and Lab Lease, dated December 16, 2020, by and between Dragonfly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2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Energy Corp. and BRS RS Greg Park Owner LLC.</w:t>
              </w:r>
            </w:hyperlink>
          </w:p>
        </w:tc>
        <w:tc>
          <w:tcPr>
            <w:tcW w:w="38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Amendment No. 5 to Research and Lab Lease, dated January 28, 2022, by and between Dragonfly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10.38</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0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Energy Corp. and BRS RS Greg Park Owner LLC.</w:t>
              </w:r>
            </w:hyperlink>
          </w:p>
        </w:tc>
        <w:tc>
          <w:tcPr>
            <w:tcW w:w="56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Limited Waiver, dated as of March 29, 2023, to the Term Loan, Guarantee and Security Agreement,</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03/29/2023</w:t>
            </w: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dated as of October 7, 2022, by and among Dragonfly Energy Holdings Corp., Dragonfly Energy Corp.,</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48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the lenders from time to time party thereto and Alter Domus (US) LLC.</w:t>
              </w:r>
            </w:hyperlink>
          </w:p>
        </w:tc>
        <w:tc>
          <w:tcPr>
            <w:tcW w:w="1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74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Limited Waiver, dated as of December 29, 2023, to the Term Loan, Guarantee and Security Agreement,</w:t>
              </w:r>
            </w:hyperlink>
          </w:p>
        </w:tc>
        <w:tc>
          <w:tcPr>
            <w:tcW w:w="18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12/29/2023</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dated as of October 7, 2022, by and among Dragonfly Energy Holdings Corp., Dragonfly Energy Corp.,</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48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the lenders from time to time party thereto and Alter Domus (US) LLC.</w:t>
              </w:r>
            </w:hyperlink>
          </w:p>
        </w:tc>
        <w:tc>
          <w:tcPr>
            <w:tcW w:w="1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Employment Agreement, dated as of November 7, 2022, by and between Dragonfly Energy Holdings</w:t>
              </w:r>
            </w:hyperlink>
          </w:p>
        </w:tc>
        <w:tc>
          <w:tcPr>
            <w:tcW w:w="1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10.42</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05">
              <w:r>
                <w:rPr>
                  <w:rFonts w:ascii="Times New Roman" w:cs="Times New Roman" w:eastAsia="Times New Roman" w:hAnsi="Times New Roman"/>
                  <w:sz w:val="18"/>
                  <w:szCs w:val="18"/>
                  <w:color w:val="0000EE"/>
                  <w:w w:val="98"/>
                </w:rPr>
                <w:t>Corp. and Wade Seaburg.</w:t>
              </w:r>
            </w:hyperlink>
          </w:p>
        </w:tc>
        <w:tc>
          <w:tcPr>
            <w:tcW w:w="5800" w:type="dxa"/>
            <w:vAlign w:val="bottom"/>
            <w:gridSpan w:val="36"/>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Employment Agreement, dated as of November 7, 2022, by and between Dragonfly Energy Holdings</w:t>
              </w:r>
            </w:hyperlink>
          </w:p>
        </w:tc>
        <w:tc>
          <w:tcPr>
            <w:tcW w:w="1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Corp. and Tyler Bourns.</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752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Fernley Lease, dated April 12, 2024, by and between Dragonfly Energy Corp., Cottonmill Properties,</w:t>
              </w:r>
            </w:hyperlink>
          </w:p>
        </w:tc>
        <w:tc>
          <w:tcPr>
            <w:tcW w:w="12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LLC, and Marlene Thier.</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Amendment No. 1 to Employment Agreement, effective as of April 12, 2024, by and between</w:t>
              </w:r>
            </w:hyperlink>
          </w:p>
        </w:tc>
        <w:tc>
          <w:tcPr>
            <w:tcW w:w="1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Dragonfly Energy Holdings Corp. and Denis Phares.</w:t>
              </w:r>
            </w:hyperlink>
          </w:p>
        </w:tc>
        <w:tc>
          <w:tcPr>
            <w:tcW w:w="3820" w:type="dxa"/>
            <w:vAlign w:val="bottom"/>
            <w:gridSpan w:val="26"/>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Amendment No. 1 to Employment Agreement, effective as of April 12, 2024, by and between</w:t>
              </w:r>
            </w:hyperlink>
          </w:p>
        </w:tc>
        <w:tc>
          <w:tcPr>
            <w:tcW w:w="1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Dragonfly Energy Holdings Corp. and Wade Seaburg.</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Amendment No. 1 to Employment Agreement, effective as of April 12, 2024, by and between</w:t>
              </w:r>
            </w:hyperlink>
          </w:p>
        </w:tc>
        <w:tc>
          <w:tcPr>
            <w:tcW w:w="10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10.47</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04/16/2024</w:t>
            </w:r>
          </w:p>
        </w:tc>
      </w:tr>
      <w:tr>
        <w:trPr>
          <w:trHeight w:val="196"/>
        </w:trPr>
        <w:tc>
          <w:tcPr>
            <w:tcW w:w="110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Dragonfly Energy Holdings Corp. and Tyler Bourns.</w:t>
              </w:r>
            </w:hyperlink>
          </w:p>
        </w:tc>
        <w:tc>
          <w:tcPr>
            <w:tcW w:w="3840" w:type="dxa"/>
            <w:vAlign w:val="bottom"/>
            <w:gridSpan w:val="27"/>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752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Limited Waiver, dated as of May 13, 2024, to the Term Loan, Guarantee and Security Agreement, dated</w:t>
              </w:r>
            </w:hyperlink>
          </w:p>
        </w:tc>
        <w:tc>
          <w:tcPr>
            <w:tcW w:w="12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05/15/2024</w:t>
            </w:r>
          </w:p>
        </w:tc>
      </w:tr>
      <w:tr>
        <w:trPr>
          <w:trHeight w:val="196"/>
        </w:trPr>
        <w:tc>
          <w:tcPr>
            <w:tcW w:w="1100" w:type="dxa"/>
            <w:vAlign w:val="bottom"/>
          </w:tcPr>
          <w:p>
            <w:pPr>
              <w:spacing w:after="0"/>
              <w:rPr>
                <w:sz w:val="17"/>
                <w:szCs w:val="17"/>
                <w:color w:val="auto"/>
              </w:rPr>
            </w:pPr>
          </w:p>
        </w:tc>
        <w:tc>
          <w:tcPr>
            <w:tcW w:w="752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as of October 7, 2022, by and among Dragonfly Energy Holdings Corp., Dragonfly Energy Corp., the</w:t>
              </w:r>
            </w:hyperlink>
          </w:p>
        </w:tc>
        <w:tc>
          <w:tcPr>
            <w:tcW w:w="1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lenders from time to time party thereto and Alter Domus (US) LLC.</w:t>
              </w:r>
            </w:hyperlink>
          </w:p>
        </w:tc>
        <w:tc>
          <w:tcPr>
            <w:tcW w:w="274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Amended and Restated Purchase Agreement, dated as of May 20, 2024, between Dragonfly Energy</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05/20/2024</w:t>
            </w:r>
          </w:p>
        </w:tc>
      </w:tr>
      <w:tr>
        <w:trPr>
          <w:trHeight w:val="196"/>
        </w:trPr>
        <w:tc>
          <w:tcPr>
            <w:tcW w:w="1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Holdings Corp. and Chardan Capital Markets LLC.</w:t>
              </w:r>
            </w:hyperlink>
          </w:p>
        </w:tc>
        <w:tc>
          <w:tcPr>
            <w:tcW w:w="3800" w:type="dxa"/>
            <w:vAlign w:val="bottom"/>
            <w:tcBorders>
              <w:top w:val="single" w:sz="8" w:color="0000EE"/>
            </w:tcBorders>
            <w:gridSpan w:val="25"/>
          </w:tcPr>
          <w:p>
            <w:pPr>
              <w:spacing w:after="0"/>
              <w:rPr>
                <w:sz w:val="17"/>
                <w:szCs w:val="17"/>
                <w:color w:val="auto"/>
              </w:rPr>
            </w:pPr>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72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Letter dated November 21, 2023 from BDO USA, P.C. to the Securities and Exchange Commission.</w:t>
              </w:r>
            </w:hyperlink>
          </w:p>
        </w:tc>
        <w:tc>
          <w:tcPr>
            <w:tcW w:w="42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11/21/2023</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List of Subsidiaries.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2640" w:type="dxa"/>
            <w:vAlign w:val="bottom"/>
            <w:gridSpan w:val="2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6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Consent of Marcum LLP</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2640" w:type="dxa"/>
            <w:vAlign w:val="bottom"/>
            <w:gridSpan w:val="2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0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BDO USA, P.C.</w:t>
            </w:r>
          </w:p>
        </w:tc>
        <w:tc>
          <w:tcPr>
            <w:tcW w:w="5640" w:type="dxa"/>
            <w:vAlign w:val="bottom"/>
            <w:gridSpan w:val="35"/>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76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Consent of Parsons Behle &amp; Latimer (included in Exhibit 5.1 hereto).</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700" w:type="dxa"/>
            <w:vAlign w:val="bottom"/>
            <w:tcBorders>
              <w:left w:val="single" w:sz="8" w:color="0000EE"/>
            </w:tcBorders>
            <w:gridSpan w:val="19"/>
            <w:shd w:val="clear" w:color="auto" w:fill="0000EE"/>
          </w:tcPr>
          <w:p>
            <w:pPr>
              <w:spacing w:after="0" w:line="20" w:lineRule="exact"/>
              <w:rPr>
                <w:sz w:val="1"/>
                <w:szCs w:val="1"/>
                <w:color w:val="auto"/>
              </w:rPr>
            </w:pPr>
          </w:p>
        </w:tc>
        <w:tc>
          <w:tcPr>
            <w:tcW w:w="2640" w:type="dxa"/>
            <w:vAlign w:val="bottom"/>
            <w:gridSpan w:val="2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75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Power of Attorney (included on the signature page to the prospectus which forms part of the registration</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640" w:type="dxa"/>
            <w:vAlign w:val="bottom"/>
            <w:gridSpan w:val="41"/>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statement thereto).</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340" w:type="dxa"/>
            <w:vAlign w:val="bottom"/>
            <w:tcBorders>
              <w:left w:val="single" w:sz="8" w:color="0000EE"/>
            </w:tcBorders>
            <w:gridSpan w:val="4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7640" w:type="dxa"/>
            <w:vAlign w:val="bottom"/>
            <w:gridSpan w:val="41"/>
          </w:tcPr>
          <w:p>
            <w:pPr>
              <w:spacing w:after="0" w:line="194"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Filing Fee Exhibit</w:t>
              </w:r>
            </w:hyperlink>
            <w:r>
              <w:rPr>
                <w:rFonts w:ascii="Times New Roman" w:cs="Times New Roman" w:eastAsia="Times New Roman" w:hAnsi="Times New Roman"/>
                <w:sz w:val="18"/>
                <w:szCs w:val="18"/>
                <w:color w:val="000000"/>
              </w:rPr>
              <w:t>.</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9820" w:firstLine="8"/>
        <w:spacing w:after="0" w:line="261" w:lineRule="auto"/>
        <w:tabs>
          <w:tab w:leader="none" w:pos="1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schedules and exhibits to the agreement have been omitted pursuant to Item 601(b)(2) of Regulation S-K. A copy of any omitted schedule and/or exhibit will be furnished to the Securities and Exchange Commission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ectPr>
          <w:pgSz w:w="11900" w:h="16838" w:orient="portrait"/>
          <w:cols w:equalWidth="0" w:num="1">
            <w:col w:w="11240"/>
          </w:cols>
          <w:pgMar w:left="320" w:top="675" w:right="339" w:bottom="24" w:gutter="0" w:footer="0" w:header="0"/>
        </w:sectPr>
      </w:pPr>
    </w:p>
    <w:bookmarkStart w:id="192" w:name="page193"/>
    <w:bookmarkEnd w:id="192"/>
    <w:p>
      <w:pPr>
        <w:ind w:firstLine="8"/>
        <w:spacing w:after="0" w:line="284" w:lineRule="auto"/>
        <w:tabs>
          <w:tab w:leader="none" w:pos="2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No financial statement schedules are provided because the information called for is not required or is shown either in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or the notes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1" w:lineRule="exact"/>
        <w:rPr>
          <w:sz w:val="20"/>
          <w:szCs w:val="20"/>
          <w:color w:val="auto"/>
        </w:rPr>
      </w:pPr>
    </w:p>
    <w:p>
      <w:pPr>
        <w:ind w:left="980" w:hanging="324"/>
        <w:spacing w:after="0"/>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1" w:lineRule="exact"/>
        <w:rPr>
          <w:sz w:val="20"/>
          <w:szCs w:val="20"/>
          <w:color w:val="auto"/>
        </w:rPr>
      </w:pPr>
    </w:p>
    <w:p>
      <w:pPr>
        <w:jc w:val="both"/>
        <w:ind w:firstLine="656"/>
        <w:spacing w:after="0" w:line="266" w:lineRule="auto"/>
        <w:tabs>
          <w:tab w:leader="none" w:pos="91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28"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ind w:left="660" w:hanging="328"/>
        <w:spacing w:after="0" w:line="250"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2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Reno, State of Nevada, as of May 20,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Chief Executive Officer and Interim Chief</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President, Chief Executive Officer and Interim Chief Financial</w:t>
            </w:r>
          </w:p>
        </w:tc>
        <w:tc>
          <w:tcPr>
            <w:tcW w:w="2240" w:type="dxa"/>
            <w:vAlign w:val="bottom"/>
          </w:tcPr>
          <w:p>
            <w:pPr>
              <w:spacing w:after="0"/>
              <w:rPr>
                <w:sz w:val="24"/>
                <w:szCs w:val="24"/>
                <w:color w:val="auto"/>
              </w:rPr>
            </w:pPr>
          </w:p>
        </w:tc>
      </w:tr>
      <w:tr>
        <w:trPr>
          <w:trHeight w:val="25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220" w:type="dxa"/>
            <w:vAlign w:val="bottom"/>
          </w:tcPr>
          <w:p>
            <w:pPr>
              <w:spacing w:after="0"/>
              <w:rPr>
                <w:sz w:val="22"/>
                <w:szCs w:val="22"/>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196"/>
        </w:trPr>
        <w:tc>
          <w:tcPr>
            <w:tcW w:w="31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Dr. Denis Phares</w:t>
            </w:r>
          </w:p>
        </w:tc>
        <w:tc>
          <w:tcPr>
            <w:tcW w:w="220" w:type="dxa"/>
            <w:vAlign w:val="bottom"/>
          </w:tcPr>
          <w:p>
            <w:pPr>
              <w:spacing w:after="0"/>
              <w:rPr>
                <w:sz w:val="17"/>
                <w:szCs w:val="17"/>
                <w:color w:val="auto"/>
              </w:rPr>
            </w:pPr>
          </w:p>
        </w:tc>
        <w:tc>
          <w:tcPr>
            <w:tcW w:w="562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i w:val="1"/>
                <w:iCs w:val="1"/>
                <w:color w:val="auto"/>
              </w:rPr>
              <w:t>(Principal Executive Officer and</w:t>
            </w:r>
          </w:p>
        </w:tc>
        <w:tc>
          <w:tcPr>
            <w:tcW w:w="2240" w:type="dxa"/>
            <w:vAlign w:val="bottom"/>
          </w:tcPr>
          <w:p>
            <w:pPr>
              <w:spacing w:after="0"/>
              <w:rPr>
                <w:sz w:val="17"/>
                <w:szCs w:val="17"/>
                <w:color w:val="auto"/>
              </w:rPr>
            </w:pPr>
          </w:p>
        </w:tc>
      </w:tr>
      <w:tr>
        <w:trPr>
          <w:trHeight w:val="236"/>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2240" w:type="dxa"/>
            <w:vAlign w:val="bottom"/>
          </w:tcPr>
          <w:p>
            <w:pPr>
              <w:spacing w:after="0"/>
              <w:rPr>
                <w:sz w:val="20"/>
                <w:szCs w:val="20"/>
                <w:color w:val="auto"/>
              </w:rPr>
            </w:pPr>
          </w:p>
        </w:tc>
      </w:tr>
      <w:tr>
        <w:trPr>
          <w:trHeight w:val="439"/>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Luisa Ingargiola</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Rick Parod</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99707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0">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Karina Montilla Edmonds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Dragonfly Energy Holdings Corp.—Post-Effective Amendment No. 2 to 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opinion is furnished to you in connection with that certain Post-Effective Amendment No. 2, relating to (i) certain information included in the Annual Report on Form 10-K filed on April 16, 2024, as amended on Form 10-K/A filed on April 29,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 (ii) updating certain other information in the Registration Statement and to the issuance by Dragonfly Energy Holdings Corp.,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up to 21,512,027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were originally registered by the Company pursuant to a Registration Statement on Form S-1, File No. 333-267983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October 21, 2022 as amended by Amendment No. 1 on December 9, 2022, which was subsequently declared effective by the Commission on December 30, 2022 under the Securities Act of 1933, as amended (the “Securities Act”), as further amended by the Post-Effective Amendment No. 2, filed on the even date herewith. The 21,512,027 shares of Common Stock included in the Registration Statement relate to the proposed resale, from time to time in one or more offerings, of up to 21,512,027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Capitalized terms not defined in this letter have the meanings ascribed thereto in the Registration Statement. We have assumed that the Shares were, and will be, offered and sold in the manner described in the Registration Statement and the related prospectus included therein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being registered on behalf of the selling stockholder named in the Prospectus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pursuant to a purchase agreement, dated as of October 7, 2022, by and among the Company and the Selling Stockholder and the other parties thereto, as amended and restated on May 20, 2024 (as amended,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opinions are limited to the matters stated herein and no opinion is implied or may be inferred beyond the matters expressly stated. As to certain factual matters, we have relied upon a certificate of an officer of the Company, and we have not sought to independently verify such matters.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(ii) the Prospectus; (iii) the Purchase Agreement; (iv) the Articles of Conversion; (v) the Plan of Conversion; (vi) the Company’s Articles of Incorporation; (vii) the Company’s Bylaws, as currently in effect; (viii) certain resolutions of the Board of Directors of the Company relating to the issuance, sale and registration of the Shares (ix) the Annual Report; and (x) the originals or copies certified to our satisfaction of such other documents, records, certificates, memoranda and other instruments as in our judgment are necessary or appropriate to enable us to render the opinion expressed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Nevada Revised Statutes and the reported judicial decisions interpreting such law, as currently in effect.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representations and warranties as to factual matters contained in and made pursuant to the Registration Statement, and upon such other documents as in our judgment are necessary or appropriate to enable us to render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6" w:name="page197"/>
    <w:bookmarkEnd w:id="1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examination of the foregoing, we have assumed, without independent investigation or verification: (i) the genuineness of all signatures on all agreements, instruments and other documents submitted to us; (ii) the legal capacity and authority of all persons or entities executing all agreements, instruments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instruments, agreements, and other documents by the parties thereto; (vi) that the statements contained in the certificates and comparable documents of public officials, officers and representatives of the Company and other persons on which we have relied for the purposes of this letter are true and correct; and (vii) that the officers and directors of the Company have properly exercised their fiduciary duties. We have assumed that the issuance and sale of the Shares by the Company will not, in each case, violate or constitute a default or breach under (A) any agreement or instrument to which the Company is subject, (B) any law, rule or regulation to which the Company is subject, (C) any judicial or regulatory order or decree of any governmental authority, or (D) any consent, approval, license, authorization or validation of, or filing, recording or registration with any governmental authority.</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further assumed that: (i) the Registration Statement and any amendments thereto will have become effective under the Securities Act and comply with all applicable laws at the time the Shares are offered or issued as contemplated by the Registration Statement; (ii) all Shares will be issued and sold in compliance with the applicable provisions of the Securities Act and the securities or Blue Sky Laws of various states and in the manner stated in the Registration Statement and any applicable prospectus supplement; (iii) there has not occurred any change in law or further action by the Company’s board of directors, in any case affecting the validity of such Shares or enforceability of the Purchase Agreement; and (iv) the number of shares of Common Stock offered pursuant to the Registration Statement does not exceed, at the time of issuance, the authorized but unissued shares of Common Stock. We have also assumed that neither the issuance, sale and delivery of such Shares nor the compliance by the Company with the terms of the Purchase Agreement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as of the date hereof, we are of the opinion that: the Shares have been duly authorized for issuance by the Company and, when issued and sold by the Company and delivered by the Company in accordance with the terms of the Purchase Agreement and in the manner described in the Registration Statement, the Shares will be validly issued, fully paid and non-assessable.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and to the reference to our firm contained in each of the Prospectus under the heading “Legal Matters.” In giving such consent, we do not thereby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Dragonfly Energy Holdings Corp. on Post-Effective Amendment No.2 Form S-1 (File No. 333-267983) of our report dated April 16, 2024 which includes an explanatory paragraph as to Dragonfly Energy Holdings Corp.’s ability to continue as a going concern with respect to our audit of the consolidated financial statement of Dragonfly Energy Holdings Corp. as of December 31, 2023 and for the year ended December 31, 2023,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contains an explanatory paragraph regarding adjustments described in Note 15 to the consolidated financial statements that were applied to revise the 2022 financial statements to correct an error. We were not engaged to audit, review, or apply any procedures to the 2022 financial statements of the Company other than with respect to the adjustments and, accordingly, we do not express an opinion or any other form of assurance on the 2022 financial statements taken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17, 2023, relating to the consolidated financial statements of Dragonfly Energy Holdings Corp. (the Company), which is contained in that Prospectus.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lowerRoman"/>
      <w:start w:val="2"/>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Letter"/>
      <w:start w:val="1"/>
    </w:lvl>
    <w:lvl w:ilvl="1">
      <w:lvlJc w:val="left"/>
      <w:lvlText w:val="(%2)"/>
      <w:numFmt w:val="lowerLetter"/>
      <w:start w:val="9"/>
    </w:lvl>
  </w:abstractNum>
  <w:abstractNum w:abstractNumId="40">
    <w:nsid w:val="1DBABF00"/>
    <w:multiLevelType w:val="hybridMultilevel"/>
    <w:lvl w:ilvl="0">
      <w:lvlJc w:val="left"/>
      <w:lvlText w:val="(%1)"/>
      <w:numFmt w:val="lowerLetter"/>
      <w:start w:val="3"/>
    </w:lvl>
  </w:abstractNum>
  <w:abstractNum w:abstractNumId="41">
    <w:nsid w:val="4AD084E9"/>
    <w:multiLevelType w:val="hybridMultilevel"/>
    <w:lvl w:ilvl="0">
      <w:lvlJc w:val="left"/>
      <w:lvlText w:val="(%1)"/>
      <w:numFmt w:val="lowerRoman"/>
      <w:start w:val="2"/>
    </w:lvl>
  </w:abstractNum>
  <w:abstractNum w:abstractNumId="42">
    <w:nsid w:val="1F48EAA1"/>
    <w:multiLevelType w:val="hybridMultilevel"/>
    <w:lvl w:ilvl="0">
      <w:lvlJc w:val="left"/>
      <w:lvlText w:val="(%1)"/>
      <w:numFmt w:val="lowerRoman"/>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lowerRoman"/>
      <w:start w:val="3"/>
    </w:lvl>
  </w:abstractNum>
  <w:abstractNum w:abstractNumId="47">
    <w:nsid w:val="15014ACB"/>
    <w:multiLevelType w:val="hybridMultilevel"/>
    <w:lvl w:ilvl="0">
      <w:lvlJc w:val="left"/>
      <w:lvlText w:val="(%1)"/>
      <w:numFmt w:val="lowerRoman"/>
      <w:start w:val="2"/>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0"/>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lowerRoman"/>
      <w:start w:val="3"/>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lowerRoman"/>
      <w:start w:val="1"/>
    </w:lvl>
  </w:abstractNum>
  <w:abstractNum w:abstractNumId="58">
    <w:nsid w:val="7BD3EE7B"/>
    <w:multiLevelType w:val="hybridMultilevel"/>
    <w:lvl w:ilvl="0">
      <w:lvlJc w:val="left"/>
      <w:lvlText w:val="(%1)"/>
      <w:numFmt w:val="lowerLetter"/>
      <w:start w:val="3"/>
    </w:lvl>
  </w:abstractNum>
  <w:abstractNum w:abstractNumId="59">
    <w:nsid w:val="51D9C564"/>
    <w:multiLevelType w:val="hybridMultilevel"/>
    <w:lvl w:ilvl="0">
      <w:lvlJc w:val="left"/>
      <w:lvlText w:val="(%1)"/>
      <w:numFmt w:val="lowerRoman"/>
      <w:start w:val="3"/>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lowerRoman"/>
      <w:start w:val="3"/>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2"/>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1:"/>
      <w:numFmt w:val="decimal"/>
      <w:start w:val="805"/>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lowerLetter"/>
      <w:start w:val="2"/>
    </w:lvl>
  </w:abstractNum>
  <w:abstractNum w:abstractNumId="87">
    <w:nsid w:val="74DE0EE3"/>
    <w:multiLevelType w:val="hybridMultilevel"/>
    <w:lvl w:ilvl="0">
      <w:lvlJc w:val="left"/>
      <w:lvlText w:val="(%1)"/>
      <w:numFmt w:val="lowerRoman"/>
      <w:start w:val="1"/>
    </w:lvl>
  </w:abstractNum>
  <w:abstractNum w:abstractNumId="88">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89">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0">
    <w:nsid w:val="46B7D44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64" Type="http://schemas.openxmlformats.org/officeDocument/2006/relationships/image" Target="media/image239.png"/><Relationship Id="rId288" Type="http://schemas.openxmlformats.org/officeDocument/2006/relationships/image" Target="media/image240.png"/><Relationship Id="rId317" Type="http://schemas.openxmlformats.org/officeDocument/2006/relationships/image" Target="media/image241.png"/><Relationship Id="rId318" Type="http://schemas.openxmlformats.org/officeDocument/2006/relationships/image" Target="media/image242.png"/><Relationship Id="rId319" Type="http://schemas.openxmlformats.org/officeDocument/2006/relationships/image" Target="media/image243.png"/><Relationship Id="rId320" Type="http://schemas.openxmlformats.org/officeDocument/2006/relationships/image" Target="media/image244.png"/><Relationship Id="rId321" Type="http://schemas.openxmlformats.org/officeDocument/2006/relationships/image" Target="media/image245.png"/><Relationship Id="rId322" Type="http://schemas.openxmlformats.org/officeDocument/2006/relationships/image" Target="media/image246.png"/><Relationship Id="rId323" Type="http://schemas.openxmlformats.org/officeDocument/2006/relationships/image" Target="media/image247.png"/><Relationship Id="rId324" Type="http://schemas.openxmlformats.org/officeDocument/2006/relationships/image" Target="media/image248.png"/><Relationship Id="rId325" Type="http://schemas.openxmlformats.org/officeDocument/2006/relationships/image" Target="media/image249.png"/><Relationship Id="rId326" Type="http://schemas.openxmlformats.org/officeDocument/2006/relationships/image" Target="media/image250.png"/><Relationship Id="rId246" Type="http://schemas.openxmlformats.org/officeDocument/2006/relationships/hyperlink" Target="https://www.sec.gov/Archives/edgar/data/1847986/000149315223021293/ex1-1.htm" TargetMode="External"/><Relationship Id="rId247" Type="http://schemas.openxmlformats.org/officeDocument/2006/relationships/hyperlink" Target="https://www.sec.gov/Archives/edgar/data/1847986/000110465922081684/cntq-20210630xs4.htm#AnnexA_168524" TargetMode="External"/><Relationship Id="rId248" Type="http://schemas.openxmlformats.org/officeDocument/2006/relationships/hyperlink" Target="https://www.sec.gov/Archives/edgar/data/1847986/000110465922081684/cntq-20210630xex2d1a.htm" TargetMode="External"/><Relationship Id="rId249" Type="http://schemas.openxmlformats.org/officeDocument/2006/relationships/hyperlink" Target="https://www.sec.gov/Archives/edgar/data/1847986/000149315223010262/ex2-1.htm" TargetMode="External"/><Relationship Id="rId250" Type="http://schemas.openxmlformats.org/officeDocument/2006/relationships/hyperlink" Target="https://www.sec.gov/Archives/edgar/data/1847986/000149315223010262/ex3-1.htm" TargetMode="External"/><Relationship Id="rId251" Type="http://schemas.openxmlformats.org/officeDocument/2006/relationships/hyperlink" Target="https://www.sec.gov/Archives/edgar/data/1847986/000149315223010262/ex3-2.htm" TargetMode="External"/><Relationship Id="rId252" Type="http://schemas.openxmlformats.org/officeDocument/2006/relationships/hyperlink" Target="https://www.sec.gov/Archives/edgar/data/1847986/000110465922107212/tm2222125d3_ex4-1.htm" TargetMode="External"/><Relationship Id="rId253" Type="http://schemas.openxmlformats.org/officeDocument/2006/relationships/hyperlink" Target="https://www.sec.gov/Archives/edgar/data/1847986/000110465922107212/tm2222125d3_ex4-2.htm" TargetMode="External"/><Relationship Id="rId254" Type="http://schemas.openxmlformats.org/officeDocument/2006/relationships/hyperlink" Target="https://www.sec.gov/Archives/edgar/data/1847986/000110465922107212/tm2222125d3_ex4-3.htm" TargetMode="External"/><Relationship Id="rId255" Type="http://schemas.openxmlformats.org/officeDocument/2006/relationships/hyperlink" Target="https://www.sec.gov/Archives/edgar/data/1847986/000110465922110688/dfli-20220630xex4d4.htm" TargetMode="External"/><Relationship Id="rId256" Type="http://schemas.openxmlformats.org/officeDocument/2006/relationships/hyperlink" Target="https://www.sec.gov/Archives/edgar/data/1847986/000149315223012533/ex4-5.htm" TargetMode="External"/><Relationship Id="rId257" Type="http://schemas.openxmlformats.org/officeDocument/2006/relationships/hyperlink" Target="https://www.sec.gov/Archives/edgar/data/1847986/000149315223007147/ex4-1.htm" TargetMode="External"/><Relationship Id="rId258" Type="http://schemas.openxmlformats.org/officeDocument/2006/relationships/hyperlink" Target="https://www.sec.gov/Archives/edgar/data/1847986/000149315224014831/ex4-10.htm" TargetMode="External"/><Relationship Id="rId259" Type="http://schemas.openxmlformats.org/officeDocument/2006/relationships/hyperlink" Target="https://www.sec.gov/Archives/edgar/data/1847986/000149315223021293/ex4-8.htm" TargetMode="External"/><Relationship Id="rId260" Type="http://schemas.openxmlformats.org/officeDocument/2006/relationships/hyperlink" Target="https://www.sec.gov/Archives/edgar/data/1847986/000149315223021997/ex4-1.htm" TargetMode="External"/><Relationship Id="rId261" Type="http://schemas.openxmlformats.org/officeDocument/2006/relationships/hyperlink" Target="https://www.sec.gov/Archives/edgar/data/1847986/000149315223046623/ex4-1.htm" TargetMode="External"/><Relationship Id="rId262" Type="http://schemas.openxmlformats.org/officeDocument/2006/relationships/hyperlink" Target="https://www.sec.gov/Archives/edgar/data/1847986/000149315224019360/ex4-3.htm" TargetMode="External"/><Relationship Id="rId263" Type="http://schemas.openxmlformats.org/officeDocument/2006/relationships/hyperlink" Target="https://www.sec.gov/Archives/edgar/data/1847986/000110465922100022/tm2218377-26_s4a.htm#tANNE" TargetMode="External"/><Relationship Id="rId265" Type="http://schemas.openxmlformats.org/officeDocument/2006/relationships/hyperlink" Target="https://www.sec.gov/Archives/edgar/data/1847986/000110465922100022/tm2218377-26_s4a.htm#tANNJ" TargetMode="External"/><Relationship Id="rId266" Type="http://schemas.openxmlformats.org/officeDocument/2006/relationships/hyperlink" Target="https://www.sec.gov/Archives/edgar/data/1847986/000110465922100022/tm2218377-26_s4a.htm#tANNK" TargetMode="External"/><Relationship Id="rId267" Type="http://schemas.openxmlformats.org/officeDocument/2006/relationships/hyperlink" Target="https://www.sec.gov/Archives/edgar/data/1847986/000110465922100022/tm2218377-26_s4a.htm#tANNF" TargetMode="External"/><Relationship Id="rId268" Type="http://schemas.openxmlformats.org/officeDocument/2006/relationships/hyperlink" Target="https://www.sec.gov/Archives/edgar/data/1847986/000110465922107212/tm2222125d3_ex10-5.htm" TargetMode="External"/><Relationship Id="rId269" Type="http://schemas.openxmlformats.org/officeDocument/2006/relationships/hyperlink" Target="https://www.sec.gov/Archives/edgar/data/1847986/000110465922107212/tm2222125d3_ex10-6.htm" TargetMode="External"/><Relationship Id="rId270" Type="http://schemas.openxmlformats.org/officeDocument/2006/relationships/hyperlink" Target="https://www.sec.gov/Archives/edgar/data/1847986/000110465922099731/tm2218377d21_ex10-10.htm" TargetMode="External"/><Relationship Id="rId271" Type="http://schemas.openxmlformats.org/officeDocument/2006/relationships/hyperlink" Target="https://www.sec.gov/Archives/edgar/data/1847986/000110465922081684/cntq-20210630xex10d11.htm" TargetMode="External"/><Relationship Id="rId272" Type="http://schemas.openxmlformats.org/officeDocument/2006/relationships/hyperlink" Target="https://www.sec.gov/Archives/edgar/data/1847986/000110465922081684/cntq-20210630xex10d12.htm" TargetMode="External"/><Relationship Id="rId273" Type="http://schemas.openxmlformats.org/officeDocument/2006/relationships/hyperlink" Target="https://www.sec.gov/Archives/edgar/data/1847986/000110465922107212/tm2222125d3_ex10-10.htm" TargetMode="External"/><Relationship Id="rId274" Type="http://schemas.openxmlformats.org/officeDocument/2006/relationships/hyperlink" Target="https://www.sec.gov/Archives/edgar/data/1847986/000110465922107212/tm2222125d3_ex10-11.htm" TargetMode="External"/><Relationship Id="rId275" Type="http://schemas.openxmlformats.org/officeDocument/2006/relationships/hyperlink" Target="https://www.sec.gov/Archives/edgar/data/1847986/000110465922107212/tm2222125d3_ex10-12.htm" TargetMode="External"/><Relationship Id="rId276" Type="http://schemas.openxmlformats.org/officeDocument/2006/relationships/hyperlink" Target="https://www.sec.gov/Archives/edgar/data/1847986/000110465922107212/tm2222125d3_ex10-13.htm" TargetMode="External"/><Relationship Id="rId277" Type="http://schemas.openxmlformats.org/officeDocument/2006/relationships/hyperlink" Target="https://www.sec.gov/Archives/edgar/data/1847986/000110465922107212/tm2222125d3_ex10-14.htm" TargetMode="External"/><Relationship Id="rId278" Type="http://schemas.openxmlformats.org/officeDocument/2006/relationships/hyperlink" Target="https://www.sec.gov/Archives/edgar/data/1847986/000110465922107212/tm2222125d3_ex10-15.htm" TargetMode="External"/><Relationship Id="rId279" Type="http://schemas.openxmlformats.org/officeDocument/2006/relationships/hyperlink" Target="https://www.sec.gov/Archives/edgar/data/1847986/000110465922107212/tm2222125d3_ex10-16.htm" TargetMode="External"/><Relationship Id="rId280" Type="http://schemas.openxmlformats.org/officeDocument/2006/relationships/hyperlink" Target="https://www.sec.gov/Archives/edgar/data/1847986/000110465922107212/tm2222125d3_ex10-17.htm" TargetMode="External"/><Relationship Id="rId281" Type="http://schemas.openxmlformats.org/officeDocument/2006/relationships/hyperlink" Target="https://www.sec.gov/Archives/edgar/data/1847986/000110465922107212/tm2222125d3_ex10-18.htm" TargetMode="External"/><Relationship Id="rId282" Type="http://schemas.openxmlformats.org/officeDocument/2006/relationships/hyperlink" Target="https://www.sec.gov/Archives/edgar/data/1847986/000110465922107212/tm2222125d3_ex10-19.htm" TargetMode="External"/><Relationship Id="rId283" Type="http://schemas.openxmlformats.org/officeDocument/2006/relationships/hyperlink" Target="https://www.sec.gov/Archives/edgar/data/1847986/000110465922107212/tm2222125d3_ex10-20.htm" TargetMode="External"/><Relationship Id="rId284" Type="http://schemas.openxmlformats.org/officeDocument/2006/relationships/hyperlink" Target="https://www.sec.gov/Archives/edgar/data/1847986/000110465922107212/tm2222125d3_ex10-21.htm" TargetMode="External"/><Relationship Id="rId285" Type="http://schemas.openxmlformats.org/officeDocument/2006/relationships/hyperlink" Target="https://www.sec.gov/Archives/edgar/data/1847986/000110465922114961/dfli-20220630xex10d22.htm" TargetMode="External"/><Relationship Id="rId286" Type="http://schemas.openxmlformats.org/officeDocument/2006/relationships/hyperlink" Target="https://www.sec.gov/Archives/edgar/data/1847986/000110465922114961/dfli-20220630xex10d23.htm" TargetMode="External"/><Relationship Id="rId287" Type="http://schemas.openxmlformats.org/officeDocument/2006/relationships/hyperlink" Target="https://www.sec.gov/Archives/edgar/data/1847986/000110465922114961/dfli-20220630xex10d24.htm" TargetMode="External"/><Relationship Id="rId289" Type="http://schemas.openxmlformats.org/officeDocument/2006/relationships/hyperlink" Target="https://www.sec.gov/Archives/edgar/data/1847986/000149315223006564/ex10-1.htm" TargetMode="External"/><Relationship Id="rId290" Type="http://schemas.openxmlformats.org/officeDocument/2006/relationships/hyperlink" Target="https://www.sec.gov/Archives/edgar/data/1847986/000149315223012533/ex10-26.htm" TargetMode="External"/><Relationship Id="rId291" Type="http://schemas.openxmlformats.org/officeDocument/2006/relationships/hyperlink" Target="https://www.sec.gov/Archives/edgar/data/1847986/000149315223012533/ex10-27.htm" TargetMode="External"/><Relationship Id="rId292" Type="http://schemas.openxmlformats.org/officeDocument/2006/relationships/hyperlink" Target="https://www.sec.gov/Archives/edgar/data/1847986/000149315223012533/ex10-28.htm" TargetMode="External"/><Relationship Id="rId293" Type="http://schemas.openxmlformats.org/officeDocument/2006/relationships/hyperlink" Target="https://www.sec.gov/Archives/edgar/data/1847986/000149315223012533/ex10-29.htm" TargetMode="External"/><Relationship Id="rId294" Type="http://schemas.openxmlformats.org/officeDocument/2006/relationships/hyperlink" Target="https://www.sec.gov/Archives/edgar/data/1847986/000149315223012533/ex10-30.htm" TargetMode="External"/><Relationship Id="rId295" Type="http://schemas.openxmlformats.org/officeDocument/2006/relationships/hyperlink" Target="https://www.sec.gov/Archives/edgar/data/1847986/000149315223012533/ex10-31.htm" TargetMode="External"/><Relationship Id="rId296" Type="http://schemas.openxmlformats.org/officeDocument/2006/relationships/hyperlink" Target="https://www.sec.gov/Archives/edgar/data/1847986/000149315223012533/ex10-32.htm" TargetMode="External"/><Relationship Id="rId297" Type="http://schemas.openxmlformats.org/officeDocument/2006/relationships/hyperlink" Target="https://www.sec.gov/Archives/edgar/data/1847986/000149315223012533/ex10-33.htm" TargetMode="External"/><Relationship Id="rId298" Type="http://schemas.openxmlformats.org/officeDocument/2006/relationships/hyperlink" Target="https://www.sec.gov/Archives/edgar/data/1847986/000149315223012533/ex10-34.htm" TargetMode="External"/><Relationship Id="rId299" Type="http://schemas.openxmlformats.org/officeDocument/2006/relationships/hyperlink" Target="https://www.sec.gov/Archives/edgar/data/1847986/000149315223012533/ex10-35.htm" TargetMode="External"/><Relationship Id="rId300" Type="http://schemas.openxmlformats.org/officeDocument/2006/relationships/hyperlink" Target="https://www.sec.gov/Archives/edgar/data/1847986/000149315223012533/ex10-36.htm" TargetMode="External"/><Relationship Id="rId301" Type="http://schemas.openxmlformats.org/officeDocument/2006/relationships/hyperlink" Target="https://www.sec.gov/Archives/edgar/data/1847986/000149315223012533/ex10-37.htm" TargetMode="External"/><Relationship Id="rId302" Type="http://schemas.openxmlformats.org/officeDocument/2006/relationships/hyperlink" Target="https://www.sec.gov/Archives/edgar/data/1847986/000149315223012533/ex10-38.htm" TargetMode="External"/><Relationship Id="rId303" Type="http://schemas.openxmlformats.org/officeDocument/2006/relationships/hyperlink" Target="https://www.sec.gov/Archives/edgar/data/1847986/000149315223009479/ex10-1.htm" TargetMode="External"/><Relationship Id="rId304" Type="http://schemas.openxmlformats.org/officeDocument/2006/relationships/hyperlink" Target="https://www.sec.gov/Archives/edgar/data/1847986/000149315223046623/ex10-1.htm" TargetMode="External"/><Relationship Id="rId305" Type="http://schemas.openxmlformats.org/officeDocument/2006/relationships/hyperlink" Target="https://www.sec.gov/Archives/edgar/data/1847986/000149315224014831/ex10-42.htm" TargetMode="External"/><Relationship Id="rId306" Type="http://schemas.openxmlformats.org/officeDocument/2006/relationships/hyperlink" Target="https://www.sec.gov/Archives/edgar/data/1847986/000149315224014831/ex10-43.htm" TargetMode="External"/><Relationship Id="rId307" Type="http://schemas.openxmlformats.org/officeDocument/2006/relationships/hyperlink" Target="https://www.sec.gov/Archives/edgar/data/1847986/000149315224014831/ex10-44.htm" TargetMode="External"/><Relationship Id="rId308" Type="http://schemas.openxmlformats.org/officeDocument/2006/relationships/hyperlink" Target="https://www.sec.gov/Archives/edgar/data/1847986/000149315224014831/ex10-45.htm" TargetMode="External"/><Relationship Id="rId309" Type="http://schemas.openxmlformats.org/officeDocument/2006/relationships/hyperlink" Target="https://www.sec.gov/Archives/edgar/data/1847986/000149315224014831/ex10-46.htm" TargetMode="External"/><Relationship Id="rId310" Type="http://schemas.openxmlformats.org/officeDocument/2006/relationships/hyperlink" Target="https://www.sec.gov/Archives/edgar/data/1847986/000149315224014831/ex10-47.htm" TargetMode="External"/><Relationship Id="rId311" Type="http://schemas.openxmlformats.org/officeDocument/2006/relationships/hyperlink" Target="https://www.sec.gov/Archives/edgar/data/1847986/000149315224019360/ex10-1.htm" TargetMode="External"/><Relationship Id="rId312" Type="http://schemas.openxmlformats.org/officeDocument/2006/relationships/hyperlink" Target="https://www.sec.gov/Archives/edgar/data/1847986/000149315224020704/ex10-1.htm" TargetMode="External"/><Relationship Id="rId313" Type="http://schemas.openxmlformats.org/officeDocument/2006/relationships/hyperlink" Target="https://www.sec.gov/Archives/edgar/data/1847986/000149315223042295/ex16-1.htm" TargetMode="External"/><Relationship Id="rId314" Type="http://schemas.openxmlformats.org/officeDocument/2006/relationships/hyperlink" Target="https://www.sec.gov/Archives/edgar/data/1847986/000110465922107212/tm2222125d3_ex21-1.htm" TargetMode="External"/><Relationship Id="rId315" Type="http://schemas.openxmlformats.org/officeDocument/2006/relationships/hyperlink" Target="https://www.sec.gov/Archives/edgar/data/1847986/000110465922125957/dfli-20220930xs1a.htm#POWEROFATTORNEY_227775" TargetMode="External"/><Relationship Id="rId316" Type="http://schemas.openxmlformats.org/officeDocument/2006/relationships/hyperlink" Target="http://www.sec.gov/Archives/edgar/data/1847986/000110465922114961/dfli-20220630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2024-05-21T05:39:37Z</dcterms:created>
  <dcterms:modified xsi:type="dcterms:W3CDTF">2024-05-21T05:39:37Z</dcterms:modified>
</cp:coreProperties>
</file>