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1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40101__20"/>
      <w:bookmarkEnd w:id="2"/>
      <w:r>
        <w:rPr>
          <w:rFonts w:ascii="Times New Roman;Times;Serif" w:hAnsi="Times New Roman;Times;Serif"/>
          <w:b/>
          <w:i w:val="false"/>
          <w:caps w:val="false"/>
          <w:smallCaps w:val="false"/>
          <w:sz w:val="36"/>
        </w:rPr>
        <w:t>10-K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C_edei--DocumentAnnualReport_c2024"/>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F_edei--CurrentFiscalYearEndDate_c"/>
      <w:bookmarkStart w:id="5" w:name="xdx_906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E_edei--DocumentFiscalYearFocus_c2"/>
      <w:bookmarkEnd w:id="6"/>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 w:name="xdx_904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1_edei--EntityFileNumber_c20240101"/>
      <w:bookmarkEnd w:id="8"/>
      <w:r>
        <w:rPr>
          <w:rFonts w:ascii="Times New Roman;Times;Serif" w:hAnsi="Times New Roman;Times;Serif"/>
          <w:b/>
          <w:i w:val="false"/>
          <w:caps w:val="false"/>
          <w:smallCaps w:val="false"/>
          <w:sz w:val="20"/>
        </w:rPr>
        <w:t>001-40730</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pBdr>
          <w:bottom w:val="single" w:sz="8" w:space="1" w:color="000000"/>
        </w:pBdr>
        <w:bidi w:val="0"/>
        <w:spacing w:before="0" w:after="0"/>
        <w:ind w:left="10" w:right="0" w:hanging="0"/>
        <w:jc w:val="center"/>
        <w:rPr>
          <w:rFonts w:ascii="Times New Roman;Times;Serif" w:hAnsi="Times New Roman;Times;Serif"/>
          <w:b/>
          <w:i w:val="false"/>
          <w:caps w:val="false"/>
          <w:smallCaps w:val="false"/>
          <w:sz w:val="36"/>
        </w:rPr>
      </w:pPr>
      <w:bookmarkStart w:id="9" w:name="xdx_908_edei--EntityRegistrantName_c2024"/>
      <w:bookmarkEnd w:id="9"/>
      <w:r>
        <w:rPr>
          <w:rFonts w:ascii="Times New Roman;Times;Serif" w:hAnsi="Times New Roman;Times;Serif"/>
          <w:b/>
          <w:i w:val="false"/>
          <w:caps w:val="false"/>
          <w:smallCaps w:val="false"/>
          <w:sz w:val="36"/>
        </w:rPr>
        <w:t>DRAGONFLY ENERGY HOLDINGS CORP.</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IncorporationStateCo"/>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TaxIdentificationNum"/>
            <w:bookmarkEnd w:id="11"/>
            <w:r>
              <w:rPr>
                <w:rFonts w:ascii="Times New Roman;Times;Serif" w:hAnsi="Times New Roman;Times;Serif"/>
                <w:b/>
                <w:i w:val="false"/>
                <w:caps w:val="false"/>
                <w:smallCaps w:val="false"/>
                <w:sz w:val="20"/>
              </w:rPr>
              <w:t>85-1873463</w:t>
            </w:r>
          </w:p>
        </w:tc>
      </w:tr>
      <w:tr>
        <w:trPr/>
        <w:tc>
          <w:tcPr>
            <w:tcW w:w="27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AddressAddressLine1_"/>
            <w:bookmarkEnd w:id="12"/>
            <w:r>
              <w:rPr>
                <w:rFonts w:ascii="Times New Roman;Times;Serif" w:hAnsi="Times New Roman;Times;Serif"/>
                <w:b/>
                <w:i w:val="false"/>
                <w:caps w:val="false"/>
                <w:smallCaps w:val="false"/>
                <w:sz w:val="20"/>
              </w:rPr>
              <w:t>12915 Old Virgina Rd.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F_edei--EntityAddressCityOrTown_c2"/>
            <w:bookmarkEnd w:id="13"/>
            <w:r>
              <w:rPr>
                <w:rFonts w:ascii="Times New Roman;Times;Serif" w:hAnsi="Times New Roman;Times;Serif"/>
                <w:b/>
                <w:i w:val="false"/>
                <w:caps w:val="false"/>
                <w:smallCaps w:val="false"/>
                <w:sz w:val="20"/>
              </w:rPr>
              <w:t xml:space="preserve">Reno, </w:t>
            </w:r>
            <w:bookmarkStart w:id="14" w:name="xdx_907_edei--EntityAddressStateOrProvin"/>
            <w:bookmarkEnd w:id="14"/>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B_edei--EntityAddressPostalZipCode"/>
            <w:bookmarkEnd w:id="15"/>
            <w:r>
              <w:rPr>
                <w:rFonts w:ascii="Times New Roman;Times;Serif" w:hAnsi="Times New Roman;Times;Serif"/>
                <w:b/>
                <w:i w:val="false"/>
                <w:caps w:val="false"/>
                <w:smallCaps w:val="false"/>
                <w:sz w:val="20"/>
              </w:rPr>
              <w:t>89521</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A_edei--CityAreaCode_c20240101__20"/>
      <w:bookmarkEnd w:id="16"/>
      <w:r>
        <w:rPr>
          <w:rFonts w:ascii="Times New Roman;Times;Serif" w:hAnsi="Times New Roman;Times;Serif"/>
          <w:b/>
          <w:i w:val="false"/>
          <w:caps w:val="false"/>
          <w:smallCaps w:val="false"/>
          <w:sz w:val="20"/>
        </w:rPr>
        <w:t xml:space="preserve">(775) </w:t>
      </w:r>
      <w:bookmarkStart w:id="17" w:name="xdx_905_edei--LocalPhoneNumber_c20240101"/>
      <w:bookmarkEnd w:id="17"/>
      <w:r>
        <w:rPr>
          <w:rFonts w:ascii="Times New Roman;Times;Serif" w:hAnsi="Times New Roman;Times;Serif"/>
          <w:b/>
          <w:i w:val="false"/>
          <w:caps w:val="false"/>
          <w:smallCaps w:val="false"/>
          <w:sz w:val="20"/>
        </w:rPr>
        <w:t>622-3448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77"/>
        <w:gridCol w:w="60"/>
        <w:gridCol w:w="1231"/>
        <w:gridCol w:w="60"/>
        <w:gridCol w:w="2577"/>
      </w:tblGrid>
      <w:tr>
        <w:trPr/>
        <w:tc>
          <w:tcPr>
            <w:tcW w:w="6277"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77"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7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7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4010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40101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4"/>
            <w:bookmarkEnd w:id="20"/>
            <w:r>
              <w:rPr>
                <w:rFonts w:ascii="Times New Roman;Times;Serif" w:hAnsi="Times New Roman;Times;Serif"/>
                <w:b w:val="false"/>
                <w:i w:val="false"/>
                <w:caps w:val="false"/>
                <w:smallCaps w:val="false"/>
                <w:sz w:val="20"/>
              </w:rPr>
              <w:t>Nasdaq Capital Market</w:t>
            </w:r>
          </w:p>
        </w:tc>
      </w:tr>
      <w:tr>
        <w:trPr/>
        <w:tc>
          <w:tcPr>
            <w:tcW w:w="6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12bTitle_c20240101"/>
            <w:bookmarkEnd w:id="21"/>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TradingSymbol_c20240101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C_edei--SecurityExchangeName_c2024"/>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u w:val="single"/>
        </w:rPr>
        <w:t>None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4" w:name="xdx_90B_edei--EntityWellKnownSeasonedIss"/>
      <w:bookmarkEnd w:id="24"/>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5" w:name="xdx_905_edei--EntityVoluntaryFilers_c202"/>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6" w:name="xdx_908_edei--EntityCurrentReportingStat"/>
      <w:bookmarkEnd w:id="26"/>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7" w:name="xdx_907_edei--EntityInteractiveDataCurre"/>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0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9" w:name="xdx_90D_edei--EntityEmergingGrowthCompan"/>
            <w:bookmarkEnd w:id="29"/>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0" w:name="xdx_90F_edei--EntityFilerCategory_c20240"/>
            <w:bookmarkEnd w:id="30"/>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1" w:name="xdx_90D_edei--EntitySmallBusiness_c20240"/>
            <w:bookmarkEnd w:id="31"/>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2" w:name="xdx_905_edei--IcfrAuditorAttestationFlag"/>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statements. </w:t>
      </w:r>
      <w:bookmarkStart w:id="33" w:name="xdx_907_edei--DocumentFinStmtErrorCorrec"/>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Section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34" w:name="xdx_902_edei--EntityShellCompany_dbF_c20"/>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voting stock held by non-affiliates of the Registrant on June 30, 2024, based on the closing price of $7.61 for shares of the registrant’s common stock as reported by the Nasdaq Capital Market, was approximately $</w:t>
      </w:r>
      <w:bookmarkStart w:id="35" w:name="xdx_904_edei--EntityPublicFloat_iI_pn5n6"/>
      <w:bookmarkEnd w:id="35"/>
      <w:r>
        <w:rPr>
          <w:rFonts w:ascii="Times New Roman;Times;Serif" w:hAnsi="Times New Roman;Times;Serif"/>
          <w:b w:val="false"/>
          <w:i w:val="false"/>
          <w:caps w:val="false"/>
          <w:smallCaps w:val="false"/>
          <w:sz w:val="20"/>
        </w:rPr>
        <w:t>37.5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27, 2025, there were </w:t>
      </w:r>
      <w:bookmarkStart w:id="36" w:name="xdx_90E_edei--EntityCommonStockSharesOut"/>
      <w:bookmarkEnd w:id="36"/>
      <w:r>
        <w:rPr>
          <w:rFonts w:ascii="Times New Roman;Times;Serif" w:hAnsi="Times New Roman;Times;Serif"/>
          <w:b w:val="false"/>
          <w:i w:val="false"/>
          <w:caps w:val="false"/>
          <w:smallCaps w:val="false"/>
          <w:sz w:val="20"/>
        </w:rPr>
        <w:t>7,589,642 shares of the registrant’s common stock, par value $</w:t>
      </w:r>
      <w:bookmarkStart w:id="37" w:name="xdx_90E_edei--EntityListingParValuePerSh"/>
      <w:bookmarkEnd w:id="37"/>
      <w:r>
        <w:rPr>
          <w:rFonts w:ascii="Times New Roman;Times;Serif" w:hAnsi="Times New Roman;Times;Serif"/>
          <w:b w:val="false"/>
          <w:i w:val="false"/>
          <w:caps w:val="false"/>
          <w:smallCaps w:val="false"/>
          <w:sz w:val="20"/>
        </w:rPr>
        <w:t>0.0001 per share, issued and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jc w:val="center"/>
        <w:rPr>
          <w:rFonts w:ascii="Times New Roman;Times;Serif" w:hAnsi="Times New Roman;Times;Serif"/>
          <w:b/>
          <w:i w:val="false"/>
          <w:caps w:val="false"/>
          <w:smallCaps w:val="false"/>
          <w:sz w:val="20"/>
        </w:rPr>
      </w:pPr>
      <w:bookmarkStart w:id="38" w:name="xdx_900_edei--DocumentsIncorporatedByRef"/>
      <w:bookmarkEnd w:id="38"/>
      <w:r>
        <w:rPr>
          <w:rFonts w:ascii="Times New Roman;Times;Serif" w:hAnsi="Times New Roman;Times;Serif"/>
          <w:b/>
          <w:i w:val="false"/>
          <w:caps w:val="false"/>
          <w:smallCaps w:val="false"/>
          <w:sz w:val="20"/>
        </w:rPr>
        <w:t>None.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9665"/>
        <w:gridCol w:w="425"/>
      </w:tblGrid>
      <w:tr>
        <w:trPr/>
        <w:tc>
          <w:tcPr>
            <w:tcW w:w="966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665" w:type="dxa"/>
            <w:tcBorders/>
            <w:shd w:fill="CCEEFF" w:val="clear"/>
            <w:vAlign w:val="center"/>
          </w:tcPr>
          <w:p>
            <w:pPr>
              <w:pStyle w:val="TableContents"/>
              <w:bidi w:val="0"/>
              <w:spacing w:before="0" w:after="283"/>
              <w:jc w:val="left"/>
              <w:rPr/>
            </w:pPr>
            <w:hyperlink w:anchor="sw_001">
              <w:r>
                <w:rPr>
                  <w:rStyle w:val="InternetLink"/>
                  <w:rFonts w:ascii="Times New Roman;Times;Serif" w:hAnsi="Times New Roman;Times;Serif"/>
                  <w:b w:val="false"/>
                  <w:i w:val="false"/>
                  <w:caps w:val="false"/>
                  <w:smallCaps w:val="false"/>
                  <w:sz w:val="20"/>
                </w:rPr>
                <w:t>Part I</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02">
              <w:r>
                <w:rPr>
                  <w:rStyle w:val="InternetLink"/>
                  <w:rFonts w:ascii="Times New Roman;Times;Serif" w:hAnsi="Times New Roman;Times;Serif"/>
                  <w:b w:val="false"/>
                  <w:i w:val="false"/>
                  <w:caps w:val="false"/>
                  <w:smallCaps w:val="false"/>
                  <w:sz w:val="20"/>
                </w:rPr>
                <w:t>Item 1. Business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03">
              <w:r>
                <w:rPr>
                  <w:rStyle w:val="InternetLink"/>
                  <w:rFonts w:ascii="Times New Roman;Times;Serif" w:hAnsi="Times New Roman;Times;Serif"/>
                  <w:b w:val="false"/>
                  <w:i w:val="false"/>
                  <w:caps w:val="false"/>
                  <w:smallCaps w:val="false"/>
                  <w:sz w:val="20"/>
                </w:rPr>
                <w:t>Item 1A. 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04">
              <w:r>
                <w:rPr>
                  <w:rStyle w:val="InternetLink"/>
                  <w:rFonts w:ascii="Times New Roman;Times;Serif" w:hAnsi="Times New Roman;Times;Serif"/>
                  <w:b w:val="false"/>
                  <w:i w:val="false"/>
                  <w:caps w:val="false"/>
                  <w:smallCaps w:val="false"/>
                  <w:sz w:val="20"/>
                </w:rPr>
                <w:t>Item 1B. Unresolved Staff Comments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05">
              <w:r>
                <w:rPr>
                  <w:rStyle w:val="InternetLink"/>
                  <w:rFonts w:ascii="Times New Roman;Times;Serif" w:hAnsi="Times New Roman;Times;Serif"/>
                  <w:b w:val="false"/>
                  <w:i w:val="false"/>
                  <w:caps w:val="false"/>
                  <w:smallCaps w:val="false"/>
                  <w:sz w:val="20"/>
                </w:rPr>
                <w:t>Item 1C. Cybersecurity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06">
              <w:r>
                <w:rPr>
                  <w:rStyle w:val="InternetLink"/>
                  <w:rFonts w:ascii="Times New Roman;Times;Serif" w:hAnsi="Times New Roman;Times;Serif"/>
                  <w:b w:val="false"/>
                  <w:i w:val="false"/>
                  <w:caps w:val="false"/>
                  <w:smallCaps w:val="false"/>
                  <w:sz w:val="20"/>
                </w:rPr>
                <w:t>Item 2. Properties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07">
              <w:r>
                <w:rPr>
                  <w:rStyle w:val="InternetLink"/>
                  <w:rFonts w:ascii="Times New Roman;Times;Serif" w:hAnsi="Times New Roman;Times;Serif"/>
                  <w:b w:val="false"/>
                  <w:i w:val="false"/>
                  <w:caps w:val="false"/>
                  <w:smallCaps w:val="false"/>
                  <w:sz w:val="20"/>
                </w:rPr>
                <w:t>Item 3. Legal Proceedings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08">
              <w:r>
                <w:rPr>
                  <w:rStyle w:val="InternetLink"/>
                  <w:rFonts w:ascii="Times New Roman;Times;Serif" w:hAnsi="Times New Roman;Times;Serif"/>
                  <w:b w:val="false"/>
                  <w:i w:val="false"/>
                  <w:caps w:val="false"/>
                  <w:smallCaps w:val="false"/>
                  <w:sz w:val="20"/>
                </w:rPr>
                <w:t>Item 4. Mine Safety Disclosures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09">
              <w:r>
                <w:rPr>
                  <w:rStyle w:val="InternetLink"/>
                  <w:rFonts w:ascii="Times New Roman;Times;Serif" w:hAnsi="Times New Roman;Times;Serif"/>
                  <w:b w:val="false"/>
                  <w:i w:val="false"/>
                  <w:caps w:val="false"/>
                  <w:smallCaps w:val="false"/>
                  <w:sz w:val="20"/>
                </w:rPr>
                <w:t>Part II</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10">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11">
              <w:r>
                <w:rPr>
                  <w:rStyle w:val="InternetLink"/>
                  <w:rFonts w:ascii="Times New Roman;Times;Serif" w:hAnsi="Times New Roman;Times;Serif"/>
                  <w:b w:val="false"/>
                  <w:i w:val="false"/>
                  <w:caps w:val="false"/>
                  <w:smallCaps w:val="false"/>
                  <w:sz w:val="20"/>
                </w:rPr>
                <w:t>Item 6. [Reserved]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sw_012">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8. Financial Statements and Supplementary Data</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Item 9A. Controls and Procedures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Item 9B. Other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9C. Disclosure Regarding Foreign Jurisdiction that Prevent Inspections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Part III</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11. Executive Compensation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14. Principal Accountant Fees and Services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Part IV</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15. Exhibit and Financial Statement Schedules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16. Form 10-K Summary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SIGNATURES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2024, we effected a 1-for-9 reverse stock split of our outstanding shares of common stock. Unless specifically provided otherwise herein, all share and per share information in this Annual Report on Form 10-K has been adjusted to reflect the reverse stock split.</w:t>
      </w:r>
    </w:p>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forward-looking statements made pursuant to the safe harbor provisions of the Private Securities Litigation Reform Act of 1995 under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cure any listing deficiencies and maintain the listing of our common stock and Public Warrants (as defined herein) on the Nasdaq Capital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 (“</w:t>
            </w:r>
            <w:r>
              <w:rPr>
                <w:rFonts w:ascii="Times New Roman;Times;Serif" w:hAnsi="Times New Roman;Times;Serif"/>
                <w:b/>
                <w:i w:val="false"/>
                <w:caps w:val="false"/>
                <w:smallCaps w:val="false"/>
                <w:sz w:val="20"/>
              </w:rPr>
              <w:t>Keystone</w:t>
            </w:r>
            <w:r>
              <w:rPr>
                <w:rFonts w:ascii="Times New Roman;Times;Serif" w:hAnsi="Times New Roman;Times;Serif"/>
                <w:b w:val="false"/>
                <w:i w:val="false"/>
                <w:caps w:val="false"/>
                <w:smallCaps w:val="false"/>
                <w:sz w:val="20"/>
              </w:rPr>
              <w:t>”)),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in our existing markets or new markets that we enter, including the trucking and industrials markets, and our ability to achieve and maintain profitability;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the conversion and the terms of our outstanding Series A Convertible Preferred Stock (“Series A Preferred Stock”) on the market price of our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recent licensing arrangement with Stryten Energy LLC;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committed equity facility;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one manufacturing facility;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and macroeconomic conditions, including economic, political and social instability, including the Russia-Ukraine conflict and Hamas’ attack on Israel, and their effects on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 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bookmarkStart w:id="39" w:name="sw_001"/>
      <w:bookmarkEnd w:id="39"/>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sw_002"/>
      <w:bookmarkEnd w:id="40"/>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report to “Dragonfly,” the “Company,” “we,” “us,” or “our” mean Dragonfly Energy Holdings Corp. and its subsidiaries unless stated otherwise or the context otherwise indicates.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industry (including the recreational vehicle (“</w:t>
      </w:r>
      <w:r>
        <w:rPr>
          <w:rFonts w:ascii="Times New Roman;Times;Serif" w:hAnsi="Times New Roman;Times;Serif"/>
          <w:b/>
          <w:i w:val="false"/>
          <w:caps w:val="false"/>
          <w:smallCaps w:val="false"/>
          <w:sz w:val="20"/>
        </w:rPr>
        <w:t>RV</w:t>
      </w:r>
      <w:r>
        <w:rPr>
          <w:rFonts w:ascii="Times New Roman;Times;Serif" w:hAnsi="Times New Roman;Times;Serif"/>
          <w:b w:val="false"/>
          <w:i w:val="false"/>
          <w:caps w:val="false"/>
          <w:smallCaps w:val="false"/>
          <w:sz w:val="20"/>
        </w:rPr>
        <w:t>”), marine vessel, solar and off-grid residence industries), and trucking,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cycle lithium iron phosphate (“</w:t>
      </w:r>
      <w:r>
        <w:rPr>
          <w:rFonts w:ascii="Times New Roman;Times;Serif" w:hAnsi="Times New Roman;Times;Serif"/>
          <w:b/>
          <w:i w:val="false"/>
          <w:caps w:val="false"/>
          <w:smallCaps w:val="false"/>
          <w:sz w:val="20"/>
        </w:rPr>
        <w:t>LFP</w:t>
      </w:r>
      <w:r>
        <w:rPr>
          <w:rFonts w:ascii="Times New Roman;Times;Serif" w:hAnsi="Times New Roman;Times;Serif"/>
          <w:b w:val="false"/>
          <w:i w:val="false"/>
          <w:caps w:val="false"/>
          <w:smallCaps w:val="false"/>
          <w:sz w:val="20"/>
        </w:rPr>
        <w:t>”)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w:t>
      </w:r>
      <w:r>
        <w:rPr>
          <w:rFonts w:ascii="Times New Roman;Times;Serif" w:hAnsi="Times New Roman;Times;Serif"/>
          <w:b/>
          <w:i w:val="false"/>
          <w:caps w:val="false"/>
          <w:smallCaps w:val="false"/>
          <w:sz w:val="20"/>
        </w:rPr>
        <w:t>LiFePO4</w:t>
      </w:r>
      <w:r>
        <w:rPr>
          <w:rFonts w:ascii="Times New Roman;Times;Serif" w:hAnsi="Times New Roman;Times;Serif"/>
          <w:b w:val="false"/>
          <w:i w:val="false"/>
          <w:caps w:val="false"/>
          <w:smallCaps w:val="false"/>
          <w:sz w:val="20"/>
        </w:rPr>
        <w:t>”)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dual-brand strategy for battery products, Dragonfly Energy (“</w:t>
      </w:r>
      <w:r>
        <w:rPr>
          <w:rFonts w:ascii="Times New Roman;Times;Serif" w:hAnsi="Times New Roman;Times;Serif"/>
          <w:b/>
          <w:i w:val="false"/>
          <w:caps w:val="false"/>
          <w:smallCaps w:val="false"/>
          <w:sz w:val="20"/>
        </w:rPr>
        <w:t>Dragonfly Energy</w:t>
      </w:r>
      <w:r>
        <w:rPr>
          <w:rFonts w:ascii="Times New Roman;Times;Serif" w:hAnsi="Times New Roman;Times;Serif"/>
          <w:b w:val="false"/>
          <w:i w:val="false"/>
          <w:caps w:val="false"/>
          <w:smallCaps w:val="false"/>
          <w:sz w:val="20"/>
        </w:rPr>
        <w:t>”) and Battle Born Batteries (“</w:t>
      </w:r>
      <w:r>
        <w:rPr>
          <w:rFonts w:ascii="Times New Roman;Times;Serif" w:hAnsi="Times New Roman;Times;Serif"/>
          <w:b/>
          <w:i w:val="false"/>
          <w:caps w:val="false"/>
          <w:smallCaps w:val="false"/>
          <w:sz w:val="20"/>
        </w:rPr>
        <w:t>Battle Born</w:t>
      </w:r>
      <w:r>
        <w:rPr>
          <w:rFonts w:ascii="Times New Roman;Times;Serif" w:hAnsi="Times New Roman;Times;Serif"/>
          <w:b w:val="false"/>
          <w:i w:val="false"/>
          <w:caps w:val="false"/>
          <w:smallCaps w:val="false"/>
          <w:sz w:val="20"/>
        </w:rPr>
        <w:t>”). Battle Born branded products are primarily sold direct-to-consumers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while the Dragonfly Energy brand is primarily sold to original equipment manufacturers (“</w:t>
      </w:r>
      <w:r>
        <w:rPr>
          <w:rFonts w:ascii="Times New Roman;Times;Serif" w:hAnsi="Times New Roman;Times;Serif"/>
          <w:b/>
          <w:i w:val="false"/>
          <w:caps w:val="false"/>
          <w:smallCaps w:val="false"/>
          <w:sz w:val="20"/>
        </w:rPr>
        <w:t>OEMs</w:t>
      </w:r>
      <w:r>
        <w:rPr>
          <w:rFonts w:ascii="Times New Roman;Times;Serif" w:hAnsi="Times New Roman;Times;Serif"/>
          <w:b w:val="false"/>
          <w:i w:val="false"/>
          <w:caps w:val="false"/>
          <w:smallCaps w:val="false"/>
          <w:sz w:val="20"/>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Reflecting the strength of our DTC brand, we signed a brand licensing contract in July of 2024 with Stryten Energy for the Battle Born brand to be deployed in B2B sales within Stryten’s target market. The contract is expected to bring $30 million of licensing revenues within a seven year period. Additionally, we signed a contract manufacturing agreement that allows for us to assemble battery packs to be sold by Stryten under the Battle Born label. Both licensing and contract manufacturing revenues from these contracts are expected to come in throughout 2025, and we believe will represent a significant portion of our total revenues beginning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as an aftermarket-focused company, we initially targeted direct-to-consumer (DTC) sales within the recreational vehicle (RV) market. Since our inception in 2020, we have successfully sold over 330,000 batteries. For the fiscal years ended December 31, 2024, and December 31, 2023, we sold 42,447 and 64,906 batteries, respectively, generating revenues of $50.6 million and $64.5 million for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innovative battery products have disrupted the traditional lead-acid battery markets. The strong DTC demand, combined with our efforts to educate and market to original equipment manufacturers (OEMs), has facilitated significant penetration into the OEM sector. Historically, we have driven total sales growth through several strategies:</w:t>
      </w:r>
    </w:p>
    <w:p>
      <w:pPr>
        <w:pStyle w:val="TextBody"/>
        <w:bidi w:val="0"/>
        <w:spacing w:before="0" w:after="0"/>
        <w:ind w:left="720" w:right="0" w:hanging="36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17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Expansion of DTC Sales</w:t>
            </w:r>
            <w:r>
              <w:rPr>
                <w:rFonts w:ascii="Times New Roman;Times;Serif" w:hAnsi="Times New Roman;Times;Serif"/>
                <w:b w:val="false"/>
                <w:i w:val="false"/>
                <w:caps w:val="false"/>
                <w:smallCaps w:val="false"/>
                <w:sz w:val="20"/>
              </w:rPr>
              <w:t>: Increasing direct sales of batteries for RV applications.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 Diversification</w:t>
            </w:r>
            <w:r>
              <w:rPr>
                <w:rFonts w:ascii="Times New Roman;Times;Serif" w:hAnsi="Times New Roman;Times;Serif"/>
                <w:b w:val="false"/>
                <w:i w:val="false"/>
                <w:caps w:val="false"/>
                <w:smallCaps w:val="false"/>
                <w:sz w:val="20"/>
              </w:rPr>
              <w:t>: Entering the marine vessel and off-grid storage markets with related DTC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OEM Partnerships</w:t>
            </w:r>
            <w:r>
              <w:rPr>
                <w:rFonts w:ascii="Times New Roman;Times;Serif" w:hAnsi="Times New Roman;Times;Serif"/>
                <w:b w:val="false"/>
                <w:i w:val="false"/>
                <w:caps w:val="false"/>
                <w:smallCaps w:val="false"/>
                <w:sz w:val="20"/>
              </w:rPr>
              <w:t>: Supplying batteries to RV OEMs.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Distributor Engagement</w:t>
            </w:r>
            <w:r>
              <w:rPr>
                <w:rFonts w:ascii="Times New Roman;Times;Serif" w:hAnsi="Times New Roman;Times;Serif"/>
                <w:b w:val="false"/>
                <w:i w:val="false"/>
                <w:caps w:val="false"/>
                <w:smallCaps w:val="false"/>
                <w:sz w:val="20"/>
              </w:rPr>
              <w:t>: Enhancing sales through increased distribution channels.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Accessory Sales</w:t>
            </w:r>
            <w:r>
              <w:rPr>
                <w:rFonts w:ascii="Times New Roman;Times;Serif" w:hAnsi="Times New Roman;Times;Serif"/>
                <w:b w:val="false"/>
                <w:i w:val="false"/>
                <w:caps w:val="false"/>
                <w:smallCaps w:val="false"/>
                <w:sz w:val="20"/>
              </w:rPr>
              <w:t>: Reselling accessories for our battery systems.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valued RV OEM partners currently include industry leaders such as Airstream, Tiffin Motorhomes, Forest River, nuCamp RV, Triple E RV, REV Group, Keystone, and THOR Industries (“</w:t>
      </w:r>
      <w:r>
        <w:rPr>
          <w:rFonts w:ascii="Times New Roman;Times;Serif" w:hAnsi="Times New Roman;Times;Serif"/>
          <w:b/>
          <w:i w:val="false"/>
          <w:caps w:val="false"/>
          <w:smallCaps w:val="false"/>
          <w:sz w:val="20"/>
        </w:rPr>
        <w:t>THOR</w:t>
      </w:r>
      <w:r>
        <w:rPr>
          <w:rFonts w:ascii="Times New Roman;Times;Serif" w:hAnsi="Times New Roman;Times;Serif"/>
          <w:b w:val="false"/>
          <w:i w:val="false"/>
          <w:caps w:val="false"/>
          <w:smallCaps w:val="false"/>
          <w:sz w:val="20"/>
        </w:rPr>
        <w:t>”). Notably, THOR has made a strategic investment in our business, which we believe underscores our strong industry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we experienced a period of sustained market correction characterized by ongoing inflation and historically high interest rates, which posed challenges to our DTC markets. While there were small increases in retail registrations and wholesale shipments within the RV industry, much of this growth was concentrated in the price-sensitive entry-level segment. These entry-level RVs typically do not incorporate our battery products, resulting in a decline in our overall sales due to the limited growth in segments aligned with our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did observe increased OEM adoption of our products outside the entry-level segment, marked by the acquisition of new customers and enhanced market share within existing customer product lines. As a result, a higher proportion of our revenue was generated through the OEM channel compared to the DTC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successfully entered into two significant distribution agreements with Keystone Automotive Group (a division of LKQ) and Meyer Distribution. These partnerships are expected to expand our reach within the RV and marine dealer networks and support continued growth in our DTC channels.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RV dealers continued to optimize their inventory levels, resulting in relatively flat sales after a substantial 36% correction in 2023. The industry’s pivot towards entry-level RVs, which do not typically utilize our batteries, contributed to the decline in total revenue for the year ended December 31, 2024, compared to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ongoing discussions with customers and current unit forecast projections, we anticipate an increase in revenue within the RV market for 2025. We remain committed to expanding our market presence, leveraging strategic partnerships, and driving innovation to sustain our growth trajectory.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packs are designed and assembled in-house in the United States. In November 2024, we relocated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also entered into a lease for use of an approximately 64,000 square foot facility to further increase our capacity to produce our patented dry electrode process (the “</w:t>
      </w:r>
      <w:r>
        <w:rPr>
          <w:rFonts w:ascii="Times New Roman;Times;Serif" w:hAnsi="Times New Roman;Times;Serif"/>
          <w:b/>
          <w:i w:val="false"/>
          <w:caps w:val="false"/>
          <w:smallCaps w:val="false"/>
          <w:sz w:val="20"/>
        </w:rPr>
        <w:t>Fernley Lease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Battle Born Batteries and Wakespeed brands, we operate in three primary consumer end markets: RVs, marine vessels, and off-grid storage systems. We are strategically expanding into additional markets, with a focus on trucking – including heavy-duty trucks and work trucks – and industrial markets – including oil and gas and industrial solar integration. Within our core markets, we focus on displacing lead-acid batteries with our technologically advanced and greener lithium-ion solutions. Our Battle Born Batteries portfolio is designed to provide customers with a reliable, long-lasting, and highly efficient off-grid power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leverage our proven sales and marketing strategy to efficiently penetrate our target end markets. We prioritize customer education through various channels, highlighting the distinct advantages of lithium-ion batteries over traditional lead-acid alternatives. Tradeshows, rallies, and industry events serve as key platforms for direct customer engagement, featuring product demonstrations, educational seminars, and opportunities for interaction with knowledgeable sales and technical experts. We further amplify our reach through a robust social media program, strategically partnering with content creators and industry influencers to disseminate product benefits to targeted audiences. Additionally, we cultivate relationships with industry publications to secure editorial coverage that informs and educates potential customers. We also employ a targeted pay-per-click (“</w:t>
      </w:r>
      <w:r>
        <w:rPr>
          <w:rFonts w:ascii="Times New Roman;Times;Serif" w:hAnsi="Times New Roman;Times;Serif"/>
          <w:b/>
          <w:i w:val="false"/>
          <w:caps w:val="false"/>
          <w:smallCaps w:val="false"/>
          <w:sz w:val="20"/>
        </w:rPr>
        <w:t>PPC</w:t>
      </w:r>
      <w:r>
        <w:rPr>
          <w:rFonts w:ascii="Times New Roman;Times;Serif" w:hAnsi="Times New Roman;Times;Serif"/>
          <w:b w:val="false"/>
          <w:i w:val="false"/>
          <w:caps w:val="false"/>
          <w:smallCaps w:val="false"/>
          <w:sz w:val="20"/>
        </w:rPr>
        <w:t>”) advertising campaigns across various platforms, including search engines, social media, and connected TV to efficiently convert high-intent customers at the bottom of the purchase funnel.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upon our success in collaborating with RV and marine OEMs, we have begun expanding into the heavy-duty trucking market. We are leveraging our expertise in designing and supporting lithium-ion storage systems to tailor solutions meeting specific requirements for fleets. These solutions have been adopted as factory options, demonstrating their value proposition for truck fleets seeking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diesel fuel costs: our technology delivers significant fuel savings, offering a rapid return on investment.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anti-idling regulations: Lithium-ion batteries enable efficient power management eliminating the need for long haul truck drivers to idle, thus aligning with increasingly stringent regulations.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sustainability efforts: Transitioning to long lasting and greener lithium-ion solutions contributes to improved environmental impact.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strategic approach has resulted in successful pilot programs with fleets representing over 15% of the North American heavy-duty trucking market, and has already resulted in several new arrangements, including Stevens Transport and Highway Transport.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Fall of 2024, a partnership with Alegacy – a packager of natural gas compression equipment – led to a successful demonstration of an uninterruptible battery powered vapor recovery unit (VRU) that exhibited methane leakage mitigation in a large (greater than 3000 hp) gas compression unit. We believe that this successful demonstration will pave the way for the aftermarket and OEM deployments of these lithium battery powered VRUs, beginning in 2025. The opportunity leverages our expertise in combining alternator charging and battery cycling, as well as our Class 1 Div 2 battery classification, which allows our battery systems to be deployed in the vicinity of oil &amp; gas pipelines.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augment our core lithium-ion battery pack business, we rely on our research and development department. The team has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decades, lead-acid batteries have been the dominant player in power and energy markets worldwide. Since the introduction of the absorbed glass mat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lead-acid battery in the mid-1970s, the technological advancements in lead-acid battery technology have been limited. LFP batteries have numerous advantages over the incumbent lead-acid batteries used in today’s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Environmentally Friendly, Socially Responsible and Safer.</w:t>
            </w:r>
            <w:r>
              <w:rPr>
                <w:rFonts w:ascii="Times New Roman;Times;Serif" w:hAnsi="Times New Roman;Times;Serif"/>
                <w:b w:val="false"/>
                <w:i w:val="false"/>
                <w:caps w:val="false"/>
                <w:smallCaps w:val="false"/>
                <w:sz w:val="20"/>
              </w:rPr>
              <w:t xml:space="preserve"> Lead-acid batteries that are not recycled or 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Longer Lifespan.</w:t>
            </w:r>
            <w:r>
              <w:rPr>
                <w:rFonts w:ascii="Times New Roman;Times;Serif" w:hAnsi="Times New Roman;Times;Serif"/>
                <w:b w:val="false"/>
                <w:i w:val="false"/>
                <w:caps w:val="false"/>
                <w:smallCaps w:val="false"/>
                <w:sz w:val="20"/>
              </w:rPr>
              <w:t xml:space="preserve"> Lithium-ion batteries have longer lifecycles compared to lead-acid batteries. LFP 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Power and Performance.</w:t>
            </w:r>
            <w:r>
              <w:rPr>
                <w:rFonts w:ascii="Times New Roman;Times;Serif" w:hAnsi="Times New Roman;Times;Serif"/>
                <w:b w:val="false"/>
                <w:i w:val="false"/>
                <w:caps w:val="false"/>
                <w:smallCaps w:val="false"/>
                <w:sz w:val="20"/>
              </w:rPr>
              <w:t xml:space="preserve"> As new technologies evolve and people consume more electricity, the 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Charging. </w:t>
            </w:r>
            <w:r>
              <w:rPr>
                <w:rFonts w:ascii="Times New Roman;Times;Serif" w:hAnsi="Times New Roman;Times;Serif"/>
                <w:b w:val="false"/>
                <w:i w:val="false"/>
                <w:caps w:val="false"/>
                <w:smallCaps w:val="false"/>
                <w:sz w:val="20"/>
              </w:rPr>
              <w:t>Lead-acid batteries were the first rechargeable batteries on the market. However, due to new advancements in energy density (i.e., the 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Maintenance-Free. </w:t>
            </w:r>
            <w:r>
              <w:rPr>
                <w:rFonts w:ascii="Times New Roman;Times;Serif" w:hAnsi="Times New Roman;Times;Serif"/>
                <w:b w:val="false"/>
                <w:i w:val="false"/>
                <w:caps w:val="false"/>
                <w:smallCaps w:val="false"/>
                <w:sz w:val="20"/>
              </w:rPr>
              <w:t>LFP batteries provide the benefit of being a maintenance-free option compared to lead-acid batteries. 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Frost and Sullivan report commissioned by us in 2021 (“</w:t>
      </w:r>
      <w:r>
        <w:rPr>
          <w:rFonts w:ascii="Times New Roman;Times;Serif" w:hAnsi="Times New Roman;Times;Serif"/>
          <w:b/>
          <w:i w:val="false"/>
          <w:caps w:val="false"/>
          <w:smallCaps w:val="false"/>
          <w:sz w:val="20"/>
        </w:rPr>
        <w:t>Frost &amp; Sullivan</w:t>
      </w:r>
      <w:r>
        <w:rPr>
          <w:rFonts w:ascii="Times New Roman;Times;Serif" w:hAnsi="Times New Roman;Times;Serif"/>
          <w:b w:val="false"/>
          <w:i w:val="false"/>
          <w:caps w:val="false"/>
          <w:smallCaps w:val="false"/>
          <w:sz w:val="20"/>
        </w:rPr>
        <w:t>”), the total addressable market (“</w:t>
      </w:r>
      <w:r>
        <w:rPr>
          <w:rFonts w:ascii="Times New Roman;Times;Serif" w:hAnsi="Times New Roman;Times;Serif"/>
          <w:b/>
          <w:i w:val="false"/>
          <w:caps w:val="false"/>
          <w:smallCaps w:val="false"/>
          <w:sz w:val="20"/>
        </w:rPr>
        <w:t>TAM</w:t>
      </w:r>
      <w:r>
        <w:rPr>
          <w:rFonts w:ascii="Times New Roman;Times;Serif" w:hAnsi="Times New Roman;Times;Serif"/>
          <w:b w:val="false"/>
          <w:i w:val="false"/>
          <w:caps w:val="false"/>
          <w:smallCaps w:val="false"/>
          <w:sz w:val="20"/>
        </w:rPr>
        <w:t>”) of our three current end markets was estimated to be approximately $12 billion by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Recreational Vehicles.</w:t>
            </w:r>
            <w:r>
              <w:rPr>
                <w:rFonts w:ascii="Times New Roman;Times;Serif" w:hAnsi="Times New Roman;Times;Serif"/>
                <w:b w:val="false"/>
                <w:i w:val="false"/>
                <w:caps w:val="false"/>
                <w:smallCaps w:val="false"/>
                <w:sz w:val="20"/>
              </w:rPr>
              <w:t xml:space="preserve"> The growth of the RV market is expected to continue to drive demand for LFP storage batteries. According to the 2025 RV Industry Association (“</w:t>
            </w:r>
            <w:r>
              <w:rPr>
                <w:rFonts w:ascii="Times New Roman;Times;Serif" w:hAnsi="Times New Roman;Times;Serif"/>
                <w:b/>
                <w:i w:val="false"/>
                <w:caps w:val="false"/>
                <w:smallCaps w:val="false"/>
                <w:sz w:val="20"/>
              </w:rPr>
              <w:t>RVIA</w:t>
            </w:r>
            <w:r>
              <w:rPr>
                <w:rFonts w:ascii="Times New Roman;Times;Serif" w:hAnsi="Times New Roman;Times;Serif"/>
                <w:b w:val="false"/>
                <w:i w:val="false"/>
                <w:caps w:val="false"/>
                <w:smallCaps w:val="false"/>
                <w:sz w:val="20"/>
              </w:rPr>
              <w:t>”) Owner Demographic Profile, 16% of RV buyers are between the ages of 18 and 34. In addition, over a third of the respondents in the study (36%) are first-time owners, underscoring the growth of the industry in the past decade. RV interiors are becoming more modern as customers adopt the full-time RV lifestyle, with additional appliances and electronics being installed, increasing the need for reliable power.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2024 RV Market Report, approximately 89% of wholesale RV units shipping in 2025 are projected to be towable units, representing a significant growth opportunity for LFP batteries.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Marine Vessels.</w:t>
            </w:r>
            <w:r>
              <w:rPr>
                <w:rFonts w:ascii="Times New Roman;Times;Serif" w:hAnsi="Times New Roman;Times;Serif"/>
                <w:b w:val="false"/>
                <w:i w:val="false"/>
                <w:caps w:val="false"/>
                <w:smallCaps w:val="false"/>
                <w:sz w:val="20"/>
              </w:rPr>
              <w:t xml:space="preserve">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There were a total of over 11.6 million registered boats on the water as of 2023.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Off-Grid Residences.</w:t>
            </w:r>
            <w:r>
              <w:rPr>
                <w:rFonts w:ascii="Times New Roman;Times;Serif" w:hAnsi="Times New Roman;Times;Serif"/>
                <w:b w:val="false"/>
                <w:i w:val="false"/>
                <w:caps w:val="false"/>
                <w:smallCaps w:val="false"/>
                <w:sz w:val="20"/>
              </w:rPr>
              <w:t xml:space="preserve"> Many people are turning to off-grid housing and, as individuals and governments become more 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Times;Serif" w:hAnsi="Times New Roman;Times;Serif"/>
                <w:b/>
                <w:i w:val="false"/>
                <w:caps w:val="false"/>
                <w:smallCaps w:val="false"/>
                <w:sz w:val="20"/>
              </w:rPr>
              <w:t>SEIA</w:t>
            </w:r>
            <w:r>
              <w:rPr>
                <w:rFonts w:ascii="Times New Roman;Times;Serif" w:hAnsi="Times New Roman;Times;Serif"/>
                <w:b w:val="false"/>
                <w:i w:val="false"/>
                <w:caps w:val="false"/>
                <w:smallCaps w:val="false"/>
                <w:sz w:val="20"/>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Addressable Adjacent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Heavy Duty Truck.</w:t>
            </w:r>
            <w:r>
              <w:rPr>
                <w:rFonts w:ascii="Times New Roman;Times;Serif" w:hAnsi="Times New Roman;Times;Serif"/>
                <w:b w:val="false"/>
                <w:i w:val="false"/>
                <w:caps w:val="false"/>
                <w:smallCaps w:val="false"/>
                <w:sz w:val="20"/>
              </w:rPr>
              <w:t xml:space="preserve"> The heavy-duty truck market encompasses a broad range of vehicles designed for extensive commercial and industrial use, such as long-haul transport, construction, and logistics. With more than 300,000 Class 8 units sold in 2022, the market demonstrates a robust demand for vehicles that are integral to the backbone of global commerce and infrastructure projects. As the demand for more efficient, sustainable, and reliable transportation solutions grows, the use of Auxiliary Power Units (“</w:t>
            </w:r>
            <w:r>
              <w:rPr>
                <w:rFonts w:ascii="Times New Roman;Times;Serif" w:hAnsi="Times New Roman;Times;Serif"/>
                <w:b/>
                <w:i w:val="false"/>
                <w:caps w:val="false"/>
                <w:smallCaps w:val="false"/>
                <w:sz w:val="20"/>
              </w:rPr>
              <w:t>APUs</w:t>
            </w:r>
            <w:r>
              <w:rPr>
                <w:rFonts w:ascii="Times New Roman;Times;Serif" w:hAnsi="Times New Roman;Times;Serif"/>
                <w:b w:val="false"/>
                <w:i w:val="false"/>
                <w:caps w:val="false"/>
                <w:smallCaps w:val="false"/>
                <w:sz w:val="20"/>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Times;Serif" w:hAnsi="Times New Roman;Times;Serif"/>
                <w:b/>
                <w:i w:val="false"/>
                <w:caps w:val="false"/>
                <w:smallCaps w:val="false"/>
                <w:sz w:val="20"/>
              </w:rPr>
              <w:t>TRUs</w:t>
            </w:r>
            <w:r>
              <w:rPr>
                <w:rFonts w:ascii="Times New Roman;Times;Serif" w:hAnsi="Times New Roman;Times;Serif"/>
                <w:b w:val="false"/>
                <w:i w:val="false"/>
                <w:caps w:val="false"/>
                <w:smallCaps w:val="false"/>
                <w:sz w:val="20"/>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Industrial / Material Handlings / Work Truck.</w:t>
            </w:r>
            <w:r>
              <w:rPr>
                <w:rFonts w:ascii="Times New Roman;Times;Serif" w:hAnsi="Times New Roman;Times;Serif"/>
                <w:b w:val="false"/>
                <w:i w:val="false"/>
                <w:caps w:val="false"/>
                <w:smallCaps w:val="false"/>
                <w:sz w:val="20"/>
              </w:rPr>
              <w:t xml:space="preserve"> The industrial vehicle market includes work trucks, material handling and warehousing equipment and compact construction equipment. As industrial vehicles increase in terms of automation and 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Specialty Vehicles.</w:t>
            </w:r>
            <w:r>
              <w:rPr>
                <w:rFonts w:ascii="Times New Roman;Times;Serif" w:hAnsi="Times New Roman;Times;Serif"/>
                <w:b w:val="false"/>
                <w:i w:val="false"/>
                <w:caps w:val="false"/>
                <w:smallCaps w:val="false"/>
                <w:sz w:val="20"/>
              </w:rPr>
              <w:t xml:space="preserve"> According to Mordor Intelligence, as of 2019, approximately 40% of the specialty vehicle market in 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Emergency and Standby Power.</w:t>
            </w:r>
            <w:r>
              <w:rPr>
                <w:rFonts w:ascii="Times New Roman;Times;Serif" w:hAnsi="Times New Roman;Times;Serif"/>
                <w:b w:val="false"/>
                <w:i w:val="false"/>
                <w:caps w:val="false"/>
                <w:smallCaps w:val="false"/>
                <w:sz w:val="20"/>
              </w:rPr>
              <w:t xml:space="preserve"> Demand for reliable emergency and standby power sources is 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Telecom. </w:t>
            </w:r>
            <w:r>
              <w:rPr>
                <w:rFonts w:ascii="Times New Roman;Times;Serif" w:hAnsi="Times New Roman;Times;Serif"/>
                <w:b w:val="false"/>
                <w:i w:val="false"/>
                <w:caps w:val="false"/>
                <w:smallCaps w:val="false"/>
                <w:sz w:val="20"/>
              </w:rPr>
              <w:t>Demand for mobile data continues to increase and network providers are investing heavily in 5G networks, 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Rail. </w:t>
            </w:r>
            <w:r>
              <w:rPr>
                <w:rFonts w:ascii="Times New Roman;Times;Serif" w:hAnsi="Times New Roman;Times;Serif"/>
                <w:b w:val="false"/>
                <w:i w:val="false"/>
                <w:caps w:val="false"/>
                <w:smallCaps w:val="false"/>
                <w:sz w:val="20"/>
              </w:rPr>
              <w:t>Rail transportation is a large potential market, with an estimated U.S. market size of $110.1 billion in 2023, according 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Centers.</w:t>
            </w:r>
            <w:r>
              <w:rPr>
                <w:rFonts w:ascii="Times New Roman;Times;Serif" w:hAnsi="Times New Roman;Times;Serif"/>
                <w:b w:val="false"/>
                <w:i w:val="false"/>
                <w:caps w:val="false"/>
                <w:smallCaps w:val="false"/>
                <w:sz w:val="20"/>
              </w:rPr>
              <w:t xml:space="preserve"> Data centers have seen strong growth in recent years, with over 5,000 data centers in the United States as of September 2023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On-grid Storage.</w:t>
            </w:r>
            <w:r>
              <w:rPr>
                <w:rFonts w:ascii="Times New Roman;Times;Serif" w:hAnsi="Times New Roman;Times;Serif"/>
                <w:b w:val="false"/>
                <w:i w:val="false"/>
                <w:caps w:val="false"/>
                <w:smallCaps w:val="false"/>
                <w:sz w:val="20"/>
              </w:rPr>
              <w:t xml:space="preserve"> On-grid energy storage is used on a large-scale platform within an electrical power 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Premier Lithium-Ion Battery Technology.</w:t>
            </w:r>
            <w:r>
              <w:rPr>
                <w:rFonts w:ascii="Times New Roman;Times;Serif" w:hAnsi="Times New Roman;Times;Serif"/>
                <w:b w:val="false"/>
                <w:i w:val="false"/>
                <w:caps w:val="false"/>
                <w:smallCaps w:val="false"/>
                <w:sz w:val="20"/>
              </w:rPr>
              <w:t xml:space="preserve"> Each of our innovative batteries features custom designed 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Extensive, Growing Patent Portfolio.</w:t>
            </w:r>
            <w:r>
              <w:rPr>
                <w:rFonts w:ascii="Times New Roman;Times;Serif" w:hAnsi="Times New Roman;Times;Serif"/>
                <w:b w:val="false"/>
                <w:i w:val="false"/>
                <w:caps w:val="false"/>
                <w:smallCaps w:val="false"/>
                <w:sz w:val="20"/>
              </w:rPr>
              <w:t xml:space="preserve"> We have developed and filed patent applications on commercially relevant aspects of our business including chemical compositions systems and production processes. To date, we have owned 44 issued patents, with an additional 39 patent applications pending, in the United States, Canada, Australia, Korea, Japan, India, China, and Europe (with individual patents in Germany, France and the United Kingdom).</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Proven Go-To-Market Strategy.</w:t>
            </w:r>
            <w:r>
              <w:rPr>
                <w:rFonts w:ascii="Times New Roman;Times;Serif" w:hAnsi="Times New Roman;Times;Serif"/>
                <w:b w:val="false"/>
                <w:i w:val="false"/>
                <w:caps w:val="false"/>
                <w:smallCaps w:val="false"/>
                <w:sz w:val="20"/>
              </w:rPr>
              <w:t xml:space="preserve"> We have successfully established a DTC platform and have developed strong working relationships with major OEMs and fleets in the RV, marine and heavy trucking markets. We custom design and engineer storage systems for new and existing applications. We see opportunities to continue to leverage our success in the aftermarket to expand our relationships to other leading OEMs, fleets, and distributors while further enhancing our DTC offerings. Extensive informational videos and exceptional customer service provide sales, technical and hands-on service support to facilitate consumer transition from traditional lead-acid or incumbent lithium-ion batteries to our products.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Established Customer Base with Brand Recognition.</w:t>
            </w:r>
            <w:r>
              <w:rPr>
                <w:rFonts w:ascii="Times New Roman;Times;Serif" w:hAnsi="Times New Roman;Times;Serif"/>
                <w:b w:val="false"/>
                <w:i w:val="false"/>
                <w:caps w:val="false"/>
                <w:smallCaps w:val="false"/>
                <w:sz w:val="20"/>
              </w:rPr>
              <w:t xml:space="preserve"> We have a growing customer base of more than 23,000 customers 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OEMs and fleets with visibility for future growth through further expansion of our existing relationships.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Quality Manufacturing Process.</w:t>
            </w:r>
            <w:r>
              <w:rPr>
                <w:rFonts w:ascii="Times New Roman;Times;Serif" w:hAnsi="Times New Roman;Times;Serif"/>
                <w:b w:val="false"/>
                <w:i w:val="false"/>
                <w:caps w:val="false"/>
                <w:smallCaps w:val="false"/>
                <w:sz w:val="20"/>
              </w:rPr>
              <w:t xml:space="preserve"> Unlike competitors that outsource their manufacturing processes, our batteries are designed, assembled and tested in the United States, ensuring that our manufacturing process is thoroughly tested and our batteries are of the highest quality as a result of governmental regulations for performance and safety.</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Drop-in Replacement.</w:t>
            </w:r>
            <w:r>
              <w:rPr>
                <w:rFonts w:ascii="Times New Roman;Times;Serif" w:hAnsi="Times New Roman;Times;Serif"/>
                <w:b w:val="false"/>
                <w:i w:val="false"/>
                <w:caps w:val="false"/>
                <w:smallCaps w:val="false"/>
                <w:sz w:val="20"/>
              </w:rPr>
              <w:t xml:space="preserve"> Our battery modules are largely designed to be “drop-in replacements” for 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competitive strengths, technology leadership and market share position to pursue our growth strategy through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 Product Offerings.</w:t>
            </w:r>
            <w:r>
              <w:rPr>
                <w:rFonts w:ascii="Times New Roman;Times;Serif" w:hAnsi="Times New Roman;Times;Serif"/>
                <w:b w:val="false"/>
                <w:i w:val="false"/>
                <w:caps w:val="false"/>
                <w:smallCaps w:val="false"/>
                <w:sz w:val="20"/>
              </w:rPr>
              <w:t xml:space="preserve"> In the short-term, our aim is to further diversify our product offerings to give consumers, as well as OEMs and 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Additionally, in 2024, we began selling to both OEM customers and retail consumers batteries having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 End Markets.</w:t>
            </w:r>
            <w:r>
              <w:rPr>
                <w:rFonts w:ascii="Times New Roman;Times;Serif" w:hAnsi="Times New Roman;Times;Serif"/>
                <w:b w:val="false"/>
                <w:i w:val="false"/>
                <w:caps w:val="false"/>
                <w:smallCaps w:val="false"/>
                <w:sz w:val="20"/>
              </w:rPr>
              <w:t xml:space="preserve"> We have identified additional end markets that we believe in the medium- to longer-term will increasingly look to alternative energy solutions, such as LFP batteries. Markets, such as long-haul trucking,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Commercialize our Dry Electrode Cell Manufacturing Technology.</w:t>
            </w:r>
            <w:r>
              <w:rPr>
                <w:rFonts w:ascii="Times New Roman;Times;Serif" w:hAnsi="Times New Roman;Times;Serif"/>
                <w:b w:val="false"/>
                <w:i w:val="false"/>
                <w:caps w:val="false"/>
                <w:smallCaps w:val="false"/>
                <w:sz w:val="20"/>
              </w:rPr>
              <w:t xml:space="preserve"> In July 2023, we completed the construction of our proprietary and patented cell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 and Commercialize Solid-State Technology.</w:t>
            </w:r>
            <w:r>
              <w:rPr>
                <w:rFonts w:ascii="Times New Roman;Times;Serif" w:hAnsi="Times New Roman;Times;Serif"/>
                <w:b w:val="false"/>
                <w:i w:val="false"/>
                <w:caps w:val="false"/>
                <w:smallCaps w:val="false"/>
                <w:sz w:val="20"/>
              </w:rPr>
              <w:t xml:space="preserve"> We believe solid-state technology presents a significant 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Chemistry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dominant battery chemistries in the lithium-ion market that can be used for different purposes. Two widely adopted chemistries found in the market today are nickel manganese cobalt (“</w:t>
      </w:r>
      <w:r>
        <w:rPr>
          <w:rFonts w:ascii="Times New Roman;Times;Serif" w:hAnsi="Times New Roman;Times;Serif"/>
          <w:b/>
          <w:i w:val="false"/>
          <w:caps w:val="false"/>
          <w:smallCaps w:val="false"/>
          <w:sz w:val="20"/>
        </w:rPr>
        <w:t>NMC</w:t>
      </w:r>
      <w:r>
        <w:rPr>
          <w:rFonts w:ascii="Times New Roman;Times;Serif" w:hAnsi="Times New Roman;Times;Serif"/>
          <w:b w:val="false"/>
          <w:i w:val="false"/>
          <w:caps w:val="false"/>
          <w:smallCaps w:val="false"/>
          <w:sz w:val="20"/>
        </w:rPr>
        <w:t>”), and nickel cobalt aluminum (“</w:t>
      </w:r>
      <w:r>
        <w:rPr>
          <w:rFonts w:ascii="Times New Roman;Times;Serif" w:hAnsi="Times New Roman;Times;Serif"/>
          <w:b/>
          <w:i w:val="false"/>
          <w:caps w:val="false"/>
          <w:smallCaps w:val="false"/>
          <w:sz w:val="20"/>
        </w:rPr>
        <w:t>NCA</w:t>
      </w:r>
      <w:r>
        <w:rPr>
          <w:rFonts w:ascii="Times New Roman;Times;Serif" w:hAnsi="Times New Roman;Times;Serif"/>
          <w:b w:val="false"/>
          <w:i w:val="false"/>
          <w:caps w:val="false"/>
          <w:smallCaps w:val="false"/>
          <w:sz w:val="20"/>
        </w:rPr>
        <w:t>”). The higher energy density and shorter cycle life found in NMC and NCA batteries are suitable for markets where fast charging and high energy density are required, such as electric vehicle (“</w:t>
      </w:r>
      <w:r>
        <w:rPr>
          <w:rFonts w:ascii="Times New Roman;Times;Serif" w:hAnsi="Times New Roman;Times;Serif"/>
          <w:b/>
          <w:i w:val="false"/>
          <w:caps w:val="false"/>
          <w:smallCaps w:val="false"/>
          <w:sz w:val="20"/>
        </w:rPr>
        <w:t>EV</w:t>
      </w:r>
      <w:r>
        <w:rPr>
          <w:rFonts w:ascii="Times New Roman;Times;Serif" w:hAnsi="Times New Roman;Times;Serif"/>
          <w:b w:val="false"/>
          <w:i w:val="false"/>
          <w:caps w:val="false"/>
          <w:smallCaps w:val="false"/>
          <w:sz w:val="20"/>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2686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2686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Times;Serif" w:hAnsi="Times New Roman;Times;Serif"/>
          <w:b w:val="false"/>
          <w:i/>
          <w:caps w:val="false"/>
          <w:smallCaps w:val="false"/>
          <w:sz w:val="20"/>
        </w:rPr>
        <w:t>Lithium and Cobalt: A tale of two commodities</w:t>
      </w:r>
      <w:r>
        <w:rPr>
          <w:rFonts w:ascii="Times New Roman;Times;Serif" w:hAnsi="Times New Roman;Times;Serif"/>
          <w:b w:val="false"/>
          <w:i w:val="false"/>
          <w:caps w:val="false"/>
          <w:smallCaps w:val="false"/>
          <w:sz w:val="20"/>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 loaded cost of energy (production and storage) approaches cost parity with inexpensive fossil fuel energy provided through the electric grid. Compared to NMC and NCA batteries, LFP batteries are at or much closer to grid parity.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Dry Electrode Cell Manufacturing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2023, we completed the construction of our dry-electrode manufacturing pilot line, demonstrated the ability to produce Anode and Cathode electrode tapes at scale using this manufacturing process. We have developed sample cells for prospective customers across a variety of chemistries and end-markets and are designing equipment for scaled production of full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various industries with clean, reliable, and efficient power solutions through our comprehensive product portfolio. These products and solutions are sold to both OEMs and retail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beyond batteries, we also offer a diverse range of power products.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Wakespeed Advanced Alternator Regulator, WS500, utilizes current, voltage, and temperature to deliver precise and effective charging of battery banks via an alternator. Its intelligent control leverages advanced multi-PID engine technology to ensure the most accurate charging available, simplifying installation, configuration, and operation. The WS500 offers superior protection for both lead-acid and lithium battery chemistries, making it a valuable investment for optimizing power management and extending battery life.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Battle Born Batteries Lithium Power Pack Series features all-in-one power solutions for RVs, vans, and other mobile, off-grid, and industrial applications. These pre-wired, ready-to-go systems make the upgrade to lithium simple with easy installation into RVs or other applications. Designed with the dimensions and mounting points of traditional generators in mind, Lithium Power Packs are made to be quiet, sustainable, and simple drop-in replacements, allowing customers to eliminate generator fuel and noise. Custom configurations of Lithium Power Pack products are available for dealers and OEMs to size these all-in-one solutions to their specific needs.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for the demanding world of heavy-duty trucking, our Battle Born All-Electric APU leverages a lithium battery system to empower drivers with long lasting power for their hotel loads. This upgrade eliminates the need for idling and its associated fuel costs and emissions—this APU provides power to run a truck’s HVAC, appliances, and electronics during mandatory rest periods. The Battle Born All Electric APU is pre-assembled and pre-wired, seamlessly integrating into a truck’s frame rails.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a distributor of leading brands like Victron, Schneider,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draw power under 135 degrees Fahrenheit, and is designed to cut off charging at 24 degrees Fahrenheit to protect cells;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actively monitors the rate of change of currents to detect and prevent short circuiting, and also protects against potential ground faults;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allows for up to an average of 300 amps continuously, 500 amp surges for 30 seconds, and momentary, half second maximum capacity surges;</w:t>
            </w:r>
          </w:p>
        </w:tc>
      </w:tr>
    </w:tbl>
    <w:p>
      <w:pPr>
        <w:pStyle w:val="TextBody"/>
        <w:bidi w:val="0"/>
        <w:spacing w:before="0" w:after="0"/>
        <w:ind w:left="0" w:right="0" w:firstLine="144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recharge even if completely drained;</w:t>
            </w:r>
          </w:p>
        </w:tc>
      </w:tr>
    </w:tbl>
    <w:p>
      <w:pPr>
        <w:pStyle w:val="TextBody"/>
        <w:bidi w:val="0"/>
        <w:spacing w:before="0" w:after="0"/>
        <w:ind w:left="0" w:right="0" w:firstLine="144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185"/>
        <w:gridCol w:w="82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utilizes larger resistors to ensure balanced loads to improve performance and extend useful life; and</w:t>
            </w:r>
          </w:p>
        </w:tc>
      </w:tr>
    </w:tbl>
    <w:p>
      <w:pPr>
        <w:pStyle w:val="TextBody"/>
        <w:bidi w:val="0"/>
        <w:spacing w:before="0" w:after="0"/>
        <w:ind w:left="0" w:right="0" w:firstLine="1440"/>
        <w:jc w:val="both"/>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185"/>
        <w:gridCol w:w="69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facilitates scalability by enabling batteries to be combined in parallel and in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Communication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began offering the Dragonfly IntelLigence product line to OEMs in the third quarter of 2024, and to retail consumers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current battery modules, we have several LFP products in development that will enable us to access additional end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Products.</w:t>
            </w:r>
            <w:r>
              <w:rPr>
                <w:rFonts w:ascii="Times New Roman;Times;Serif" w:hAnsi="Times New Roman;Times;Serif"/>
                <w:b w:val="false"/>
                <w:i w:val="false"/>
                <w:caps w:val="false"/>
                <w:smallCaps w:val="false"/>
                <w:sz w:val="20"/>
              </w:rPr>
              <w:t xml:space="preserve"> Our current offerings feature battery products that serve the RV, marine vessel and off-grid markets. Although manufacturing operations were previously capacity constrained the expansion into our new manufacturing facility will allow us to add production capacity and increase product offerings and scale based on demand.</w:t>
            </w:r>
          </w:p>
        </w:tc>
      </w:tr>
    </w:tbl>
    <w:p>
      <w:pPr>
        <w:pStyle w:val="TextBody"/>
        <w:bidi w:val="0"/>
        <w:spacing w:before="0" w:after="0"/>
        <w:ind w:left="324" w:right="0" w:hanging="324"/>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System Integrator.</w:t>
            </w:r>
            <w:r>
              <w:rPr>
                <w:rFonts w:ascii="Times New Roman;Times;Serif" w:hAnsi="Times New Roman;Times;Serif"/>
                <w:b w:val="false"/>
                <w:i w:val="false"/>
                <w:caps w:val="false"/>
                <w:smallCaps w:val="false"/>
                <w:sz w:val="20"/>
              </w:rPr>
              <w:t xml:space="preserve"> A natural evolution of our business is to offer customers a system integration solution providing more efficient power solutions 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equivalents, and factory footprint while eliminating the need for solvents like N-Methyl-2-pyrrolidone (“</w:t>
      </w:r>
      <w:r>
        <w:rPr>
          <w:rFonts w:ascii="Times New Roman;Times;Serif" w:hAnsi="Times New Roman;Times;Serif"/>
          <w:b/>
          <w:i w:val="false"/>
          <w:caps w:val="false"/>
          <w:smallCaps w:val="false"/>
          <w:sz w:val="20"/>
        </w:rPr>
        <w:t>NMP</w:t>
      </w:r>
      <w:r>
        <w:rPr>
          <w:rFonts w:ascii="Times New Roman;Times;Serif" w:hAnsi="Times New Roman;Times;Serif"/>
          <w:b w:val="false"/>
          <w:i w:val="false"/>
          <w:caps w:val="false"/>
          <w:smallCaps w:val="false"/>
          <w:sz w:val="20"/>
        </w:rPr>
        <w:t>”). A third-party assessment conducted by Sphere Energy confirming these benefits has been completed in the first quarter of 2024 relating to cost effectiveness and sustainability of our dry electrode battery manufacturing process (the “</w:t>
      </w:r>
      <w:r>
        <w:rPr>
          <w:rFonts w:ascii="Times New Roman;Times;Serif" w:hAnsi="Times New Roman;Times;Serif"/>
          <w:b/>
          <w:i w:val="false"/>
          <w:caps w:val="false"/>
          <w:smallCaps w:val="false"/>
          <w:sz w:val="20"/>
        </w:rPr>
        <w:t>Sphere Energy Assessment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continue to be optimized in 2025. A new set of spray dryers have arrived at our facility in the second quarter of 2024, enabling us to produce larger volumes of material for the electrode coating lines. However, we have delayed the deployment of these spray dryers until at least the third quarter of 2025 as we focus on designing larger-scale electrode coating equipment.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858000" cy="427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4276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 We have invested significant resources into developing an in-house comprehensive understanding of cell manufacturing –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w:t>
      </w:r>
      <w:r>
        <w:rPr>
          <w:rFonts w:ascii="Times New Roman;Times;Serif" w:hAnsi="Times New Roman;Times;Serif"/>
          <w:b/>
          <w:i w:val="false"/>
          <w:caps w:val="false"/>
          <w:smallCaps w:val="false"/>
          <w:sz w:val="20"/>
        </w:rPr>
        <w:t>NMR</w:t>
      </w:r>
      <w:r>
        <w:rPr>
          <w:rFonts w:ascii="Times New Roman;Times;Serif" w:hAnsi="Times New Roman;Times;Serif"/>
          <w:b w:val="false"/>
          <w:i w:val="false"/>
          <w:caps w:val="false"/>
          <w:smallCaps w:val="false"/>
          <w:sz w:val="20"/>
        </w:rPr>
        <w:t>”),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3571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571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technology continues to progress as we qualify new chemistries and refine the dry electrode process for solid-state applications. Currently, we are cycling solid-state coin cells, although we have delayed the production of prototype pouch cells until at least the beginning of 2026.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 Manufacturing, and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In November 2024, we relocated our headquarters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do not own any real estate property. We currently have two production lines with another line currently in construction. We continue to have the capability to expand our production volumes and line quantities to support increased volumes of new products we intend to introduce soon.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entered into the Fernley Lease Agreement pursuant to which we agreed to lease an approximately 64,000 square foot facility (the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in Fernley, Nevada, to be used for general, warehousing, assembly/light manufacturing, painting of products, storage fulfillment, distribution of our products, and other uses as permitted under in the Fernley Lease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1771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77000" cy="1771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toward the production of our traditional and solid-state cells, we have signed a Commercial Offtake Agreement with a lithium mining company and a lithium recycling company, both located in Nevada for the supply of lithium.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RV OEM Strategic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more than 23,000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2024 and 2023, OEM sales represented 54.5% and 42.7% of our total revenues,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deep, long-standing relationships with many of our customers. We also have a diverse customer base, with our top 10 customers accounting for 47.4% of our revenue for the year ended December 31, 2024, in which only one customer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Times;Serif" w:hAnsi="Times New Roman;Times;Serif"/>
          <w:b/>
          <w:i w:val="false"/>
          <w:caps w:val="false"/>
          <w:smallCaps w:val="false"/>
          <w:sz w:val="20"/>
        </w:rPr>
        <w:t>Supply Agreement</w:t>
      </w:r>
      <w:r>
        <w:rPr>
          <w:rFonts w:ascii="Times New Roman;Times;Serif" w:hAnsi="Times New Roman;Times;Serif"/>
          <w:b w:val="false"/>
          <w:i w:val="false"/>
          <w:caps w:val="false"/>
          <w:smallCaps w:val="false"/>
          <w:sz w:val="20"/>
        </w:rPr>
        <w:t>”). Under the Supply Agreement, we will be the exclusive supplier to Keystone for certain of its future LFP battery requirements, solidifying our long standing relationship with Keystone.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strengthened our ties with the THOR group of RV OEMs when (i) THOR Industries made a $15,000,000 strategic investment in us and (ii) 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traditional print and digital advertising, we harness the significant influence of social media platforms like YouTube, Instagram, and Facebook, through affiliate marketing. We partner with established content creators and influencers to cultivate lasting relationships that showcase product performance organically, beyond mere one-off promotions. Organic integration of our products in television shows, podcasts and other similar sponsorships further amplifies brand awareness. 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leverage targeted pay-per-click advertising campaigns across various platforms, including search engines, social media, and connected TV. This data driven approach ensures efficient conversion of high-intent customers at the bottom of the purchase funnel, maximizing return on investment and driving targeted brand awareness among potential buyers.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energy storage market is highly competitive, with traditional lead-acid batteries still dominating. However, lithium-ion adoption continues to grow as customers seek better performance and longer lifespans. We compete with traditional lead-acid manufacturers and distributers, such as East Penn, Trojan, and Interstate and companies importing and white-labeling low-cost lithium products. This influx of inexpensive overseas batteries has intensified price competition. We believe our products stand out through American design and assembly, premium components, superior customer service, and full system design capabilities. Our batteries are lighter and longer-lasting compared to traditional lead-acid batteries, and easy to install as direct replacements for lead-acid batteries. Proprietary technologies, including advanced battery management systems, integrated heat capabilities, and intelligent battery communication, ensure reliable, high-performance energy storage as compared to traditional lead-acid batteries and other lithium-ion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owned 44 issued patents and 39 filed and pending patent applications. The pending patent applications are down from prior year since we abandoned 9 that were no longer useful.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2024, we owned 38 trademarks globally. Dragonfly owns 16 trademark registrations to cover our house marks in the United States and we have 7 registered trademark relating to our design logos and slogans in the United States and we have 22 registered trademarks internationally with 10 other international trademark applications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from a dedicated leased manufacturing facility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144 employees: 139 full-time, 2 part-time and 3 interns.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Safety</w:t>
            </w:r>
            <w:r>
              <w:rPr>
                <w:rFonts w:ascii="Times New Roman;Times;Serif" w:hAnsi="Times New Roman;Times;Serif"/>
                <w:b w:val="false"/>
                <w:i w:val="false"/>
                <w:caps w:val="false"/>
                <w:smallCaps w:val="false"/>
                <w:sz w:val="20"/>
              </w:rPr>
              <w:t> — Employees are regularly educated in safety around their workspaces, and employees participate in volunteer roles on a safety committee, and in emergency readiness roles. We have a dedicated safety coordinator who tracks and measures our performance, and helps us benchmark our safety programs against our peers.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Diversity, Equity &amp; Inclusion</w:t>
            </w:r>
            <w:r>
              <w:rPr>
                <w:rFonts w:ascii="Times New Roman;Times;Serif" w:hAnsi="Times New Roman;Times;Serif"/>
                <w:b w:val="false"/>
                <w:i w:val="false"/>
                <w:caps w:val="false"/>
                <w:smallCaps w:val="false"/>
                <w:sz w:val="20"/>
              </w:rPr>
              <w:t> — Our culture has benefitted from the diversity of our workforce from 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Collaboration</w:t>
            </w:r>
            <w:r>
              <w:rPr>
                <w:rFonts w:ascii="Times New Roman;Times;Serif" w:hAnsi="Times New Roman;Times;Serif"/>
                <w:b w:val="false"/>
                <w:i w:val="false"/>
                <w:caps w:val="false"/>
                <w:smallCaps w:val="false"/>
                <w:sz w:val="20"/>
              </w:rPr>
              <w:t> — As we grow, opportunities for cross-functional collaboration are not as organic as they used to be. We have responded to that change by staying mindful and acting intentionally to gather cross-functional input on new initiatives and continuous improvement efforts.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Continuous Improvement</w:t>
            </w:r>
            <w:r>
              <w:rPr>
                <w:rFonts w:ascii="Times New Roman;Times;Serif" w:hAnsi="Times New Roman;Times;Serif"/>
                <w:b w:val="false"/>
                <w:i w:val="false"/>
                <w:caps w:val="false"/>
                <w:smallCaps w:val="false"/>
                <w:sz w:val="20"/>
              </w:rPr>
              <w:t> — We apply continuous improvement measures to processes as well as people. We encourage professional development of our employees, through ongoing learning, credentialing, and collaboration with their industry peers.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we completed the merger in connection with our business combination. On March 31, 2023, we changed our state of incorporation from the State of Delaware to the State of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pursuant to a plan of conversion dated March 30, 2023.The mailing address of our principal executive office is 12915 Old Virginia Road, Reno, Nevada 89521, and our telephone number is (775) 622-3448.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2024, we effected a reverse stock split of our issued and outstanding common stock at a ratio of 1-for-9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Shares of common stock underlying outstanding stock options and other equity instruments convertible into common stock were proportionately reduced and the respective exercise prices, if applicable, were proportionately increased in accordance with the terms of the agreements governing such securities in connection with the Reverse Stock Split. No fractional shares were issued in connection with the Reverse Stock Split. Any fractional shares of common stock resulting from the Reverse Stock Split were rounded up to the nearest whole number. All of our historical share and per share information related to issued and outstanding common stock and outstanding options and warrants exercisable for common stock included or incorporated by reference in this prospectus have been adjusted, on a retroactive basis,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sw_003"/>
      <w:bookmarkEnd w:id="41"/>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is speculative and illiquid and involves a high degree of risk including the risk of a loss of your entire investment. You should carefully consider the risks and uncertainties described below and the other information contained in this report and our other reports filed with the Securities and Exchange Commission (the “SEC”). The risks set forth below are not the only ones facing us. Additional risks and uncertainties may exist that could also adversely affect our business, operations and financial condition. If any of the following risks actually materialize, our business, financial condition and/or operations could suffer. In such event, the value of our common stock could decline, and you could lose all or a substantial portion of the money that you pay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Existing Lithium-Ion Battery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future growth depends on the needs and success of our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likely will continue to be, dependent on a single manufacturing facility until the construction of our new facility is completed, if at all. If our facility becomes inoperable for any reason, or our automation and expansion plans do not yield the desired effects, our ability to produce our products could be negatively impacted.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Solid-State Technology Development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engineering challenges in our attempts to develop and manufacture solid-state battery cells and these efforts may be delayed or fail which could negatively impact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solid-state batteries fail to perform as expected, our ability to further develop, market and sell our solid-state batteries could be harmed.</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Supply chain and Third-Party Vendors</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components and other inputs that are sourced from a variety of domestic and international vendors.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long-term relationships with our suppliers but have not significant long-term contracts with such suppliers.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in large measure upon our ability to maintain our existing supplier relationships and/or develop new ones.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reliance exposes us to the risk of inadequate and untimely supplies of various products due to political, economic, social, health, or environmental conditions, transportation delays, or changes in laws and regulations affecting distribution.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vendors may be forced to reduce their production, shut down their operations or file for bankruptcy protection, which could make it difficult for us to serve the market needs and could have a material adverse effect on our business.</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upon our intellectual property portfolio. If we are unable to protect our intellectual property rights, our business and competitive position would be harmed.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intellectual property infringement claims, which may be time-consuming and could cause us to incur substantial costs.</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in global and macroeconomic conditions, including economic, political and socials instability, could reduce consumer spending and disrupt our supply chain which could negatively affect our results of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our growth effectively, we may be unable to execute our business plan, maintain high levels of customer service, or adequately address competitive challenges.</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could impact our operations, including changes in the rates of tariffs or any adjustments to the amounts payable by us to customs as a result of improperly identifying the applicable tariff rate payable on our products.</w:t>
            </w:r>
          </w:p>
        </w:tc>
      </w:tr>
    </w:tbl>
    <w:p>
      <w:pPr>
        <w:pStyle w:val="TextBody"/>
        <w:bidi w:val="0"/>
        <w:spacing w:before="0" w:after="0"/>
        <w:ind w:left="324" w:right="0" w:hanging="324"/>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Being a Public Company</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incur significant increased expenses and administrative burdens as a public company, which could have an adverse effect on our business, financial condition and operating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limited experience managing a public company.</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Financial Position and Capital Requirements related our ability to continue as a going concern</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well as our independent registered public accounting firm, have expressed substantial doubt about our ability to continue as a going concern.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we may not be able to raise additional capital on attractive terms, if at all. Any further indebtedness we incur may limit our operational flexibility in the future.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tc>
      </w:tr>
    </w:tbl>
    <w:p>
      <w:pPr>
        <w:pStyle w:val="TextBody"/>
        <w:bidi w:val="0"/>
        <w:spacing w:before="0" w:after="0"/>
        <w:ind w:left="324" w:right="0" w:hanging="32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correct any deficiencies or meet the Nasdaq Stock Market continued listing standards, including the market value of listed securities, our common stock and Public Warrants may be delisted from the Nasdaq Stock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conversion and the terms of our outstanding Series A Preferred Stock on the market price of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debt securities and equity securities may adversely affect us and may be dilutive to existing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our common stock or other equity securities without your approval, which would dilute your ownership interests and may depress the market price of your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Existing Lithium-Ion Battery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depends on the needs and success of our OEM’s and similar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including sales to OEM</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engage target customers successfully and convert these customers into meaningful orders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and in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expand into additional end markets identified by us as opportunities for our LFP batteries. These markets include heavy-duty trucking, industrial solar integration,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dependence on these third-party suppliers entails additional risks, including:</w:t>
      </w:r>
    </w:p>
    <w:p>
      <w:pPr>
        <w:pStyle w:val="TextBody"/>
        <w:bidi w:val="0"/>
        <w:spacing w:before="0" w:after="0"/>
        <w:ind w:left="324"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185"/>
        <w:gridCol w:w="797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failure or unwillingness of third-party suppliers to comply with regulatory requirements;</w:t>
            </w:r>
          </w:p>
        </w:tc>
      </w:tr>
    </w:tbl>
    <w:p>
      <w:pPr>
        <w:pStyle w:val="TextBody"/>
        <w:bidi w:val="0"/>
        <w:spacing w:before="0" w:after="0"/>
        <w:ind w:left="0" w:right="0" w:firstLine="144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85"/>
        <w:gridCol w:w="46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supply agreements by the third-party suppliers;</w:t>
            </w:r>
          </w:p>
        </w:tc>
      </w:tr>
    </w:tbl>
    <w:p>
      <w:pPr>
        <w:pStyle w:val="TextBody"/>
        <w:bidi w:val="0"/>
        <w:spacing w:before="0" w:after="0"/>
        <w:ind w:left="0" w:right="0" w:firstLine="144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85"/>
        <w:gridCol w:w="85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or disclosure of our proprietary information, including our trade secrets and know-how;</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tc>
      </w:tr>
    </w:tbl>
    <w:p>
      <w:pPr>
        <w:pStyle w:val="TextBody"/>
        <w:bidi w:val="0"/>
        <w:spacing w:before="0" w:after="0"/>
        <w:ind w:left="0" w:right="0" w:firstLine="144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85"/>
        <w:gridCol w:w="90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agreements by third-party suppliers at times that are costly or inconvenient for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future demand for our LFP batteries, and our failure to accurately predict our production requirements could result in additional costs or delays.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approximately a six-month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dependent on one manufacturing facility. If our facility becomes inoperable for any reason, or our automation and expansion plans do not yield the desired effects, our ability to produce our products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We also entered into the Fernley Lease Agreement in April 2024 for use of an approximately 64,000 square foot facility to further increase our capacity to produce our patented dry electrode process.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In November 2024, we relocated our headquarters and production lines to a 390,240 square foot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Lithium-ion battery cells have been observed to catch fire or release smoke and flame, which may have a negative impact on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claims, which could harm our financial condition and liquidity if we are not able to successfully defend or insure against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batteries include our proprietary battery management system, which relies on software and hardware manufactured by third parties that is complex and technical. In addition, Dragonfly IntelLigence, our battery communications system which we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Solid-State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engineering challenges in our attempts to develop and manufacture solid-state battery cells and these efforts may be delayed or fail which could reduce consumer spending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solid-state batteries fail to perform as expected, our ability to further develop, market and sell our solid-state batteries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Supply Chain and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vendors from whom our products are sourced.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select these third-party vendors carefully, we do not control their actions or the manufacture of their products. Any problems caused by these third 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trade policy, including recently announced tariffs, could have a material adverse impact on our business, financial condition, and results of operations. 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further evolve under the current U.S. administration, and how such policies could adversely affect our business, results of operations, effective income tax rate, liquidity,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imposition of tariffs by the U.S. has resulted in the adoption of retaliatory tariffs by China on U.S. exports and could result in the adoption of tariffs by other countries as well. A resulting trade war could have a significant adverse effect on world trade and the global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w:t>
      </w:r>
      <w:r>
        <w:rPr>
          <w:rFonts w:ascii="Times New Roman;Times;Serif" w:hAnsi="Times New Roman;Times;Serif"/>
          <w:b/>
          <w:i w:val="false"/>
          <w:caps w:val="false"/>
          <w:smallCaps w:val="false"/>
          <w:sz w:val="20"/>
        </w:rPr>
        <w:t>CBP</w:t>
      </w:r>
      <w:r>
        <w:rPr>
          <w:rFonts w:ascii="Times New Roman;Times;Serif" w:hAnsi="Times New Roman;Times;Serif"/>
          <w:b w:val="false"/>
          <w:i w:val="false"/>
          <w:caps w:val="false"/>
          <w:smallCaps w:val="false"/>
          <w:sz w:val="20"/>
        </w:rPr>
        <w:t>”) in the amount of approximately $1.58 million in the aggregate, related to the improper classification and valuation of certain of the products used in our batteries. The underpayment related to years 2021 through 2023. We have reported the underpayment to CBP. In the event CBP determines that we owe additional amounts or any penalties or determines in the future that we have not paid the correct duties, our results of operations could be materially impacted.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geopolitical conditions, U.S.-China trade relations and other factors beyond our control may adversely impact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pStyle w:val="TextBody"/>
        <w:bidi w:val="0"/>
        <w:spacing w:before="0" w:after="0"/>
        <w:ind w:left="6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tc>
      </w:tr>
    </w:tbl>
    <w:p>
      <w:pPr>
        <w:pStyle w:val="TextBody"/>
        <w:bidi w:val="0"/>
        <w:spacing w:before="0" w:after="0"/>
        <w:ind w:left="0" w:right="0" w:firstLine="144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85"/>
        <w:gridCol w:w="64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jurisdiction of the Committee for Foreign Investment in the U.S.; and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intergovernmental conflicts or actions, such as the armed conflicts between Russia and Ukraine and in the Middle East, trade wars, retaliatory tariffs, and acts of terrorism or war.</w:t>
            </w:r>
          </w:p>
        </w:tc>
      </w:tr>
    </w:tbl>
    <w:p>
      <w:pPr>
        <w:pStyle w:val="TextBody"/>
        <w:bidi w:val="0"/>
        <w:spacing w:before="0" w:after="0"/>
        <w:ind w:left="64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events, our ability to obtain supplies from our China-based suppliers may be limited or adversely affected, and we may incur operational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disruption to the timely receipt of inventory could adversely impact sales or increase our transportation costs, which would decrease our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upon our intellectual property portfolio. If we are unable to protect our intellectual property rights, our business and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time-consuming and could cause us to incur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Times;Serif" w:hAnsi="Times New Roman;Times;Serif"/>
          <w:b/>
          <w:i w:val="false"/>
          <w:caps w:val="false"/>
          <w:smallCaps w:val="false"/>
          <w:sz w:val="20"/>
        </w:rPr>
        <w:t>FTO</w:t>
      </w:r>
      <w:r>
        <w:rPr>
          <w:rFonts w:ascii="Times New Roman;Times;Serif" w:hAnsi="Times New Roman;Times;Serif"/>
          <w:b w:val="false"/>
          <w:i w:val="false"/>
          <w:caps w:val="false"/>
          <w:smallCaps w:val="false"/>
          <w:sz w:val="20"/>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using, making, having made, selling, having sold, developing, having developed or importing products that incorporate the infringed intellectual property rights;</w:t>
            </w:r>
          </w:p>
        </w:tc>
      </w:tr>
    </w:tbl>
    <w:p>
      <w:pPr>
        <w:pStyle w:val="TextBody"/>
        <w:bidi w:val="0"/>
        <w:spacing w:before="0" w:after="0"/>
        <w:ind w:left="0" w:right="0" w:firstLine="144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85"/>
        <w:gridCol w:w="20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infringed intellectual property rights, which license may not be available on reasonable terms or at all; or</w:t>
            </w:r>
          </w:p>
        </w:tc>
      </w:tr>
    </w:tbl>
    <w:p>
      <w:pPr>
        <w:pStyle w:val="TextBody"/>
        <w:bidi w:val="0"/>
        <w:spacing w:before="0" w:after="0"/>
        <w:ind w:left="0" w:right="0" w:firstLine="144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85"/>
        <w:gridCol w:w="695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processes or products, which may result in inferior products or processes.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uncertainty in global and macroeconomic conditions, including economic, political and social instability, including the Russia-Ukraine conflict and Hamas’ attack on Israel, could reduce consumer spending and disrupt our supply chain which could negatively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credit and financial markets have recently experienced extreme volatility and disruptions including severely diminished liquidity and credit availability, disruptions in access to bank deposits and lending commitments due to bank failures, declines in economic growth, increases in unemployment rates, supply chain disruptions, heightened interest rates and inflation, stock volatility and uncertainty about economic stability. Such conditions may continue or worsen in the future. The financial markets and the global economy may also be adversely affected by the current or anticipated impact of military conflict including Russia’s invasion of Ukraine and the conflict between Hamas and Israel, terrorism or other geopolitical events. Sanctions imposed by the U.S. and other countries in response to such conflicts, including sanctions imposed in connection with the war in Ukraine and the conflict between Hamas and Israel, the effect of tariffs and/or any resulting trade wars, increasing interest rates, or other factors may also adversely impact the financial markets and the global economy and any economic countermeasures by affected countries and others could exacerbate market and economic instability. For example, in late 2024 and early 2025, the United States, China, and the European Union each announced either new tariffs, non-tariff barriers, or export controls. Any of these risks, ensuing retaliation, or the further deterioration of trade relations between countries could have an adverse impact on our financial condition and results of operations. Additional tariffs or further retaliatory trade measures taken by China or other countries in response could affect the demand for any of our products, impact the competitive position of our products, prevent us from being able to sell products in certain countries or otherwise adversely impact our results of operations.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financial condition, or prospects. There can be no assurance that further deterioration in credit and financial markets and confidence in economic conditions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business strategy as well as our suppliers’ ability to provide us with raw materials and components, may be adversely affected by any such economic downturn, volatile business environment or continued unpredictable and unstable market conditions, which could directly affect our ability to attain our operating goals on schedule and on budget, including requiring us to delay or abandon certain development plans and could have a material adverse effect on our growth strategy, financial performance and stock price. In addition, there is a risk that one or more of our current suppliers may not survive an economic downturn, which could directly affect our ability to attain our operating goals on schedule and within budget.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policies, including the imposition of tariffs or other trade restrictions, could materially impact our ability to obtain the raw materials, active pharmaceutical ingredients, and other components necessary for the manufacturing of our product candidates used in our clinical development activities. Some of these materials may be sourced from foreign suppliers, and any increase in tariffs or duties on imported goods could significantly raise the cost of doing business. Additionally, retaliatory tariffs, trade disputes, trade wars, or changes in international trade agreements may lead to supply chain disruptions, including delays in obtaining critical components or the need to seek alternative suppliers. If we are unable to mitigate the impact of increased costs or supply chain disruptions, our financial condition, and ability to develop our product candidates in a timely manner,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global conditions, including economic uncertainty, may negatively impact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conditions, dislocations in the financial markets, any negative financial impacts affecting U.S. as a result of tax reform or changes to existing trade agreements or tax conventions, may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global macroeconomic environment has been and may continue to be negatively affected by, among other things, instability in global economic markets, increased U.S. trade tariffs and trade disputes with other countries, instability in the global credit markets, supply chain weaknesses, instability in the geopolitical environment and political tensions, and foreign governmental debt concerns. Such challenges have caused, and may continue to cause, uncertainty and instability in local economies and in global financial markets, which may adversely affect our business.</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be unable to execute our business plan, maintain high levels of customer service, or adequately address competitive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expand our business through acquisitions in the future, and any future acquisition may not be accretive and may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a variety of environmental, health and safety rules that can bring scrutiny from regulatory agencies and increase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profitability and consolidated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social and governance matters may cause us to incur additional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legislatures, government agencies and listing exchanges have mandated or proposed, and others may in the future further mandate, certain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disclosure or performance. For example, the Securities and Exchange Commission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continue to incur significant increased expenses and administrative burdens as a public company, which could have an adverse effect on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members of our management team have limited experience managing and operating a publicly traded company, interacting with public company investors and complying with the increasingly complex laws pertaining to public companies. Our management team may not successfully or efficiently manage our role as a public company subject to significant regulatory oversight and reporting obligations under the federal securities laws and the continuous scrutiny of securities analysts and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obligations and constituents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and we may not be able to raise additional capital on attractive terms, if at all. Any further indebtedness we incur may limit our operational flexibility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cash totaling $4.8 million. Our net loss for the year ended December 31, 2024 was $40.6 million and our net loss for the year ended December 31, 2023 was $13.8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the Term Loan and the Series A Preferred Stock may limit our ability to access equity and debt under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could adversely impact our business, including limiting our operational flexibility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for us to pay other obligations;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cost of borrowing from other sources;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to obtain favorable terms for any necessary future financing for working capital, capital expenditures, investments, acquisitions, debt service requirements, or other purposes;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us from making acquisitions or causing us to make divestitures or similar transactions;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substantial portion of our cash flow from operations to service and repay our indebtedness, reducing the amount of cash flow available for other purposes;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placing us at a competitive disadvantage compared to our less leveraged competitors; and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and reacting to changes in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service our outstanding debt or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 Additionally, without additional concessions or modifications to our loan agreement and the inherent uncertainty surrounding the realization of projected revenues from new markets, there is substantial doubt about our ability to continue as a going concern. Due to these reasons, this could require us, to among other things, reduce operations, sell off our assets, seek the protection of bankruptcy courts or shut down our operations and dissolve.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we incurred losses and had a negative cash flow from operations. As of December 31, 2024, we had approximately $4.8 million in cash and cash equivalents and working capital of $11.1 million. As of December 31, 2024, we had $86 million outstanding under our Term Loan Agreement. Our ability to achieve profitability and positive cash flow depends on our ability to increase revenue, contain our expenses and maintain compliance with the financial covenants in our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and September 30, 2023, respectively. On December 29, 2023, we received an additional waiver from our Administrative Agent and Term Loan Lenders in regards to our compliance with the Tests as of the last day of the quarter ended December 31, 2023. On March 31, 2024, April 29, 2024, May 30, 2024, June 28, 2024, July 31, 2024, August 31, 2024, September 30, 2024, October 31, 2024, November 30, 2024, December 31, 2024 and January 31, 2025, we received an additional waiver from the Administrative Agent and the Term Loan Lenders in regard to our compliance with the liquidity requirement under the Term Loan as of the last day of the fiscal quarter ended March 31, 2024, June 30, 2024, September 30, 2024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subsequent to the current year ended December 31, 2024, we entered into a Securities Purchase agreement (“Purchase Agreement”). Under the Purchase Agreement, we authorized a new series of convertible preferred stock designated as the Series A Convertible Preferred Stock, which shares are convertible into shares of our common stock, and sold shares of Series A Preferred Stock. We raised $3.5 million and expect to have an additional closing for $3.5 million, which we will use for working capital general corporate purposes and mandatory payments on the Term Loan if we raise additional capital. In connection with the Purchase Agreement, the Term Loan was amended to (i) extend the maturity date by one (1) year to October 2027, (ii) defer all principal and interest payments to April 2026 and (iii) Remove any applicable financial covenants (except for a financial covenant requiring us to maintain cash and cash equivalents equal to or greater than $2,500) for the next one and a half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independent registered public accounting firm included an explanatory paragraph in its report on our 2024 consolidated financial statements, with respect to this uncertainty.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If we are unable to raise additional capital or service our debt, we may be forced to reduce operations, seek the protection of bankruptcy courts or shut down our operations and dissolve. If we liquidate our assets and the values we receive for our assets in liquidation or dissolution could be significantly lower than the values reflected in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indebtedness restrict us from engaging in specified types of transactions. These restrictive covenants restrict our ability to, among other things:</w:t>
      </w:r>
    </w:p>
    <w:p>
      <w:pPr>
        <w:pStyle w:val="TextBody"/>
        <w:bidi w:val="0"/>
        <w:spacing w:before="0" w:after="0"/>
        <w:ind w:left="0" w:right="0" w:hanging="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85"/>
        <w:gridCol w:w="930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or incur encumbrances or liens;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consolidations, amalgamations, mergers, acquisitions, liquidations, dissolutions or dispositions;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transfer or otherwise dispose of assets;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distributions on, or purchase, redeem, defease, or otherwise acquire or retire for value, our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identified material weaknesses in our internal control over financial reporting. These material weaknesses in the future could adversely affect our ability to report our results of operations and financial condition accurately and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Annual Report, our management identified material weaknesses in our internal control over financial reporting as a result of our failure to capture, and record, and pay tariffs correctly related to the imported merchandise on previously filed 2022 and 2021 financial statements. We have implemented additional measures to address the material weakness relating to tariff by designing new controls to capture, record, and pay tariffs related to the imported merchandise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We are not currently in compliance with the continued listing requirements for The Nasdaq Capital Market. If we do not regain compliance and continue to meet the continued listing requirements, our securities may be delisted, which could affect the market price and liquidity for our common stock and reduce our ability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we received a written notice (the “Notice”) from the Listing Qualifications Staff of the Nasdaq Stock Market, LLC (“Nasdaq”) indicating that we are not in compliance with Nasdaq Listing Rule 5550(b)(2), which requires us to maintain a minimum Market Value of Listed Securities (“MVLS”) of $35 million for continued listing on The Nasdaq Capital Market (the “MVLS Requirement”) for the 30 consecutive business days preceding receipt of the Notice. Additionally,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 In accordance with Nasdaq Listing Rule 5810(c)(3)(C), we will have 180 calendar days, or until June 10, 2025, to regain compliance with the MVLS Requirement, subject to extension by Nasdaq.</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monitor our MVLS and may, if appropriate, consider implementing available options to regain compliance with the MVLS Requirement. If we do not regain compliance within the allotted compliance period, including any extensions that may be granted by Nasdaq, Nasdaq will provide notice that our securities will be subject to delisting. We would then be entitled to appeal that determination to a Nasdaq hearings panel. There can be no assurance that we will regain compliance with the MVLS Requirement during the 180-day compliance period or maintain compliance with the other Nasdaq listing requirements. A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of our outstanding securities may cause the market price of our securities to drop significantly, even if our business is doing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registration statements registering the resale of up to approximately 1.7 million shares of common stock underlying outstanding warrants that may be sold and/or issued into the public markets by certain securityholders. The shares being registered for resale into the public markets represent a significant number of shares in respect to our outstanding common stock. The securityholders selling pursuant to the registration statements will determine the timing, pricing and rate at which they sell such shares into the public market and such sales could have a significant negative impact on the trading price of our common stock.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and may cause the trading prices of our securities to experience a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registered 2,390,226 shares of common stock to be issued and sold to CCM LLC in connection with the ChEF Equity Facility. Any sales of such shares into the public market could have a significant negative impact on the trading price of our common stock. This impact may be heightened by the fact that sales to CCM LLC will generally be at prices below the then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meet the expectations of investors, stockholders or securities analysts, the market price of our securities may decline. In addition, fluctuations in the price of our securities could contribute to the loss of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bidi w:val="0"/>
        <w:spacing w:before="0" w:after="0"/>
        <w:ind w:left="3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ours;</w:t>
            </w:r>
          </w:p>
        </w:tc>
      </w:tr>
    </w:tbl>
    <w:p>
      <w:pPr>
        <w:pStyle w:val="TextBody"/>
        <w:bidi w:val="0"/>
        <w:spacing w:before="0" w:after="0"/>
        <w:ind w:left="0" w:right="0" w:firstLine="144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bl>
    <w:p>
      <w:pPr>
        <w:pStyle w:val="TextBody"/>
        <w:bidi w:val="0"/>
        <w:spacing w:before="0" w:after="0"/>
        <w:ind w:left="0" w:right="0" w:firstLine="144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185"/>
        <w:gridCol w:w="78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other public announcements and filings with the SEC;</w:t>
            </w:r>
          </w:p>
        </w:tc>
      </w:tr>
    </w:tbl>
    <w:p>
      <w:pPr>
        <w:pStyle w:val="TextBody"/>
        <w:bidi w:val="0"/>
        <w:spacing w:before="0" w:after="0"/>
        <w:ind w:left="0" w:right="0" w:firstLine="144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85"/>
        <w:gridCol w:w="41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investment community;</w:t>
            </w:r>
          </w:p>
        </w:tc>
      </w:tr>
    </w:tbl>
    <w:p>
      <w:pPr>
        <w:pStyle w:val="TextBody"/>
        <w:bidi w:val="0"/>
        <w:spacing w:before="0" w:after="0"/>
        <w:ind w:left="0" w:right="0" w:firstLine="144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185"/>
        <w:gridCol w:w="94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competitors’ businesses or the competitive landscape generally;</w:t>
            </w:r>
          </w:p>
        </w:tc>
      </w:tr>
    </w:tbl>
    <w:p>
      <w:pPr>
        <w:pStyle w:val="TextBody"/>
        <w:bidi w:val="0"/>
        <w:spacing w:before="0" w:after="0"/>
        <w:ind w:left="0" w:right="0" w:firstLine="144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85"/>
        <w:gridCol w:w="53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bl>
    <w:p>
      <w:pPr>
        <w:pStyle w:val="TextBody"/>
        <w:bidi w:val="0"/>
        <w:spacing w:before="0" w:after="0"/>
        <w:ind w:left="0" w:right="0" w:firstLine="144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85"/>
        <w:gridCol w:w="47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licensors, future collaborators, or other strategic partners;</w:t>
            </w:r>
          </w:p>
        </w:tc>
      </w:tr>
    </w:tbl>
    <w:p>
      <w:pPr>
        <w:pStyle w:val="TextBody"/>
        <w:bidi w:val="0"/>
        <w:spacing w:before="0" w:after="0"/>
        <w:ind w:left="0" w:right="0" w:firstLine="144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185"/>
        <w:gridCol w:w="87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failing to meet the expectation of securities analysts or investors in a particular period;</w:t>
            </w:r>
          </w:p>
        </w:tc>
      </w:tr>
    </w:tbl>
    <w:p>
      <w:pPr>
        <w:pStyle w:val="TextBody"/>
        <w:bidi w:val="0"/>
        <w:spacing w:before="0" w:after="0"/>
        <w:ind w:left="0" w:right="0" w:firstLine="144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85"/>
        <w:gridCol w:w="92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bl>
    <w:p>
      <w:pPr>
        <w:pStyle w:val="TextBody"/>
        <w:bidi w:val="0"/>
        <w:spacing w:before="0" w:after="0"/>
        <w:ind w:left="0" w:right="0" w:firstLine="144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185"/>
        <w:gridCol w:w="80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ours;</w:t>
            </w:r>
          </w:p>
        </w:tc>
      </w:tr>
    </w:tbl>
    <w:p>
      <w:pPr>
        <w:pStyle w:val="TextBody"/>
        <w:bidi w:val="0"/>
        <w:spacing w:before="0" w:after="0"/>
        <w:ind w:left="0" w:right="0" w:firstLine="144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85"/>
        <w:gridCol w:w="449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bl>
    <w:p>
      <w:pPr>
        <w:pStyle w:val="TextBody"/>
        <w:bidi w:val="0"/>
        <w:spacing w:before="0" w:after="0"/>
        <w:ind w:left="0" w:right="0" w:firstLine="144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85"/>
        <w:gridCol w:w="506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bl>
    <w:p>
      <w:pPr>
        <w:pStyle w:val="TextBody"/>
        <w:bidi w:val="0"/>
        <w:spacing w:before="0" w:after="0"/>
        <w:ind w:left="0" w:right="0" w:firstLine="144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185"/>
        <w:gridCol w:w="857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bl>
    <w:p>
      <w:pPr>
        <w:pStyle w:val="TextBody"/>
        <w:bidi w:val="0"/>
        <w:spacing w:before="0" w:after="0"/>
        <w:ind w:left="0" w:right="0" w:firstLine="144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85"/>
        <w:gridCol w:w="476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our common stock available for public sale;</w:t>
            </w:r>
          </w:p>
        </w:tc>
      </w:tr>
    </w:tbl>
    <w:p>
      <w:pPr>
        <w:pStyle w:val="TextBody"/>
        <w:bidi w:val="0"/>
        <w:spacing w:before="0" w:after="0"/>
        <w:ind w:left="0" w:right="0" w:firstLine="144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85"/>
        <w:gridCol w:w="48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by our directors, officers or significant stockholders or the perception that such sales could occur; and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“trade wars,” pandemics (such as COVID-19) and acts of war or terrorism (including the Russia-Ukraine conflict and Hamas’ attack on Israel).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securities may not be available on a consistent basis to provide stockholders with adequate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outstanding warrants to acquire our common stock would increase the number of shares eligible for future resale in the public market and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outstanding warrants to acquire our common stock will increase the number of shares eligible for future resale in the public market and result in dilution to our stockholders. As of March 27, 2025 , there are currently (i) 1,046,947 shares of common stock issuable upon the exercise of outstanding public warrants at an exercise price of $103.50 per share (the “Public Warrants”); (ii) 166,821 shares of common stock issuable upon the exercise of outstanding private warrants at an exercise price of $103.50 per share (the “Private Warrants”); and (iii) 680,473 shares of common stock issuable upon exercise of outstanding Penny Warrants at an exercise price of $0.01 per share and 1,061,685 shares of common stock issuable upon exercise of outstanding Penny Warrants at an exercise price of $0.09 per share. The $10 Warrants were exercised in full in 2022 and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Penny Warrants have price-based anti-dilution protection against subsequent equity sales or distributions at below $90.00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$45.00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85"/>
        <w:gridCol w:w="94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convert these customers into meaningful orders in the future;</w:t>
            </w:r>
          </w:p>
        </w:tc>
      </w:tr>
    </w:tbl>
    <w:p>
      <w:pPr>
        <w:pStyle w:val="TextBody"/>
        <w:bidi w:val="0"/>
        <w:spacing w:before="0" w:after="0"/>
        <w:ind w:left="0" w:right="0" w:firstLine="144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185"/>
        <w:gridCol w:w="966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two suppliers for LFP cells and a single supplier for the manufacture of our battery management system;</w:t>
            </w:r>
          </w:p>
        </w:tc>
      </w:tr>
    </w:tbl>
    <w:p>
      <w:pPr>
        <w:pStyle w:val="TextBody"/>
        <w:bidi w:val="0"/>
        <w:spacing w:before="0" w:after="0"/>
        <w:ind w:left="0" w:right="0" w:firstLine="144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185"/>
        <w:gridCol w:w="79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the potential markets for our batteries and its ability to serve those markets;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85"/>
        <w:gridCol w:w="609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our attempts to develop and produce solid state battery cells;</w:t>
            </w:r>
          </w:p>
        </w:tc>
      </w:tr>
    </w:tbl>
    <w:p>
      <w:pPr>
        <w:pStyle w:val="TextBody"/>
        <w:bidi w:val="0"/>
        <w:spacing w:before="0" w:after="0"/>
        <w:ind w:left="0" w:right="0" w:firstLine="1440"/>
        <w:jc w:val="both"/>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85"/>
        <w:gridCol w:w="55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products, which may vary significantly;</w:t>
            </w:r>
          </w:p>
        </w:tc>
      </w:tr>
    </w:tbl>
    <w:p>
      <w:pPr>
        <w:pStyle w:val="TextBody"/>
        <w:bidi w:val="0"/>
        <w:spacing w:before="0" w:after="0"/>
        <w:ind w:left="0" w:right="0" w:firstLine="144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85"/>
        <w:gridCol w:w="6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w:t>
            </w:r>
          </w:p>
        </w:tc>
      </w:tr>
    </w:tbl>
    <w:p>
      <w:pPr>
        <w:pStyle w:val="TextBody"/>
        <w:bidi w:val="0"/>
        <w:spacing w:before="0" w:after="0"/>
        <w:ind w:left="0" w:right="0" w:firstLine="144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185"/>
        <w:gridCol w:w="49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 and</w:t>
            </w:r>
          </w:p>
        </w:tc>
      </w:tr>
    </w:tbl>
    <w:p>
      <w:pPr>
        <w:pStyle w:val="TextBody"/>
        <w:bidi w:val="0"/>
        <w:spacing w:before="0" w:after="0"/>
        <w:ind w:left="0" w:right="0" w:firstLine="144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85"/>
        <w:gridCol w:w="99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in the competitive landscape of our industry, including consolidation among our competitors or partners.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regulations or rules, or a failure to comply with any laws, regulations or rules, may adversely affect our business, investments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could discourage another company from acquiring us and may prevent attempts by our stockholders to replace or remove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be divided into three classes, with each class serving staggered three-year terms, which may delay the ability of stockholders to change the membership of a majority of our board of directors;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not act by written consent, which forces stockholder action to be taken at an annual or special meeting of stockholders;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may be called only by a majority of our board of directors, which may delay the ability of our stockholders to force consideration of a proposal or to take action, including the removal of directors;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prohibits cumulative voting in the election of directors, which limits the ability of minority stockholders to elect director candidates;</w:t>
            </w:r>
          </w:p>
        </w:tc>
      </w:tr>
    </w:tbl>
    <w:p>
      <w:pPr>
        <w:pStyle w:val="TextBody"/>
        <w:bidi w:val="0"/>
        <w:spacing w:before="0" w:after="0"/>
        <w:ind w:left="0" w:right="0" w:firstLine="144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85"/>
        <w:gridCol w:w="858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alter certain provisions of our Bylaws without obtaining stockholder approval;</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at least sixty-six and two-thirds percent (66 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tc>
      </w:tr>
    </w:tbl>
    <w:p>
      <w:pPr>
        <w:pStyle w:val="TextBody"/>
        <w:bidi w:val="0"/>
        <w:spacing w:before="0" w:after="0"/>
        <w:ind w:left="65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any decision to comply only with certain reduced reporting and disclosure requirements applicable to emerging growth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have an independent registered public accounting firm audit our internal control over financial reporting under Section 404 of the Sarbanes-Oxley Act;</w:t>
            </w:r>
          </w:p>
        </w:tc>
      </w:tr>
    </w:tbl>
    <w:p>
      <w:pPr>
        <w:pStyle w:val="TextBody"/>
        <w:bidi w:val="0"/>
        <w:spacing w:before="0" w:after="0"/>
        <w:ind w:left="65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and annual report on Form 10-K; and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non-binding advisory votes on executive compensation and stockholder approval of any golden parachute payments not previously approved.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stockholders may not have access to certain information that they may deem important. Our status as an emerging growth company will end as soon as any of the following takes place:</w:t>
      </w:r>
    </w:p>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185"/>
        <w:gridCol w:w="719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at least $1.235 billion in annual revenue;</w:t>
            </w:r>
          </w:p>
        </w:tc>
      </w:tr>
    </w:tbl>
    <w:p>
      <w:pPr>
        <w:pStyle w:val="TextBody"/>
        <w:bidi w:val="0"/>
        <w:spacing w:before="0" w:after="0"/>
        <w:ind w:left="0" w:right="0" w:firstLine="144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85"/>
        <w:gridCol w:w="965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we qualify as a “large accelerated filer,” with at least $700.0 million of equity securities held by non-affiliates;</w:t>
            </w:r>
          </w:p>
        </w:tc>
      </w:tr>
    </w:tbl>
    <w:p>
      <w:pPr>
        <w:pStyle w:val="TextBody"/>
        <w:bidi w:val="0"/>
        <w:spacing w:before="0" w:after="0"/>
        <w:ind w:left="0" w:right="0" w:firstLine="144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185"/>
        <w:gridCol w:w="97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in any three-year period, more than $1.0 billion in non-convertible debt securities; or</w:t>
            </w:r>
          </w:p>
        </w:tc>
      </w:tr>
    </w:tbl>
    <w:p>
      <w:pPr>
        <w:pStyle w:val="TextBody"/>
        <w:bidi w:val="0"/>
        <w:spacing w:before="0" w:after="0"/>
        <w:ind w:left="0" w:right="0" w:firstLine="144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85"/>
        <w:gridCol w:w="596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ending after the fifth anniversary of our IPO.</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Times;Serif" w:hAnsi="Times New Roman;Times;Serif"/>
          <w:b w:val="false"/>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 and Part II – Item 9A – Controls and Procedures</w:t>
      </w:r>
      <w:r>
        <w:rPr>
          <w:rFonts w:ascii="Times New Roman;Times;Serif" w:hAnsi="Times New Roman;Times;Serif"/>
          <w:b w:val="false"/>
          <w:i w:val="false"/>
          <w:caps w:val="false"/>
          <w:smallCaps w:val="false"/>
          <w:sz w:val="20"/>
        </w:rPr>
        <w:t>.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bl>
    <w:p>
      <w:pPr>
        <w:pStyle w:val="TextBody"/>
        <w:bidi w:val="0"/>
        <w:spacing w:before="0" w:after="0"/>
        <w:ind w:left="0" w:right="0" w:firstLine="144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85"/>
        <w:gridCol w:w="61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bl>
    <w:p>
      <w:pPr>
        <w:pStyle w:val="TextBody"/>
        <w:bidi w:val="0"/>
        <w:spacing w:before="0" w:after="0"/>
        <w:ind w:left="0" w:right="0" w:firstLine="144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bl>
    <w:p>
      <w:pPr>
        <w:pStyle w:val="TextBody"/>
        <w:bidi w:val="0"/>
        <w:spacing w:before="0" w:after="0"/>
        <w:ind w:left="0" w:right="0" w:firstLine="144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85"/>
        <w:gridCol w:w="36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w:t>
            </w:r>
          </w:p>
        </w:tc>
      </w:tr>
    </w:tbl>
    <w:p>
      <w:pPr>
        <w:pStyle w:val="TextBody"/>
        <w:bidi w:val="0"/>
        <w:spacing w:before="0" w:after="0"/>
        <w:ind w:left="0" w:right="0" w:firstLine="144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185"/>
        <w:gridCol w:w="49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 or</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than anticipated future earnings in jurisdictions where we have lower statutory tax rates and higher than anticipated future earnings in jurisdictions where we have higher statutory tax rates.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could have an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1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Stockholders may experience dilution of their ownership interest due to the issuance of additional shares of common stock upon the conversion of the Series A Preferred Stock, especially since the Series A Preferred Stock has fluctuating conversion rates that are set at a discount to the market price of our common stock during the period immediately prior to conversion.</w:t>
      </w:r>
    </w:p>
    <w:p>
      <w:pPr>
        <w:pStyle w:val="TextBody"/>
        <w:bidi w:val="0"/>
        <w:ind w:left="1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raised approximately $3.5 million in February 2025 through the issuance of shares of Series A Preferred Stock, and expect to issue an additional $4.5 million of additional shares of Series A Preferred Stock upon stockholder approval of the issuance of certain of the shares of common stock underlying the Series A Preferred Stock in compliance with the rules of Nasdaq and the effectiveness of a registration statement in compliance with the agreements governing the Series A Preferred Stock and may issue additional shares of Series A Preferred Stock upon certain events. The shares of Series A Preferred Stock are convertible into shares of our common stock, at the option of the holder, subject to certain conditions and limitations, at the lesser of (i) the fixed conversion price and (ii) 90% of the lowest VWAP during the 10 trading days prior to exercise, subject to the floor prices set forth in the Series A Preferred Stock. This could result in material dilution to our existing stockholders. Because the conversion price is based upon a discount to the trading price of our common stock at the time of conversion, the number of shares into which the Series A Preferred Stock may be converted may increase, subject to the floor prices of the respective series of the Series A Preferred Stock. If the trading prices of our common stock is low when the conversion price of the Series A Preferred Stock is determined, we would be required to issue a greater number of shares of common stock to the holder, which could cause substantial dilution to our stockholders. Based upon the current floor prices and the assumed floor price based on the current market price of the common stock as of the date of the filing of this Annual Report on Form 10-K for the Series A Preferred Stock to be issued at the Second Closing (as defined below), the outstanding Series A Preferred Stock could convert into up to approximately 34.8 million shares of common stock. In addition, if the holder of the Series A Preferred Stock converts and then sells our common stock, this could result in an imbalance of supply and demand for our common stock and reduce our stock price in the market significantly. The further our stock price declines, the further the adjustment of the conversion price will fall and the greater the number of shares of common stock we will have to issue upon conversion, resulting in further dilution to its stockholders. Market price-based conversion formulas, like the one contained in the Series A Preferred Stock can lead to dramatic stock price reductions and corresponding negative effects on both us and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Series A Preferred Stock outstanding which securities have certain rights and provisions that could impact our ability to complete certain transactions and could impact the market price of our common stock.</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320 shares of Series A Preferred Stock outstanding that were issued on February 27, 2025, which were initially convertible, subject to certain beneficial ownership limitations and Nasdaq restrictions until we obtain shareholder approval for the issuance of such shares in compliance with the Nasdaq rules, at the holder’s option at any time.</w:t>
      </w:r>
    </w:p>
    <w:p>
      <w:pPr>
        <w:pStyle w:val="TextBody"/>
        <w:bidi w:val="0"/>
        <w:spacing w:before="0" w:after="0"/>
        <w:ind w:left="1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gives its holders, subject to the preference and priority to the holders of its Common Stock, the preferred right to receive dividends, commencing from the date of issuance of the Series A Preferred Stock. The Series A Preferred Stock provides for dividends, payable quarterly in arrears in cash or shares of Series A Preferred Stock, at the dividend rate of 8% per annum and we expect such dividends to be paid in additional shares of Series A Preferred Stock.</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carries a liquidation preference equal to the greater of (A) the Conversion Amount (as defined in the Certificate of Designation for the Series A Preferred Stock) of such Series A Preferred Stock on the date of such payment and (B) the amount per share such holder would receive if such holder converted such Series A Preferred Stock into common stock immediately prior to the date of such payment.</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Series A Preferred Stock restrict us from engaging in specified types of transactions. These restrictive covenants restrict our ability to, among other things, incur additional indebtedness; create or incur encumbrances or liens; pay dividends and distributions on, or purchase, redeem, defease, or otherwise acquire or retire for value, our stock, make certain sales under our ChEF Equity Facility and other restrictive covenants.</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to the holders of the Series A Preferred Stock could limit our ability to obtain additional financing or complete certain transactions or increase our borrowing costs, which could have an adverse effect on its financial condition and hinder the accomplishment of our corporate goals.</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Series A Preferred Stock, our board could authorize the issuance of additional series of preferred stock with such rights preferential to the rights of our common stock, including the issuance of a series of preferred stock that has greater voting power than our common stock or that is convertible into our common stock, which could decrease the relative voting power of our common stock or result in dilution to its existing stockholders.</w:t>
      </w:r>
    </w:p>
    <w:p>
      <w:pPr>
        <w:pStyle w:val="TextBody"/>
        <w:bidi w:val="0"/>
        <w:spacing w:before="0" w:after="0"/>
        <w:ind w:left="1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sw_004"/>
      <w:bookmarkEnd w:id="42"/>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sw_005"/>
      <w:bookmarkEnd w:id="43"/>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 w:name="xdx_98A_ecyd--CybersecurityRiskManagemen"/>
      <w:bookmarkEnd w:id="44"/>
      <w:r>
        <w:rPr>
          <w:rFonts w:ascii="Times New Roman;Times;Serif" w:hAnsi="Times New Roman;Times;Serif"/>
          <w:b/>
          <w:i/>
          <w:caps w:val="false"/>
          <w:smallCaps w:val="false"/>
          <w:sz w:val="20"/>
        </w:rPr>
        <w:t>Cybersecurity Risk Management</w:t>
      </w:r>
    </w:p>
    <w:p>
      <w:pPr>
        <w:pStyle w:val="TextBody"/>
        <w:bidi w:val="0"/>
        <w:spacing w:before="0" w:after="0"/>
        <w:ind w:left="0" w:right="0" w:hanging="0"/>
        <w:jc w:val="both"/>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like other companies in our industry, face several cybersecurity risks in connection with our business. Our business strategy, results of operations, and financial condition have not, to date, been affected by risks from cybersecurity threats. During the reporting period, we have </w:t>
      </w:r>
      <w:bookmarkStart w:id="45" w:name="xdx_902_ecyd--CybersecurityRiskMateriall"/>
      <w:bookmarkEnd w:id="45"/>
      <w:r>
        <w:rPr>
          <w:rFonts w:ascii="Times New Roman;Times;Serif" w:hAnsi="Times New Roman;Times;Serif"/>
          <w:b w:val="false"/>
          <w:i w:val="false"/>
          <w:caps w:val="false"/>
          <w:smallCaps w:val="false"/>
          <w:sz w:val="20"/>
        </w:rPr>
        <w:t>not experienced any material cyber incidents, nor have we experienced a series of immaterial incidents, which would require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use, store and process data including data of our employees, partners, collaborators, and vendors. To effectively prevent, detect, and respond to cybersecurity threats, we maintain a cyber risk management program, which is comprised of a wide array of policies, standards, architecture, and processes. The cyber risk management program falls under the responsibility of our Chief Executive Officer, who in turn, manages our outsourced experts in information technology (“</w:t>
      </w:r>
      <w:r>
        <w:rPr>
          <w:rFonts w:ascii="Times New Roman;Times;Serif" w:hAnsi="Times New Roman;Times;Serif"/>
          <w:b/>
          <w:i w:val="false"/>
          <w:caps w:val="false"/>
          <w:smallCaps w:val="false"/>
          <w:sz w:val="20"/>
        </w:rPr>
        <w:t>IT</w:t>
      </w:r>
      <w:r>
        <w:rPr>
          <w:rFonts w:ascii="Times New Roman;Times;Serif" w:hAnsi="Times New Roman;Times;Serif"/>
          <w:b w:val="false"/>
          <w:i w:val="false"/>
          <w:caps w:val="false"/>
          <w:smallCaps w:val="false"/>
          <w:sz w:val="20"/>
        </w:rPr>
        <w:t>”) and cybersecurity. Under the guidance of our Chief Executive Officer, we task reputable third-party IT experts that utilize a wide variety of software to secure the environment. We also utilize a variety of cybersecurity software from reputable vendors in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implemented a cybersecurity risk management program that is designed to </w:t>
      </w:r>
      <w:bookmarkStart w:id="46" w:name="xdx_90B_ecyd--CybersecurityRiskThirdPart"/>
      <w:bookmarkEnd w:id="46"/>
      <w:r>
        <w:rPr>
          <w:rFonts w:ascii="Times New Roman;Times;Serif" w:hAnsi="Times New Roman;Times;Serif"/>
          <w:b w:val="false"/>
          <w:i w:val="false"/>
          <w:caps w:val="false"/>
          <w:smallCaps w:val="false"/>
          <w:sz w:val="20"/>
        </w:rPr>
        <w:t>identify, assess, and mitigate risks from cybersecurity threats to this data and our systems and ensure the effectiveness of our security controls. Our cybersecurity risk management program incorporates several components, including information security program assessments, continuous monitoring of critical risks from cybersecurity threats using automated tools, restoration testing, periodic threat testing, and documented standards, policies, and procedures. We deploy a wide range of security tools across the environment, require multifactor authentication across all critical systems, and implement access control policies to further limit protect the data within the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periodically </w:t>
      </w:r>
      <w:bookmarkStart w:id="47" w:name="xdx_909_ecyd--CybersecurityRiskManagemen"/>
      <w:bookmarkEnd w:id="47"/>
      <w:r>
        <w:rPr>
          <w:rFonts w:ascii="Times New Roman;Times;Serif" w:hAnsi="Times New Roman;Times;Serif"/>
          <w:b w:val="false"/>
          <w:i w:val="false"/>
          <w:caps w:val="false"/>
          <w:smallCaps w:val="false"/>
          <w:sz w:val="20"/>
        </w:rPr>
        <w:t>engage third parties to conduct risk assessments, including periodic penetration testing and other system vulnerability analyses. As a result of these assessments and testing, we have not identified any material cybersecurity risks. We also maintain documentation of our system hardening progress and plans. Additionally, our program requires cybersecurity training, which includes social engineering and phishing training, on a quarterly basis, for all employees.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8" w:name="xdx_C03_gBFCRMEOMRTB-F_zRao6UrVk4O3"/>
      <w:bookmarkEnd w:id="48"/>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bookmarkStart w:id="49" w:name="xdx_988_ecyd--CybersecurityRiskBoardOfDi"/>
      <w:bookmarkEnd w:id="49"/>
      <w:r>
        <w:rPr>
          <w:rFonts w:ascii="Times New Roman;Times;Serif" w:hAnsi="Times New Roman;Times;Serif"/>
          <w:b/>
          <w:i/>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is </w:t>
      </w:r>
      <w:bookmarkStart w:id="50" w:name="xdx_900_ecyd--CybersecurityRiskBoardComm"/>
      <w:bookmarkEnd w:id="50"/>
      <w:r>
        <w:rPr>
          <w:rFonts w:ascii="Times New Roman;Times;Serif" w:hAnsi="Times New Roman;Times;Serif"/>
          <w:b w:val="false"/>
          <w:i w:val="false"/>
          <w:caps w:val="false"/>
          <w:smallCaps w:val="false"/>
          <w:sz w:val="20"/>
        </w:rPr>
        <w:t xml:space="preserve">responsible for the oversight of cybersecurity risk management. </w:t>
      </w:r>
      <w:bookmarkStart w:id="51" w:name="xdx_90D_ecyd--CybersecurityRiskManagemen"/>
      <w:bookmarkEnd w:id="51"/>
      <w:r>
        <w:rPr>
          <w:rFonts w:ascii="Times New Roman;Times;Serif" w:hAnsi="Times New Roman;Times;Serif"/>
          <w:b w:val="false"/>
          <w:i w:val="false"/>
          <w:caps w:val="false"/>
          <w:smallCaps w:val="false"/>
          <w:sz w:val="20"/>
        </w:rPr>
        <w:t>The Chief Executive Officer reports to our Board. The Chief Executive Officer provides updates to the Board on our cybersecurity risk management program, including any critical cybersecurity risks, ongoing cybersecurity initiatives and strategies, and applicable regulatory requirements and industry standards on a regular basis. The Chief Executive Officer also notifies the Board of any cybersecurity incidents (suspected or actual) and provides updates on the incidents as well as cybersecurity risk mitigation activities as appropriate.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2" w:name="xdx_C01_gBFCRBODOTB-VIAL_zRKEBrcIILme"/>
      <w:bookmarkEnd w:id="5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sw_006"/>
      <w:bookmarkEnd w:id="53"/>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In November, 2024, we relocated our headquarters to our new 390,240 square foot warehouse at 12915 Old Virginia Road in Reno, Nevada 89521. The current rent, which became payable on March 25, 2024 is $230,000 payable monthly.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leasing a 99,000 square foot facility at 1190 Trademark Drive #108, Reno, Nevada, which was the prior location of our headquarters until November 2024. The lease for this building was entered into on March 1, 2021 and expires on April 30, 2026. The current monthly rent is $59,750.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currently leasing a 59,500 square foot warehouse facility at 12815 Old Virginia Road in Reno, Nevada. The lease for this space was entered into on December 1, 2021, and expires December 31, 2026; the current monthly rent is $49,732.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entered into the Fernley Lease Agreement, effective April 1, 2024, for the approximately 64,000 square foot Premises located at 2275 East Newlands Road, Fernley, Nevada, to be used for general, warehousing, assembly/light manufacturing, painting of products, storage fulfillment, distribution of our products. The Fernley Lease Agreement expires April 1, 2029. The current monthly rent is $44,800.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&amp; Development lab is a 9,600 square foot facility located in Sparks, Nevada. The lease for these premises was entered into on July 27, 2020 and expires on July 31, 2025. The current monthly rent is $9,336.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podcast studio was a 1,772 square foot facility located in Sparks, Nevada. The lease for this space expired on September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sw_007"/>
      <w:bookmarkEnd w:id="54"/>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sw_008"/>
      <w:bookmarkEnd w:id="5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bookmarkStart w:id="56" w:name="sw_009"/>
      <w:bookmarkEnd w:id="56"/>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sw_010"/>
      <w:bookmarkEnd w:id="57"/>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under the symbol “DFLI” and our Public Warrants are currently listed on the Nasdaq Capital Market under the symbol “DFLIW”. As of March 27, 2025, the closing price of our common stock and warrants was $1.07 and $0.03, respectively. As of March 27, 2025 , there were 83 holders of record of our common stock and 2 holders of record of our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growth and development of our business. We have never declared or paid any cash dividends on our common stock. We do not intend to pay cash dividends to our common stockholders in the foreseeable future. Investors should not purchase our common stock with the expectation of receiving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sw_011"/>
      <w:bookmarkEnd w:id="58"/>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sw_012"/>
      <w:bookmarkEnd w:id="59"/>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November 22, 2024, we effected a reverse stock split for our issued and outstanding Common Stock at a ratio of 1-for-9. All of our historical share and per share information related to issued and outstanding Common Stock and outstanding options and warrants exercisable for Common Stock included in this prospectus have been adjusted, on a retroactive basis, to reflect the reverse stock splits. See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RV, marine vessel, and solar and off-grid industries, and trucking, industrial and energy storage with disruptive cell manufacturing and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330,000 batteries. For the years ended December 31, 2024 and 2023, we sold 42,447 and 64,096 batteries, respectively, and had $50.6 million and $64.4 million in net sales, respectively. We currently offer a line of batteries across our “Battle Born” and “Dragonfly” brands, each differentiated by size, power and capacity, consisting of seven different models, having optional features including internal heat for cold temperature operation and Dragonfly IntelLigence communication capabilities.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decrease in 2024 total sales is a reflection of weaker demand from DTC customers in our core RV and marine markets due to rising interest rates and inflation, as well as increased market competition from imported products sold direct to consumer on Amazon.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 The decision of Keystone RV to make lithium batteries an option rather than a standard reduced our OEM revenue in the second half of 2023. However, our increase in RV OEM business in 2024 kept our RV OEM revenue relatively flat from 2023 to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announced that we achieved full certification for our energy storage products to be deployed for use in oil &amp; gas operations in North America. As a result of this certification, a number of opportunities within the oil &amp; gas space have appeared. For example, we have designed a power product for Alegacy Equipment, a market leading natural gas compressor package company, and their affiliate Agnes Systems. This power system is expected to be used in natural gas compression equipment to reduce methane emissions. The first of these systems was successfully deployed in the fourth quarter of 2024; and this business line is expected to begin contributing to net sales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solar panels,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cash totaling $4.8 million. Our net loss for the years ended December 31, 2024 and December 31, 2023, were $40.6 million and $13.8 million, respectively. In addition, in February 2025, we completed an offering of shares of our Series A Preferred Stock which provided us with an additional net proceeds of $3.2 million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 with Stryten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Battery Products, LLC (“Battle Born LLC”), a newly formed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five million dollars ($5,000,000) (the “Initial Licensing Fee”), which was paid on August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initial merger consideration in connection with our business combination, up to 4,444,445 additional shares of common stock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may be issued based on achieving specified milestones in three tranches: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Tranche (1,666,667 shares): Issuable if 2023 total audited revenue is at least $250 million and audited operating income is at least $35 million. This milestone was not achieved for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Tranche (1,388,889 shares): Issuable if the volume-weighted average trading price of common stock reaches $202.50 over any 20 trading days within a 30-day period, on or before December 31,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Tranche (1,388,889 shares): Issuable if the volume-weighted average trading price of common stock reaches $292.50 over any 20 trading days within a 30-day period, on or before December 31, 2028.</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during the second or third earnout periods, unachieved milestones will be automatically deemed satisfied if the share price at the time of the transaction meets or exceeds $202.50 for the second period or $292.50 for the third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ChEF Equity Facility. During the year ended December 31, 2024, we sold 350,423 shares pursuant to the Purchase Agreement with CCM LLC for aggregate proceeds to us of $2,043,885.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2023, we entered into the Underwriting Agreement with the Underwriters, pursuant to which we sold to the Underwriters, in a firm commitment underwritten public offering, or the June 2023 Offering, an aggregate of (i) 1,111,111 shares of common stock, par value $0.0001 and (ii) Investor Warrants to purchase up to 1,111,111 shares of common Stock, at the combined public offering price of $18.00 per share and accompanying Investor Warrant, less underwriting discounts and commissions, and (iii) Underwriters’ Warrants to purchase up to an aggregate of 63,362 shares of common stock. In addition, we granted the Underwriters a 45-day over-allotment option to purchase up to an additional 166,667 shares of common stock and/or Investor Warrants to purchase up to an aggregate of 166,667 shares of Common Stock at the public offering price per security, less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Offering, have an exercise price of $18.00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$22.50 per share, which equals 125% of the per share public offering price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June 2023 Offering, the Underwriters partially exercised their over-allotment option in the amount of 156,112 shares of Common Stock and Investor Warrants to purchase 156,112 shares of common stock. The June 2023 Offering closed on June 22, 2023. The aggregate net proceeds from the June 2023 Offering, including the partial overallotment option, was approximately $20.7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we received the December 2023 Waiver from the Term Loan Lenders in regards to our compliance with the Tests as of the last day of the quarter ended December 31, 2023. The December 2023 Waiver provided for a one-time issuance of the Waiver Penny Warrants to purchase up to 142,964 Waiver Penny Warrant Shares, at an exercise price of $0.09 per share, in connection with the Term Loan Lender’s agreement to waive the Tests under the Term Loan for the quarter ended December 31, 2023. The Waiver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received a waiver (the “May 2024 Waiver”) from the Term Loan Lenders in regards to our compliance with the Tests as of the last day of the quarter ended March 31, 2024. The May 2024 Waiver provided for a one-time issuance of penny warrants (the “May 2024 Penny Warrants”) to purchase up to 283,334 shares of our common stock (the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2024 Private Placement and First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we received a limited waiver and first amendment (the “First Amendment”) to the Term Loan Agreement from the Term Loan Lenders in regards to our compliance with the Tests as of the last day of the quarter ended June 30, 2024. The First Amendment provided for a one-time issuance of penny warrants (the “June 2024 Penny Warrants”) to purchase up to 233,334 shares of our common stock (the “June 2024 Penny Warrant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a Limited Waiver, Consent and Second Amendment to the Term Loan, Guarantee and Security Agreement (the “Second Amendment”) with the Term Loan Lenders under our Original Term Loan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Agreement that would have been due to the Term Loan Lenders under the Loan Agreement upon Battle Born LLC’s receipt of the Initial Licensing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Battle Born LLC entered into a Joinder Agreement with the Term Loan Lenders (the “Joinder”) whereby Battle Born LLC became a guarantor and credit party to the Term Loan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Private Placement and Third Amendment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we received a limited waiver and third amendment (the “Third Amendment”) to the Term Loan Agreement from the Term Loan Lenders in regards to our compliance with the Tests as of the last day of the quarter ended September 30, 2024. The Third Amendment provided for a one-time issuance of penny warrants (the “September 2024 Penny Warrants”) to purchase up to 333,334 shares of our common stock (the “September 2024 Penny Warrant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2024 Private Placement and Fourth Amendment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we received a limited waiver and fourth amendment (the “Fourth Amendment”) to the Term Loan Agreement from the Term Loan Lenders in regards to our compliance with the Tests as of the last day of the quarter ended December 31, 2024. The Fourth Amendment provided for a one-time issuance of penny warrants (the “December 2024 Penny Warrants”) to purchase up to 350,000 shares of our common stock (the “December 2024 Penny Warrant Shares”), at an exercise price of $0.01 per share, in connection with the Term Loan Lender’s agreement to waive the Tests under the Term Loan for the quarter ended December 31, 2024. The December 2024 Penny Warrants will be exercisable at such time that we obtain the Warrant Issuance Shareholder Approval (as defined below)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Fourth Amendment, we agreed to use commercially reasonable efforts to obtain shareholder approval for the issuance of up to 1,400,000 shares of common stock underlying penny warrants issued to the Term Loan Lenders on and after the date of the Fourth Amendment, including the December 2024 Penny Warrant Shares and the Accrued Warrant Shares (as defined below), in accordance with Rules 5635(b) and 5635(d) of the Nasdaq Stock Market (the “Warrant Issuance Shareholder Approval”). Further, we agreed to issue the Term Loan Lenders additional penny warrants (the “Accrued Penny Warrants”) exercisable for a number of shares of common stock pursuant to the formula set forth in the Fourth Amendment (the “Accrued Warrant Shares”) upon the earlier to occur of (i) five business days after the end of the Waiver Period (as defined below) or (ii) five business days prior to the effectiveness of a Change of Control (as defined in the Term Loan Agreement), in which such Accrued Penny Warrants would not be exercisable prior to receipt of the Warrant Issuance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Fourth Amendment, the Term Loan Lenders agreed to temporarily suspend the Term Loan Lenders’ rights under Section 4(b) of the Penny Warrants to receive additional warrant shares in connection with the issuances by us of shares of common stock pursuant to the ChEF Equity Facility during the Waiver Period. In addition, the Fourth Amendment: (i) provided for the interest to be paid on the Payment Date (as defined in the Term Loan Agreement) occurring on January 1, 2025 to be payable partly in cash and the remainder payable-in-kind as set forth in the Amendment; and (ii) reduced the liquidity requirement under the Term Loan Agreement to be $3.5 million as of the last day of the fiscal month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2025 Registered Direct Offering and Concurrent Private Placement and Fifth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we entered into a securities purchase agreement with a single institutional investor, pursuant to which we sold in a registered direct offering (the “Registered Direct Offering”) 180 shares of Series A Preferred Stock, at a price of $10,000 per share, initially convertible into shares of our common stock, at a conversion price of $2.332 per share of common stock. The Series A Preferred Stock is also convertible by the investor at an adjusted conversion price, subject to the applicable floor price, which is based on a discount to the market price of our common stock as set forth in the certificate of designation for the Series A Preferred Stock. The floor price for the Series A Preferred Stock sold in the Registered Direct Offering is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sale of the Series A Preferred Stock in the Registered Direct Offering, in a private placement offering pursuant to the Purchase Agreement (the “Private Placement” and, together with the Registered Direct Offering, the “Offerings”), we sold, at the initial closing of the Private Placement (the “Initial Closing”), (i) an additional 170 shares of Series A Preferred Stock at the same offering price as the Series A Preferred Stock offered in the Registered Direct Offering, initially convertible into shares of common stock at a conversion price of $2.332 per share, and (ii) warrants (the “Private Placement Warrants”) to purchase up to an aggregate of 4,000 shares of Series A Preferred Stock (the “Private Placement Warrant Shares”), with an exercise price of $10,000 per share of Series A Preferred Stock, and a term as described below. The floor price for the Series A Preferred Stock sold in the Private Placement is $0.424.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thirty-three (33) month anniversary of the date the shares of common stock issued or issuable upon the conversion of the Series A Preferred Stock issued in the concurrent Private Placement are registered for resale (“Registration Effectiveness”) pursuant to an effective registration statement under the Securities Act of 1933, as amended, (the “Securities Act”) (such date, the “Registration Effectiveness Date”) and (ii) (A) the consummation of a Change of Control (as defined in the certificate of designation) and (B) the consummation of a redemption of the then outstanding Series A Preferred Stock in full. The exercise price and number of shares of Series A Preferred Stock issuable upon exercise are subject to appropriate adjustment in the event of share dividends, share splits, reorganizations or similar events affecting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Private Placement Warrants, we have a call right upon the occurrence of certain events. No earlier than two (2) months following the Registration Effectiveness Date and (2) the most recent conversion or exercise in full of a Private Placement Warrant, (i) the VWAP for each of twenty (20) trading days (the “Measurement Period”)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an irrevocable written notice (a “Call Notice”) for consideration equal to the applicable number of Series A Preferred Stock issuable upon exercise or cancellation of the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receipt of stockholder approval pursuant to the rules of Nasdaq for certain shares of common stock issuable upon conversion of the Series A Preferred Stock and the Registration Effectiveness, the investor will be automatically required to purchase for $4.5 million (the “Second Closing”) an additional 450 shares of Series A Preferred Stock (the “Second Closing Preferred Shares”). The Second Closing Preferred Shares will be identical to the Series A Preferred Stock offered in the Registered Direct Offering and sold in the initial closing of the Private Placement, other than the conversion price and the floor price which will be determined at the time of the Second Closing based on the Nasdaq minimum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from the Initial Offerings, after deducting the placement agent’s fees and expenses and estimated offering expenses, were approximately $3.2 million, excluding the net proceeds, if any, from the exercise of the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precedent to the closing of the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Fifth Amendment, we agreed to make certain mandatory prepayments on the Term Loan upon the occurrence of certain events. We are obligated to make a mandatory prepayment of the term loan equal to (i) 100% of the net cash proceeds of certain equity issuances by us made on or after the announcement of a Change of Control (as defined in the Term Loan Agreement), and (ii) 20% of the net cash proceeds of certain equity issuances by us made prior to the announcement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Fifth Amendment, we issued to the Term Loan Lenders 330,000 penny warrants (the “February 2025 Penny Warrants”) to purchase shares of our common stock at an exercise price of $0.01 per share on the date of the Initial Closing in connection with the waiver of the antidilution provisions in the existing penny warrants held by the Term Loan Lenders with respect to the shares of Series A Preferred Stock issued at the closing of the Registered Direct Offering and the initial closing of the Private Placement. We also agreed to increase the number of shares subject to the Warrant Issuance Shareholder Approval (as defined in the Term Loan Agreement) from 1,400,000 to 3,130,000. Further, we and the Term Loan Lenders agreed to waive the antidilution provisions in the existing penny warrants held by the Lenders with respect to the Private Placement Warrants issued at the initial closing of the Private Placement and the shares of Series A Preferred Stock issued at the Second Closing on the condition that we will issue to the Term Loan Lenders a number of penny warrants which will be determined by the parties within five (5) trading days after the end of each fiscal quarter after the Second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direct-to-customer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and other OEMs, driven by continued efforts to develop larger and more complete storage systems. Although our battery systems are built in to each model,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addressed this drop in through product diversification by the release of our Dragonfly IntelLigence feature, as well as more targeted marketing efforts to increase the efficiency of our marketing spend. We expect that direct to consumer sales will remain relatively flat through 2025. However, we expect growth among our existing RV OEM customers due to an overall increase in RV shipments as the industry slowly recovers from the market correction, as well as our customers expanding the number of models that will include our battery systems in the new model year. Moreover, we expect increased revenue through our market diversification efforts – especially in our industrials market, including industrial solar and oil and gas, as well as the trucking market, in which we have been piloting our systems with fleets for the last two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While the lease for the 99,000 facility is continuing, no manufacturing is taking place in this location.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is primarily generated from the sale of our LFP batteries to OEMs and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years ended December 31, 2024 and 2023. This data should be read together with our financial statements and related notes included elsewhere in this Annual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383"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19"/>
        <w:gridCol w:w="1130"/>
        <w:gridCol w:w="95"/>
        <w:gridCol w:w="60"/>
        <w:gridCol w:w="140"/>
        <w:gridCol w:w="755"/>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48,946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76.0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41.0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37,385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66.6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(25,759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(27,429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(42.6</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(24.9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45.9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21.1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(80.2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(21.5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4746" w:type="dxa"/>
        <w:jc w:val="left"/>
        <w:tblInd w:w="0" w:type="dxa"/>
        <w:tblLayout w:type="fixed"/>
        <w:tblCellMar>
          <w:top w:w="0" w:type="dxa"/>
          <w:left w:w="0" w:type="dxa"/>
          <w:bottom w:w="0" w:type="dxa"/>
          <w:right w:w="0" w:type="dxa"/>
        </w:tblCellMar>
      </w:tblPr>
      <w:tblGrid>
        <w:gridCol w:w="1865"/>
        <w:gridCol w:w="60"/>
        <w:gridCol w:w="218"/>
        <w:gridCol w:w="1062"/>
        <w:gridCol w:w="93"/>
        <w:gridCol w:w="93"/>
        <w:gridCol w:w="218"/>
        <w:gridCol w:w="1062"/>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22,616</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36,875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44.7</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57.3</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27,612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27,517</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54.5</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42.7</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Licensing Revenue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417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0.8</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50,645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64,392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$13.7 million, or 21.3%, to $50.6 million for the year ended December 31, 2024, as compared to $64.4 million for the year ended December 31, 2023. This decrease was primarily due to lower DTC battery and accessory sales due to a decline in demand in our core RV markets, partially offset by a slight increase in average sale prices for our batteries which is related to product mix. For the year ended December 31, 2024, DTC revenue decreased by $14.3 million as a result of decreased customer demand for our products due to rising interest rates and inflation. We expect our sales to increase as the cyclical recovery of the RV market gains momentum in the coming quarters and entrance into new markets, trucking and industrials, with new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by $9.9 million, or 20.3%, to $39.0 million for the year ended December 31, 2024, as compared to $48.9 million for the year ended December 31, 2023. This decrease was primarily due to a $9.1 million decrease in product cost due to lower unit volume, a decrease in labor expense due to reduced headcount and reduced overhead. We expect the materials and labor portion of our Cost of goods sold to increase in conjunction with the anticipated increase in revenue over the next 12 months.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$3.8 million, or 24.7%, to $11.6 million for the year ended December 31, 2024, as compared to $15.4 million for the year ended December 31, 2023. The decrease in gross profit was primarily due to lower unit volumes and a change in revenue mix that included a larger percentage of lower margin OEM sales and a lower percentage of higher margin DTC sales. Gross Profit percentage decreased by 1.0% from 24.0% in 2023 to 23.0% in 2024. Lower volume caused a reduction in absorption of labor and overhead impacting gross profit by 1.6% along with a decrease in material costs increasing gross profit by 0.6%. We expect our Gross Profit, as a percentage of revenue, to increase over the next 12 months with higher volumes increasing absorption of labor and overhead.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$1.6 million, or 41.1%, to $5.5 million for the year ended December 31, 2024, as compared to $3.9 million for the year ended December 31, 2023. The increase was primarily due to $0.8 million in higher employee related expenses due to increased headcount and an increase in rent related to the new lease in Fernley. Product development expenses and depreciation also increased related to new products introduced during the year ended December 31, 2024. We expect Research and Development expenses to reduce as we change our focus from Solid State to 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$4.5 million, or 17.0%, to $21.9 million for the year ended December 31, 2024, as compared to $26.4 million for the year ended December 31, 2023. This decrease was primarily due to reduction of employee related costs totaling $7.0 million due to lower headcount, which includes lower stock-based compensation expense in the amount of $4.9 million. We also incurred lower compliance, insurance, and professional fees related to public company costs in the amount of $1.3 million, and a $0.7 million decrease in investor relations expenses. The decrease in expense was offset by an impairment loss accrued for assets held for sale at year end of $0.9 million and a loss on patent litigation settlement accrued of $2.5 million. We expect General and Administrative Expenses, as a percentage of revenue, to increase as we increase the staffing in our Engineering department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$2.6 million, or 20.6%, to $10.0 million for the year ended December 31, 2024, as compared to $12.6 million for the year ended December 31, 2023. This decrease was primarily due to a $2.3 million reduction in employee related costs and lower stock-based compensation. Shipping costs are also lower by $0.9 million due to lower unit volumes, partially offset by travel and entertainment, previously allocated to General and Administrative Expense, and higher general marketing expenses. We expect our Selling and Marketing Expenses to be relatively stable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$14.9 million for the year ended December 31, 2024 as compared to total other income of $13.6 million for the year ended December 31, 2023. Other expense in 2024 is comprised primarily of interest expense of $21.5 million related to our debt securities partially offset by a change in fair market value of warrant liability in the amount of $6.7 million. Other income in 2023 is comprised of a change in fair market value of warrant liability in the amount of $29.6 million, partially offset by interest expense of $16.0 million related to our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for the years ended December 31, 2024 and December 31, 2024 were immaterial.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$19.7 million was recorded as of December 31, 2023 revalued at $29.4 million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$40.6 million for the year ended December 31, 2024, as compared to a net loss of $13.8 million for the year ended December 31, 2023. As described above, this result was driven by increased other expenses, lower sales due to reduced demand in the RV market, partially offset by lower cost of goods sold and lower operating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For our new Damonte lease, to be conservative in our estimate, we chose to use the high-end average as our incremental borrowing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7016" w:type="dxa"/>
        <w:jc w:val="left"/>
        <w:tblInd w:w="0" w:type="dxa"/>
        <w:tblLayout w:type="fixed"/>
        <w:tblCellMar>
          <w:top w:w="0" w:type="dxa"/>
          <w:left w:w="0" w:type="dxa"/>
          <w:bottom w:w="0" w:type="dxa"/>
          <w:right w:w="0" w:type="dxa"/>
        </w:tblCellMar>
      </w:tblPr>
      <w:tblGrid>
        <w:gridCol w:w="4100"/>
        <w:gridCol w:w="60"/>
        <w:gridCol w:w="197"/>
        <w:gridCol w:w="1067"/>
        <w:gridCol w:w="134"/>
        <w:gridCol w:w="84"/>
        <w:gridCol w:w="197"/>
        <w:gridCol w:w="1067"/>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(40,615</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(13,817</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21,504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16,015</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pPr>
            <w:r>
              <w:rPr/>
              <w:t>1,372</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(17,739</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3,409</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i/>
              </w:rPr>
            </w:pPr>
            <w:r>
              <w:rPr>
                <w:i/>
              </w:rPr>
              <w:t>Adjusted for:</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1,020</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6,710</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June 2023 Offering Costs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904</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69</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712</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Separation Agreement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720</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(6,684</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(29,582</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Non-Recurring/One-Time Expenses: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Tariff Investigation(5)</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463</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Patent Litigation(6)</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624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Reverse Stock Split (7)</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90</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Stryten Licensing Agreement(8)</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284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Loss on Settlement(9)</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2,500</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Loss on Impairment of Assets(10)</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873</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(18,500</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(17,127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2023 Offering Costs related to the warrant liability are comprised of fees and expenses, including legal, accounting, and other expenses associated with this offering.</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in 2023 is comprised of $720 in cash severance associated with separation agreement dated April 26, 2023, between us and our former Chief Legal Officer.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the date the warrants were issued through December 31, 2024.</w:t>
            </w:r>
          </w:p>
        </w:tc>
      </w:tr>
    </w:tbl>
    <w:p>
      <w:pPr>
        <w:pStyle w:val="TextBody"/>
        <w:bidi w:val="0"/>
        <w:spacing w:before="0" w:after="0"/>
        <w:ind w:left="324"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260"/>
        <w:gridCol w:w="87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Tariff Investigation are legal and forensic accounting related fees and expenses related to this investigation.</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Investigation are legal fees and expenses related to the Internation Trade Commission ‘ITC’ Lithium Hub patent infringement case.</w:t>
            </w:r>
          </w:p>
        </w:tc>
      </w:tr>
    </w:tbl>
    <w:p>
      <w:pPr>
        <w:pStyle w:val="TextBody"/>
        <w:bidi w:val="0"/>
        <w:spacing w:before="0" w:after="0"/>
        <w:ind w:left="324"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60"/>
        <w:gridCol w:w="90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Stock Split are transfer agent and legal expenses and fees related to the reverse stock split with the SEC.</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Stryten Licensing Agreement is comprised of Legal expenses and fees related to the Licensing agreement with Stryten Energy, LLC</w:t>
            </w:r>
          </w:p>
        </w:tc>
      </w:tr>
    </w:tbl>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45"/>
        <w:gridCol w:w="4115"/>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on settlement from patent licensing litigation</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350"/>
        <w:gridCol w:w="7220"/>
      </w:tblGrid>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on impairment of assets from subsequent sale at a price lower than its carrying value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2024, we had cash totaling $4.8 million. In addition, in February 2025, we raised $8.0 million with net proceeds of $3.2 million in connection with the sale of the shares of our Series A Preferred Stock received in February 2025 and the remainder expected in early May 2025. We believe that our cash at December 31, 2024 and the net proceeds of our February 2025 offering will fund our operations into the first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entered into the License with Stryten. In exchange for the licensing rights, Stryten agreed to pay Battle Born LLC the Initial Licensing Fee of five million dollars ($5,000,000). Per the License Agreement, payment for the Initial Licensing Fee is due within 30 days of the effective date of the License Agreement. We received the Initial Licensing Fee in August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contraction of our business and uncertainty around the timing of future needs, we reduced our purchase activities in 2024. As a result, our inventory balance at December 31, 2024 decreased by $17.1 million to $21.7 million, compared to $38.8 million at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pursuant to the Term Loan, Guarantee and Security Agreement (the “</w:t>
      </w:r>
      <w:r>
        <w:rPr>
          <w:rFonts w:ascii="Times New Roman;Times;Serif" w:hAnsi="Times New Roman;Times;Serif"/>
          <w:b/>
          <w:i w:val="false"/>
          <w:caps w:val="false"/>
          <w:smallCaps w:val="false"/>
          <w:sz w:val="20"/>
        </w:rPr>
        <w:t>Original Term Loan Agreement</w:t>
      </w:r>
      <w:r>
        <w:rPr>
          <w:rFonts w:ascii="Times New Roman;Times;Serif" w:hAnsi="Times New Roman;Times;Serif"/>
          <w:b w:val="false"/>
          <w:i w:val="false"/>
          <w:caps w:val="false"/>
          <w:smallCaps w:val="false"/>
          <w:sz w:val="20"/>
        </w:rPr>
        <w:t>”) by and among, us, Legacy Dragonfly, Alter Domus (US) LLC, as the Agent to the lenders time-to-time party thereto (such lenders,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the proceeds of which were used to repay the $45 million fixed rate senior notes, and ChEF Equity Facility. On June 28, 2024, we entered into the First Amendment with the Term Loan Lenders. The First Amendment provided for a one-time issuance of the June 2024 Penny Warrants to purchase up to 233,334 shares of common stock and certain amendments to the Term Loan. On July 29, 2024, we entered into the Second Amendment with the Term Loan Lenders in connection with the License Agreement. On September 30, 2024, we entered into the Third Amendment with the Term Loan Lenders, which provided for the issuance of the September 2024 Penny Warrants to purchase up to 333,334 shares of common stock and certain amendments to the Term Loan Agreement. On December 31, 2024, we entered into the Fourth Amendment with the Term Loan Lenders, which provided for the issuance of the December 2024 Penny Warrants to purchase up to 350,000 shares of common stock and certain amendments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the Second Amendment (together with the Original Term Loan, the First Amendment, the Second Amendment, the Third Amendment and the Fourth Amendment,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that would have been due to the Term Loan Lenders under the Term Loan Agreement upon Battle Born LLC’s receipt of the Initial Licensing Fee. In connection with the Second Amendment, Battle Born LLC entered into the Joinder.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June 28, 2024, September 30, 2024 and December 31, 2024, we obtained waivers from Alter Domus (US) LLC, as the administrative agent for the lenders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EICF Agent LLC and certain third-party financing source of our failure to satisfy the Tests under the Term Loan during the quarters ended March 31, 2023, September 30, 2023, December 31, 2023, March 31, 2024, June 30, 2024, September 30, 2024, and December 31, 2024. On March 31, 2024, April 29, 2024, May 30, 2024, June 28, 2024, July 31, 2024, August 30, 2024, September 30, 2024, October 31, 2024, November 30, 2024 and December 31, 2024, we received additional waivers from the Administrative Agent and the Term Loan Lenders in regard to our compliance with the liquidity requirement under the Term Loan as of the last day of the fiscal quarters ended March 31, 2024, June 30, 2024, September 30, 2024 and December 31, 2024, and as of the last fiscal day for the months ended April 30, 2024, May 31, 2024, July 31, 2024, August 31, 2024, October 31, 2024 and November 30,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based on the Term Loan are as follows: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April 1, 2024, was paid in cash.</w:t>
            </w:r>
          </w:p>
        </w:tc>
      </w:tr>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July 1, 2024, became payable-in-kind.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October 1, 2024, became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each payment date occurring on or after January 1, 2025, interest will be payable in cash.</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2,390,226 shares that may be resold into the public markets by CCM LLC, which represented approximately 33% of the shares of our common stock outstanding as of December 31, 2023. During the year ended December 31, 2023, we issued and sold approximately 65,389 shares of our common stock under this facility, resulting in net cash proceeds of $1,278,566. During the year ended December 31, 2024, we issued 350,423 shares pursuant to the Purchase Agreement with CCM LLC for aggregate proceeds to the Company of $2,043,885.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 note in the principal amount of $1.0 million (the “</w:t>
      </w:r>
      <w:r>
        <w:rPr>
          <w:rFonts w:ascii="Times New Roman;Times;Serif" w:hAnsi="Times New Roman;Times;Serif"/>
          <w:b/>
          <w:i w:val="false"/>
          <w:caps w:val="false"/>
          <w:smallCaps w:val="false"/>
          <w:sz w:val="20"/>
        </w:rPr>
        <w:t>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w:t>
      </w:r>
      <w:r>
        <w:rPr>
          <w:rFonts w:ascii="Times New Roman;Times;Serif" w:hAnsi="Times New Roman;Times;Serif"/>
          <w:b/>
          <w:i w:val="false"/>
          <w:caps w:val="false"/>
          <w:smallCaps w:val="false"/>
          <w:sz w:val="20"/>
        </w:rPr>
        <w:t>March Note</w:t>
      </w:r>
      <w:r>
        <w:rPr>
          <w:rFonts w:ascii="Times New Roman;Times;Serif" w:hAnsi="Times New Roman;Times;Serif"/>
          <w:b w:val="false"/>
          <w:i w:val="false"/>
          <w:caps w:val="false"/>
          <w:smallCaps w:val="false"/>
          <w:sz w:val="20"/>
        </w:rPr>
        <w:t>”). The March Note became due and payable in full on April 1, 2023. We were also obligated to pay a fee in the amount of $100,000 (the “</w:t>
      </w:r>
      <w:r>
        <w:rPr>
          <w:rFonts w:ascii="Times New Roman;Times;Serif" w:hAnsi="Times New Roman;Times;Serif"/>
          <w:b/>
          <w:i w:val="false"/>
          <w:caps w:val="false"/>
          <w:smallCaps w:val="false"/>
          <w:sz w:val="20"/>
        </w:rPr>
        <w:t>March Loan Fee</w:t>
      </w:r>
      <w:r>
        <w:rPr>
          <w:rFonts w:ascii="Times New Roman;Times;Serif" w:hAnsi="Times New Roman;Times;Serif"/>
          <w:b w:val="false"/>
          <w:i w:val="false"/>
          <w:caps w:val="false"/>
          <w:smallCaps w:val="false"/>
          <w:sz w:val="20"/>
        </w:rPr>
        <w:t>”) to Mr. Nelson on April 4, 2023. The Principal Amount of the March Note was paid in full on April 1, 2023 and the March Loan Fee was paid in full on April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w:t>
      </w:r>
      <w:r>
        <w:rPr>
          <w:rFonts w:ascii="Times New Roman;Times;Serif" w:hAnsi="Times New Roman;Times;Serif"/>
          <w:b/>
          <w:i w:val="false"/>
          <w:caps w:val="false"/>
          <w:smallCaps w:val="false"/>
          <w:sz w:val="20"/>
        </w:rPr>
        <w:t>January Note</w:t>
      </w:r>
      <w:r>
        <w:rPr>
          <w:rFonts w:ascii="Times New Roman;Times;Serif" w:hAnsi="Times New Roman;Times;Serif"/>
          <w:b w:val="false"/>
          <w:i w:val="false"/>
          <w:caps w:val="false"/>
          <w:smallCaps w:val="false"/>
          <w:sz w:val="20"/>
        </w:rPr>
        <w:t>”) in the principal amount of $1.0 million (the “</w:t>
      </w:r>
      <w:r>
        <w:rPr>
          <w:rFonts w:ascii="Times New Roman;Times;Serif" w:hAnsi="Times New Roman;Times;Serif"/>
          <w:b/>
          <w:i w:val="false"/>
          <w:caps w:val="false"/>
          <w:smallCaps w:val="false"/>
          <w:sz w:val="20"/>
        </w:rPr>
        <w:t>January 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January Note became due and payable in full on February 2, 2024. We were also obligated to pay $50,000 (the “</w:t>
      </w:r>
      <w:r>
        <w:rPr>
          <w:rFonts w:ascii="Times New Roman;Times;Serif" w:hAnsi="Times New Roman;Times;Serif"/>
          <w:b/>
          <w:i w:val="false"/>
          <w:caps w:val="false"/>
          <w:smallCaps w:val="false"/>
          <w:sz w:val="20"/>
        </w:rPr>
        <w:t>January Loan Fee</w:t>
      </w:r>
      <w:r>
        <w:rPr>
          <w:rFonts w:ascii="Times New Roman;Times;Serif" w:hAnsi="Times New Roman;Times;Serif"/>
          <w:b w:val="false"/>
          <w:i w:val="false"/>
          <w:caps w:val="false"/>
          <w:smallCaps w:val="false"/>
          <w:sz w:val="20"/>
        </w:rPr>
        <w:t>”) to Mr. Nelson on February 2, 2024. We paid the January Principal Amount and the January Loan Fee in full on February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the February Note to Brian Nelson in the February Principal Amount of $1.7 million in a private placement in exchange for cash in an equal amount. The February Note became due and payable in full on March 1, 2024. We were also obligated to pay the February Loan Fee in the amount of $85,000 to Mr. Nelson on March 1, 2024. The February Principal Amount of the February Note and the February Loan Fee were paid in full on March 1, 2024.</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our other financing transaction, see “Overview”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identified an underpayment of tariffs to CBP in the amount of approximately $1.66 million in the aggregate, related to the improper classification and valuation of certain of the products used in our batteries. We have reported the underpayment to CBP.</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we incurred losses and had a negative cash flow from operations. As of December 31, 2024, we had approximately $4.8 million in cash and cash equivalents and a working capital of $11.1 million.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31, 2024, April 29, 2024, May, 30, 2024, June 28, 2024, July 31, 2024, August 31, 2024, September 30, 2024, October 31, 2024, November 30, 2024 and December 31, 2024, we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entered into the Third Amendment, which: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the Fourth Amendment, which: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subsequent to the current year ended December 31, 2024, in connection with the Securities Purchase Agreement, the Company entered into the Fifth Amendment, which: (i) extended the maturity date by one year to October 2027, (ii) deferred all principal and interest payments to April 2026 and (iii) removed any applicable financial covenants (except for a financial covenant requiring the Company to maintain cash and cash equivalents equal to or greater than $2,500 on a monthly basis) for the next 1.5 years.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independent registered public accounting firm included an explanatory paragraph in its report on our 2024 consolidated financial statements, with respect to this uncertainty.</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2024 and 2023</w:t>
      </w:r>
    </w:p>
    <w:p>
      <w:pPr>
        <w:pStyle w:val="TextBody"/>
        <w:bidi w:val="0"/>
        <w:spacing w:before="0" w:after="0"/>
        <w:ind w:left="0" w:right="0" w:hanging="10"/>
        <w:jc w:val="both"/>
        <w:rPr>
          <w:caps w:val="false"/>
          <w:smallCaps w:val="false"/>
        </w:rPr>
      </w:pPr>
      <w:r>
        <w:rPr>
          <w:caps w:val="false"/>
          <w:smallCaps w:val="false"/>
        </w:rPr>
        <w:t> </w:t>
      </w:r>
    </w:p>
    <w:tbl>
      <w:tblPr>
        <w:tblW w:w="6191" w:type="dxa"/>
        <w:jc w:val="left"/>
        <w:tblInd w:w="0" w:type="dxa"/>
        <w:tblLayout w:type="fixed"/>
        <w:tblCellMar>
          <w:top w:w="0" w:type="dxa"/>
          <w:left w:w="0" w:type="dxa"/>
          <w:bottom w:w="0" w:type="dxa"/>
          <w:right w:w="0" w:type="dxa"/>
        </w:tblCellMar>
      </w:tblPr>
      <w:tblGrid>
        <w:gridCol w:w="3275"/>
        <w:gridCol w:w="60"/>
        <w:gridCol w:w="210"/>
        <w:gridCol w:w="956"/>
        <w:gridCol w:w="143"/>
        <w:gridCol w:w="90"/>
        <w:gridCol w:w="210"/>
        <w:gridCol w:w="1137"/>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b/>
              </w:rPr>
            </w:pPr>
            <w:r>
              <w:rPr>
                <w:b/>
              </w:rPr>
              <w:t>Net Cash provided by/(used in):</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(7,182</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(17,706</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956" w:type="dxa"/>
            <w:tcBorders/>
            <w:shd w:fill="FFFFFF" w:val="clear"/>
            <w:vAlign w:val="center"/>
          </w:tcPr>
          <w:p>
            <w:pPr>
              <w:pStyle w:val="TableContents"/>
              <w:bidi w:val="0"/>
              <w:spacing w:before="0" w:after="283"/>
              <w:jc w:val="right"/>
              <w:rPr/>
            </w:pPr>
            <w:r>
              <w:rPr/>
              <w:t>(2,729</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137" w:type="dxa"/>
            <w:tcBorders/>
            <w:shd w:fill="FFFFFF" w:val="clear"/>
            <w:vAlign w:val="center"/>
          </w:tcPr>
          <w:p>
            <w:pPr>
              <w:pStyle w:val="TableContents"/>
              <w:bidi w:val="0"/>
              <w:spacing w:before="0" w:after="283"/>
              <w:jc w:val="right"/>
              <w:rPr/>
            </w:pPr>
            <w:r>
              <w:rPr/>
              <w:t>(6,885</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2,047</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19,523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$7.2 million for the year ended December 31, 2024, primarily due to a net loss during the period and the change in fair market value of the warrant liability, partially offset by a decrease in inventory as a result of management’s decision to lower overall stocking levels to adjust for more modest demand.</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$17.7 million for the year ended December 31, 2023, primarily due to a net loss during the period and the change in fair market value of the warrant liability, partially offset by a decrease in inventory as a result of management’s decision to lower overall stocking levels to adjust for more modest demand.</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$2.7 million for the year ended December 31, 2024, as compared to $6.9 million for the year ended December 31, 2023. The cash used in investing activities was primarily driven by capital expenditures in leasehold improvements for our new lease and to support our core battery business.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$2.0 million for the year ended December 31, 2024, primarily as a result of proceeds $2.0 million from the utilization of the ChEF Equity Facility.</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$19.5 million for the year ended December 31, 2023, primarily as a result of $20.7 million proceeds from the June 2023 Offering.</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and financing lease liabilities. As of December 31, 2024, we had $3.0 million in short-term operating and financing lease liabilities and $22.7 million in long-term operating, and financing lease liabilities.</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December 31, 2024, the principal amount outstanding under the Term Loan was $69.9 million.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0" w:name="a_001"/>
      <w:bookmarkEnd w:id="60"/>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1" w:name="a_002"/>
      <w:bookmarkEnd w:id="61"/>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audited financial statements as of and for the years ended December 31, 2024 and December 31, 2023, together with the report of the independent registered public accounting firm thereon and the notes thereto, are presented beginning at page F-2.</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2" w:name="a_003"/>
      <w:bookmarkEnd w:id="62"/>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3" w:name="a_004"/>
      <w:bookmarkEnd w:id="63"/>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under the Exchange Act, our management, under the supervision and with the participation of our principal executive officer and principal financial officer, has evaluated the effectiveness of the design and implementation of our disclosure controls and procedures (as such term is defined in Rules 13a-15(e) and 15d-15(e) under the Exchange Act) as of December 31, 2024. Based on that evaluation, management concluded that as of December 31, 2024, the Company did maintain effective disclosure controls and procedures.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Management’s Annual Report on Internal Control Over Financial Reporting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officer and principal financial officer to provide reasonable assurance regarding the reliability of financial reporting and preparation of our financial statements for external purposes in accordance with generally accepted accounting principles.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its inherent limitations, internal control over financial reporting may not prevent or detect misstatements and, even when determined to be effective, can only provide reasonable, not absolute, assurance with respect to financial statement preparation and presentation. Projections of any evaluation of effectiveness to future periods are subject to risk that controls may become inadequate as a result of changes in conditions or deterioration in the degree of compliance.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who is also acting as our Interim Chief Financial Officer, we conducted an evaluation of the effectiveness of our internal control over financial reporting based on the framework in Internal Control — Integrated Framework issued by the Committee of Sponsoring Organizations of the Treadway Commission (“COSO”) issued in May 2013 and related COSO guidance. Based on our evaluation under this framework, management concluded that, as of December 31, 2024, our internal control over financial reporting was considered effective.</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Remediation Measures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identified material weaknesses in the prior year, management has implemented a new control around tariffs and enhanced other compensating controls during the year ended December 31, 2024. We completed the implementation of the following remedial measures designed to remediate the material weaknesses in internal control over financial reporting noted in the December 31, 2023 Form 10-K:</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Designing new controls to correctly capture tariffs HTS codes, record, and pay tariffs related to the imported merchandise.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Enhancement over controls related to purchase order approvals and three-way match procedures to accurately record and substantiate tariffs within the system of record.</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prior year material weakness and the remediation efforts described above, no other changes in our internal control over financial reporting (as defined by Rules 13a015(f) and 15d-15(f) under the Exchange Act) occurred during the year ended December 31, 2024, that has materially affected, or is reasonably likely to materially affect, our internal control over financial reporting.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4" w:name="a_005"/>
      <w:bookmarkEnd w:id="64"/>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633"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w:t>
      </w:r>
    </w:p>
    <w:p>
      <w:pPr>
        <w:pStyle w:val="TextBody"/>
        <w:bidi w:val="0"/>
        <w:spacing w:before="0" w:after="0"/>
        <w:ind w:left="633" w:right="0" w:hanging="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fiscal quarter ended December 31, 2024, none of our directors or “officers” (as defined in Rule 16a-1(f) under the Exchange Act) </w:t>
      </w:r>
      <w:bookmarkStart w:id="65" w:name="xdx_90B_eecd--NonRule10b51ArrAdoptedFlag"/>
      <w:bookmarkStart w:id="66" w:name="xdx_90C_eecd--Rule10b51ArrAdoptedFlag_db"/>
      <w:bookmarkEnd w:id="65"/>
      <w:bookmarkEnd w:id="66"/>
      <w:r>
        <w:rPr>
          <w:rFonts w:ascii="Times New Roman;Times;Serif" w:hAnsi="Times New Roman;Times;Serif"/>
          <w:b w:val="false"/>
          <w:i w:val="false"/>
          <w:caps w:val="false"/>
          <w:smallCaps w:val="false"/>
          <w:sz w:val="20"/>
        </w:rPr>
        <w:t xml:space="preserve">adopted or </w:t>
      </w:r>
      <w:bookmarkStart w:id="67" w:name="xdx_908_eecd--NonRule10b51ArrTrmntdFlag_"/>
      <w:bookmarkStart w:id="68" w:name="xdx_90A_eecd--Rule10b51ArrTrmntdFlag_dbF"/>
      <w:bookmarkEnd w:id="67"/>
      <w:bookmarkEnd w:id="68"/>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p>
      <w:pPr>
        <w:pStyle w:val="TextBody"/>
        <w:bidi w:val="0"/>
        <w:spacing w:before="0" w:after="0"/>
        <w:ind w:left="633" w:right="0" w:hanging="648"/>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9" w:name="a_016"/>
      <w:bookmarkEnd w:id="69"/>
      <w:r>
        <w:rPr>
          <w:rFonts w:ascii="Times New Roman;Times;Serif" w:hAnsi="Times New Roman;Times;Serif"/>
          <w:b/>
          <w:i w:val="false"/>
          <w:caps w:val="false"/>
          <w:smallCaps w:val="false"/>
          <w:sz w:val="20"/>
        </w:rPr>
        <w:t>Item 9C. Disclosure Regarding Foreign Jurisdiction that Prevent Inspections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145" w:hanging="10"/>
        <w:jc w:val="center"/>
        <w:rPr>
          <w:rFonts w:ascii="Times New Roman;Times;Serif" w:hAnsi="Times New Roman;Times;Serif"/>
          <w:b/>
          <w:i w:val="false"/>
          <w:caps w:val="false"/>
          <w:smallCaps w:val="false"/>
          <w:sz w:val="20"/>
        </w:rPr>
      </w:pPr>
      <w:bookmarkStart w:id="70" w:name="a_006"/>
      <w:bookmarkEnd w:id="70"/>
      <w:r>
        <w:rPr>
          <w:rFonts w:ascii="Times New Roman;Times;Serif" w:hAnsi="Times New Roman;Times;Serif"/>
          <w:b/>
          <w:i w:val="false"/>
          <w:caps w:val="false"/>
          <w:smallCaps w:val="false"/>
          <w:sz w:val="20"/>
        </w:rPr>
        <w:t>PART III</w:t>
      </w:r>
    </w:p>
    <w:p>
      <w:pPr>
        <w:pStyle w:val="TextBody"/>
        <w:bidi w:val="0"/>
        <w:spacing w:before="0" w:after="0"/>
        <w:ind w:left="154" w:right="145" w:hanging="1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1" w:name="a_007"/>
      <w:bookmarkEnd w:id="71"/>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members of our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with their respective ages as of March 31, 2025:</w:t>
      </w:r>
    </w:p>
    <w:p>
      <w:pPr>
        <w:pStyle w:val="TextBody"/>
        <w:shd w:fill="FFFFFF" w:val="clear"/>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45"/>
        <w:gridCol w:w="60"/>
        <w:gridCol w:w="350"/>
        <w:gridCol w:w="60"/>
        <w:gridCol w:w="7590"/>
      </w:tblGrid>
      <w:tr>
        <w:trPr/>
        <w:tc>
          <w:tcPr>
            <w:tcW w:w="214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 With Dragonfly</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Interim Chief Financial Officer and Chairman of the Board</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Wade Seaburg</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Commercial Officer</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Vickram Singh</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since October 2022. Since April 2024, Dr. Phares has served as our Interim Chief Financial Officer. Dr. Phares is the co-founder of Dragonfly Energy Corp., a Nevada corporation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Wade Seaburg</w:t>
      </w:r>
      <w:r>
        <w:rPr>
          <w:rFonts w:ascii="Times New Roman;Times;Serif" w:hAnsi="Times New Roman;Times;Serif"/>
          <w:b w:val="false"/>
          <w:i w:val="false"/>
          <w:caps w:val="false"/>
          <w:smallCaps w:val="false"/>
          <w:sz w:val="20"/>
        </w:rPr>
        <w:t xml:space="preserve"> has served as our Chief Commercial Officer since February 2025. Prio to that, Mr. Seaburg served as our Chief Revenue Officer from November 2022. Prior to the merger and the other transactions contemplated by that certain Agreement and Plan of Merger, dated May 15, 2022, as amended on July 12, 2022, by and among Chardan NexTech Acquisition 2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Merger Sub and Dragonfly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Times;Serif" w:hAnsi="Times New Roman;Times;Serif"/>
          <w:b/>
          <w:i w:val="false"/>
          <w:caps w:val="false"/>
          <w:smallCaps w:val="false"/>
          <w:sz w:val="20"/>
        </w:rPr>
        <w:t>WESCO</w:t>
      </w:r>
      <w:r>
        <w:rPr>
          <w:rFonts w:ascii="Times New Roman;Times;Serif" w:hAnsi="Times New Roman;Times;Serif"/>
          <w:b w:val="false"/>
          <w:i w:val="false"/>
          <w:caps w:val="false"/>
          <w:smallCaps w:val="false"/>
          <w:sz w:val="20"/>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Tyler Bourns</w:t>
      </w:r>
      <w:r>
        <w:rPr>
          <w:rFonts w:ascii="Times New Roman;Times;Serif" w:hAnsi="Times New Roman;Times;Serif"/>
          <w:b w:val="false"/>
          <w:i w:val="false"/>
          <w:caps w:val="false"/>
          <w:smallCaps w:val="false"/>
          <w:sz w:val="20"/>
        </w:rPr>
        <w:t xml:space="preserve"> has served as our Chief Marketing Officer since November 2022. Prior to the Business Combination, Mr. Bourns served as the Senior Vice President of Marketing of 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oversaw the day-to-day business of the company, worked closely with clients and provided hands-on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Vickram Singh</w:t>
      </w:r>
      <w:r>
        <w:rPr>
          <w:rFonts w:ascii="Times New Roman;Times;Serif" w:hAnsi="Times New Roman;Times;Serif"/>
          <w:b w:val="false"/>
          <w:i w:val="false"/>
          <w:caps w:val="false"/>
          <w:smallCaps w:val="false"/>
          <w:sz w:val="20"/>
        </w:rPr>
        <w:t xml:space="preserve"> has served as our Chief Operating Officer since February 2025. Prior to the Business Combination, Dr. Singh served as Director of Research and Development. In that capacity, he has been instrumental in overseeing the development of next-generation lithium-ion batteries and manufacturing processes and optimizing all-solid-state battery chemistries for deep-cycle applications. After the Business Combination, Dr. Singh transitioned to overseeing all technical efforts at Dragonfly Energy Corporation – R&amp;D, automation engineering, and pack development. Before joining Dragonfly Energy Corporation, Dr. Vick Singh was a Postdoctoral Research Fellow at the Lawrence Livermore National Laboratory’s Center for Global Security Research. His research focused on international energy development and its impact on foreign policy. Dr. Singh also served as a Nuclear Regulatory Commission Fellow during his Ph.D. studies at the University of Nevada, Reno, and holds a BS in Chemical Engineering from the University of Tennessee, Knoxville.</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Rick Parod </w:t>
      </w:r>
      <w:r>
        <w:rPr>
          <w:rFonts w:ascii="Times New Roman;Times;Serif" w:hAnsi="Times New Roman;Times;Serif"/>
          <w:b w:val="false"/>
          <w:i w:val="false"/>
          <w:caps w:val="false"/>
          <w:smallCaps w:val="false"/>
          <w:sz w:val="20"/>
        </w:rPr>
        <w:t>has served as a member of our Board since October 2022.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based on his experience in manufacturing operations, product development and sales and marketing.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Karina Montilla Edmonds, Ph.D. </w:t>
      </w:r>
      <w:r>
        <w:rPr>
          <w:rFonts w:ascii="Times New Roman;Times;Serif" w:hAnsi="Times New Roman;Times;Serif"/>
          <w:b w:val="false"/>
          <w:i w:val="false"/>
          <w:caps w:val="false"/>
          <w:smallCaps w:val="false"/>
          <w:sz w:val="20"/>
        </w:rPr>
        <w:t>has served as a member of our Board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Brian Nelson </w:t>
      </w:r>
      <w:r>
        <w:rPr>
          <w:rFonts w:ascii="Times New Roman;Times;Serif" w:hAnsi="Times New Roman;Times;Serif"/>
          <w:b w:val="false"/>
          <w:i w:val="false"/>
          <w:caps w:val="false"/>
          <w:smallCaps w:val="false"/>
          <w:sz w:val="20"/>
        </w:rPr>
        <w:t>has served as a member of our Board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Jonathan Bellows </w:t>
      </w:r>
      <w:r>
        <w:rPr>
          <w:rFonts w:ascii="Times New Roman;Times;Serif" w:hAnsi="Times New Roman;Times;Serif"/>
          <w:b w:val="false"/>
          <w:i w:val="false"/>
          <w:caps w:val="false"/>
          <w:smallCaps w:val="false"/>
          <w:sz w:val="20"/>
        </w:rPr>
        <w:t>has served as a member of our Board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based on his energy storage industry expertise and operating and leadership experience.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Luisa Ingargiola </w:t>
      </w:r>
      <w:r>
        <w:rPr>
          <w:rFonts w:ascii="Times New Roman;Times;Serif" w:hAnsi="Times New Roman;Times;Serif"/>
          <w:b w:val="false"/>
          <w:i w:val="false"/>
          <w:caps w:val="false"/>
          <w:smallCaps w:val="false"/>
          <w:sz w:val="20"/>
        </w:rPr>
        <w:t>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the Compensation Committee Chair and as audit committee chair for Electrameccanica Vehicles Corp. (Nasdaq: SOLO) since March 2018, as a member of the board and Audit Committee Chair for BioCorRx Inc. (OTC: BICX) since April 2018, and as a member of the board and Audit Committee Chair of Vision Marine Technologies, Inc. (NASDAQ: VMAR) since December 2020.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Perry Boyle</w:t>
      </w:r>
      <w:r>
        <w:rPr>
          <w:rFonts w:ascii="Times New Roman;Times;Serif" w:hAnsi="Times New Roman;Times;Serif"/>
          <w:b w:val="false"/>
          <w:i w:val="false"/>
          <w:caps w:val="false"/>
          <w:smallCaps w:val="false"/>
          <w:sz w:val="20"/>
        </w:rPr>
        <w:t xml:space="preserve"> has served as a member of our Board since October 2022. Prior to the Business Combination, he served on the 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Times;Serif" w:hAnsi="Times New Roman;Times;Serif"/>
          <w:b/>
          <w:i w:val="false"/>
          <w:caps w:val="false"/>
          <w:smallCaps w:val="false"/>
          <w:sz w:val="20"/>
        </w:rPr>
        <w:t>S.A.C.</w:t>
      </w:r>
      <w:r>
        <w:rPr>
          <w:rFonts w:ascii="Times New Roman;Times;Serif" w:hAnsi="Times New Roman;Times;Serif"/>
          <w:b w:val="false"/>
          <w:i w:val="false"/>
          <w:caps w:val="false"/>
          <w:smallCaps w:val="false"/>
          <w:sz w:val="20"/>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Times;Serif" w:hAnsi="Times New Roman;Times;Serif"/>
          <w:b/>
          <w:i w:val="false"/>
          <w:caps w:val="false"/>
          <w:smallCaps w:val="false"/>
          <w:sz w:val="20"/>
        </w:rPr>
        <w:t>IISS</w:t>
      </w:r>
      <w:r>
        <w:rPr>
          <w:rFonts w:ascii="Times New Roman;Times;Serif" w:hAnsi="Times New Roman;Times;Serif"/>
          <w:b w:val="false"/>
          <w:i w:val="false"/>
          <w:caps w:val="false"/>
          <w:smallCaps w:val="false"/>
          <w:sz w:val="20"/>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three classes of a total of seven directors. Our directors each serve staggered three-year terms with one class being elected at each year’s annual meeting of stockholders, as follows:</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Rick Parod and Karina Edmonds, whose terms will expire at the 2026 annual meeting of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and Jonathan Bellows, whose terms will expire at the 2027 annual meeting of stockholders;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Luisa Ingargiola and Perry Boyle, whose terms will expire at the 2025 annual meeting of stockholders.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pStyle w:val="TextBody"/>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Times;Serif" w:hAnsi="Times New Roman;Times;Serif"/>
          <w:b w:val="false"/>
          <w:i/>
          <w:caps w:val="false"/>
          <w:smallCaps w:val="false"/>
          <w:sz w:val="20"/>
          <w:u w:val="single"/>
        </w:rPr>
        <w:t>https://dragonflyenergy.com</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Ms. Ingargiola qualifies as an audit committee financial expert within the meaning of SEC regulations and the Nasdaq Marketplace Rules.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our directors and senior management’s compensation and the administration of our compensation plans. Our Board determined that each of the members of the compensation committee are a non-employee director, as defined in Rule 16b-3 promulgated under the Exchange Act and satisfies the independence requirements of Nasdaq.</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of Directors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12915 Old Virginia Road, Reno, Nevada 89521. Our Nominating and Corporate Governance Committee has discretion to decide which individuals to recommend for nomination as directors.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us at any given time.</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primarily responsible for overseeing our risk management processes. The Board receives and reviews periodic reports from management, auditors, legal counsel, and others, as considered appropriate regarding our assessment of risks. The Board focuses on the most significant risks we face and our general risk management strategy, and also ensures that risks undertaken by us are consistent with the Board’s risk strategy. While the Board oversees our risk management, management is responsible for day-to-day risk management processes. We believe this division of responsibilities is the most effective approach for addressing the risks we face and that our Board leadership structure supports this approach.</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Times;Serif" w:hAnsi="Times New Roman;Times;Serif"/>
          <w:b w:val="false"/>
          <w:i/>
          <w:caps w:val="false"/>
          <w:smallCaps w:val="false"/>
          <w:sz w:val="20"/>
          <w:u w:val="single"/>
        </w:rPr>
        <w:t>https://dragonflyenergy.com/.</w:t>
      </w:r>
    </w:p>
    <w:p>
      <w:pPr>
        <w:pStyle w:val="TextBody"/>
        <w:shd w:fill="FFFFFF" w:val="clear"/>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arrangements and policies.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72" w:name="xdx_907_eecd--InsiderTrdPoliciesProcAdop"/>
      <w:bookmarkEnd w:id="72"/>
      <w:r>
        <w:rPr>
          <w:rFonts w:ascii="Times New Roman;Times;Serif" w:hAnsi="Times New Roman;Times;Serif"/>
          <w:b w:val="false"/>
          <w:i w:val="false"/>
          <w:caps w:val="false"/>
          <w:smallCaps w:val="false"/>
          <w:sz w:val="20"/>
        </w:rPr>
        <w:t>adopted an insider trading policy that governs the purchase, sale, and/or other transactions of our securities by our directors, officers and employees. A copy of our insider trading policy is filed as Exhibit 19.1 to this Annual Report on Form 10-K for the fiscal year ended December 31, 2024. In addition, with regard to us trading in our own securities, it is our policy to comply with the federal securities laws and the applicable exchange listing requirements in all respects.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persons who own more than 10% of a registered class of our securities to file with the SEC initial reports of ownership and reports of changes in ownership of common stock and other equity securities of the Company. Directors, executive officers and greater than 10% stockholders are required by SEC regulation to furnish us with copies of all Section 16(a) reports they file. To our knowledge, based solely on the review of the copies of these forms furnished to us and representations that no other reports were required, we believe that all forms required to be filed under Section 16 of the Exchange Act for the year ended December 31, 2023 were filed timely, except for the following: we filed a Form 4 for Karina Edmonds on August 30, 2023 to report her purchases of common stock on October 25, 2022 and February 23, 2023.</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3" w:name="a_008"/>
      <w:bookmarkEnd w:id="73"/>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awarded to, earned by, or paid to each person serving as our Chief Executive Officer during the fiscal year ended December 31, 2024, the two most highly-compensated executive officers (other than the Chief Executive Officer) who were serving as executive officers during the fiscal years ended December 31, 2024 and December 31, 2023, and up to two additional individuals for whom disclosure would have been provided but for the fact that such individuals were not serving as an executive officer as of December 31, 2024 for services rendered in all capacities to us for the fiscal year ended December 31, 2024. These individuals are our named executive officers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for fiscal 2024.</w:t>
      </w:r>
    </w:p>
    <w:p>
      <w:pPr>
        <w:pStyle w:val="TextBody"/>
        <w:bidi w:val="0"/>
        <w:spacing w:before="0" w:after="0"/>
        <w:ind w:left="10" w:right="0" w:hanging="10"/>
        <w:jc w:val="both"/>
        <w:rPr>
          <w:caps w:val="false"/>
          <w:smallCaps w:val="false"/>
        </w:rPr>
      </w:pPr>
      <w:r>
        <w:rPr>
          <w:caps w:val="false"/>
          <w:smallCaps w:val="false"/>
        </w:rPr>
        <w:t> </w:t>
      </w:r>
    </w:p>
    <w:tbl>
      <w:tblPr>
        <w:tblW w:w="11770" w:type="dxa"/>
        <w:jc w:val="left"/>
        <w:tblInd w:w="0" w:type="dxa"/>
        <w:tblLayout w:type="fixed"/>
        <w:tblCellMar>
          <w:top w:w="0" w:type="dxa"/>
          <w:left w:w="0" w:type="dxa"/>
          <w:bottom w:w="0" w:type="dxa"/>
          <w:right w:w="0" w:type="dxa"/>
        </w:tblCellMar>
      </w:tblPr>
      <w:tblGrid>
        <w:gridCol w:w="1220"/>
        <w:gridCol w:w="60"/>
        <w:gridCol w:w="60"/>
        <w:gridCol w:w="500"/>
        <w:gridCol w:w="60"/>
        <w:gridCol w:w="60"/>
        <w:gridCol w:w="60"/>
        <w:gridCol w:w="800"/>
        <w:gridCol w:w="60"/>
        <w:gridCol w:w="60"/>
        <w:gridCol w:w="60"/>
        <w:gridCol w:w="800"/>
        <w:gridCol w:w="60"/>
        <w:gridCol w:w="60"/>
        <w:gridCol w:w="60"/>
        <w:gridCol w:w="800"/>
        <w:gridCol w:w="60"/>
        <w:gridCol w:w="60"/>
        <w:gridCol w:w="154"/>
        <w:gridCol w:w="676"/>
        <w:gridCol w:w="60"/>
        <w:gridCol w:w="60"/>
        <w:gridCol w:w="278"/>
        <w:gridCol w:w="1212"/>
        <w:gridCol w:w="215"/>
        <w:gridCol w:w="60"/>
        <w:gridCol w:w="278"/>
        <w:gridCol w:w="1212"/>
        <w:gridCol w:w="60"/>
        <w:gridCol w:w="60"/>
        <w:gridCol w:w="144"/>
        <w:gridCol w:w="1346"/>
        <w:gridCol w:w="60"/>
        <w:gridCol w:w="60"/>
        <w:gridCol w:w="60"/>
        <w:gridCol w:w="800"/>
        <w:gridCol w:w="75"/>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Non-Equity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Non-Qualified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Incentive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Deferred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Plan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b/>
              </w:rPr>
            </w:pPr>
            <w:r>
              <w:rPr>
                <w:b/>
              </w:rPr>
              <w:t>Name and</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pPr>
            <w:r>
              <w:rPr/>
              <w:t>Dr. Denis Phares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i/>
              </w:rPr>
            </w:pPr>
            <w:r>
              <w:rPr>
                <w:i/>
              </w:rPr>
              <w:t>Chief Executive Officer, Interim Chief Financial Officer, President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255,333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(3)</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877,333</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pPr>
            <w:r>
              <w:rPr/>
              <w:t>Wade Seaburg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340,000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i/>
              </w:rPr>
            </w:pPr>
            <w:r>
              <w:rPr>
                <w:i/>
              </w:rPr>
              <w:t>Chief Commercial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81,666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(4)</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421,666</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pPr>
            <w:r>
              <w:rPr/>
              <w:t>Tyler Bourns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Marketing</w:t>
            </w:r>
          </w:p>
          <w:p>
            <w:pPr>
              <w:pStyle w:val="TableContents"/>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(5)</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319,333</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pPr>
            <w:r>
              <w:rPr/>
              <w:t>John Marchetti (6)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127,202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6,727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133,929</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i/>
              </w:rPr>
            </w:pPr>
            <w:r>
              <w:rPr>
                <w:i/>
              </w:rPr>
              <w:t>Former Senior Vice President, Operations, Former Chief Financial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227,692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107,667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(7)</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510,359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6"/>
        <w:gridCol w:w="9934"/>
      </w:tblGrid>
      <w:tr>
        <w:trPr/>
        <w:tc>
          <w:tcPr>
            <w:tcW w:w="75"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both"/>
              <w:rPr>
                <w:sz w:val="20"/>
              </w:rPr>
            </w:pPr>
            <w:r>
              <w:rPr>
                <w:sz w:val="20"/>
              </w:rPr>
              <w:t>(1)</w:t>
            </w:r>
          </w:p>
        </w:tc>
        <w:tc>
          <w:tcPr>
            <w:tcW w:w="9934" w:type="dxa"/>
            <w:tcBorders/>
            <w:shd w:fill="FFFFFF" w:val="clear"/>
            <w:vAlign w:val="center"/>
          </w:tcPr>
          <w:p>
            <w:pPr>
              <w:pStyle w:val="TableContents"/>
              <w:bidi w:val="0"/>
              <w:spacing w:before="0" w:after="283"/>
              <w:jc w:val="both"/>
              <w:rPr>
                <w:sz w:val="20"/>
              </w:rPr>
            </w:pPr>
            <w:r>
              <w:rPr>
                <w:sz w:val="20"/>
              </w:rPr>
              <w:t>The amounts reported in this column represent discretionary bonuses awarded to each executive for performance during the fiscal year ended December 31, 2023.</w:t>
            </w:r>
          </w:p>
        </w:tc>
      </w:tr>
      <w:tr>
        <w:trPr/>
        <w:tc>
          <w:tcPr>
            <w:tcW w:w="75"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both"/>
              <w:rPr/>
            </w:pPr>
            <w:r>
              <w:rPr/>
              <w:t> </w:t>
            </w:r>
          </w:p>
        </w:tc>
        <w:tc>
          <w:tcPr>
            <w:tcW w:w="9934"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both"/>
              <w:rPr>
                <w:sz w:val="20"/>
              </w:rPr>
            </w:pPr>
            <w:r>
              <w:rPr>
                <w:sz w:val="20"/>
              </w:rPr>
              <w:t>(2)</w:t>
            </w:r>
          </w:p>
        </w:tc>
        <w:tc>
          <w:tcPr>
            <w:tcW w:w="9934" w:type="dxa"/>
            <w:tcBorders/>
            <w:shd w:fill="FFFFFF" w:val="clear"/>
            <w:vAlign w:val="center"/>
          </w:tcPr>
          <w:p>
            <w:pPr>
              <w:pStyle w:val="TableContents"/>
              <w:bidi w:val="0"/>
              <w:spacing w:before="0" w:after="283"/>
              <w:jc w:val="both"/>
              <w:rPr/>
            </w:pPr>
            <w:r>
              <w:rPr>
                <w:sz w:val="20"/>
              </w:rPr>
              <w:t>The amounts reported in this column reflect the grant date fair value of restricted stock awards granted to the NEOs for performance during the fiscal years ended December 31, 2024 and December 31, 2023 under the 2022 Plan (as defined below) and are accounted for in accordance with FASB ASC Topic 718. Please see the section titled “</w:t>
            </w:r>
            <w:r>
              <w:rPr>
                <w:i/>
                <w:sz w:val="20"/>
              </w:rPr>
              <w:t>Stock-Based Compensation</w:t>
            </w:r>
            <w:r>
              <w:rPr>
                <w:sz w:val="20"/>
              </w:rPr>
              <w:t xml:space="preserve">” beginning on page F-11 </w:t>
            </w:r>
            <w:r>
              <w:rPr/>
              <w:t> </w:t>
            </w:r>
            <w:r>
              <w:rPr>
                <w:sz w:val="20"/>
              </w:rPr>
              <w:t>of our Notes to Consolidated Financial Statements included elsewhere in the 2024 Annual Report for a discussion of the relevant assumptions used in calculating these amounts.</w:t>
            </w:r>
          </w:p>
        </w:tc>
      </w:tr>
      <w:tr>
        <w:trPr/>
        <w:tc>
          <w:tcPr>
            <w:tcW w:w="75"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both"/>
              <w:rPr/>
            </w:pPr>
            <w:r>
              <w:rPr/>
              <w:t> </w:t>
            </w:r>
          </w:p>
        </w:tc>
        <w:tc>
          <w:tcPr>
            <w:tcW w:w="9934"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both"/>
              <w:rPr>
                <w:sz w:val="20"/>
              </w:rPr>
            </w:pPr>
            <w:r>
              <w:rPr>
                <w:sz w:val="20"/>
              </w:rPr>
              <w:t>(3)</w:t>
            </w:r>
          </w:p>
        </w:tc>
        <w:tc>
          <w:tcPr>
            <w:tcW w:w="9934" w:type="dxa"/>
            <w:tcBorders/>
            <w:shd w:fill="FFFFFF" w:val="clear"/>
            <w:vAlign w:val="center"/>
          </w:tcPr>
          <w:p>
            <w:pPr>
              <w:pStyle w:val="TableContents"/>
              <w:bidi w:val="0"/>
              <w:spacing w:before="0" w:after="283"/>
              <w:jc w:val="both"/>
              <w:rPr>
                <w:sz w:val="20"/>
              </w:rPr>
            </w:pPr>
            <w:r>
              <w:rPr>
                <w:sz w:val="20"/>
              </w:rPr>
              <w:t>On April 12, 2024, Dr. Phares received a contingent cash award in the amount of $510,666.67 for services performed for the year ended December 31, 2023, which will not be paid out to Dr. Phares until we have achieved a minimum cash balance of $30,000,000, subject to his continued employment on the date of payment.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0"/>
        <w:gridCol w:w="9930"/>
      </w:tblGrid>
      <w:tr>
        <w:trPr/>
        <w:tc>
          <w:tcPr>
            <w:tcW w:w="75" w:type="dxa"/>
            <w:tcBorders/>
            <w:shd w:fill="FFFFFF" w:val="clear"/>
            <w:vAlign w:val="center"/>
          </w:tcPr>
          <w:p>
            <w:pPr>
              <w:pStyle w:val="TableContents"/>
              <w:bidi w:val="0"/>
              <w:spacing w:before="0" w:after="283"/>
              <w:jc w:val="both"/>
              <w:rPr/>
            </w:pPr>
            <w:r>
              <w:rPr/>
              <w:t> </w:t>
            </w:r>
          </w:p>
        </w:tc>
        <w:tc>
          <w:tcPr>
            <w:tcW w:w="200" w:type="dxa"/>
            <w:tcBorders/>
            <w:shd w:fill="FFFFFF" w:val="clear"/>
            <w:vAlign w:val="center"/>
          </w:tcPr>
          <w:p>
            <w:pPr>
              <w:pStyle w:val="TableContents"/>
              <w:bidi w:val="0"/>
              <w:spacing w:before="0" w:after="283"/>
              <w:jc w:val="both"/>
              <w:rPr>
                <w:sz w:val="20"/>
              </w:rPr>
            </w:pPr>
            <w:r>
              <w:rPr>
                <w:sz w:val="20"/>
              </w:rPr>
              <w:t>(4)</w:t>
            </w:r>
          </w:p>
        </w:tc>
        <w:tc>
          <w:tcPr>
            <w:tcW w:w="9930" w:type="dxa"/>
            <w:tcBorders/>
            <w:shd w:fill="FFFFFF" w:val="clear"/>
            <w:vAlign w:val="center"/>
          </w:tcPr>
          <w:p>
            <w:pPr>
              <w:pStyle w:val="TableContents"/>
              <w:bidi w:val="0"/>
              <w:spacing w:before="0" w:after="283"/>
              <w:jc w:val="both"/>
              <w:rPr>
                <w:sz w:val="20"/>
              </w:rPr>
            </w:pPr>
            <w:r>
              <w:rPr>
                <w:sz w:val="20"/>
              </w:rPr>
              <w:t>On April 12, 2024, Mr. Seaburg received a contingent cash award in the amount of $163,333.33 for services performed in December 31, 2023, which will not be paid out to Mr. Seaburg until we have achieved a minimum cash balance of $30,000,000, subject to his continued employment on the date of payment.</w:t>
            </w:r>
          </w:p>
        </w:tc>
      </w:tr>
      <w:tr>
        <w:trPr/>
        <w:tc>
          <w:tcPr>
            <w:tcW w:w="75" w:type="dxa"/>
            <w:tcBorders/>
            <w:shd w:fill="FFFFFF" w:val="clear"/>
            <w:vAlign w:val="center"/>
          </w:tcPr>
          <w:p>
            <w:pPr>
              <w:pStyle w:val="TableContents"/>
              <w:bidi w:val="0"/>
              <w:spacing w:before="0" w:after="283"/>
              <w:jc w:val="both"/>
              <w:rPr/>
            </w:pPr>
            <w:r>
              <w:rPr/>
              <w:t> </w:t>
            </w:r>
          </w:p>
        </w:tc>
        <w:tc>
          <w:tcPr>
            <w:tcW w:w="200" w:type="dxa"/>
            <w:tcBorders/>
            <w:shd w:fill="FFFFFF" w:val="clear"/>
            <w:vAlign w:val="center"/>
          </w:tcPr>
          <w:p>
            <w:pPr>
              <w:pStyle w:val="TableContents"/>
              <w:bidi w:val="0"/>
              <w:spacing w:before="0" w:after="283"/>
              <w:jc w:val="both"/>
              <w:rPr/>
            </w:pPr>
            <w:r>
              <w:rPr/>
              <w:t> </w:t>
            </w:r>
          </w:p>
        </w:tc>
        <w:tc>
          <w:tcPr>
            <w:tcW w:w="993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200" w:type="dxa"/>
            <w:tcBorders/>
            <w:shd w:fill="FFFFFF" w:val="clear"/>
            <w:vAlign w:val="center"/>
          </w:tcPr>
          <w:p>
            <w:pPr>
              <w:pStyle w:val="TableContents"/>
              <w:bidi w:val="0"/>
              <w:spacing w:before="0" w:after="283"/>
              <w:jc w:val="both"/>
              <w:rPr>
                <w:sz w:val="20"/>
              </w:rPr>
            </w:pPr>
            <w:r>
              <w:rPr>
                <w:sz w:val="20"/>
              </w:rPr>
              <w:t>(5)</w:t>
            </w:r>
          </w:p>
        </w:tc>
        <w:tc>
          <w:tcPr>
            <w:tcW w:w="9930" w:type="dxa"/>
            <w:tcBorders/>
            <w:shd w:fill="FFFFFF" w:val="clear"/>
            <w:vAlign w:val="center"/>
          </w:tcPr>
          <w:p>
            <w:pPr>
              <w:pStyle w:val="TableContents"/>
              <w:bidi w:val="0"/>
              <w:spacing w:before="0" w:after="283"/>
              <w:jc w:val="both"/>
              <w:rPr>
                <w:sz w:val="20"/>
              </w:rPr>
            </w:pPr>
            <w:r>
              <w:rPr>
                <w:sz w:val="20"/>
              </w:rPr>
              <w:t>On April 12, 2024, Mr. Bourns received a contingent cash award in the amount of $78,667.67 for services performed in December 31, 2023, which will not be paid out to Mr. Bourns until we have achieved a minimum cash balance of $30,000,000, subject to his continued employment on the date of payment.</w:t>
            </w:r>
          </w:p>
        </w:tc>
      </w:tr>
      <w:tr>
        <w:trPr/>
        <w:tc>
          <w:tcPr>
            <w:tcW w:w="75" w:type="dxa"/>
            <w:tcBorders/>
            <w:shd w:fill="FFFFFF" w:val="clear"/>
            <w:vAlign w:val="center"/>
          </w:tcPr>
          <w:p>
            <w:pPr>
              <w:pStyle w:val="TableContents"/>
              <w:bidi w:val="0"/>
              <w:spacing w:before="0" w:after="283"/>
              <w:jc w:val="both"/>
              <w:rPr/>
            </w:pPr>
            <w:r>
              <w:rPr/>
              <w:t> </w:t>
            </w:r>
          </w:p>
        </w:tc>
        <w:tc>
          <w:tcPr>
            <w:tcW w:w="200" w:type="dxa"/>
            <w:tcBorders/>
            <w:shd w:fill="FFFFFF" w:val="clear"/>
            <w:vAlign w:val="center"/>
          </w:tcPr>
          <w:p>
            <w:pPr>
              <w:pStyle w:val="TableContents"/>
              <w:bidi w:val="0"/>
              <w:spacing w:before="0" w:after="283"/>
              <w:jc w:val="both"/>
              <w:rPr/>
            </w:pPr>
            <w:r>
              <w:rPr/>
              <w:t> </w:t>
            </w:r>
          </w:p>
        </w:tc>
        <w:tc>
          <w:tcPr>
            <w:tcW w:w="993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both"/>
              <w:rPr>
                <w:sz w:val="20"/>
              </w:rPr>
            </w:pPr>
            <w:r>
              <w:rPr>
                <w:sz w:val="20"/>
              </w:rPr>
              <w:t>(6)</w:t>
            </w:r>
          </w:p>
        </w:tc>
        <w:tc>
          <w:tcPr>
            <w:tcW w:w="9930" w:type="dxa"/>
            <w:tcBorders/>
            <w:shd w:fill="FFFFFF" w:val="clear"/>
            <w:vAlign w:val="center"/>
          </w:tcPr>
          <w:p>
            <w:pPr>
              <w:pStyle w:val="TableContents"/>
              <w:bidi w:val="0"/>
              <w:spacing w:before="0" w:after="283"/>
              <w:jc w:val="both"/>
              <w:rPr>
                <w:sz w:val="20"/>
              </w:rPr>
            </w:pPr>
            <w:r>
              <w:rPr>
                <w:sz w:val="20"/>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26,585 RSUs were forfeited.</w:t>
            </w:r>
          </w:p>
        </w:tc>
      </w:tr>
      <w:tr>
        <w:trPr/>
        <w:tc>
          <w:tcPr>
            <w:tcW w:w="75" w:type="dxa"/>
            <w:tcBorders/>
            <w:shd w:fill="FFFFFF" w:val="clear"/>
            <w:vAlign w:val="center"/>
          </w:tcPr>
          <w:p>
            <w:pPr>
              <w:pStyle w:val="TableContents"/>
              <w:bidi w:val="0"/>
              <w:spacing w:before="0" w:after="283"/>
              <w:jc w:val="both"/>
              <w:rPr/>
            </w:pPr>
            <w:r>
              <w:rPr/>
              <w:t> </w:t>
            </w:r>
          </w:p>
        </w:tc>
        <w:tc>
          <w:tcPr>
            <w:tcW w:w="200" w:type="dxa"/>
            <w:tcBorders/>
            <w:shd w:fill="FFFFFF" w:val="clear"/>
            <w:vAlign w:val="center"/>
          </w:tcPr>
          <w:p>
            <w:pPr>
              <w:pStyle w:val="TableContents"/>
              <w:bidi w:val="0"/>
              <w:spacing w:before="0" w:after="283"/>
              <w:jc w:val="both"/>
              <w:rPr>
                <w:sz w:val="20"/>
              </w:rPr>
            </w:pPr>
            <w:r>
              <w:rPr>
                <w:sz w:val="20"/>
              </w:rPr>
              <w:t>(7)</w:t>
            </w:r>
          </w:p>
        </w:tc>
        <w:tc>
          <w:tcPr>
            <w:tcW w:w="9930" w:type="dxa"/>
            <w:tcBorders/>
            <w:shd w:fill="FFFFFF" w:val="clear"/>
            <w:vAlign w:val="center"/>
          </w:tcPr>
          <w:p>
            <w:pPr>
              <w:pStyle w:val="TableContents"/>
              <w:bidi w:val="0"/>
              <w:spacing w:before="0" w:after="283"/>
              <w:jc w:val="both"/>
              <w:rPr>
                <w:sz w:val="20"/>
              </w:rPr>
            </w:pPr>
            <w:r>
              <w:rPr>
                <w:sz w:val="20"/>
              </w:rPr>
              <w:t>On April 12, 2024, Mr. Marchetti received a contingent cash award in the amount of $215,333.33 for services performed in December 31, 2023, which will not be paid out to Mr. Marchetti until we have achieved a minimum cash balance of $30,000,000, subject to his continued employment on the date of payment. As a result of the termination of Mr. Marchetti’s employment, his contingent cash award was forfeited.</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the Compensation Committee engaged Compensia, Inc. as our independent compensation consultant.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 Dragonfly Energy Holdings Corp. did not engage an independent compensation consultant for years ended December 31, 2023 or December 31, 2024.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 Employment Agreements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and Mr. Marchetti. On November 7, 2022, we entered into an employment agreement with each of Mr. Seaburg and Mr. Bourns.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Seaburg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him providing a release of claims to us and his continued compliance with the restrictive covenants in favor of us in the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we entered into amendments to the employment agreements with Dr. Phares, Mr. Marchetti, Mr. Seaburg and Mr. Bourns to amend the terms of their annual equity compensation (the “</w:t>
      </w:r>
      <w:r>
        <w:rPr>
          <w:rFonts w:ascii="Times New Roman;Times;Serif" w:hAnsi="Times New Roman;Times;Serif"/>
          <w:b/>
          <w:i w:val="false"/>
          <w:caps w:val="false"/>
          <w:smallCaps w:val="false"/>
          <w:sz w:val="20"/>
        </w:rPr>
        <w:t>Amended Employee Agreements</w:t>
      </w:r>
      <w:r>
        <w:rPr>
          <w:rFonts w:ascii="Times New Roman;Times;Serif" w:hAnsi="Times New Roman;Times;Serif"/>
          <w:b w:val="false"/>
          <w:i w:val="false"/>
          <w:caps w:val="false"/>
          <w:smallCaps w:val="false"/>
          <w:sz w:val="20"/>
        </w:rPr>
        <w:t>”).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 of the board of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Mr. Marchetti’s employment with us as our Senior Vice President, Operations, was terminated.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2024, including the vesting dates for the portions of these awards that had not vested as of that date. The NEO did not hold any other outstanding equity awards as of that date.</w:t>
      </w:r>
    </w:p>
    <w:p>
      <w:pPr>
        <w:pStyle w:val="TextBody"/>
        <w:bidi w:val="0"/>
        <w:spacing w:before="0" w:after="0"/>
        <w:ind w:left="10" w:right="0" w:hanging="10"/>
        <w:jc w:val="both"/>
        <w:rPr>
          <w:caps w:val="false"/>
          <w:smallCaps w:val="false"/>
        </w:rPr>
      </w:pPr>
      <w:r>
        <w:rPr>
          <w:caps w:val="false"/>
          <w:smallCaps w:val="false"/>
        </w:rPr>
        <w:t> </w:t>
      </w:r>
    </w:p>
    <w:tbl>
      <w:tblPr>
        <w:tblW w:w="7264" w:type="dxa"/>
        <w:jc w:val="left"/>
        <w:tblInd w:w="0" w:type="dxa"/>
        <w:tblLayout w:type="fixed"/>
        <w:tblCellMar>
          <w:top w:w="0" w:type="dxa"/>
          <w:left w:w="0" w:type="dxa"/>
          <w:bottom w:w="0" w:type="dxa"/>
          <w:right w:w="0" w:type="dxa"/>
        </w:tblCellMar>
      </w:tblPr>
      <w:tblGrid>
        <w:gridCol w:w="1355"/>
        <w:gridCol w:w="60"/>
        <w:gridCol w:w="125"/>
        <w:gridCol w:w="930"/>
        <w:gridCol w:w="60"/>
        <w:gridCol w:w="60"/>
        <w:gridCol w:w="247"/>
        <w:gridCol w:w="973"/>
        <w:gridCol w:w="60"/>
        <w:gridCol w:w="60"/>
        <w:gridCol w:w="105"/>
        <w:gridCol w:w="1054"/>
        <w:gridCol w:w="245"/>
        <w:gridCol w:w="60"/>
        <w:gridCol w:w="82"/>
        <w:gridCol w:w="673"/>
        <w:gridCol w:w="60"/>
        <w:gridCol w:w="60"/>
        <w:gridCol w:w="995"/>
      </w:tblGrid>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49"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r>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Equity</w:t>
            </w:r>
            <w:r>
              <w:rPr>
                <w:rFonts w:ascii="Times New Roman;Times;Serif" w:hAnsi="Times New Roman;Times;Serif"/>
                <w:b w:val="false"/>
                <w:i w:val="false"/>
                <w:caps w:val="false"/>
                <w:smallCaps w:val="false"/>
                <w:sz w:val="20"/>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Awards:</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r>
      <w:tr>
        <w:trPr/>
        <w:tc>
          <w:tcPr>
            <w:tcW w:w="1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Unearned</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tc>
      </w:tr>
      <w:tr>
        <w:trPr/>
        <w:tc>
          <w:tcPr>
            <w:tcW w:w="13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63,046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04/12/2034</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Wade Seaburg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20,165</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04/12/2034</w:t>
            </w:r>
          </w:p>
        </w:tc>
      </w:tr>
      <w:tr>
        <w:trPr/>
        <w:tc>
          <w:tcPr>
            <w:tcW w:w="1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06/09/2030</w:t>
            </w:r>
          </w:p>
        </w:tc>
      </w:tr>
      <w:tr>
        <w:trPr/>
        <w:tc>
          <w:tcPr>
            <w:tcW w:w="1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10/19/2030</w:t>
            </w:r>
          </w:p>
        </w:tc>
      </w:tr>
      <w:tr>
        <w:trPr/>
        <w:tc>
          <w:tcPr>
            <w:tcW w:w="1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08/04/2031</w:t>
            </w:r>
          </w:p>
        </w:tc>
      </w:tr>
      <w:tr>
        <w:trPr/>
        <w:tc>
          <w:tcPr>
            <w:tcW w:w="1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12/06/2031</w:t>
            </w:r>
          </w:p>
        </w:tc>
      </w:tr>
      <w:tr>
        <w:trPr/>
        <w:tc>
          <w:tcPr>
            <w:tcW w:w="1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12/06/2031</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12/06/2031</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04/12/2034</w:t>
            </w:r>
          </w:p>
        </w:tc>
      </w:tr>
    </w:tbl>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stock units vest annually as to 1/3rd on April 12, 2025, with the remaining shares vesting in equal annual installments over a period of 2 years.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August 4, 2022, with the remaining shares vesting in equal monthly installments over a period of 36 months commencing on September 4, 2022.</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6"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December 6, 2021, with the remaining shares vesting in equal monthly installments over a period of 36 months commencing on January 6, 2022.</w:t>
            </w:r>
          </w:p>
        </w:tc>
      </w:tr>
    </w:tbl>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2023, on April 12, 2024, Dr. Phares was granted 63,046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Mr. Marchetti was granted 26,585 RSUs, Mr. Seaburg was granted 20,165 RSUs, and Mr. Bourns was granted 9,712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$510,666.67 to Dr. Phares; (ii) $215,333.33 to Mr. Marchetti, (iii) $163,333.33 to Mr. Seaburg; and (iv) $78,667.67 to Mr. Bourns. Each of the approved cash awards will not be paid out to the employees until we have achieved a minimum cash balance of $30,000,000, and are subject to each employee’s continued employment on the date of payment.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termination of Mr. Marchetti’s employment, his 26,585 RSUs and cash award of $215,333.33 were forfeited.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22,697 RSUs, Mr. Marchetti was granted 9,571 RSUs, Mr. Seaburg was granted 7,260 RSUs and Mr. Bourns was granted 3,497 RSUs. Each grant vested in full on the date of grant.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formal policy that requires us to grant, or avoid granting, stock options at particular times. We have in the past typically granted RSUs to our officers and directors and do not typically grant stock options but may do so in the future. The timing of any stock option grants in connection with new hires, promotions, or other non-routine grants is tied to the event giving rise to the award (such as an employee’s commencement of employment or promotion effective date). As a result, in all cases, the timing of grants of stock options occurs independent of the release of any material nonpublic information, and we do not time the disclosure of material nonpublic information for the purpose of affecting the value of executive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options were issued to executive officers in 2024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that provides for cash and equity compensation for members of our Board of directors who are not employed by us or any of our subsidiaries (our “</w:t>
      </w:r>
      <w:r>
        <w:rPr>
          <w:rFonts w:ascii="Times New Roman;Times;Serif" w:hAnsi="Times New Roman;Times;Serif"/>
          <w:b/>
          <w:i w:val="false"/>
          <w:caps w:val="false"/>
          <w:smallCaps w:val="false"/>
          <w:sz w:val="20"/>
        </w:rPr>
        <w:t>Non-Employee Directors</w:t>
      </w:r>
      <w:r>
        <w:rPr>
          <w:rFonts w:ascii="Times New Roman;Times;Serif" w:hAnsi="Times New Roman;Times;Serif"/>
          <w:b w:val="false"/>
          <w:i w:val="false"/>
          <w:caps w:val="false"/>
          <w:smallCaps w:val="false"/>
          <w:sz w:val="20"/>
        </w:rPr>
        <w:t>”). The policy provides that each Non-Employee Director is entitled to receive the following cash compensation for board service, as applicable:</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also has discretion under the director compensation policy to grant Non-Employee Directors equity-based awards under our Dragonfly Energy Holdings 2022 Equity Incentive Plan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October 7, 2022, we granted each of our Non-Employee Directors then serving of the Board (i.e. Jonathan Bellows, Perry Boyle, Karina Montilla Edmonds, Luisa Ingargiola, Brian Nelson, and Rick Parod) an award of 3,334 RSUs under the 2022 Plan that are eligible to vest on the first anniversary of the grant date, subject to the director’s continued service on the Board through the vesting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granted each of our Non-Employee Directors then serving on the Board (i.e. Jonathan Bellows, Perry Boyle, Karina Montilla Edmonds, Luisa Ingargiola, Brian Nelson, and Rick Parod) an award of 24,692 RSUs units under the 2022 Plan that are eligible to vest in three equal annual installments, beginning on the first anniversary of the grant date, subject to the director’s continued service on the Board through each vesting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awarded to, earned by, or paid to our Non-Employee Directors for services on our board during the year ended December 31, 2024. Dr. Phares did not receive any additional compensation for his service on the Board during the year ended December 31, 2024.</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74"/>
        <w:gridCol w:w="60"/>
        <w:gridCol w:w="185"/>
        <w:gridCol w:w="1823"/>
        <w:gridCol w:w="60"/>
        <w:gridCol w:w="60"/>
        <w:gridCol w:w="107"/>
        <w:gridCol w:w="1256"/>
        <w:gridCol w:w="60"/>
        <w:gridCol w:w="60"/>
        <w:gridCol w:w="263"/>
        <w:gridCol w:w="1150"/>
        <w:gridCol w:w="60"/>
        <w:gridCol w:w="60"/>
        <w:gridCol w:w="311"/>
        <w:gridCol w:w="1662"/>
        <w:gridCol w:w="60"/>
        <w:gridCol w:w="60"/>
        <w:gridCol w:w="60"/>
        <w:gridCol w:w="695"/>
        <w:gridCol w:w="79"/>
      </w:tblGrid>
      <w:tr>
        <w:trPr/>
        <w:tc>
          <w:tcPr>
            <w:tcW w:w="2074"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08"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63"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 ($)(1)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13"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973"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5"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7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07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44,100</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6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144,100</w:t>
            </w:r>
          </w:p>
        </w:tc>
        <w:tc>
          <w:tcPr>
            <w:tcW w:w="79"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07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144,100</w:t>
            </w:r>
          </w:p>
        </w:tc>
        <w:tc>
          <w:tcPr>
            <w:tcW w:w="7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07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 Ph.D.</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51,600</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6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151,600</w:t>
            </w:r>
          </w:p>
        </w:tc>
        <w:tc>
          <w:tcPr>
            <w:tcW w:w="79"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07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74,100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174,100</w:t>
            </w:r>
          </w:p>
        </w:tc>
        <w:tc>
          <w:tcPr>
            <w:tcW w:w="7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07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55,350</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6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155,350</w:t>
            </w:r>
          </w:p>
        </w:tc>
        <w:tc>
          <w:tcPr>
            <w:tcW w:w="79"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07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144,100</w:t>
            </w:r>
          </w:p>
        </w:tc>
        <w:tc>
          <w:tcPr>
            <w:tcW w:w="7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in our Notes to Consolidated Financial Statements included in our Annual Report. As of March 31, 2025, each Non-Employee Director held 24,692 unvested RSUs.</w:t>
            </w:r>
          </w:p>
          <w:p>
            <w:pPr>
              <w:pStyle w:val="TableContents"/>
              <w:bidi w:val="0"/>
              <w:spacing w:before="0" w:after="0"/>
              <w:ind w:left="720" w:right="0" w:hanging="36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following options remained outstanding: (i) Luisa Ingargiola held options exercisable for 10,836 shares of common stock; and (ii) Brian Nelson held options exercisable for 7,227 shares of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4" w:name="a_009"/>
      <w:bookmarkEnd w:id="74"/>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10"/>
        <w:jc w:val="both"/>
        <w:rPr>
          <w:caps w:val="false"/>
          <w:smallCaps w:val="false"/>
        </w:rPr>
      </w:pPr>
      <w:r>
        <w:rPr>
          <w:caps w:val="false"/>
          <w:smallCaps w:val="false"/>
        </w:rPr>
        <w:t> </w:t>
      </w:r>
    </w:p>
    <w:p>
      <w:pPr>
        <w:pStyle w:val="TextBody"/>
        <w:shd w:fill="FFFFFF" w:val="clear"/>
        <w:bidi w:val="0"/>
        <w:spacing w:before="0" w:after="0"/>
        <w:ind w:left="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March 31, 2025, with respect to the beneficial ownership of common stock by the following:</w:t>
      </w:r>
    </w:p>
    <w:p>
      <w:pPr>
        <w:pStyle w:val="TextBody"/>
        <w:shd w:fill="FFFFFF" w:val="clear"/>
        <w:bidi w:val="0"/>
        <w:spacing w:before="0" w:after="0"/>
        <w:ind w:left="1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person, or group of affiliated persons, known by us to beneficially own more than 5% of any class of our outstanding shares of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shd w:fill="FFFFFF" w:val="clear"/>
        <w:bidi w:val="0"/>
        <w:spacing w:before="0" w:after="0"/>
        <w:ind w:left="10" w:right="0" w:firstLine="720"/>
        <w:jc w:val="both"/>
        <w:rPr>
          <w:caps w:val="false"/>
          <w:smallCaps w:val="false"/>
        </w:rPr>
      </w:pPr>
      <w:r>
        <w:rPr>
          <w:caps w:val="false"/>
          <w:smallCaps w:val="false"/>
        </w:rPr>
        <w:t> </w:t>
      </w:r>
    </w:p>
    <w:p>
      <w:pPr>
        <w:pStyle w:val="TextBody"/>
        <w:shd w:fill="FFFFFF" w:val="clear"/>
        <w:bidi w:val="0"/>
        <w:spacing w:before="0" w:after="0"/>
        <w:ind w:left="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beneficial ownership of the voting securities by our principal stockholders and management is based upon each person’s information using “beneficial ownership” concepts under the SEC rules. Under these rules, a person is deemed to be a beneficial owner of a security if that person has or shares voting power, which includes the power to vote or direct the voting of the security, or investment power, which includes the power to vote or direct the voting of the security. For purposes of computing the number and percentage of shares beneficially owned by a security holder, any shares which such person has the right to acquire within 60 days of March 31, 2025 (“</w:t>
      </w:r>
      <w:r>
        <w:rPr>
          <w:rFonts w:ascii="Times New Roman;Times;Serif" w:hAnsi="Times New Roman;Times;Serif"/>
          <w:b/>
          <w:i w:val="false"/>
          <w:caps w:val="false"/>
          <w:smallCaps w:val="false"/>
          <w:sz w:val="20"/>
        </w:rPr>
        <w:t>Presently Exercisable Securities</w:t>
      </w:r>
      <w:r>
        <w:rPr>
          <w:rFonts w:ascii="Times New Roman;Times;Serif" w:hAnsi="Times New Roman;Times;Serif"/>
          <w:b w:val="false"/>
          <w:i w:val="false"/>
          <w:caps w:val="false"/>
          <w:smallCaps w:val="false"/>
          <w:sz w:val="20"/>
        </w:rPr>
        <w:t>”), are deemed to be outstanding, but those shares are not deemed to be outstanding for the purpose of computing the percentage ownership of any other security holder.</w:t>
      </w:r>
    </w:p>
    <w:p>
      <w:pPr>
        <w:pStyle w:val="TextBody"/>
        <w:shd w:fill="FFFFFF" w:val="clear"/>
        <w:bidi w:val="0"/>
        <w:spacing w:before="0" w:after="0"/>
        <w:ind w:left="1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shd w:fill="FFFFFF" w:val="clear"/>
        <w:bidi w:val="0"/>
        <w:spacing w:before="0" w:after="0"/>
        <w:ind w:left="10" w:right="0" w:firstLine="720"/>
        <w:jc w:val="both"/>
        <w:rPr>
          <w:caps w:val="false"/>
          <w:smallCaps w:val="false"/>
        </w:rPr>
      </w:pPr>
      <w:r>
        <w:rPr>
          <w:caps w:val="false"/>
          <w:smallCaps w:val="false"/>
        </w:rPr>
        <w:t> </w:t>
      </w:r>
    </w:p>
    <w:p>
      <w:pPr>
        <w:pStyle w:val="TextBody"/>
        <w:shd w:fill="FFFFFF" w:val="clear"/>
        <w:bidi w:val="0"/>
        <w:spacing w:before="0" w:after="0"/>
        <w:ind w:left="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reflects 7,589,642 shares common stock outstanding as of March 27, 2025 plus any shares issuable upon exercise of Presently Exercisable Securities held by such person or entity.</w:t>
      </w:r>
    </w:p>
    <w:p>
      <w:pPr>
        <w:pStyle w:val="TextBody"/>
        <w:shd w:fill="FFFFFF" w:val="clear"/>
        <w:bidi w:val="0"/>
        <w:spacing w:before="0" w:after="0"/>
        <w:ind w:left="10" w:right="0" w:firstLine="720"/>
        <w:jc w:val="both"/>
        <w:rPr>
          <w:caps w:val="false"/>
          <w:smallCaps w:val="false"/>
        </w:rPr>
      </w:pPr>
      <w:r>
        <w:rPr>
          <w:caps w:val="false"/>
          <w:smallCaps w:val="false"/>
        </w:rPr>
        <w:t> </w:t>
      </w:r>
    </w:p>
    <w:p>
      <w:pPr>
        <w:pStyle w:val="TextBody"/>
        <w:shd w:fill="FFFFFF" w:val="clear"/>
        <w:bidi w:val="0"/>
        <w:spacing w:before="0" w:after="0"/>
        <w:ind w:left="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 rules, more than one person may be deemed to be a beneficial owner of the same securities and a person may be deemed to be a beneficial owner of securities as to which he or she may not have any pecuniary beneficial interest. Except as noted below, ownership consists of sole ownership, voting and investment rights, and the address for each stockholder listed is c/o 12915 Old Virginia Rd, Reno, Nevada 89521.</w:t>
      </w:r>
    </w:p>
    <w:p>
      <w:pPr>
        <w:pStyle w:val="TextBody"/>
        <w:shd w:fill="FFFFFF" w:val="clear"/>
        <w:bidi w:val="0"/>
        <w:spacing w:before="0" w:after="0"/>
        <w:ind w:left="10" w:right="0" w:firstLine="720"/>
        <w:jc w:val="both"/>
        <w:rPr>
          <w:caps w:val="false"/>
          <w:smallCaps w:val="false"/>
        </w:rPr>
      </w:pPr>
      <w:r>
        <w:rPr>
          <w:caps w:val="false"/>
          <w:smallCaps w:val="false"/>
        </w:rPr>
        <w:t> </w:t>
      </w:r>
    </w:p>
    <w:tbl>
      <w:tblPr>
        <w:tblW w:w="8538" w:type="dxa"/>
        <w:jc w:val="left"/>
        <w:tblInd w:w="0" w:type="dxa"/>
        <w:tblLayout w:type="fixed"/>
        <w:tblCellMar>
          <w:top w:w="0" w:type="dxa"/>
          <w:left w:w="0" w:type="dxa"/>
          <w:bottom w:w="28" w:type="dxa"/>
          <w:right w:w="0" w:type="dxa"/>
        </w:tblCellMar>
      </w:tblPr>
      <w:tblGrid>
        <w:gridCol w:w="6005"/>
        <w:gridCol w:w="60"/>
        <w:gridCol w:w="75"/>
        <w:gridCol w:w="1234"/>
        <w:gridCol w:w="60"/>
        <w:gridCol w:w="60"/>
        <w:gridCol w:w="78"/>
        <w:gridCol w:w="736"/>
        <w:gridCol w:w="230"/>
      </w:tblGrid>
      <w:tr>
        <w:trPr/>
        <w:tc>
          <w:tcPr>
            <w:tcW w:w="6005" w:type="dxa"/>
            <w:tcBorders>
              <w:bottom w:val="single" w:sz="8" w:space="0" w:color="000000"/>
            </w:tcBorders>
            <w:vAlign w:val="center"/>
          </w:tcPr>
          <w:p>
            <w:pPr>
              <w:pStyle w:val="TableContents"/>
              <w:bidi w:val="0"/>
              <w:spacing w:before="0" w:after="283"/>
              <w:jc w:val="both"/>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center"/>
              <w:rPr>
                <w:b/>
              </w:rPr>
            </w:pPr>
            <w:r>
              <w:rPr>
                <w:b/>
              </w:rPr>
              <w:t>Amount and</w:t>
              <w:br/>
              <w:t>Nature of</w:t>
              <w:br/>
              <w:t>Beneficial</w:t>
              <w:b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gridSpan w:val="2"/>
            <w:tcBorders>
              <w:bottom w:val="single" w:sz="8" w:space="0" w:color="000000"/>
            </w:tcBorders>
            <w:vAlign w:val="center"/>
          </w:tcPr>
          <w:p>
            <w:pPr>
              <w:pStyle w:val="TableContents"/>
              <w:bidi w:val="0"/>
              <w:spacing w:before="0" w:after="283"/>
              <w:jc w:val="center"/>
              <w:rPr>
                <w:b/>
              </w:rPr>
            </w:pPr>
            <w:r>
              <w:rPr>
                <w:b/>
              </w:rPr>
              <w:t>Percent</w:t>
              <w:br/>
              <w:t>of Class</w:t>
            </w:r>
          </w:p>
        </w:tc>
        <w:tc>
          <w:tcPr>
            <w:tcW w:w="230" w:type="dxa"/>
            <w:tcBorders/>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b/>
                <w:i/>
              </w:rPr>
            </w:pPr>
            <w:r>
              <w:rPr>
                <w:b/>
                <w:i/>
              </w:rPr>
              <w:t>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Dynavolt Technology (HK)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1,313,434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17.31</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00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b/>
                <w:i/>
              </w:rPr>
            </w:pPr>
            <w:r>
              <w:rPr>
                <w:b/>
                <w:i/>
              </w:rPr>
              <w:t>Named 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Denis Phares</w:t>
            </w:r>
            <w:r>
              <w:rPr>
                <w:rFonts w:ascii="Times New Roman;Times;Serif" w:hAnsi="Times New Roman;Times;Serif"/>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1,802,303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23.75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Vickram Singh</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20,110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John Marchetti </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Wade Seaburg</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35,194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Tyler Bourns</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Luisa Ingargiola</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22,401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Nelson</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19,446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Perry Boyle</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13,722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Jonathan Bellows</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11,565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Rick Parod</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11,565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Karina Montilla Edmonds</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11,599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b/>
                <w:i/>
              </w:rPr>
            </w:pPr>
            <w:r>
              <w:rPr>
                <w:b/>
                <w:i/>
              </w:rPr>
              <w:t>All Executive Officers and Directors as a group (10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1,959,741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25.82</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w:t>
            </w:r>
            <w:r>
              <w:rPr>
                <w:rFonts w:ascii="Times New Roman;Times;Serif" w:hAnsi="Times New Roman;Times;Serif"/>
                <w:b/>
                <w:i w:val="false"/>
                <w:caps w:val="false"/>
                <w:smallCaps w:val="false"/>
                <w:sz w:val="20"/>
              </w:rPr>
              <w:t>Dynavolt</w:t>
            </w:r>
            <w:r>
              <w:rPr>
                <w:rFonts w:ascii="Times New Roman;Times;Serif" w:hAnsi="Times New Roman;Times;Serif"/>
                <w:b w:val="false"/>
                <w:i w:val="false"/>
                <w:caps w:val="false"/>
                <w:smallCaps w:val="false"/>
                <w:sz w:val="20"/>
              </w:rPr>
              <w:t>”) on October 12, 2022. The business address of Dynavolt is Flat/Room 02-03 26/F, Bea Tower Millennium City 5, 418 Kwun Tong Road, Kwun Tong, Hong Kong.</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25,000,000 shares of common stock not yet payable as the earnout contingencies have not yet been met and will not be met within 60 days of March 27, 2025.</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135,323 shares held on behalf of the Phares 2021 GRAT dated July 9, 2021, of which Dr. Phares is the trustee.</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6,493 shares of common stock issuable upon exercise of outstanding stock options and 11,112 of restricted stock units exercisable within 60 days of March 27, 2025.</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Mr. Marchetti’s employment with us was terminated. As a result, his vested options were forfeited and his unvested options were terminated on such date.</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14,220 shares of common stock issuable upon exercise of outstanding stock options and 6,722 of restricted stock units exercisable within 60 days of March 27, 2025.</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5,175 shares of common stock issuable upon exercise of outstanding stock options and 3,237 of restricted stock units exercisable within 60 days of March 27, 2025.</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10,836 shares of common stock issuable upon exercise of outstanding stock options and 8,231 of restricted stock units exercisable within 60 days of March 27, 2025.</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77" w:type="dxa"/>
            <w:tcBorders/>
            <w:vAlign w:val="center"/>
          </w:tcPr>
          <w:p>
            <w:pPr>
              <w:pStyle w:val="TableContents"/>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7,881 shares of common stock issuable upon exercise of outstanding stock options and 8,231 of restricted stock units exercisable within 60 days of March 27, 2025.</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46" w:type="dxa"/>
            <w:tcBorders/>
            <w:vAlign w:val="center"/>
          </w:tcPr>
          <w:p>
            <w:pPr>
              <w:pStyle w:val="TableContents"/>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8,231 shares of common stock issuable upon exercise of restricted stock units exercisable within 60 days of March 27, 2025.</w:t>
            </w:r>
          </w:p>
          <w:p>
            <w:pPr>
              <w:pStyle w:val="TableContents"/>
              <w:bidi w:val="0"/>
              <w:spacing w:before="0" w:after="0"/>
              <w:ind w:left="10" w:right="0" w:hanging="10"/>
              <w:jc w:val="both"/>
              <w:rPr>
                <w:caps w:val="false"/>
                <w:smallCaps w:val="false"/>
              </w:rPr>
            </w:pPr>
            <w:r>
              <w:rPr>
                <w:caps w:val="false"/>
                <w:smallCaps w:val="false"/>
              </w:rPr>
              <w:t> </w:t>
            </w:r>
          </w:p>
        </w:tc>
      </w:tr>
      <w:tr>
        <w:trPr/>
        <w:tc>
          <w:tcPr>
            <w:tcW w:w="3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46" w:type="dxa"/>
            <w:tcBorders/>
            <w:vAlign w:val="center"/>
          </w:tcPr>
          <w:p>
            <w:pPr>
              <w:pStyle w:val="TableContents"/>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8,231 shares of common stock issuable upon exercise of restricted stock units exercisable within 60 days of March 27, 2025.</w:t>
            </w:r>
          </w:p>
          <w:p>
            <w:pPr>
              <w:pStyle w:val="TableContents"/>
              <w:bidi w:val="0"/>
              <w:spacing w:before="0" w:after="0"/>
              <w:ind w:left="10" w:right="0" w:hanging="10"/>
              <w:jc w:val="both"/>
              <w:rPr>
                <w:caps w:val="false"/>
                <w:smallCaps w:val="false"/>
              </w:rPr>
            </w:pPr>
            <w:r>
              <w:rPr>
                <w:caps w:val="false"/>
                <w:smallCaps w:val="false"/>
              </w:rPr>
              <w:t> </w:t>
            </w:r>
          </w:p>
        </w:tc>
      </w:tr>
      <w:tr>
        <w:trPr/>
        <w:tc>
          <w:tcPr>
            <w:tcW w:w="3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8,231 shares of common stock issuable upon exercise of restricted stock units exercisable within 60 days of March 27, 2025.</w:t>
            </w:r>
          </w:p>
        </w:tc>
      </w:tr>
      <w:tr>
        <w:trPr/>
        <w:tc>
          <w:tcPr>
            <w:tcW w:w="359" w:type="dxa"/>
            <w:tcBorders/>
            <w:vAlign w:val="center"/>
          </w:tcPr>
          <w:p>
            <w:pPr>
              <w:pStyle w:val="TableContents"/>
              <w:bidi w:val="0"/>
              <w:spacing w:before="0" w:after="283"/>
              <w:jc w:val="both"/>
              <w:rPr>
                <w:caps w:val="false"/>
                <w:smallCaps w:val="false"/>
              </w:rPr>
            </w:pPr>
            <w:r>
              <w:rPr>
                <w:caps w:val="false"/>
                <w:smallCaps w:val="false"/>
              </w:rPr>
              <w:t> </w:t>
            </w:r>
          </w:p>
        </w:tc>
        <w:tc>
          <w:tcPr>
            <w:tcW w:w="98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46" w:type="dxa"/>
            <w:tcBorders/>
            <w:vAlign w:val="center"/>
          </w:tcPr>
          <w:p>
            <w:pPr>
              <w:pStyle w:val="TableContents"/>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8,231 shares of common stock issuable upon exercise of restricted stock units exercisable within 60 days of March 27, 2025.</w:t>
            </w:r>
          </w:p>
          <w:p>
            <w:pPr>
              <w:pStyle w:val="TableContents"/>
              <w:bidi w:val="0"/>
              <w:spacing w:before="0" w:after="0"/>
              <w:ind w:left="10" w:right="0" w:hanging="10"/>
              <w:jc w:val="both"/>
              <w:rPr>
                <w:caps w:val="false"/>
                <w:smallCaps w:val="false"/>
              </w:rPr>
            </w:pPr>
            <w:r>
              <w:rPr>
                <w:caps w:val="false"/>
                <w:smallCaps w:val="false"/>
              </w:rPr>
              <w:t> </w:t>
            </w:r>
          </w:p>
        </w:tc>
      </w:tr>
    </w:tbl>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our Board and stockholders adopted the 2022 Plan, which provides for the grant of incentive stock options and non-qualified stock options to purchase shares of our common stock and other types of awards, as well as the Dragonfly Energy Holdings Corp.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retain the services of such eligible persons and to provide incentives for such persons to exert maximum efforts for our success and the success of our subsidiaries.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Business Combination, our Board and stockholders approved the adoption of the Dragonfly Energy Corp.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and the Dragonfly Energy Corp.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in connection with the consummation of the Business Combination.</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our common stock authorized for issuance under our equity compensation plans as of December 31, 2024.</w:t>
      </w:r>
    </w:p>
    <w:p>
      <w:pPr>
        <w:pStyle w:val="TextBody"/>
        <w:shd w:fill="FFFFFF" w:val="clear"/>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2"/>
        <w:gridCol w:w="60"/>
        <w:gridCol w:w="150"/>
        <w:gridCol w:w="2011"/>
        <w:gridCol w:w="60"/>
        <w:gridCol w:w="60"/>
        <w:gridCol w:w="616"/>
        <w:gridCol w:w="1938"/>
        <w:gridCol w:w="60"/>
        <w:gridCol w:w="60"/>
        <w:gridCol w:w="224"/>
        <w:gridCol w:w="3015"/>
        <w:gridCol w:w="79"/>
      </w:tblGrid>
      <w:tr>
        <w:trPr/>
        <w:tc>
          <w:tcPr>
            <w:tcW w:w="18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61" w:type="dxa"/>
            <w:gridSpan w:val="2"/>
            <w:tcBorders/>
            <w:vAlign w:val="center"/>
          </w:tcPr>
          <w:p>
            <w:pPr>
              <w:pStyle w:val="TableContents"/>
              <w:bidi w:val="0"/>
              <w:spacing w:before="0" w:after="283"/>
              <w:jc w:val="center"/>
              <w:rPr>
                <w:b/>
              </w:rPr>
            </w:pPr>
            <w:r>
              <w:rPr>
                <w:b/>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center"/>
              <w:rPr>
                <w:b/>
              </w:rPr>
            </w:pPr>
            <w:r>
              <w:rPr>
                <w:b/>
              </w:rPr>
              <w:t>Weighted-average exercise price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9" w:type="dxa"/>
            <w:gridSpan w:val="2"/>
            <w:tcBorders/>
            <w:vAlign w:val="center"/>
          </w:tcPr>
          <w:p>
            <w:pPr>
              <w:pStyle w:val="TableContents"/>
              <w:bidi w:val="0"/>
              <w:spacing w:before="0" w:after="283"/>
              <w:jc w:val="center"/>
              <w:rPr>
                <w:b/>
              </w:rPr>
            </w:pPr>
            <w:r>
              <w:rPr>
                <w:b/>
              </w:rPr>
              <w:t>Number of securities remaining available for future issuances under equity compensation plans under equity compensation (excluding) securities reflected in column (a)</w:t>
            </w:r>
          </w:p>
        </w:tc>
        <w:tc>
          <w:tcPr>
            <w:tcW w:w="79" w:type="dxa"/>
            <w:tcBorders/>
            <w:vAlign w:val="center"/>
          </w:tcPr>
          <w:p>
            <w:pPr>
              <w:pStyle w:val="TableContents"/>
              <w:bidi w:val="0"/>
              <w:spacing w:before="0" w:after="283"/>
              <w:jc w:val="left"/>
              <w:rPr/>
            </w:pPr>
            <w:r>
              <w:rPr/>
              <w:t> </w:t>
            </w:r>
          </w:p>
        </w:tc>
      </w:tr>
      <w:tr>
        <w:trPr/>
        <w:tc>
          <w:tcPr>
            <w:tcW w:w="1872" w:type="dxa"/>
            <w:tcBorders>
              <w:bottom w:val="single" w:sz="8" w:space="0" w:color="000000"/>
            </w:tcBorders>
            <w:tcMar>
              <w:bottom w:w="28" w:type="dxa"/>
            </w:tcMar>
            <w:vAlign w:val="center"/>
          </w:tcPr>
          <w:p>
            <w:pPr>
              <w:pStyle w:val="TableContents"/>
              <w:bidi w:val="0"/>
              <w:spacing w:before="0" w:after="283"/>
              <w:jc w:val="both"/>
              <w:rPr>
                <w:b/>
                <w:i/>
              </w:rPr>
            </w:pPr>
            <w:r>
              <w:rPr>
                <w:b/>
                <w:i/>
              </w:rPr>
              <w:t>Plan Category</w:t>
            </w:r>
          </w:p>
        </w:tc>
        <w:tc>
          <w:tcPr>
            <w:tcW w:w="60" w:type="dxa"/>
            <w:tcBorders/>
            <w:vAlign w:val="center"/>
          </w:tcPr>
          <w:p>
            <w:pPr>
              <w:pStyle w:val="TableContents"/>
              <w:bidi w:val="0"/>
              <w:spacing w:before="0" w:after="283"/>
              <w:jc w:val="left"/>
              <w:rPr/>
            </w:pPr>
            <w:r>
              <w:rPr/>
              <w:t> </w:t>
            </w:r>
          </w:p>
        </w:tc>
        <w:tc>
          <w:tcPr>
            <w:tcW w:w="21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(c)(2)</w:t>
            </w:r>
          </w:p>
        </w:tc>
        <w:tc>
          <w:tcPr>
            <w:tcW w:w="79" w:type="dxa"/>
            <w:tcBorders/>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 xml:space="preserve">Equity compensation plans approved by security holders </w:t>
            </w:r>
            <w:r>
              <w:rPr>
                <w:rFonts w:ascii="Times New Roman;Times;Serif" w:hAnsi="Times New Roman;Times;Serif"/>
                <w:i/>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pPr>
            <w:r>
              <w:rPr/>
              <w:t>514,672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w:t>
            </w:r>
          </w:p>
        </w:tc>
        <w:tc>
          <w:tcPr>
            <w:tcW w:w="1938" w:type="dxa"/>
            <w:tcBorders/>
            <w:shd w:fill="CCEEFF" w:val="clear"/>
            <w:vAlign w:val="center"/>
          </w:tcPr>
          <w:p>
            <w:pPr>
              <w:pStyle w:val="TableContents"/>
              <w:bidi w:val="0"/>
              <w:spacing w:before="0" w:after="283"/>
              <w:jc w:val="right"/>
              <w:rPr/>
            </w:pPr>
            <w:r>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3015" w:type="dxa"/>
            <w:tcBorders/>
            <w:shd w:fill="CCEEFF" w:val="clear"/>
            <w:vAlign w:val="center"/>
          </w:tcPr>
          <w:p>
            <w:pPr>
              <w:pStyle w:val="TableContents"/>
              <w:bidi w:val="0"/>
              <w:spacing w:before="0" w:after="283"/>
              <w:jc w:val="right"/>
              <w:rPr/>
            </w:pPr>
            <w:r>
              <w:rPr/>
              <w:t>850,738</w:t>
            </w:r>
          </w:p>
        </w:tc>
        <w:tc>
          <w:tcPr>
            <w:tcW w:w="79" w:type="dxa"/>
            <w:tcBorders/>
            <w:shd w:fill="CCEEFF" w:val="clear"/>
            <w:vAlign w:val="center"/>
          </w:tcPr>
          <w:p>
            <w:pPr>
              <w:pStyle w:val="TableContents"/>
              <w:bidi w:val="0"/>
              <w:spacing w:before="0" w:after="283"/>
              <w:jc w:val="left"/>
              <w:rPr/>
            </w:pPr>
            <w:r>
              <w:rPr/>
              <w:t> </w:t>
            </w:r>
          </w:p>
        </w:tc>
      </w:tr>
      <w:tr>
        <w:trPr/>
        <w:tc>
          <w:tcPr>
            <w:tcW w:w="187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015"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i/>
              </w:rPr>
            </w:pPr>
            <w:r>
              <w:rPr>
                <w:i/>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301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87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1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b/>
                <w:i/>
              </w:rPr>
            </w:pPr>
            <w:r>
              <w:rPr>
                <w:b/>
                <w:i/>
              </w:rPr>
              <w:t>Total</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11" w:type="dxa"/>
            <w:tcBorders>
              <w:bottom w:val="double" w:sz="6" w:space="0" w:color="000000"/>
            </w:tcBorders>
            <w:shd w:fill="CCEEFF" w:val="clear"/>
            <w:tcMar>
              <w:bottom w:w="28" w:type="dxa"/>
            </w:tcMar>
            <w:vAlign w:val="center"/>
          </w:tcPr>
          <w:p>
            <w:pPr>
              <w:pStyle w:val="TableContents"/>
              <w:bidi w:val="0"/>
              <w:spacing w:before="0" w:after="283"/>
              <w:jc w:val="right"/>
              <w:rPr/>
            </w:pPr>
            <w:r>
              <w:rPr/>
              <w:t>514,672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38" w:type="dxa"/>
            <w:tcBorders>
              <w:bottom w:val="double" w:sz="6" w:space="0" w:color="000000"/>
            </w:tcBorders>
            <w:shd w:fill="CCEEFF" w:val="clear"/>
            <w:tcMar>
              <w:bottom w:w="28" w:type="dxa"/>
            </w:tcMar>
            <w:vAlign w:val="center"/>
          </w:tcPr>
          <w:p>
            <w:pPr>
              <w:pStyle w:val="TableContents"/>
              <w:bidi w:val="0"/>
              <w:spacing w:before="0" w:after="283"/>
              <w:jc w:val="right"/>
              <w:rPr/>
            </w:pPr>
            <w:r>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15" w:type="dxa"/>
            <w:tcBorders>
              <w:bottom w:val="double" w:sz="6" w:space="0" w:color="000000"/>
            </w:tcBorders>
            <w:shd w:fill="CCEEFF" w:val="clear"/>
            <w:tcMar>
              <w:bottom w:w="28" w:type="dxa"/>
            </w:tcMar>
            <w:vAlign w:val="center"/>
          </w:tcPr>
          <w:p>
            <w:pPr>
              <w:pStyle w:val="TableContents"/>
              <w:bidi w:val="0"/>
              <w:spacing w:before="0" w:after="283"/>
              <w:jc w:val="right"/>
              <w:rPr/>
            </w:pPr>
            <w:r>
              <w:rPr/>
              <w:t>850,738</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shown in this row include securities under the 2022 Plan, 2021 Plan and 2019 Plan.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accordance with the “evergreen” provision in the 2022 Plan, an additional 288,286 shares were automatically made available for issuance on the first trading day of 2025, which represents an amount equal 4% of the number of shares outstanding on December 31, 2024. In accordance with the “evergreen” provision in the ESPP, an additional 72,071 shares were automatically made available for issuance on the first trading day of 2025, which represents an amount equal to 1% of the number of shares of common stock issued and outstanding on December 31, 2024. The shares made available pursuant to the “evergreen” provisions are excluded from this calculation.</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5" w:name="a_010"/>
      <w:bookmarkEnd w:id="75"/>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which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we have had the following transactions or series of similar transactions, since January 1, 2022, to which we were a party or will be a party, in which:</w:t>
      </w:r>
    </w:p>
    <w:p>
      <w:pPr>
        <w:pStyle w:val="TextBody"/>
        <w:shd w:fill="FFFFFF" w:val="clear"/>
        <w:bidi w:val="0"/>
        <w:spacing w:before="0" w:after="0"/>
        <w:ind w:left="10" w:right="0" w:hanging="1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Agreements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 with Brian Nelson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unsecured promissory note (the “</w:t>
      </w:r>
      <w:r>
        <w:rPr>
          <w:rFonts w:ascii="Times New Roman;Times;Serif" w:hAnsi="Times New Roman;Times;Serif"/>
          <w:b/>
          <w:i w:val="false"/>
          <w:caps w:val="false"/>
          <w:smallCaps w:val="false"/>
          <w:sz w:val="20"/>
        </w:rPr>
        <w:t>March 2023 Note</w:t>
      </w:r>
      <w:r>
        <w:rPr>
          <w:rFonts w:ascii="Times New Roman;Times;Serif" w:hAnsi="Times New Roman;Times;Serif"/>
          <w:b w:val="false"/>
          <w:i w:val="false"/>
          <w:caps w:val="false"/>
          <w:smallCaps w:val="false"/>
          <w:sz w:val="20"/>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w:t>
      </w:r>
      <w:r>
        <w:rPr>
          <w:rFonts w:ascii="Times New Roman;Times;Serif" w:hAnsi="Times New Roman;Times;Serif"/>
          <w:b/>
          <w:i w:val="false"/>
          <w:caps w:val="false"/>
          <w:smallCaps w:val="false"/>
          <w:sz w:val="20"/>
        </w:rPr>
        <w:t>January Note</w:t>
      </w:r>
      <w:r>
        <w:rPr>
          <w:rFonts w:ascii="Times New Roman;Times;Serif" w:hAnsi="Times New Roman;Times;Serif"/>
          <w:b w:val="false"/>
          <w:i w:val="false"/>
          <w:caps w:val="false"/>
          <w:smallCaps w:val="false"/>
          <w:sz w:val="20"/>
        </w:rPr>
        <w:t>”) in the principal amount of $1.0 million (the “</w:t>
      </w:r>
      <w:r>
        <w:rPr>
          <w:rFonts w:ascii="Times New Roman;Times;Serif" w:hAnsi="Times New Roman;Times;Serif"/>
          <w:b/>
          <w:i w:val="false"/>
          <w:caps w:val="false"/>
          <w:smallCaps w:val="false"/>
          <w:sz w:val="20"/>
        </w:rPr>
        <w:t>January 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January Note became due and payable in full on February 2, 2024. We were also obligated to pay $50,000 (the “</w:t>
      </w:r>
      <w:r>
        <w:rPr>
          <w:rFonts w:ascii="Times New Roman;Times;Serif" w:hAnsi="Times New Roman;Times;Serif"/>
          <w:b/>
          <w:i w:val="false"/>
          <w:caps w:val="false"/>
          <w:smallCaps w:val="false"/>
          <w:sz w:val="20"/>
        </w:rPr>
        <w:t>January Loan Fee</w:t>
      </w:r>
      <w:r>
        <w:rPr>
          <w:rFonts w:ascii="Times New Roman;Times;Serif" w:hAnsi="Times New Roman;Times;Serif"/>
          <w:b w:val="false"/>
          <w:i w:val="false"/>
          <w:caps w:val="false"/>
          <w:smallCaps w:val="false"/>
          <w:sz w:val="20"/>
        </w:rPr>
        <w:t>”) to Mr. Nelson on February 2, 2024. We paid the January Principal Amount and the January Loan Fee in full on February 2,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a convertible promissory (the “</w:t>
      </w:r>
      <w:r>
        <w:rPr>
          <w:rFonts w:ascii="Times New Roman;Times;Serif" w:hAnsi="Times New Roman;Times;Serif"/>
          <w:b/>
          <w:i w:val="false"/>
          <w:caps w:val="false"/>
          <w:smallCaps w:val="false"/>
          <w:sz w:val="20"/>
        </w:rPr>
        <w:t>February Note</w:t>
      </w:r>
      <w:r>
        <w:rPr>
          <w:rFonts w:ascii="Times New Roman;Times;Serif" w:hAnsi="Times New Roman;Times;Serif"/>
          <w:b w:val="false"/>
          <w:i w:val="false"/>
          <w:caps w:val="false"/>
          <w:smallCaps w:val="false"/>
          <w:sz w:val="20"/>
        </w:rPr>
        <w:t>”) in the amount of $1.7 million (the “</w:t>
      </w:r>
      <w:r>
        <w:rPr>
          <w:rFonts w:ascii="Times New Roman;Times;Serif" w:hAnsi="Times New Roman;Times;Serif"/>
          <w:b/>
          <w:i w:val="false"/>
          <w:caps w:val="false"/>
          <w:smallCaps w:val="false"/>
          <w:sz w:val="20"/>
        </w:rPr>
        <w:t>February Principal Amount</w:t>
      </w:r>
      <w:r>
        <w:rPr>
          <w:rFonts w:ascii="Times New Roman;Times;Serif" w:hAnsi="Times New Roman;Times;Serif"/>
          <w:b w:val="false"/>
          <w:i w:val="false"/>
          <w:caps w:val="false"/>
          <w:smallCaps w:val="false"/>
          <w:sz w:val="20"/>
        </w:rPr>
        <w:t>”) to Mr. Nelson, in a private placement in exchange for cash in an equal amount. The February Note became due and payable in full on March 1, 2024. We were also obligated to pay a $85,000 loan fee (the “</w:t>
      </w:r>
      <w:r>
        <w:rPr>
          <w:rFonts w:ascii="Times New Roman;Times;Serif" w:hAnsi="Times New Roman;Times;Serif"/>
          <w:b/>
          <w:i w:val="false"/>
          <w:caps w:val="false"/>
          <w:smallCaps w:val="false"/>
          <w:sz w:val="20"/>
        </w:rPr>
        <w:t>February Loan Fee</w:t>
      </w:r>
      <w:r>
        <w:rPr>
          <w:rFonts w:ascii="Times New Roman;Times;Serif" w:hAnsi="Times New Roman;Times;Serif"/>
          <w:b w:val="false"/>
          <w:i w:val="false"/>
          <w:caps w:val="false"/>
          <w:smallCaps w:val="false"/>
          <w:sz w:val="20"/>
        </w:rPr>
        <w:t>”) to Mr. Nelson on March 1, 2024. We paid the February Principal Amount and the February Loan Fee on March 1, 2024.</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or ratified by our 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Rick Parod, Perry Boyle, Jonathan Bellows, Karina Montilla Edmonds, Brian Nelson, and Luisa Ingargiola are an “independent directors” as such term is defined under the applicable rules of Nasdaq.</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Our Board of Directors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6" w:name="a_011"/>
      <w:bookmarkEnd w:id="76"/>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Marcum LLP (“</w:t>
      </w:r>
      <w:r>
        <w:rPr>
          <w:rFonts w:ascii="Times New Roman;Times;Serif" w:hAnsi="Times New Roman;Times;Serif"/>
          <w:b/>
          <w:i w:val="false"/>
          <w:caps w:val="false"/>
          <w:smallCaps w:val="false"/>
          <w:sz w:val="20"/>
        </w:rPr>
        <w:t>Marcum</w:t>
      </w:r>
      <w:r>
        <w:rPr>
          <w:rFonts w:ascii="Times New Roman;Times;Serif" w:hAnsi="Times New Roman;Times;Serif"/>
          <w:b w:val="false"/>
          <w:i w:val="false"/>
          <w:caps w:val="false"/>
          <w:smallCaps w:val="false"/>
          <w:sz w:val="20"/>
        </w:rPr>
        <w:t>”) was appointed as our independent registered public accounting firm. The aggregate fees billed, or reasonably expected to be billed, to us by Marcum for professional services rendered during the twelve months ended December 31, 2024, and 2023, are set forth in the table below:</w:t>
      </w:r>
    </w:p>
    <w:p>
      <w:pPr>
        <w:pStyle w:val="TextBody"/>
        <w:shd w:fill="FFFFFF" w:val="clear"/>
        <w:bidi w:val="0"/>
        <w:spacing w:before="0" w:after="0"/>
        <w:ind w:left="10" w:right="0" w:hanging="10"/>
        <w:jc w:val="both"/>
        <w:rPr>
          <w:caps w:val="false"/>
          <w:smallCaps w:val="false"/>
        </w:rPr>
      </w:pPr>
      <w:r>
        <w:rPr>
          <w:caps w:val="false"/>
          <w:smallCaps w:val="false"/>
        </w:rPr>
        <w:t> </w:t>
      </w:r>
    </w:p>
    <w:tbl>
      <w:tblPr>
        <w:tblW w:w="5968" w:type="dxa"/>
        <w:jc w:val="left"/>
        <w:tblInd w:w="0" w:type="dxa"/>
        <w:tblLayout w:type="fixed"/>
        <w:tblCellMar>
          <w:top w:w="0" w:type="dxa"/>
          <w:left w:w="0" w:type="dxa"/>
          <w:bottom w:w="28" w:type="dxa"/>
          <w:right w:w="0" w:type="dxa"/>
        </w:tblCellMar>
      </w:tblPr>
      <w:tblGrid>
        <w:gridCol w:w="2045"/>
        <w:gridCol w:w="60"/>
        <w:gridCol w:w="273"/>
        <w:gridCol w:w="1561"/>
        <w:gridCol w:w="60"/>
        <w:gridCol w:w="60"/>
        <w:gridCol w:w="273"/>
        <w:gridCol w:w="1561"/>
        <w:gridCol w:w="75"/>
      </w:tblGrid>
      <w:tr>
        <w:trPr/>
        <w:tc>
          <w:tcPr>
            <w:tcW w:w="2045" w:type="dxa"/>
            <w:tcBorders>
              <w:bottom w:val="single" w:sz="8" w:space="0" w:color="000000"/>
            </w:tcBorders>
            <w:vAlign w:val="center"/>
          </w:tcPr>
          <w:p>
            <w:pPr>
              <w:pStyle w:val="TableContents"/>
              <w:bidi w:val="0"/>
              <w:spacing w:before="0" w:after="283"/>
              <w:jc w:val="both"/>
              <w:rPr>
                <w:b/>
              </w:rPr>
            </w:pPr>
            <w:r>
              <w:rPr>
                <w:b/>
              </w:rPr>
              <w:t>Fee Category</w:t>
            </w:r>
          </w:p>
        </w:tc>
        <w:tc>
          <w:tcPr>
            <w:tcW w:w="6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8" w:space="0" w:color="000000"/>
            </w:tcBorders>
            <w:vAlign w:val="center"/>
          </w:tcPr>
          <w:p>
            <w:pPr>
              <w:pStyle w:val="TableContents"/>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p>
            <w:pPr>
              <w:pStyle w:val="TableContents"/>
              <w:bidi w:val="0"/>
              <w:spacing w:before="0" w:after="0"/>
              <w:ind w:left="10" w:right="0" w:hanging="1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8" w:space="0" w:color="000000"/>
            </w:tcBorders>
            <w:vAlign w:val="center"/>
          </w:tcPr>
          <w:p>
            <w:pPr>
              <w:pStyle w:val="TableContents"/>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ableContents"/>
              <w:bidi w:val="0"/>
              <w:spacing w:before="0" w:after="0"/>
              <w:ind w:left="10" w:right="0" w:hanging="10"/>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Audit fees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w:t>
            </w:r>
          </w:p>
        </w:tc>
        <w:tc>
          <w:tcPr>
            <w:tcW w:w="1561" w:type="dxa"/>
            <w:tcBorders/>
            <w:shd w:fill="CCEEFF" w:val="clear"/>
            <w:tcMar>
              <w:bottom w:w="0" w:type="dxa"/>
            </w:tcMar>
            <w:vAlign w:val="center"/>
          </w:tcPr>
          <w:p>
            <w:pPr>
              <w:pStyle w:val="TableContents"/>
              <w:bidi w:val="0"/>
              <w:spacing w:before="0" w:after="283"/>
              <w:jc w:val="right"/>
              <w:rPr/>
            </w:pPr>
            <w:r>
              <w:rPr/>
              <w:t>605,440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w:t>
            </w:r>
          </w:p>
        </w:tc>
        <w:tc>
          <w:tcPr>
            <w:tcW w:w="1561" w:type="dxa"/>
            <w:tcBorders/>
            <w:shd w:fill="CCEEFF" w:val="clear"/>
            <w:tcMar>
              <w:bottom w:w="0" w:type="dxa"/>
            </w:tcMar>
            <w:vAlign w:val="center"/>
          </w:tcPr>
          <w:p>
            <w:pPr>
              <w:pStyle w:val="TableContents"/>
              <w:bidi w:val="0"/>
              <w:spacing w:before="0" w:after="283"/>
              <w:jc w:val="right"/>
              <w:rPr/>
            </w:pPr>
            <w:r>
              <w:rPr/>
              <w:t>468,517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both"/>
              <w:rPr/>
            </w:pPr>
            <w:r>
              <w:rPr/>
              <w:t>Audit-related fees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Tax fees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both"/>
              <w:rPr/>
            </w:pPr>
            <w:r>
              <w:rPr/>
              <w:t>All other fees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single" w:sz="8" w:space="0" w:color="000000"/>
            </w:tcBorders>
            <w:shd w:fill="FFFFFF" w:val="clear"/>
            <w:vAlign w:val="center"/>
          </w:tcPr>
          <w:p>
            <w:pPr>
              <w:pStyle w:val="TableContents"/>
              <w:bidi w:val="0"/>
              <w:spacing w:before="0" w:after="283"/>
              <w:jc w:val="left"/>
              <w:rPr/>
            </w:pPr>
            <w:r>
              <w:rPr/>
              <w:t> </w:t>
            </w:r>
          </w:p>
        </w:tc>
        <w:tc>
          <w:tcPr>
            <w:tcW w:w="156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single" w:sz="8" w:space="0" w:color="000000"/>
            </w:tcBorders>
            <w:shd w:fill="FFFFFF" w:val="clear"/>
            <w:vAlign w:val="center"/>
          </w:tcPr>
          <w:p>
            <w:pPr>
              <w:pStyle w:val="TableContents"/>
              <w:bidi w:val="0"/>
              <w:spacing w:before="0" w:after="283"/>
              <w:jc w:val="left"/>
              <w:rPr/>
            </w:pPr>
            <w:r>
              <w:rPr/>
              <w:t> </w:t>
            </w:r>
          </w:p>
        </w:tc>
        <w:tc>
          <w:tcPr>
            <w:tcW w:w="1561"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Total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double" w:sz="6" w:space="0" w:color="000000"/>
            </w:tcBorders>
            <w:shd w:fill="CCEEFF" w:val="clear"/>
            <w:vAlign w:val="center"/>
          </w:tcPr>
          <w:p>
            <w:pPr>
              <w:pStyle w:val="TableContents"/>
              <w:bidi w:val="0"/>
              <w:spacing w:before="0" w:after="283"/>
              <w:jc w:val="left"/>
              <w:rPr/>
            </w:pPr>
            <w:r>
              <w:rPr/>
              <w:t>$</w:t>
            </w:r>
          </w:p>
        </w:tc>
        <w:tc>
          <w:tcPr>
            <w:tcW w:w="1561" w:type="dxa"/>
            <w:tcBorders>
              <w:bottom w:val="double" w:sz="6" w:space="0" w:color="000000"/>
            </w:tcBorders>
            <w:shd w:fill="CCEEFF" w:val="clear"/>
            <w:vAlign w:val="center"/>
          </w:tcPr>
          <w:p>
            <w:pPr>
              <w:pStyle w:val="TableContents"/>
              <w:bidi w:val="0"/>
              <w:spacing w:before="0" w:after="283"/>
              <w:jc w:val="right"/>
              <w:rPr/>
            </w:pPr>
            <w:r>
              <w:rPr/>
              <w:t>605,440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double" w:sz="6" w:space="0" w:color="000000"/>
            </w:tcBorders>
            <w:shd w:fill="CCEEFF" w:val="clear"/>
            <w:vAlign w:val="center"/>
          </w:tcPr>
          <w:p>
            <w:pPr>
              <w:pStyle w:val="TableContents"/>
              <w:bidi w:val="0"/>
              <w:spacing w:before="0" w:after="283"/>
              <w:jc w:val="left"/>
              <w:rPr/>
            </w:pPr>
            <w:r>
              <w:rPr/>
              <w:t>$</w:t>
            </w:r>
          </w:p>
        </w:tc>
        <w:tc>
          <w:tcPr>
            <w:tcW w:w="1561" w:type="dxa"/>
            <w:tcBorders>
              <w:bottom w:val="double" w:sz="6" w:space="0" w:color="000000"/>
            </w:tcBorders>
            <w:shd w:fill="CCEEFF" w:val="clear"/>
            <w:vAlign w:val="center"/>
          </w:tcPr>
          <w:p>
            <w:pPr>
              <w:pStyle w:val="TableContents"/>
              <w:bidi w:val="0"/>
              <w:spacing w:before="0" w:after="283"/>
              <w:jc w:val="right"/>
              <w:rPr/>
            </w:pPr>
            <w:r>
              <w:rPr/>
              <w:t>468,517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221"/>
        <w:gridCol w:w="9984"/>
      </w:tblGrid>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consist of fees billed for professional services that are reasonably related to the performance of the audit or review of our financial statements but are not reported under “Audit fees.”</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billed for professional services relating to tax compliance, tax planning, and tax advice.</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consist of fees billed for services not associated with audit or tax.</w:t>
            </w:r>
          </w:p>
        </w:tc>
      </w:tr>
    </w:tbl>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Practices and Procedures</w:t>
      </w:r>
    </w:p>
    <w:p>
      <w:pPr>
        <w:pStyle w:val="TextBody"/>
        <w:shd w:fill="FFFFFF" w:val="clear"/>
        <w:bidi w:val="0"/>
        <w:spacing w:before="0" w:after="0"/>
        <w:ind w:left="10" w:right="0" w:hanging="10"/>
        <w:jc w:val="both"/>
        <w:rPr>
          <w:caps w:val="false"/>
          <w:smallCaps w:val="false"/>
        </w:rPr>
      </w:pPr>
      <w:r>
        <w:rPr>
          <w:caps w:val="false"/>
          <w:smallCaps w:val="false"/>
        </w:rPr>
        <w:t> </w:t>
      </w:r>
    </w:p>
    <w:p>
      <w:pPr>
        <w:pStyle w:val="TextBody"/>
        <w:shd w:fill="FFFFFF" w:val="clear"/>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established a policy governing our use of the services of our independent registered public accounting firm. The purpose of the Audit Committee is to assist the Board of Directors in fulfilling its responsibilities as it relates to our financial accounting, reporting and controls. The Audit Committee’s principal functions are to assist the Board of Directors in its oversight of:</w:t>
      </w:r>
    </w:p>
    <w:p>
      <w:pPr>
        <w:pStyle w:val="TextBody"/>
        <w:shd w:fill="FFFFFF" w:val="clear"/>
        <w:bidi w:val="0"/>
        <w:spacing w:before="0" w:after="0"/>
        <w:ind w:left="10" w:right="0" w:hanging="1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integrity of our accounting and financial reporting processes and the audits of our financial statements by our independent auditors (the “</w:t>
            </w:r>
            <w:r>
              <w:rPr>
                <w:rFonts w:ascii="Times New Roman;Times;Serif" w:hAnsi="Times New Roman;Times;Serif"/>
                <w:b/>
                <w:i w:val="false"/>
                <w:caps w:val="false"/>
                <w:smallCaps w:val="false"/>
                <w:sz w:val="20"/>
              </w:rPr>
              <w:t>Independent Auditors</w:t>
            </w:r>
            <w:r>
              <w:rPr>
                <w:rFonts w:ascii="Times New Roman;Times;Serif" w:hAnsi="Times New Roman;Times;Serif"/>
                <w:b w:val="false"/>
                <w:i w:val="false"/>
                <w:caps w:val="false"/>
                <w:smallCaps w:val="false"/>
                <w:sz w:val="20"/>
              </w:rPr>
              <w: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periodic reviews of the adequacy of the accounting and financial reporting processes and systems of internal control that are conducted by the Independent Auditors and our senior management;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independence and performance of the Independent Auditors;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legal and regulatory requirements.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and the fees to be paid to, the Independent Auditors were preapproved by the Audit Committee.</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145" w:hanging="10"/>
        <w:jc w:val="center"/>
        <w:rPr>
          <w:rFonts w:ascii="Times New Roman;Times;Serif" w:hAnsi="Times New Roman;Times;Serif"/>
          <w:b w:val="false"/>
          <w:i w:val="false"/>
          <w:caps w:val="false"/>
          <w:smallCaps w:val="false"/>
          <w:sz w:val="20"/>
        </w:rPr>
      </w:pPr>
      <w:bookmarkStart w:id="77" w:name="a_012"/>
      <w:bookmarkEnd w:id="77"/>
      <w:r>
        <w:rPr>
          <w:rFonts w:ascii="Times New Roman;Times;Serif" w:hAnsi="Times New Roman;Times;Serif"/>
          <w:b/>
          <w:i w:val="false"/>
          <w:caps w:val="false"/>
          <w:smallCaps w:val="false"/>
          <w:sz w:val="20"/>
        </w:rPr>
        <w:t>Part IV</w:t>
      </w:r>
      <w:r>
        <w:rPr>
          <w:rFonts w:ascii="Times New Roman;Times;Serif" w:hAnsi="Times New Roman;Times;Serif"/>
          <w:b w:val="false"/>
          <w:i w:val="false"/>
          <w:caps w:val="false"/>
          <w:smallCaps w:val="false"/>
          <w:sz w:val="20"/>
        </w:rPr>
        <w:t> </w:t>
      </w:r>
    </w:p>
    <w:p>
      <w:pPr>
        <w:pStyle w:val="TextBody"/>
        <w:bidi w:val="0"/>
        <w:spacing w:before="0" w:after="0"/>
        <w:ind w:left="154" w:right="145" w:hanging="1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8" w:name="a_013"/>
      <w:bookmarkEnd w:id="78"/>
      <w:r>
        <w:rPr>
          <w:rFonts w:ascii="Times New Roman;Times;Serif" w:hAnsi="Times New Roman;Times;Serif"/>
          <w:b/>
          <w:i w:val="false"/>
          <w:caps w:val="false"/>
          <w:smallCaps w:val="false"/>
          <w:sz w:val="20"/>
        </w:rPr>
        <w:t>Item 15. Exhibit and Financial Statement Schedules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report:</w:t>
      </w:r>
    </w:p>
    <w:p>
      <w:pPr>
        <w:pStyle w:val="TextBody"/>
        <w:bidi w:val="0"/>
        <w:spacing w:before="0" w:after="0"/>
        <w:ind w:left="0" w:right="0" w:hanging="1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85"/>
        <w:gridCol w:w="1775"/>
      </w:tblGrid>
      <w:tr>
        <w:trPr/>
        <w:tc>
          <w:tcPr>
            <w:tcW w:w="1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7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Statements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 of consolidated financial statements set forth in the accompanying Index to the Consolidated Financial Statements at page F-1 of this Annual Report on Form 10-K is incorporated herein by reference. Such consolidated financial statements are filed as part of this Annual Report on Form 10-K.</w:t>
      </w:r>
    </w:p>
    <w:p>
      <w:pPr>
        <w:pStyle w:val="TextBody"/>
        <w:bidi w:val="0"/>
        <w:spacing w:before="0" w:after="0"/>
        <w:ind w:left="0" w:right="0" w:hanging="1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85"/>
        <w:gridCol w:w="2570"/>
      </w:tblGrid>
      <w:tr>
        <w:trPr/>
        <w:tc>
          <w:tcPr>
            <w:tcW w:w="1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25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Statement Schedules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 required information is either not required, not applicable or because the information required is included in the consolidated financial statements or notes thereto.</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185"/>
        <w:gridCol w:w="710"/>
      </w:tblGrid>
      <w:tr>
        <w:trPr/>
        <w:tc>
          <w:tcPr>
            <w:tcW w:w="1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71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
        <w:gridCol w:w="60"/>
        <w:gridCol w:w="7341"/>
        <w:gridCol w:w="60"/>
        <w:gridCol w:w="504"/>
        <w:gridCol w:w="60"/>
        <w:gridCol w:w="655"/>
        <w:gridCol w:w="60"/>
        <w:gridCol w:w="689"/>
      </w:tblGrid>
      <w:tr>
        <w:trPr/>
        <w:tc>
          <w:tcPr>
            <w:tcW w:w="776" w:type="dxa"/>
            <w:tcBorders/>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968" w:type="dxa"/>
            <w:gridSpan w:val="5"/>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76"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No</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7341"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504"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5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9" w:type="dxa"/>
            <w:tcBorders>
              <w:bottom w:val="single" w:sz="8" w:space="0" w:color="000000"/>
            </w:tcBorders>
            <w:tcMar>
              <w:bottom w:w="28" w:type="dxa"/>
            </w:tcMar>
            <w:vAlign w:val="center"/>
          </w:tcPr>
          <w:p>
            <w:pPr>
              <w:pStyle w:val="TableContents"/>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"AnnexA_168524"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as of May 15, 2022, by and among Dragonfly Energy Holdings Corp. (f/k/a Chardan NexTech Acquisition 2 Corp.), Bronco Merger Sub, Inc. and Dragonfly Energy Corp. (included as Annex A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6">
              <w:r>
                <w:rPr>
                  <w:rStyle w:val="InternetLink"/>
                  <w:rFonts w:ascii="Times New Roman;Times;Serif" w:hAnsi="Times New Roman;Times;Serif"/>
                  <w:b w:val="false"/>
                  <w:i w:val="false"/>
                  <w:caps w:val="false"/>
                  <w:smallCaps w:val="false"/>
                  <w:sz w:val="20"/>
                </w:rPr>
                <w:t>Amendment to Agreement and Plan of Merger, dated as of July 12, 2022, by and among Dragonfly Energy Holdings Corp. (f/k/a Chardan NexTech Acquisition 2 Corp.), Bronco Merger Sub, Inc. and Dragonfly Energy Corp.</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7">
              <w:r>
                <w:rPr>
                  <w:rStyle w:val="InternetLink"/>
                  <w:rFonts w:ascii="Times New Roman;Times;Serif" w:hAnsi="Times New Roman;Times;Serif"/>
                  <w:b w:val="false"/>
                  <w:i w:val="false"/>
                  <w:caps w:val="false"/>
                  <w:smallCaps w:val="false"/>
                  <w:sz w:val="20"/>
                </w:rPr>
                <w:t>Plan of Conversion.</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8">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9">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November 29, 2023.</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0">
              <w:r>
                <w:rPr>
                  <w:rStyle w:val="InternetLink"/>
                  <w:rFonts w:ascii="Times New Roman;Times;Serif" w:hAnsi="Times New Roman;Times;Serif"/>
                  <w:b w:val="false"/>
                  <w:i w:val="false"/>
                  <w:caps w:val="false"/>
                  <w:smallCaps w:val="false"/>
                  <w:sz w:val="20"/>
                </w:rPr>
                <w:t>Certificate of Amendment to the Articles of Incorporation of Dragonfly Energy Holdings Corp., as filed with the Secretary of State of the State of Nevada, dated November 19, 2024.</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11/22/2024</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1">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2">
              <w:r>
                <w:rPr>
                  <w:rStyle w:val="InternetLink"/>
                  <w:rFonts w:ascii="Times New Roman;Times;Serif" w:hAnsi="Times New Roman;Times;Serif"/>
                  <w:b w:val="false"/>
                  <w:i w:val="false"/>
                  <w:caps w:val="false"/>
                  <w:smallCaps w:val="false"/>
                  <w:sz w:val="20"/>
                </w:rPr>
                <w:t>Certificate of Designation of the Powers, Preferences and Relative, Participating, Optional and Other Restrictions of Series A Convertible Preferred Stock of Dragonfly Energy Holdings Corp.</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3">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4">
              <w:r>
                <w:rPr>
                  <w:rStyle w:val="InternetLink"/>
                  <w:rFonts w:ascii="Times New Roman;Times;Serif" w:hAnsi="Times New Roman;Times;Serif"/>
                  <w:b w:val="false"/>
                  <w:i w:val="false"/>
                  <w:caps w:val="false"/>
                  <w:smallCaps w:val="false"/>
                  <w:sz w:val="20"/>
                </w:rPr>
                <w:t>Form of $10 Warrant of Dragonfly Energy Holdings Corp.</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5">
              <w:r>
                <w:rPr>
                  <w:rStyle w:val="InternetLink"/>
                  <w:rFonts w:ascii="Times New Roman;Times;Serif" w:hAnsi="Times New Roman;Times;Serif"/>
                  <w:b w:val="false"/>
                  <w:i w:val="false"/>
                  <w:caps w:val="false"/>
                  <w:smallCaps w:val="false"/>
                  <w:sz w:val="20"/>
                </w:rPr>
                <w:t>Form of Penny Warrant of Dragonfly Energy Holdings Corp.</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6">
              <w:r>
                <w:rPr>
                  <w:rStyle w:val="InternetLink"/>
                  <w:rFonts w:ascii="Times New Roman;Times;Serif" w:hAnsi="Times New Roman;Times;Serif"/>
                  <w:b w:val="false"/>
                  <w:i w:val="false"/>
                  <w:caps w:val="false"/>
                  <w:smallCaps w:val="false"/>
                  <w:sz w:val="20"/>
                </w:rPr>
                <w:t>Warrant Agreement, dated as of October 19, 2022, between Dragonfly Energy Holdings Corp. and American Stock Transfer &amp; Trust Company, LLC.</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10/21/2022</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7">
              <w:r>
                <w:rPr>
                  <w:rStyle w:val="InternetLink"/>
                  <w:rFonts w:ascii="Times New Roman;Times;Serif" w:hAnsi="Times New Roman;Times;Serif"/>
                  <w:b w:val="false"/>
                  <w:i w:val="false"/>
                  <w:caps w:val="false"/>
                  <w:smallCaps w:val="false"/>
                  <w:sz w:val="20"/>
                </w:rPr>
                <w:t>Specimen Warrant Certificate of Dragonfly Energy Holdings Corp.</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8">
              <w:r>
                <w:rPr>
                  <w:rStyle w:val="InternetLink"/>
                  <w:rFonts w:ascii="Times New Roman;Times;Serif" w:hAnsi="Times New Roman;Times;Serif"/>
                  <w:b w:val="false"/>
                  <w:i w:val="false"/>
                  <w:caps w:val="false"/>
                  <w:smallCaps w:val="false"/>
                  <w:sz w:val="20"/>
                </w:rPr>
                <w:t>Promissory Note of the Company, dated March 5, 2023.</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03/09/2023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19">
              <w:r>
                <w:rPr>
                  <w:rStyle w:val="InternetLink"/>
                  <w:rFonts w:ascii="Times New Roman;Times;Serif" w:hAnsi="Times New Roman;Times;Serif"/>
                  <w:b w:val="false"/>
                  <w:i w:val="false"/>
                  <w:caps w:val="false"/>
                  <w:smallCaps w:val="false"/>
                  <w:sz w:val="20"/>
                </w:rPr>
                <w:t>Form of June 2023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06/21/2023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0">
              <w:r>
                <w:rPr>
                  <w:rStyle w:val="InternetLink"/>
                  <w:rFonts w:ascii="Times New Roman;Times;Serif" w:hAnsi="Times New Roman;Times;Serif"/>
                  <w:b w:val="false"/>
                  <w:i w:val="false"/>
                  <w:caps w:val="false"/>
                  <w:smallCaps w:val="false"/>
                  <w:sz w:val="20"/>
                </w:rPr>
                <w:t>Form of Underwriters’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06/14/2023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1">
              <w:r>
                <w:rPr>
                  <w:rStyle w:val="InternetLink"/>
                  <w:rFonts w:ascii="Times New Roman;Times;Serif" w:hAnsi="Times New Roman;Times;Serif"/>
                  <w:b w:val="false"/>
                  <w:i w:val="false"/>
                  <w:caps w:val="false"/>
                  <w:smallCaps w:val="false"/>
                  <w:sz w:val="20"/>
                </w:rPr>
                <w:t>Form of December 2023 Lender Penny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12/29/2023</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2">
              <w:r>
                <w:rPr>
                  <w:rStyle w:val="InternetLink"/>
                  <w:rFonts w:ascii="Times New Roman;Times;Serif" w:hAnsi="Times New Roman;Times;Serif"/>
                  <w:b w:val="false"/>
                  <w:i w:val="false"/>
                  <w:caps w:val="false"/>
                  <w:smallCaps w:val="false"/>
                  <w:sz w:val="20"/>
                </w:rPr>
                <w:t>Form of January Note.</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03/04/2024</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3">
              <w:r>
                <w:rPr>
                  <w:rStyle w:val="InternetLink"/>
                  <w:rFonts w:ascii="Times New Roman;Times;Serif" w:hAnsi="Times New Roman;Times;Serif"/>
                  <w:b w:val="false"/>
                  <w:i w:val="false"/>
                  <w:caps w:val="false"/>
                  <w:smallCaps w:val="false"/>
                  <w:sz w:val="20"/>
                </w:rPr>
                <w:t>Form of February Note.</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03/04/2024</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4">
              <w:r>
                <w:rPr>
                  <w:rStyle w:val="InternetLink"/>
                  <w:rFonts w:ascii="Times New Roman;Times;Serif" w:hAnsi="Times New Roman;Times;Serif"/>
                  <w:b w:val="false"/>
                  <w:i w:val="false"/>
                  <w:caps w:val="false"/>
                  <w:smallCaps w:val="false"/>
                  <w:sz w:val="20"/>
                </w:rPr>
                <w:t>Form of May 2024 Penny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05/14/2024</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5">
              <w:r>
                <w:rPr>
                  <w:rStyle w:val="InternetLink"/>
                  <w:rFonts w:ascii="Times New Roman;Times;Serif" w:hAnsi="Times New Roman;Times;Serif"/>
                  <w:b w:val="false"/>
                  <w:i w:val="false"/>
                  <w:caps w:val="false"/>
                  <w:smallCaps w:val="false"/>
                  <w:sz w:val="20"/>
                </w:rPr>
                <w:t>Form of June 2024 Penny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06/28/2024</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6">
              <w:r>
                <w:rPr>
                  <w:rStyle w:val="InternetLink"/>
                  <w:rFonts w:ascii="Times New Roman;Times;Serif" w:hAnsi="Times New Roman;Times;Serif"/>
                  <w:b w:val="false"/>
                  <w:i w:val="false"/>
                  <w:caps w:val="false"/>
                  <w:smallCaps w:val="false"/>
                  <w:sz w:val="20"/>
                </w:rPr>
                <w:t>Form of September 2024 Penny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10/07/2024</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7">
              <w:r>
                <w:rPr>
                  <w:rStyle w:val="InternetLink"/>
                  <w:rFonts w:ascii="Times New Roman;Times;Serif" w:hAnsi="Times New Roman;Times;Serif"/>
                  <w:b w:val="false"/>
                  <w:i w:val="false"/>
                  <w:caps w:val="false"/>
                  <w:smallCaps w:val="false"/>
                  <w:sz w:val="20"/>
                </w:rPr>
                <w:t>Form of December 2024 Penny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01/03/2025</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8">
              <w:r>
                <w:rPr>
                  <w:rStyle w:val="InternetLink"/>
                  <w:rFonts w:ascii="Times New Roman;Times;Serif" w:hAnsi="Times New Roman;Times;Serif"/>
                  <w:b w:val="false"/>
                  <w:i w:val="false"/>
                  <w:caps w:val="false"/>
                  <w:smallCaps w:val="false"/>
                  <w:sz w:val="20"/>
                </w:rPr>
                <w:t>Form of Private Placement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r:id="rId29">
              <w:r>
                <w:rPr>
                  <w:rStyle w:val="InternetLink"/>
                  <w:rFonts w:ascii="Times New Roman;Times;Serif" w:hAnsi="Times New Roman;Times;Serif"/>
                  <w:b w:val="false"/>
                  <w:i w:val="false"/>
                  <w:caps w:val="false"/>
                  <w:smallCaps w:val="false"/>
                  <w:sz w:val="20"/>
                </w:rPr>
                <w:t>Form of February 2025 Penny Warrant.</w:t>
              </w:r>
            </w:hyperlink>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hyperlink w:anchor="ex4-18.htm">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"AnnexE_715156"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Sponsor Support Agreement, dated as of May 15, 2022, by and among Chardan NexTech Investments 2 LLC, Dragonfly Energy Corp. and Chardan NexTech Investments 2 LLC (included as Annex E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7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7341" w:type="dxa"/>
            <w:tcBorders/>
            <w:vAlign w:val="center"/>
          </w:tcPr>
          <w:p>
            <w:pPr>
              <w:pStyle w:val="TableContents"/>
              <w:bidi w:val="0"/>
              <w:spacing w:before="0" w:after="283"/>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"AnnexJ_927754"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Commitment Letter, dated as of May 15, 2022, by and among Dragonfly Energy Holdings Corp. (f/k/a Chardan NexTech Acquisition 2 Corp.), Dragonfly Energy Corp., CCM Investments 5 LLC and EICF Agent LLC (included as Annex J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504"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2"/>
        <w:gridCol w:w="60"/>
        <w:gridCol w:w="7912"/>
        <w:gridCol w:w="60"/>
        <w:gridCol w:w="333"/>
        <w:gridCol w:w="60"/>
        <w:gridCol w:w="485"/>
        <w:gridCol w:w="60"/>
        <w:gridCol w:w="633"/>
      </w:tblGrid>
      <w:tr>
        <w:trPr/>
        <w:tc>
          <w:tcPr>
            <w:tcW w:w="602" w:type="dxa"/>
            <w:tcBorders/>
            <w:vAlign w:val="center"/>
          </w:tcPr>
          <w:p>
            <w:pPr>
              <w:pStyle w:val="TableContents"/>
              <w:bidi w:val="0"/>
              <w:spacing w:lineRule="auto" w:line="252" w:before="0" w:after="283"/>
              <w:ind w:left="0" w:right="0" w:hanging="0"/>
              <w:jc w:val="left"/>
              <w:rPr>
                <w:sz w:val="20"/>
              </w:rPr>
            </w:pPr>
            <w:r>
              <w:rPr>
                <w:sz w:val="20"/>
              </w:rPr>
              <w:t>10.3</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r>
              <w:fldChar w:fldCharType="begin"/>
            </w:r>
            <w:r>
              <w:rPr>
                <w:rStyle w:val="InternetLink"/>
                <w:sz w:val="20"/>
              </w:rPr>
              <w:instrText xml:space="preserve"> HYPERLINK "https://www.sec.gov/Archives/edgar/data/1847986/000110465922100022/tm2218377-26_s4a.htm" \l "tANNK"</w:instrText>
            </w:r>
            <w:r>
              <w:rPr>
                <w:rStyle w:val="InternetLink"/>
                <w:sz w:val="20"/>
              </w:rPr>
              <w:fldChar w:fldCharType="separate"/>
            </w:r>
            <w:r>
              <w:rPr>
                <w:rStyle w:val="InternetLink"/>
                <w:sz w:val="20"/>
              </w:rPr>
              <w:t>Equity Facility Letter Agreement, dated as of May 15, 2022, by and among Dragonfly Energy Corp., Dragonfly Energy Holdings Corp. (f/k/a Chardan NexTech Acquisition 2 Corp.) and CCM Investments 5 LLC (included as Annex K to the proxy statement/prospectus).</w:t>
            </w:r>
            <w:r>
              <w:rPr>
                <w:rStyle w:val="InternetLink"/>
                <w:sz w:val="20"/>
              </w:rPr>
              <w:fldChar w:fldCharType="end"/>
            </w:r>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S-4</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10.6</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07/22/2022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10.4</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r>
              <w:fldChar w:fldCharType="begin"/>
            </w:r>
            <w:r>
              <w:rPr>
                <w:rStyle w:val="InternetLink"/>
                <w:sz w:val="20"/>
              </w:rPr>
              <w:instrText xml:space="preserve"> HYPERLINK "https://www.sec.gov/Archives/edgar/data/1847986/000110465922100022/tm2218377-26_s4a.htm" \l "tANNF"</w:instrText>
            </w:r>
            <w:r>
              <w:rPr>
                <w:rStyle w:val="InternetLink"/>
                <w:sz w:val="20"/>
              </w:rPr>
              <w:fldChar w:fldCharType="separate"/>
            </w:r>
            <w:r>
              <w:rPr>
                <w:rStyle w:val="InternetLink"/>
                <w:sz w:val="20"/>
              </w:rPr>
              <w:t>Subscription Agreement, dated as of May 15, 2022, between Dragonfly Energy Holdings Corp. (f/k/a Chardan NexTech Acquisition 2 Corp.) and Chardan NexTech Investments 2 LLC (included as Annex F to the proxy statement/prospectus).</w:t>
            </w:r>
            <w:r>
              <w:rPr>
                <w:rStyle w:val="InternetLink"/>
                <w:sz w:val="20"/>
              </w:rPr>
              <w:fldChar w:fldCharType="end"/>
            </w:r>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S-4</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10.7</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07/22/2022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10.5++</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0">
              <w:r>
                <w:rPr>
                  <w:rStyle w:val="InternetLink"/>
                  <w:sz w:val="20"/>
                </w:rPr>
                <w:t>Dragonfly Energy Holdings Corp. 2022 Equity Incentive Plan.</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10.5</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10.6++</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1">
              <w:r>
                <w:rPr>
                  <w:rStyle w:val="InternetLink"/>
                  <w:sz w:val="20"/>
                </w:rPr>
                <w:t>Dragonfly Energy Holdings Corp. Employee Stock Purchase Plan.</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10.6</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10.7</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2">
              <w:r>
                <w:rPr>
                  <w:rStyle w:val="InternetLink"/>
                  <w:sz w:val="20"/>
                </w:rPr>
                <w:t>Multi-tenant Industrial Triple Net Lease, dated as of March 1, 2021, between Dragonfly Energy Corp. and Icon Reno Property Owner Pool 3 Nevada,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S-4</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10.11</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07/22/2022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10.8</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3">
              <w:r>
                <w:rPr>
                  <w:rStyle w:val="InternetLink"/>
                  <w:sz w:val="20"/>
                </w:rPr>
                <w:t>Lease, dated as of February 8, 2022, between Dragonfly Energy Corp. and Prologis, L.P.</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S-4</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10.12</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07/22/2022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10.9#</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4">
              <w:r>
                <w:rPr>
                  <w:rStyle w:val="InternetLink"/>
                  <w:sz w:val="20"/>
                </w:rPr>
                <w:t>Purchase Agreement, dated as of October 7, 2022, between Dragonfly Energy Holdings Corp. and Chardan Capital Markets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10.10</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10.10</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5">
              <w:r>
                <w:rPr>
                  <w:rStyle w:val="InternetLink"/>
                  <w:sz w:val="20"/>
                </w:rPr>
                <w:t>Registration Rights Agreement, dated as of October 7, 2022, between Dragonfly Energy Holdings Corp. and Chardan Capital Markets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10.11</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10.11</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6">
              <w:r>
                <w:rPr>
                  <w:rStyle w:val="InternetLink"/>
                  <w:sz w:val="20"/>
                </w:rPr>
                <w:t>Term Loan Agreement, dated as of October 7, 2022, by and among the Dragonfly Energy Holdings Corp., Dragonfly Energy Corp., the lenders from time to time party thereto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10.12</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10.12</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7">
              <w:r>
                <w:rPr>
                  <w:rStyle w:val="InternetLink"/>
                  <w:sz w:val="20"/>
                </w:rPr>
                <w:t>Pledge Agreement, dated as of October 7, 2022, by and among Dragonfly Energy Holdings Corp.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10.13</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10.13++</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8">
              <w:r>
                <w:rPr>
                  <w:rStyle w:val="InternetLink"/>
                  <w:sz w:val="20"/>
                </w:rPr>
                <w:t>Employment Agreement, dated as of January 1, 2022, by and between Dragonfly Energy Corp. and Denis Phares.</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10.14</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10.14++</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39">
              <w:r>
                <w:rPr>
                  <w:rStyle w:val="InternetLink"/>
                  <w:sz w:val="20"/>
                </w:rPr>
                <w:t>Amendment to Employment Agreement, dated as of May 15, 2022, by and between Dragonfly Energy Corp. and Denis Phares.</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10.15</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10.15++</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0">
              <w:r>
                <w:rPr>
                  <w:rStyle w:val="InternetLink"/>
                  <w:sz w:val="20"/>
                </w:rPr>
                <w:t>Employment Agreement, dated as of August 17, 2021, by and between Dragonfly Energy Corp. and John Marchetti.</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10.18</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10.16++</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1">
              <w:r>
                <w:rPr>
                  <w:rStyle w:val="InternetLink"/>
                  <w:sz w:val="20"/>
                </w:rPr>
                <w:t>Dragonfly Energy Corp. 2019 Stock Incentive Plan.</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10.19</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10.17++</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2">
              <w:r>
                <w:rPr>
                  <w:rStyle w:val="InternetLink"/>
                  <w:sz w:val="20"/>
                </w:rPr>
                <w:t>Dragonfly Energy Corp. 2021 Stock Incentive Plan.</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10.20</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10.18</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3">
              <w:r>
                <w:rPr>
                  <w:rStyle w:val="InternetLink"/>
                  <w:sz w:val="20"/>
                </w:rPr>
                <w:t>Amended and Restated Registration Rights Agreement, dated as of October 7, 2022, by and among Dragonfly Energy Holdings Corp. and each of the stockholders thereto.</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10.21</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10/11/2022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10.19*++</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w:anchor="ex10-19.htm">
              <w:r>
                <w:rPr>
                  <w:rStyle w:val="InternetLink"/>
                </w:rPr>
                <w:t>Revised D</w:t>
              </w:r>
            </w:hyperlink>
            <w:hyperlink w:anchor="ex10-19.htm">
              <w:r>
                <w:rPr>
                  <w:rStyle w:val="InternetLink"/>
                  <w:sz w:val="20"/>
                </w:rPr>
                <w:t>irector Compensation Policy.</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pPr>
            <w:r>
              <w:rPr/>
              <w:t> </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10.20++</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4">
              <w:r>
                <w:rPr>
                  <w:rStyle w:val="InternetLink"/>
                  <w:sz w:val="20"/>
                </w:rPr>
                <w:t>Employment Agreement, dated as of October 11, 2022, by and between Dragonfly Energy Holdings Corp. and Denis Phares.</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S-1</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10.23</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11/4/2022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10.21++</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5">
              <w:r>
                <w:rPr>
                  <w:rStyle w:val="InternetLink"/>
                  <w:sz w:val="20"/>
                </w:rPr>
                <w:t>Employment Agreement, dated as of October 11, 2022, by and between Dragonfly Energy Holdings Corp. and John Marchetti.</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S-1</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10.24</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11/4/2022</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10.22++</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6">
              <w:r>
                <w:rPr>
                  <w:rStyle w:val="InternetLink"/>
                  <w:sz w:val="20"/>
                </w:rPr>
                <w:t>First Amended and Restated Employment Agreement, dated February 24, 2023, by and between Dragonfly Energy Holdings Corp. and John Marchetti.</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03/02/2023</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10.23</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7">
              <w:r>
                <w:rPr>
                  <w:rStyle w:val="InternetLink"/>
                  <w:sz w:val="20"/>
                </w:rPr>
                <w:t>Asset Purchase Agreement, dated April 22, 2022, by and among Dragonfly Energy Corp., Thomason Jones Company, LLC, William Thomason and Richard Jones.</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10.28</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10.24</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8">
              <w:r>
                <w:rPr>
                  <w:rStyle w:val="InternetLink"/>
                  <w:sz w:val="20"/>
                </w:rPr>
                <w:t>Manufacturing Supply Agreement, dated November 19, 2021, by and between Dragonfly Energy Holdings Corp. and Keystone RV Company.</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10.29</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10.25</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49">
              <w:r>
                <w:rPr>
                  <w:rStyle w:val="InternetLink"/>
                  <w:sz w:val="20"/>
                </w:rPr>
                <w:t>Asset Purchase Agreement, dated January 1, 2022, by and between Dragonfly Energy Holdings Corp. and Bourns Productions, Inc.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10.30</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10.26</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50">
              <w:r>
                <w:rPr>
                  <w:rStyle w:val="InternetLink"/>
                  <w:sz w:val="20"/>
                </w:rPr>
                <w:t>Assignment and Assumption Agreement, dated January 1, 2022, by and between Dragonfly Energy Corp. and Bourns Productions, Inc.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10.31</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602" w:type="dxa"/>
            <w:tcBorders/>
            <w:vAlign w:val="center"/>
          </w:tcPr>
          <w:p>
            <w:pPr>
              <w:pStyle w:val="TableContents"/>
              <w:bidi w:val="0"/>
              <w:spacing w:lineRule="auto" w:line="252" w:before="0" w:after="283"/>
              <w:ind w:left="0" w:right="0" w:hanging="0"/>
              <w:jc w:val="left"/>
              <w:rPr>
                <w:sz w:val="20"/>
              </w:rPr>
            </w:pPr>
            <w:r>
              <w:rPr>
                <w:sz w:val="20"/>
              </w:rPr>
              <w:t>10.27</w:t>
            </w:r>
          </w:p>
        </w:tc>
        <w:tc>
          <w:tcPr>
            <w:tcW w:w="60" w:type="dxa"/>
            <w:tcBorders/>
            <w:vAlign w:val="center"/>
          </w:tcPr>
          <w:p>
            <w:pPr>
              <w:pStyle w:val="TableContents"/>
              <w:bidi w:val="0"/>
              <w:spacing w:lineRule="auto" w:line="252" w:before="0" w:after="283"/>
              <w:ind w:left="0" w:right="0" w:hanging="0"/>
              <w:jc w:val="left"/>
              <w:rPr/>
            </w:pPr>
            <w:r>
              <w:rPr/>
              <w:t> </w:t>
            </w:r>
          </w:p>
        </w:tc>
        <w:tc>
          <w:tcPr>
            <w:tcW w:w="7912" w:type="dxa"/>
            <w:tcBorders/>
            <w:vAlign w:val="center"/>
          </w:tcPr>
          <w:p>
            <w:pPr>
              <w:pStyle w:val="TableContents"/>
              <w:bidi w:val="0"/>
              <w:spacing w:lineRule="auto" w:line="252" w:before="0" w:after="283"/>
              <w:ind w:left="0" w:right="0" w:hanging="0"/>
              <w:jc w:val="both"/>
              <w:rPr/>
            </w:pPr>
            <w:hyperlink r:id="rId51">
              <w:r>
                <w:rPr>
                  <w:rStyle w:val="InternetLink"/>
                  <w:sz w:val="20"/>
                </w:rPr>
                <w:t>Assignment and Assumption of Lease Agreement, dated January 1, 2022, by and among Dragonfly Energy Corp., Bourns Productions, Inc. and Los Angeles &amp; Steel Co.</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10.32</w:t>
            </w:r>
          </w:p>
        </w:tc>
        <w:tc>
          <w:tcPr>
            <w:tcW w:w="60" w:type="dxa"/>
            <w:tcBorders/>
            <w:vAlign w:val="center"/>
          </w:tcPr>
          <w:p>
            <w:pPr>
              <w:pStyle w:val="TableContents"/>
              <w:bidi w:val="0"/>
              <w:spacing w:lineRule="auto" w:line="252" w:before="0" w:after="283"/>
              <w:ind w:left="0" w:right="0" w:hanging="0"/>
              <w:jc w:val="left"/>
              <w:rPr/>
            </w:pPr>
            <w:r>
              <w:rPr/>
              <w:t> </w:t>
            </w:r>
          </w:p>
        </w:tc>
        <w:tc>
          <w:tcPr>
            <w:tcW w:w="633" w:type="dxa"/>
            <w:tcBorders/>
            <w:vAlign w:val="center"/>
          </w:tcPr>
          <w:p>
            <w:pPr>
              <w:pStyle w:val="TableContents"/>
              <w:bidi w:val="0"/>
              <w:spacing w:lineRule="auto" w:line="252" w:before="0" w:after="283"/>
              <w:jc w:val="left"/>
              <w:rPr>
                <w:sz w:val="20"/>
              </w:rPr>
            </w:pPr>
            <w:r>
              <w:rPr>
                <w:sz w:val="20"/>
              </w:rPr>
              <w:t>04/17/2023</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67"/>
        <w:gridCol w:w="60"/>
        <w:gridCol w:w="7951"/>
        <w:gridCol w:w="60"/>
        <w:gridCol w:w="333"/>
        <w:gridCol w:w="60"/>
        <w:gridCol w:w="485"/>
        <w:gridCol w:w="60"/>
        <w:gridCol w:w="629"/>
      </w:tblGrid>
      <w:tr>
        <w:trPr/>
        <w:tc>
          <w:tcPr>
            <w:tcW w:w="567" w:type="dxa"/>
            <w:tcBorders/>
            <w:vAlign w:val="center"/>
          </w:tcPr>
          <w:p>
            <w:pPr>
              <w:pStyle w:val="TableContents"/>
              <w:bidi w:val="0"/>
              <w:spacing w:lineRule="auto" w:line="252" w:before="0" w:after="283"/>
              <w:ind w:left="0" w:right="0" w:hanging="0"/>
              <w:jc w:val="left"/>
              <w:rPr>
                <w:sz w:val="20"/>
              </w:rPr>
            </w:pPr>
            <w:r>
              <w:rPr>
                <w:sz w:val="20"/>
              </w:rPr>
              <w:t>10.28</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52">
              <w:r>
                <w:rPr>
                  <w:rStyle w:val="InternetLink"/>
                  <w:sz w:val="20"/>
                </w:rPr>
                <w:t>Research and Development Lab Lease, dated April 25, 2019, by and between Dragonfly Energy Corp. and BRE RS Greg Park Owner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10.33</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10.29</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53">
              <w:r>
                <w:rPr>
                  <w:rStyle w:val="InternetLink"/>
                  <w:sz w:val="20"/>
                </w:rPr>
                <w:t>Amendment No. 1 to Research and Lab Lease, dated March 12, 2020, by and between Dragonfly Energy Corp. and DRE RS Greg Park Owner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10.34</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10.30</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54">
              <w:r>
                <w:rPr>
                  <w:rStyle w:val="InternetLink"/>
                  <w:sz w:val="20"/>
                </w:rPr>
                <w:t>Amendment No. 2 to Research and Lab Lease, dated July 27, 2020, by and between Dragonfly Energy Corp. and DRE RS Greg Park Owner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10.35</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10.31</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55">
              <w:r>
                <w:rPr>
                  <w:rStyle w:val="InternetLink"/>
                  <w:sz w:val="20"/>
                </w:rPr>
                <w:t>Amendment No. 3 to Research and Lab Lease, dated August 26, 2020, by and between Dragonfly Energy Corp. and DRE RS Greg Park Owner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10.36</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10.32</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56">
              <w:r>
                <w:rPr>
                  <w:rStyle w:val="InternetLink"/>
                  <w:sz w:val="20"/>
                </w:rPr>
                <w:t>Amendment No. 4 to Research and Lab Lease, dated December 16, 2020, by and between Dragonfly Energy Corp. and BRS RS Greg Park Owner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10.37</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10.33</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57">
              <w:r>
                <w:rPr>
                  <w:rStyle w:val="InternetLink"/>
                  <w:sz w:val="20"/>
                </w:rPr>
                <w:t>Amendment No. 5 to Research and Lab Lease, dated January 28, 2022, by and between Dragonfly Energy Corp. and BRS RS Greg Park Owner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10.38</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04/17/2023</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10.34</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58">
              <w:r>
                <w:rPr>
                  <w:rStyle w:val="InternetLink"/>
                  <w:sz w:val="20"/>
                </w:rPr>
                <w:t>Limited Waiver, dated as of March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03/29/2023</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10.35</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59">
              <w:r>
                <w:rPr>
                  <w:rStyle w:val="InternetLink"/>
                  <w:sz w:val="20"/>
                </w:rPr>
                <w:t>Limited Waiver, dated as of December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12/29/2023</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10.36++</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60">
              <w:r>
                <w:rPr>
                  <w:rStyle w:val="InternetLink"/>
                  <w:sz w:val="20"/>
                </w:rPr>
                <w:t>Employment Agreement, dated as of November 7, 2022, by and between Dragonfly Energy Holdings Corp. and Wade Seaburg.</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10.42</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04/16/2024</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10.37++</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61">
              <w:r>
                <w:rPr>
                  <w:rStyle w:val="InternetLink"/>
                  <w:sz w:val="20"/>
                </w:rPr>
                <w:t>Employment Agreement, dated as of November 7, 2022, by and between Dragonfly Energy Holdings Corp. and Tyler Bourns.</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10.43</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04/16/2024</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10.38</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62">
              <w:r>
                <w:rPr>
                  <w:rStyle w:val="InternetLink"/>
                  <w:sz w:val="20"/>
                </w:rPr>
                <w:t>Fernley Lease, dated April 12, 2024, by and between Dragonfly Energy Corp., Cottonmill Properties, LLC, and Marlene Thier.</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10.44</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ind w:left="0" w:right="0" w:hanging="0"/>
              <w:jc w:val="left"/>
              <w:rPr>
                <w:sz w:val="20"/>
              </w:rPr>
            </w:pPr>
            <w:r>
              <w:rPr>
                <w:sz w:val="20"/>
              </w:rPr>
              <w:t>04/16/2024</w:t>
            </w:r>
          </w:p>
        </w:tc>
      </w:tr>
      <w:tr>
        <w:trPr/>
        <w:tc>
          <w:tcPr>
            <w:tcW w:w="567" w:type="dxa"/>
            <w:tcBorders/>
            <w:vAlign w:val="center"/>
          </w:tcPr>
          <w:p>
            <w:pPr>
              <w:pStyle w:val="TableContents"/>
              <w:bidi w:val="0"/>
              <w:spacing w:lineRule="auto" w:line="252" w:before="0" w:after="283"/>
              <w:ind w:left="0" w:right="0" w:hanging="0"/>
              <w:jc w:val="left"/>
              <w:rPr>
                <w:sz w:val="20"/>
              </w:rPr>
            </w:pPr>
            <w:r>
              <w:rPr>
                <w:sz w:val="20"/>
              </w:rPr>
              <w:t>10.39++</w:t>
            </w:r>
          </w:p>
        </w:tc>
        <w:tc>
          <w:tcPr>
            <w:tcW w:w="60" w:type="dxa"/>
            <w:tcBorders/>
            <w:vAlign w:val="center"/>
          </w:tcPr>
          <w:p>
            <w:pPr>
              <w:pStyle w:val="TableContents"/>
              <w:bidi w:val="0"/>
              <w:spacing w:lineRule="auto" w:line="252" w:before="0" w:after="283"/>
              <w:ind w:left="0" w:right="0" w:hanging="0"/>
              <w:jc w:val="left"/>
              <w:rPr/>
            </w:pPr>
            <w:r>
              <w:rPr/>
              <w:t> </w:t>
            </w:r>
          </w:p>
        </w:tc>
        <w:tc>
          <w:tcPr>
            <w:tcW w:w="7951" w:type="dxa"/>
            <w:tcBorders/>
            <w:vAlign w:val="center"/>
          </w:tcPr>
          <w:p>
            <w:pPr>
              <w:pStyle w:val="TableContents"/>
              <w:bidi w:val="0"/>
              <w:spacing w:lineRule="auto" w:line="252" w:before="0" w:after="283"/>
              <w:ind w:left="0" w:right="0" w:hanging="0"/>
              <w:jc w:val="both"/>
              <w:rPr/>
            </w:pPr>
            <w:hyperlink r:id="rId63">
              <w:r>
                <w:rPr>
                  <w:rStyle w:val="InternetLink"/>
                  <w:sz w:val="20"/>
                </w:rPr>
                <w:t>Amendment No. 1 to Employment Agreement, effective as of April 12, 2024, by and between Dragonfly Energy Holdings Corp. and Denis Phares.</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33"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10.45</w:t>
            </w:r>
          </w:p>
        </w:tc>
        <w:tc>
          <w:tcPr>
            <w:tcW w:w="60" w:type="dxa"/>
            <w:tcBorders/>
            <w:vAlign w:val="center"/>
          </w:tcPr>
          <w:p>
            <w:pPr>
              <w:pStyle w:val="TableContents"/>
              <w:bidi w:val="0"/>
              <w:spacing w:lineRule="auto" w:line="252" w:before="0" w:after="283"/>
              <w:ind w:left="0" w:right="0" w:hanging="0"/>
              <w:jc w:val="left"/>
              <w:rPr/>
            </w:pPr>
            <w:r>
              <w:rPr/>
              <w:t> </w:t>
            </w:r>
          </w:p>
        </w:tc>
        <w:tc>
          <w:tcPr>
            <w:tcW w:w="629" w:type="dxa"/>
            <w:tcBorders/>
            <w:vAlign w:val="center"/>
          </w:tcPr>
          <w:p>
            <w:pPr>
              <w:pStyle w:val="TableContents"/>
              <w:bidi w:val="0"/>
              <w:spacing w:lineRule="auto" w:line="252" w:before="0" w:after="283"/>
              <w:jc w:val="left"/>
              <w:rPr>
                <w:sz w:val="20"/>
              </w:rPr>
            </w:pPr>
            <w:r>
              <w:rPr>
                <w:sz w:val="20"/>
              </w:rPr>
              <w:t>04/16/2024</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90"/>
        <w:gridCol w:w="60"/>
        <w:gridCol w:w="7967"/>
        <w:gridCol w:w="60"/>
        <w:gridCol w:w="342"/>
        <w:gridCol w:w="60"/>
        <w:gridCol w:w="485"/>
        <w:gridCol w:w="60"/>
        <w:gridCol w:w="581"/>
      </w:tblGrid>
      <w:tr>
        <w:trPr/>
        <w:tc>
          <w:tcPr>
            <w:tcW w:w="590" w:type="dxa"/>
            <w:tcBorders/>
            <w:vAlign w:val="center"/>
          </w:tcPr>
          <w:p>
            <w:pPr>
              <w:pStyle w:val="TableContents"/>
              <w:bidi w:val="0"/>
              <w:spacing w:lineRule="auto" w:line="252" w:before="0" w:after="283"/>
              <w:ind w:left="0" w:right="0" w:hanging="0"/>
              <w:jc w:val="left"/>
              <w:rPr>
                <w:sz w:val="20"/>
              </w:rPr>
            </w:pPr>
            <w:r>
              <w:rPr>
                <w:sz w:val="20"/>
              </w:rPr>
              <w:t>10.40++</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64">
              <w:r>
                <w:rPr>
                  <w:rStyle w:val="InternetLink"/>
                  <w:sz w:val="20"/>
                </w:rPr>
                <w:t>Amendment No. 1 to Employment Agreement, effective as of April 12, 2024, by and between Dragonfly Energy Holdings Corp. and Wade Seaburg.</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10.46</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04/16/2024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65">
              <w:r>
                <w:rPr>
                  <w:rStyle w:val="InternetLink"/>
                  <w:sz w:val="20"/>
                </w:rPr>
                <w:t>Amendment No. 1 to Employment Agreement, effective as of April 12, 2024, by and between Dragonfly Energy Holdings Corp. and Tyler Bourns.</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10.47</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04/16/2024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10.42</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66">
              <w:r>
                <w:rPr>
                  <w:rStyle w:val="InternetLink"/>
                </w:rPr>
                <w:t>Limited Waiver, dated as of May 13, 2024,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10-Q</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05/14/2024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10.43</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67">
              <w:r>
                <w:rPr>
                  <w:rStyle w:val="InternetLink"/>
                </w:rPr>
                <w:t>Amended and Restated ChEF Purchase Agreement, by and between Chardan Capital Markets LLC and Dragonfly Energy Holdings Corp., dated May 20, 2024.</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05/20/2024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10.44</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68">
              <w:r>
                <w:rPr>
                  <w:rStyle w:val="InternetLink"/>
                </w:rPr>
                <w:t>Limited Waiver and First Amendment to Term Loan, Guarantee and Security Agreement, dated as of June 28, 2024, by and among Dragonfly Energy Holdings Corp., Dragonfly Energy Corp., the lenders from time to time party thereto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07/01/2024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10.45#</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69">
              <w:r>
                <w:rPr>
                  <w:rStyle w:val="InternetLink"/>
                </w:rPr>
                <w:t>Trademark License Agreement, by and among Dragonfly Energy Corp., Battle Born Battery Products, LLC, and Stryten Energy LLC, dated as of July 29, 2024.</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8-K/A</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08/01/2024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10.46#</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0">
              <w:r>
                <w:rPr>
                  <w:rStyle w:val="InternetLink"/>
                </w:rPr>
                <w:t>Trademark Transfer and License-Back Agreement, by and between Dragonfly Energy Corp. and Battle Born Battery Products, LLC, dated as of July 29, 2024.</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8-K/A</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08/01/2024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10.47#</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1">
              <w:r>
                <w:rPr>
                  <w:rStyle w:val="InternetLink"/>
                </w:rPr>
                <w:t xml:space="preserve">Limited Waiver, Consent and Second Amendment to Term Loan, Guarantee and Security Agreement, dated as of July 29, 2024, by and among Dragonfly Energy Corp., Dragonfly Energy Holdings Corp., Battle Born Battery Products, LLC, the lenders from time-to-time party thereto and Alter Domus (US) LLC. </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8-K/A</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08/01/2024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10.48</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2">
              <w:r>
                <w:rPr>
                  <w:rStyle w:val="InternetLink"/>
                </w:rPr>
                <w:t>Joinder Agreement, by Battle Born Battery Products, LLC and acknowledged by Dragonfly Energy Corp., and Dragonfly Energy Holdings Corp., dated as of July 29, 2024.</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8-K/A</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10.4</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08/01/2024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10.49</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3">
              <w:r>
                <w:rPr>
                  <w:rStyle w:val="InternetLink"/>
                </w:rPr>
                <w:t>Limited Waiver and Third Amendment to Term Loan, Guarantee and Security Agreement, dated as of September 30, 2024, by and among Dragonfly Energy Holdings Corp., Dragonfly Energy Corp., the lenders from time to time party thereto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10/07/2024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10.50</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4">
              <w:r>
                <w:rPr>
                  <w:rStyle w:val="InternetLink"/>
                </w:rPr>
                <w:t>Limited Waiver and Fourth Amendment to Term Loan, Guarantee and Security Agreement, dated as of December 31, 2024, by and among Dragonfly Energy Holdings Corp., Dragonfly Energy Corp., Battle Born Battery Products, LLC, the lenders from time to time party thereto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01/03/2025</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10.51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5">
              <w:r>
                <w:rPr>
                  <w:rStyle w:val="InternetLink"/>
                </w:rPr>
                <w:t>Support Agreement, dated as of December 31, 2024, by and among Dragonfly Energy Holdings Corp. and the shareholder identified on the signature pages thereto.</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01/03/2025</w:t>
            </w:r>
          </w:p>
        </w:tc>
      </w:tr>
      <w:tr>
        <w:trPr/>
        <w:tc>
          <w:tcPr>
            <w:tcW w:w="590" w:type="dxa"/>
            <w:tcBorders/>
            <w:vAlign w:val="center"/>
          </w:tcPr>
          <w:p>
            <w:pPr>
              <w:pStyle w:val="TableContents"/>
              <w:bidi w:val="0"/>
              <w:spacing w:lineRule="auto" w:line="252" w:before="0" w:after="283"/>
              <w:ind w:left="0" w:right="0" w:hanging="0"/>
              <w:jc w:val="left"/>
              <w:rPr/>
            </w:pPr>
            <w:r>
              <w:rPr>
                <w:sz w:val="20"/>
              </w:rPr>
              <w:t>10.52</w:t>
            </w:r>
            <w:r>
              <w:rPr/>
              <w:t>++</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6">
              <w:r>
                <w:rPr>
                  <w:rStyle w:val="InternetLink"/>
                </w:rPr>
                <w:t>Employment Agreement by and between Vickram Singh and Dragonfly Energy Holdings Corp, dated February 1, 2025.</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02/05/2025</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10.53#</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7">
              <w:r>
                <w:rPr>
                  <w:rStyle w:val="InternetLink"/>
                </w:rPr>
                <w:t>Form of Securities Purchase Agreement, dated February 26, 2025, by and between Dragonfly Energy Holdings Corp. and the investor listed on the Schedule of Buyers thereto.</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02/27/2025</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10.54</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8">
              <w:r>
                <w:rPr>
                  <w:rStyle w:val="InternetLink"/>
                </w:rPr>
                <w:t>Form of Registration Rights Agreement, dated February 26, 2025, by and between Dragonfly Energy Holdings Corp. and the investor listed on the Schedule of Buyers thereto.</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10.2</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02/27/2025</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10.55</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79">
              <w:r>
                <w:rPr>
                  <w:rStyle w:val="InternetLink"/>
                </w:rPr>
                <w:t>Support Agreement, dated February 26, 2025, by and between Dragonfly Energy Holdings Corp. and the stockholder signatory thereto.</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10.3</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02/27/2025</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10.56#</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80">
              <w:r>
                <w:rPr>
                  <w:rStyle w:val="InternetLink"/>
                  <w:sz w:val="20"/>
                </w:rPr>
                <w:t>Fifth Amendment to Term Loan, Guarantee and Security Agreement, dated as of February 26, 2025, by and among Dragonfly Energy Holdings Corp., Dragonfly Energy Corp., Battle Born Battery Products, LLC, the lenders from time to time party thereto and Alter Domus (US) LLC.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10.4</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02/27/2025</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16.1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81">
              <w:r>
                <w:rPr>
                  <w:rStyle w:val="InternetLink"/>
                  <w:sz w:val="20"/>
                </w:rPr>
                <w:t>Letter dated March 24, 2025 from Marcum LLP to the Securities and Exchange Commission.</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8-K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16.1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03/24/2025</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19.1*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w:anchor="ex19-1.htm">
              <w:r>
                <w:rPr>
                  <w:rStyle w:val="InternetLink"/>
                  <w:sz w:val="20"/>
                </w:rPr>
                <w:t>Insider Trading Policy.</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21.1*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w:anchor="ex21-1.htm">
              <w:r>
                <w:rPr>
                  <w:rStyle w:val="InternetLink"/>
                  <w:sz w:val="20"/>
                </w:rPr>
                <w:t>List of Subsidiaries.</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23.1*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w:anchor="ex23-1.htm">
              <w:r>
                <w:rPr>
                  <w:rStyle w:val="InternetLink"/>
                  <w:sz w:val="20"/>
                </w:rPr>
                <w:t>Consent of CBIZ CPAs P.C.</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31.1*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w:anchor="ex31-1.htm">
              <w:r>
                <w:rPr>
                  <w:rStyle w:val="InternetLink"/>
                  <w:sz w:val="20"/>
                </w:rPr>
                <w:t>Certification of Principal Executive Officer Required Under Rule 13a-14(a) and 15d-14(a) of the Securities Exchange Act of 1934, as amended.</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31.2*</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w:anchor="ex31-2.htm">
              <w:r>
                <w:rPr>
                  <w:rStyle w:val="InternetLink"/>
                  <w:sz w:val="20"/>
                </w:rPr>
                <w:t>Certification of Principal Financial Officer Required Under Rule 13a-14(a) and 15d-14(a) of the Securities Exchange Act of 1934, as amended.</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32.1**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w:anchor="ex32-1.htm">
              <w:r>
                <w:rPr>
                  <w:rStyle w:val="InternetLink"/>
                  <w:sz w:val="20"/>
                </w:rPr>
                <w:t>Certification of Chief Executive Officer Required Under Rule 13a-14(b) of the Securities Exchange Act of 1934, as amended, and 18 U.S.C. §1350.</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97.1</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pPr>
            <w:hyperlink r:id="rId82">
              <w:r>
                <w:rPr>
                  <w:rStyle w:val="InternetLink"/>
                  <w:sz w:val="20"/>
                </w:rPr>
                <w:t>Dragonfly Energy Holdings Corp. Compensation Recovery Policy.</w:t>
              </w:r>
            </w:hyperlink>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sz w:val="20"/>
              </w:rPr>
            </w:pPr>
            <w:r>
              <w:rPr>
                <w:sz w:val="20"/>
              </w:rPr>
              <w:t>10-K</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sz w:val="20"/>
              </w:rPr>
            </w:pPr>
            <w:r>
              <w:rPr>
                <w:sz w:val="20"/>
              </w:rPr>
              <w:t>97.1</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sz w:val="20"/>
              </w:rPr>
            </w:pPr>
            <w:r>
              <w:rPr>
                <w:sz w:val="20"/>
              </w:rPr>
              <w:t>04/16/2024</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101.INS*</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sz w:val="20"/>
              </w:rPr>
            </w:pPr>
            <w:r>
              <w:rPr>
                <w:sz w:val="20"/>
              </w:rPr>
              <w:t>Inline XBRL Instance Document.</w:t>
            </w:r>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101.SCH*</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sz w:val="20"/>
              </w:rPr>
            </w:pPr>
            <w:r>
              <w:rPr>
                <w:sz w:val="20"/>
              </w:rPr>
              <w:t>Inline XBRL Taxonomy Extension Schema Document.</w:t>
            </w:r>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101.CAL*</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sz w:val="20"/>
              </w:rPr>
            </w:pPr>
            <w:r>
              <w:rPr>
                <w:sz w:val="20"/>
              </w:rPr>
              <w:t>Inline XBRL Taxonomy Extension Calculation Linkbase Document.</w:t>
            </w:r>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101.DEF*</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sz w:val="20"/>
              </w:rPr>
            </w:pPr>
            <w:r>
              <w:rPr>
                <w:sz w:val="20"/>
              </w:rPr>
              <w:t>Inline XBRL Taxonomy Extension Definition Linkbase Document.</w:t>
            </w:r>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101.LAB*</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sz w:val="20"/>
              </w:rPr>
            </w:pPr>
            <w:r>
              <w:rPr>
                <w:sz w:val="20"/>
              </w:rPr>
              <w:t>Inline XBRL Taxonomy Extension Label Linkbase Document.</w:t>
            </w:r>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101.PRE*</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sz w:val="20"/>
              </w:rPr>
            </w:pPr>
            <w:r>
              <w:rPr>
                <w:sz w:val="20"/>
              </w:rPr>
              <w:t>Inline XBRL Taxonomy Extension Presentation Linkbase Document.</w:t>
            </w:r>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ind w:left="0" w:right="0" w:hanging="0"/>
              <w:jc w:val="left"/>
              <w:rPr/>
            </w:pPr>
            <w:r>
              <w:rPr/>
              <w:t> </w:t>
            </w:r>
          </w:p>
        </w:tc>
      </w:tr>
      <w:tr>
        <w:trPr/>
        <w:tc>
          <w:tcPr>
            <w:tcW w:w="590" w:type="dxa"/>
            <w:tcBorders/>
            <w:vAlign w:val="center"/>
          </w:tcPr>
          <w:p>
            <w:pPr>
              <w:pStyle w:val="TableContents"/>
              <w:bidi w:val="0"/>
              <w:spacing w:lineRule="auto" w:line="252" w:before="0" w:after="283"/>
              <w:ind w:left="0" w:right="0" w:hanging="0"/>
              <w:jc w:val="left"/>
              <w:rPr>
                <w:sz w:val="20"/>
              </w:rPr>
            </w:pPr>
            <w:r>
              <w:rPr>
                <w:sz w:val="20"/>
              </w:rPr>
              <w:t>104*</w:t>
            </w:r>
          </w:p>
        </w:tc>
        <w:tc>
          <w:tcPr>
            <w:tcW w:w="60" w:type="dxa"/>
            <w:tcBorders/>
            <w:vAlign w:val="center"/>
          </w:tcPr>
          <w:p>
            <w:pPr>
              <w:pStyle w:val="TableContents"/>
              <w:bidi w:val="0"/>
              <w:spacing w:lineRule="auto" w:line="252" w:before="0" w:after="283"/>
              <w:ind w:left="0" w:right="0" w:hanging="0"/>
              <w:jc w:val="left"/>
              <w:rPr/>
            </w:pPr>
            <w:r>
              <w:rPr/>
              <w:t> </w:t>
            </w:r>
          </w:p>
        </w:tc>
        <w:tc>
          <w:tcPr>
            <w:tcW w:w="7967" w:type="dxa"/>
            <w:tcBorders/>
            <w:vAlign w:val="center"/>
          </w:tcPr>
          <w:p>
            <w:pPr>
              <w:pStyle w:val="TableContents"/>
              <w:bidi w:val="0"/>
              <w:spacing w:lineRule="auto" w:line="252" w:before="0" w:after="283"/>
              <w:ind w:left="0" w:right="0" w:hanging="0"/>
              <w:jc w:val="both"/>
              <w:rPr>
                <w:sz w:val="20"/>
              </w:rPr>
            </w:pPr>
            <w:r>
              <w:rPr>
                <w:sz w:val="20"/>
              </w:rPr>
              <w:t>Cover Page Interactive Data File (embedded within the Inline XBRL document).</w:t>
            </w:r>
          </w:p>
        </w:tc>
        <w:tc>
          <w:tcPr>
            <w:tcW w:w="60" w:type="dxa"/>
            <w:tcBorders/>
            <w:vAlign w:val="center"/>
          </w:tcPr>
          <w:p>
            <w:pPr>
              <w:pStyle w:val="TableContents"/>
              <w:bidi w:val="0"/>
              <w:spacing w:lineRule="auto" w:line="252" w:before="0" w:after="283"/>
              <w:ind w:left="0" w:right="0" w:hanging="0"/>
              <w:jc w:val="left"/>
              <w:rPr/>
            </w:pPr>
            <w:r>
              <w:rPr/>
              <w:t> </w:t>
            </w:r>
          </w:p>
        </w:tc>
        <w:tc>
          <w:tcPr>
            <w:tcW w:w="342"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485" w:type="dxa"/>
            <w:tcBorders/>
            <w:vAlign w:val="center"/>
          </w:tcPr>
          <w:p>
            <w:pPr>
              <w:pStyle w:val="TableContents"/>
              <w:bidi w:val="0"/>
              <w:spacing w:lineRule="auto" w:line="252" w:before="0" w:after="283"/>
              <w:ind w:left="0" w:right="0" w:hanging="0"/>
              <w:jc w:val="left"/>
              <w:rPr/>
            </w:pPr>
            <w:r>
              <w:rPr/>
              <w:t> </w:t>
            </w:r>
          </w:p>
        </w:tc>
        <w:tc>
          <w:tcPr>
            <w:tcW w:w="60" w:type="dxa"/>
            <w:tcBorders/>
            <w:vAlign w:val="center"/>
          </w:tcPr>
          <w:p>
            <w:pPr>
              <w:pStyle w:val="TableContents"/>
              <w:bidi w:val="0"/>
              <w:spacing w:lineRule="auto" w:line="252" w:before="0" w:after="283"/>
              <w:ind w:left="0" w:right="0" w:hanging="0"/>
              <w:jc w:val="left"/>
              <w:rPr/>
            </w:pPr>
            <w:r>
              <w:rPr/>
              <w:t> </w:t>
            </w:r>
          </w:p>
        </w:tc>
        <w:tc>
          <w:tcPr>
            <w:tcW w:w="581" w:type="dxa"/>
            <w:tcBorders/>
            <w:vAlign w:val="center"/>
          </w:tcPr>
          <w:p>
            <w:pPr>
              <w:pStyle w:val="TableContents"/>
              <w:bidi w:val="0"/>
              <w:spacing w:lineRule="auto" w:line="252"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9" w:right="0" w:hanging="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schedules and exhibits to the agreement have been omitted pursuant to Item 601(b)(2) of Regulation S-K. A copy of any omitted schedule and/or exhibit will be furnished to the Securities and Exchange Commission upon request.</w:t>
      </w:r>
    </w:p>
    <w:p>
      <w:pPr>
        <w:pStyle w:val="TextBody"/>
        <w:bidi w:val="0"/>
        <w:spacing w:before="0" w:after="0"/>
        <w:ind w:left="309" w:right="0" w:hanging="324"/>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9" w:name="a_014"/>
      <w:bookmarkEnd w:id="79"/>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0" w:name="a_015"/>
      <w:bookmarkEnd w:id="80"/>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Annual Report to be signed on its behalf by the undersigned, thereunto duly authorized, in Reno, Nevada, on the 31st day of March, 2025.</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365"/>
        <w:gridCol w:w="7310"/>
      </w:tblGrid>
      <w:tr>
        <w:trPr/>
        <w:tc>
          <w:tcPr>
            <w:tcW w:w="75" w:type="dxa"/>
            <w:tcBorders/>
            <w:vAlign w:val="center"/>
          </w:tcPr>
          <w:p>
            <w:pPr>
              <w:pStyle w:val="TableContents"/>
              <w:bidi w:val="0"/>
              <w:spacing w:before="0" w:after="283"/>
              <w:jc w:val="left"/>
              <w:rPr/>
            </w:pPr>
            <w:r>
              <w:rPr/>
              <w:t> </w:t>
            </w:r>
          </w:p>
        </w:tc>
        <w:tc>
          <w:tcPr>
            <w:tcW w:w="7675" w:type="dxa"/>
            <w:gridSpan w:val="2"/>
            <w:tcBorders/>
            <w:vAlign w:val="center"/>
          </w:tcPr>
          <w:p>
            <w:pPr>
              <w:pStyle w:val="TableContents"/>
              <w:bidi w:val="0"/>
              <w:spacing w:before="0" w:after="283"/>
              <w:jc w:val="left"/>
              <w:rPr>
                <w:b/>
              </w:rPr>
            </w:pPr>
            <w:r>
              <w:rPr>
                <w:b/>
              </w:rPr>
              <w:t>DRAGONFLY ENERGY HOLDINGS CORP.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310" w:type="dxa"/>
            <w:tcBorders/>
            <w:vAlign w:val="center"/>
          </w:tcPr>
          <w:p>
            <w:pPr>
              <w:pStyle w:val="TableContents"/>
              <w:bidi w:val="0"/>
              <w:spacing w:before="0" w:after="283"/>
              <w:jc w:val="left"/>
              <w:rPr>
                <w:i/>
              </w:rPr>
            </w:pPr>
            <w:r>
              <w:rPr>
                <w:i/>
              </w:rPr>
              <w:t>/s/ Denis Phares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Denis Phares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Chief Executive Officer, Interim Chief Financial Officer and President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(Principal Executive Officer and Principal Financial and Accounting Officer)</w:t>
            </w:r>
          </w:p>
        </w:tc>
      </w:tr>
    </w:tbl>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Annual Report has been signed by the following persons in the capacities and on the dates indicated: </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10"/>
        <w:jc w:val="both"/>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caps/>
        </w:rPr>
      </w:pPr>
      <w:r>
        <w:rPr>
          <w:caps/>
        </w:rPr>
        <w:t> </w:t>
      </w:r>
    </w:p>
    <w:tbl>
      <w:tblPr>
        <w:tblW w:w="10205" w:type="dxa"/>
        <w:jc w:val="left"/>
        <w:tblInd w:w="0" w:type="dxa"/>
        <w:tblLayout w:type="fixed"/>
        <w:tblCellMar>
          <w:top w:w="0" w:type="dxa"/>
          <w:left w:w="0" w:type="dxa"/>
          <w:bottom w:w="28" w:type="dxa"/>
          <w:right w:w="0" w:type="dxa"/>
        </w:tblCellMar>
      </w:tblPr>
      <w:tblGrid>
        <w:gridCol w:w="2419"/>
        <w:gridCol w:w="60"/>
        <w:gridCol w:w="6307"/>
        <w:gridCol w:w="60"/>
        <w:gridCol w:w="1359"/>
      </w:tblGrid>
      <w:tr>
        <w:trPr/>
        <w:tc>
          <w:tcPr>
            <w:tcW w:w="2419" w:type="dxa"/>
            <w:tcBorders>
              <w:bottom w:val="single" w:sz="8" w:space="0" w:color="000000"/>
            </w:tcBorders>
            <w:vAlign w:val="center"/>
          </w:tcPr>
          <w:p>
            <w:pPr>
              <w:pStyle w:val="TableContents"/>
              <w:bidi w:val="0"/>
              <w:spacing w:before="0" w:after="283"/>
              <w:ind w:left="0" w:right="0" w:hanging="0"/>
              <w:jc w:val="left"/>
              <w:rPr>
                <w:b/>
              </w:rPr>
            </w:pPr>
            <w:r>
              <w:rPr>
                <w:b/>
              </w:rPr>
              <w:t>Signature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bottom w:val="single" w:sz="8" w:space="0" w:color="000000"/>
            </w:tcBorders>
            <w:vAlign w:val="center"/>
          </w:tcPr>
          <w:p>
            <w:pPr>
              <w:pStyle w:val="TableContents"/>
              <w:bidi w:val="0"/>
              <w:spacing w:before="0" w:after="283"/>
              <w:ind w:left="0" w:right="0" w:hanging="0"/>
              <w:jc w:val="center"/>
              <w:rPr>
                <w:b/>
              </w:rPr>
            </w:pPr>
            <w:r>
              <w:rPr>
                <w:b/>
              </w:rPr>
              <w:t>Title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bottom w:val="single" w:sz="8" w:space="0" w:color="000000"/>
            </w:tcBorders>
            <w:vAlign w:val="center"/>
          </w:tcPr>
          <w:p>
            <w:pPr>
              <w:pStyle w:val="TableContents"/>
              <w:bidi w:val="0"/>
              <w:spacing w:before="0" w:after="283"/>
              <w:ind w:left="0" w:right="0" w:hanging="0"/>
              <w:jc w:val="center"/>
              <w:rPr>
                <w:b/>
              </w:rPr>
            </w:pPr>
            <w:r>
              <w:rPr>
                <w:b/>
              </w:rPr>
              <w:t>Date</w:t>
            </w:r>
          </w:p>
        </w:tc>
      </w:tr>
      <w:tr>
        <w:trPr/>
        <w:tc>
          <w:tcPr>
            <w:tcW w:w="241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bottom w:val="single" w:sz="8" w:space="0" w:color="000000"/>
            </w:tcBorders>
            <w:vAlign w:val="center"/>
          </w:tcPr>
          <w:p>
            <w:pPr>
              <w:pStyle w:val="TableContents"/>
              <w:bidi w:val="0"/>
              <w:spacing w:before="0" w:after="283"/>
              <w:ind w:left="0" w:right="0" w:hanging="0"/>
              <w:jc w:val="left"/>
              <w:rPr>
                <w:i/>
              </w:rPr>
            </w:pPr>
            <w:r>
              <w:rPr>
                <w:i/>
              </w:rPr>
              <w:t>/s/ Denis Phares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Chief Executive Officer, Interim Chief Financial Officer, President and Chairman</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March 31, 2025</w:t>
            </w:r>
          </w:p>
        </w:tc>
      </w:tr>
      <w:tr>
        <w:trPr/>
        <w:tc>
          <w:tcPr>
            <w:tcW w:w="2419" w:type="dxa"/>
            <w:tcBorders/>
            <w:tcMar>
              <w:bottom w:w="0" w:type="dxa"/>
            </w:tcMar>
            <w:vAlign w:val="center"/>
          </w:tcPr>
          <w:p>
            <w:pPr>
              <w:pStyle w:val="TableContents"/>
              <w:bidi w:val="0"/>
              <w:spacing w:before="0" w:after="283"/>
              <w:ind w:left="0" w:right="0" w:hanging="0"/>
              <w:jc w:val="left"/>
              <w:rPr/>
            </w:pPr>
            <w:r>
              <w:rPr/>
              <w:t>Denis Phares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(Principal Executive Officer and Principal Financial and Accounting Officer)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bottom w:val="single" w:sz="8" w:space="0" w:color="000000"/>
            </w:tcBorders>
            <w:vAlign w:val="center"/>
          </w:tcPr>
          <w:p>
            <w:pPr>
              <w:pStyle w:val="TableContents"/>
              <w:bidi w:val="0"/>
              <w:spacing w:before="0" w:after="283"/>
              <w:ind w:left="0" w:right="0" w:hanging="0"/>
              <w:jc w:val="left"/>
              <w:rPr>
                <w:i/>
              </w:rPr>
            </w:pPr>
            <w:r>
              <w:rPr>
                <w:i/>
              </w:rPr>
              <w:t>/s/ Jonathan Bellows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Director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March 31, 2025</w:t>
            </w:r>
          </w:p>
        </w:tc>
      </w:tr>
      <w:tr>
        <w:trPr/>
        <w:tc>
          <w:tcPr>
            <w:tcW w:w="2419" w:type="dxa"/>
            <w:tcBorders/>
            <w:tcMar>
              <w:bottom w:w="0" w:type="dxa"/>
            </w:tcMar>
            <w:vAlign w:val="center"/>
          </w:tcPr>
          <w:p>
            <w:pPr>
              <w:pStyle w:val="TableContents"/>
              <w:bidi w:val="0"/>
              <w:spacing w:before="0" w:after="283"/>
              <w:ind w:left="0" w:right="0" w:hanging="0"/>
              <w:jc w:val="left"/>
              <w:rPr/>
            </w:pPr>
            <w:r>
              <w:rPr/>
              <w:t>Jonathan Bellows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bottom w:val="single" w:sz="8" w:space="0" w:color="000000"/>
            </w:tcBorders>
            <w:vAlign w:val="center"/>
          </w:tcPr>
          <w:p>
            <w:pPr>
              <w:pStyle w:val="TableContents"/>
              <w:bidi w:val="0"/>
              <w:spacing w:before="0" w:after="283"/>
              <w:ind w:left="0" w:right="0" w:hanging="0"/>
              <w:jc w:val="left"/>
              <w:rPr>
                <w:i/>
              </w:rPr>
            </w:pPr>
            <w:r>
              <w:rPr>
                <w:i/>
              </w:rPr>
              <w:t>/s/ Perry Boyle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Director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March 31, 2025</w:t>
            </w:r>
          </w:p>
        </w:tc>
      </w:tr>
      <w:tr>
        <w:trPr/>
        <w:tc>
          <w:tcPr>
            <w:tcW w:w="2419" w:type="dxa"/>
            <w:tcBorders/>
            <w:tcMar>
              <w:bottom w:w="0" w:type="dxa"/>
            </w:tcMar>
            <w:vAlign w:val="center"/>
          </w:tcPr>
          <w:p>
            <w:pPr>
              <w:pStyle w:val="TableContents"/>
              <w:bidi w:val="0"/>
              <w:spacing w:before="0" w:after="283"/>
              <w:ind w:left="0" w:right="0" w:hanging="0"/>
              <w:jc w:val="left"/>
              <w:rPr/>
            </w:pPr>
            <w:r>
              <w:rPr/>
              <w:t>Perry Boyle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bottom w:val="single" w:sz="8" w:space="0" w:color="000000"/>
            </w:tcBorders>
            <w:vAlign w:val="center"/>
          </w:tcPr>
          <w:p>
            <w:pPr>
              <w:pStyle w:val="TableContents"/>
              <w:bidi w:val="0"/>
              <w:spacing w:before="0" w:after="283"/>
              <w:ind w:left="0" w:right="0" w:hanging="0"/>
              <w:jc w:val="left"/>
              <w:rPr>
                <w:i/>
              </w:rPr>
            </w:pPr>
            <w:r>
              <w:rPr>
                <w:i/>
              </w:rPr>
              <w:t>/s/ Karina Montilla Edmonds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Director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March 31, 2025</w:t>
            </w:r>
          </w:p>
        </w:tc>
      </w:tr>
      <w:tr>
        <w:trPr/>
        <w:tc>
          <w:tcPr>
            <w:tcW w:w="2419" w:type="dxa"/>
            <w:tcBorders/>
            <w:tcMar>
              <w:bottom w:w="0" w:type="dxa"/>
            </w:tcMar>
            <w:vAlign w:val="center"/>
          </w:tcPr>
          <w:p>
            <w:pPr>
              <w:pStyle w:val="TableContents"/>
              <w:bidi w:val="0"/>
              <w:spacing w:before="0" w:after="283"/>
              <w:ind w:left="0" w:right="0" w:hanging="0"/>
              <w:jc w:val="left"/>
              <w:rPr/>
            </w:pPr>
            <w:r>
              <w:rPr/>
              <w:t>Karina Montilla Edmonds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bottom w:val="single" w:sz="8" w:space="0" w:color="000000"/>
            </w:tcBorders>
            <w:vAlign w:val="center"/>
          </w:tcPr>
          <w:p>
            <w:pPr>
              <w:pStyle w:val="TableContents"/>
              <w:bidi w:val="0"/>
              <w:spacing w:before="0" w:after="283"/>
              <w:ind w:left="0" w:right="0" w:hanging="0"/>
              <w:jc w:val="left"/>
              <w:rPr>
                <w:i/>
              </w:rPr>
            </w:pPr>
            <w:r>
              <w:rPr>
                <w:i/>
              </w:rPr>
              <w:t>/s/ Luisa Ingargiola</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Director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March 31, 2025</w:t>
            </w:r>
          </w:p>
        </w:tc>
      </w:tr>
      <w:tr>
        <w:trPr/>
        <w:tc>
          <w:tcPr>
            <w:tcW w:w="2419" w:type="dxa"/>
            <w:tcBorders/>
            <w:tcMar>
              <w:bottom w:w="0" w:type="dxa"/>
            </w:tcMar>
            <w:vAlign w:val="center"/>
          </w:tcPr>
          <w:p>
            <w:pPr>
              <w:pStyle w:val="TableContents"/>
              <w:bidi w:val="0"/>
              <w:spacing w:before="0" w:after="283"/>
              <w:ind w:left="0" w:right="0" w:hanging="0"/>
              <w:jc w:val="left"/>
              <w:rPr/>
            </w:pPr>
            <w:r>
              <w:rPr/>
              <w:t>Luisa Ingargiola</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bottom w:val="single" w:sz="8" w:space="0" w:color="000000"/>
            </w:tcBorders>
            <w:vAlign w:val="center"/>
          </w:tcPr>
          <w:p>
            <w:pPr>
              <w:pStyle w:val="TableContents"/>
              <w:bidi w:val="0"/>
              <w:spacing w:before="0" w:after="283"/>
              <w:ind w:left="0" w:right="0" w:hanging="0"/>
              <w:jc w:val="left"/>
              <w:rPr>
                <w:i/>
              </w:rPr>
            </w:pPr>
            <w:r>
              <w:rPr>
                <w:i/>
              </w:rPr>
              <w:t>/s/ Brian Nelson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Director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March 31, 2025</w:t>
            </w:r>
          </w:p>
        </w:tc>
      </w:tr>
      <w:tr>
        <w:trPr/>
        <w:tc>
          <w:tcPr>
            <w:tcW w:w="2419" w:type="dxa"/>
            <w:tcBorders/>
            <w:tcMar>
              <w:bottom w:w="0" w:type="dxa"/>
            </w:tcMar>
            <w:vAlign w:val="center"/>
          </w:tcPr>
          <w:p>
            <w:pPr>
              <w:pStyle w:val="TableContents"/>
              <w:bidi w:val="0"/>
              <w:spacing w:before="0" w:after="283"/>
              <w:ind w:left="0" w:right="0" w:hanging="0"/>
              <w:jc w:val="left"/>
              <w:rPr/>
            </w:pPr>
            <w:r>
              <w:rPr/>
              <w:t>Brian Nelson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 </w:t>
            </w:r>
          </w:p>
        </w:tc>
      </w:tr>
      <w:tr>
        <w:trPr/>
        <w:tc>
          <w:tcPr>
            <w:tcW w:w="2419" w:type="dxa"/>
            <w:tcBorders>
              <w:bottom w:val="single" w:sz="8" w:space="0" w:color="000000"/>
            </w:tcBorders>
            <w:vAlign w:val="center"/>
          </w:tcPr>
          <w:p>
            <w:pPr>
              <w:pStyle w:val="TableContents"/>
              <w:bidi w:val="0"/>
              <w:spacing w:before="0" w:after="283"/>
              <w:ind w:left="0" w:right="0" w:hanging="0"/>
              <w:jc w:val="left"/>
              <w:rPr>
                <w:i/>
              </w:rPr>
            </w:pPr>
            <w:r>
              <w:rPr>
                <w:i/>
              </w:rPr>
              <w:t>/s/ Rick Parod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Director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ind w:left="0" w:right="0" w:hanging="0"/>
              <w:jc w:val="center"/>
              <w:rPr/>
            </w:pPr>
            <w:r>
              <w:rPr/>
              <w:t>March 31, 2025</w:t>
            </w:r>
          </w:p>
        </w:tc>
      </w:tr>
      <w:tr>
        <w:trPr/>
        <w:tc>
          <w:tcPr>
            <w:tcW w:w="2419" w:type="dxa"/>
            <w:tcBorders/>
            <w:tcMar>
              <w:bottom w:w="0" w:type="dxa"/>
            </w:tcMar>
            <w:vAlign w:val="center"/>
          </w:tcPr>
          <w:p>
            <w:pPr>
              <w:pStyle w:val="TableContents"/>
              <w:bidi w:val="0"/>
              <w:spacing w:before="0" w:after="283"/>
              <w:ind w:left="0" w:right="0" w:hanging="0"/>
              <w:jc w:val="left"/>
              <w:rPr/>
            </w:pPr>
            <w:r>
              <w:rPr/>
              <w:t>Rick Parod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07" w:type="dxa"/>
            <w:tcBorders/>
            <w:tcMar>
              <w:bottom w:w="0" w:type="dxa"/>
            </w:tcMar>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359" w:type="dxa"/>
            <w:tcBorders/>
            <w:tcMar>
              <w:bottom w:w="0" w:type="dxa"/>
            </w:tcMar>
            <w:vAlign w:val="center"/>
          </w:tcPr>
          <w:p>
            <w:pPr>
              <w:pStyle w:val="TableContents"/>
              <w:bidi w:val="0"/>
              <w:spacing w:before="0" w:after="283"/>
              <w:jc w:val="center"/>
              <w:rPr/>
            </w:pPr>
            <w:r>
              <w:rPr/>
              <w:t> </w:t>
            </w:r>
          </w:p>
        </w:tc>
      </w:tr>
    </w:tbl>
    <w:p>
      <w:pPr>
        <w:pStyle w:val="TextBody"/>
        <w:bidi w:val="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Financial Statements and Supplemental Data</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8"/>
        <w:gridCol w:w="357"/>
      </w:tblGrid>
      <w:tr>
        <w:trPr/>
        <w:tc>
          <w:tcPr>
            <w:tcW w:w="9848" w:type="dxa"/>
            <w:tcBorders/>
            <w:shd w:fill="CCEEFF" w:val="clear"/>
            <w:vAlign w:val="center"/>
          </w:tcPr>
          <w:p>
            <w:pPr>
              <w:pStyle w:val="TableContents"/>
              <w:bidi w:val="0"/>
              <w:spacing w:before="0" w:after="283"/>
              <w:ind w:left="0" w:right="0" w:hanging="0"/>
              <w:jc w:val="left"/>
              <w:rPr/>
            </w:pPr>
            <w:hyperlink w:anchor="fin_01">
              <w:r>
                <w:rPr>
                  <w:rStyle w:val="InternetLink"/>
                </w:rPr>
                <w:t>Report of Independent Registered Public Accounting Firm</w:t>
              </w:r>
            </w:hyperlink>
            <w:r>
              <w:rPr/>
              <w:t xml:space="preserve"> (PCAOB ID# </w:t>
            </w:r>
            <w:bookmarkStart w:id="81" w:name="xdx_902_edei--AuditorFirmId_c20240101__2"/>
            <w:bookmarkEnd w:id="81"/>
            <w:r>
              <w:rPr/>
              <w:t>688)</w:t>
            </w:r>
          </w:p>
        </w:tc>
        <w:tc>
          <w:tcPr>
            <w:tcW w:w="357" w:type="dxa"/>
            <w:tcBorders/>
            <w:shd w:fill="CCEEFF" w:val="clear"/>
            <w:vAlign w:val="center"/>
          </w:tcPr>
          <w:p>
            <w:pPr>
              <w:pStyle w:val="TableContents"/>
              <w:bidi w:val="0"/>
              <w:spacing w:before="0" w:after="283"/>
              <w:ind w:left="0" w:right="0" w:hanging="0"/>
              <w:jc w:val="right"/>
              <w:rPr/>
            </w:pPr>
            <w:r>
              <w:rPr/>
              <w:t>F-2</w:t>
            </w:r>
          </w:p>
        </w:tc>
      </w:tr>
      <w:tr>
        <w:trPr/>
        <w:tc>
          <w:tcPr>
            <w:tcW w:w="9848" w:type="dxa"/>
            <w:tcBorders/>
            <w:shd w:fill="FFFFFF" w:val="clear"/>
            <w:vAlign w:val="center"/>
          </w:tcPr>
          <w:p>
            <w:pPr>
              <w:pStyle w:val="TableContents"/>
              <w:bidi w:val="0"/>
              <w:spacing w:before="0" w:after="283"/>
              <w:ind w:left="0" w:right="0" w:hanging="0"/>
              <w:jc w:val="left"/>
              <w:rPr/>
            </w:pPr>
            <w:hyperlink w:anchor="fin_02">
              <w:r>
                <w:rPr>
                  <w:rStyle w:val="InternetLink"/>
                </w:rPr>
                <w:t>Consolidated Balance Sheets as of December 31, 2024 and 2023</w:t>
              </w:r>
            </w:hyperlink>
          </w:p>
        </w:tc>
        <w:tc>
          <w:tcPr>
            <w:tcW w:w="357" w:type="dxa"/>
            <w:tcBorders/>
            <w:shd w:fill="FFFFFF" w:val="clear"/>
            <w:vAlign w:val="center"/>
          </w:tcPr>
          <w:p>
            <w:pPr>
              <w:pStyle w:val="TableContents"/>
              <w:bidi w:val="0"/>
              <w:spacing w:before="0" w:after="283"/>
              <w:ind w:left="0" w:right="0" w:hanging="0"/>
              <w:jc w:val="right"/>
              <w:rPr/>
            </w:pPr>
            <w:r>
              <w:rPr/>
              <w:t>F-3</w:t>
            </w:r>
          </w:p>
        </w:tc>
      </w:tr>
      <w:tr>
        <w:trPr/>
        <w:tc>
          <w:tcPr>
            <w:tcW w:w="9848" w:type="dxa"/>
            <w:tcBorders/>
            <w:shd w:fill="CCEEFF" w:val="clear"/>
            <w:vAlign w:val="center"/>
          </w:tcPr>
          <w:p>
            <w:pPr>
              <w:pStyle w:val="TableContents"/>
              <w:bidi w:val="0"/>
              <w:spacing w:before="0" w:after="283"/>
              <w:ind w:left="0" w:right="0" w:hanging="0"/>
              <w:jc w:val="left"/>
              <w:rPr/>
            </w:pPr>
            <w:hyperlink w:anchor="fin_03">
              <w:r>
                <w:rPr>
                  <w:rStyle w:val="InternetLink"/>
                </w:rPr>
                <w:t>Consolidated Statements of Operations for the years ended December 31, 2024 and 2023</w:t>
              </w:r>
            </w:hyperlink>
          </w:p>
        </w:tc>
        <w:tc>
          <w:tcPr>
            <w:tcW w:w="357" w:type="dxa"/>
            <w:tcBorders/>
            <w:shd w:fill="CCEEFF" w:val="clear"/>
            <w:vAlign w:val="center"/>
          </w:tcPr>
          <w:p>
            <w:pPr>
              <w:pStyle w:val="TableContents"/>
              <w:bidi w:val="0"/>
              <w:spacing w:before="0" w:after="283"/>
              <w:ind w:left="0" w:right="0" w:hanging="0"/>
              <w:jc w:val="right"/>
              <w:rPr/>
            </w:pPr>
            <w:r>
              <w:rPr/>
              <w:t>F-4</w:t>
            </w:r>
          </w:p>
        </w:tc>
      </w:tr>
      <w:tr>
        <w:trPr/>
        <w:tc>
          <w:tcPr>
            <w:tcW w:w="9848" w:type="dxa"/>
            <w:tcBorders/>
            <w:shd w:fill="FFFFFF" w:val="clear"/>
            <w:vAlign w:val="center"/>
          </w:tcPr>
          <w:p>
            <w:pPr>
              <w:pStyle w:val="TableContents"/>
              <w:bidi w:val="0"/>
              <w:spacing w:before="0" w:after="283"/>
              <w:ind w:left="0" w:right="0" w:hanging="0"/>
              <w:jc w:val="left"/>
              <w:rPr/>
            </w:pPr>
            <w:hyperlink w:anchor="fin_04">
              <w:r>
                <w:rPr>
                  <w:rStyle w:val="InternetLink"/>
                </w:rPr>
                <w:t>Consolidated Statements of Changes in Stockholders’ Equity for the years ended December 31, 2024 and 2023</w:t>
              </w:r>
            </w:hyperlink>
          </w:p>
        </w:tc>
        <w:tc>
          <w:tcPr>
            <w:tcW w:w="357" w:type="dxa"/>
            <w:tcBorders/>
            <w:shd w:fill="FFFFFF" w:val="clear"/>
            <w:vAlign w:val="center"/>
          </w:tcPr>
          <w:p>
            <w:pPr>
              <w:pStyle w:val="TableContents"/>
              <w:bidi w:val="0"/>
              <w:spacing w:before="0" w:after="283"/>
              <w:ind w:left="0" w:right="0" w:hanging="0"/>
              <w:jc w:val="right"/>
              <w:rPr/>
            </w:pPr>
            <w:r>
              <w:rPr/>
              <w:t>F-5</w:t>
            </w:r>
          </w:p>
        </w:tc>
      </w:tr>
      <w:tr>
        <w:trPr/>
        <w:tc>
          <w:tcPr>
            <w:tcW w:w="9848" w:type="dxa"/>
            <w:tcBorders/>
            <w:shd w:fill="CCEEFF" w:val="clear"/>
            <w:vAlign w:val="center"/>
          </w:tcPr>
          <w:p>
            <w:pPr>
              <w:pStyle w:val="TableContents"/>
              <w:bidi w:val="0"/>
              <w:spacing w:before="0" w:after="283"/>
              <w:ind w:left="0" w:right="0" w:hanging="0"/>
              <w:jc w:val="left"/>
              <w:rPr/>
            </w:pPr>
            <w:hyperlink w:anchor="fin_05">
              <w:r>
                <w:rPr>
                  <w:rStyle w:val="InternetLink"/>
                </w:rPr>
                <w:t>Statements of Cash Flows for the years ended December 31, 2024 and 2023</w:t>
              </w:r>
            </w:hyperlink>
          </w:p>
        </w:tc>
        <w:tc>
          <w:tcPr>
            <w:tcW w:w="357" w:type="dxa"/>
            <w:tcBorders/>
            <w:shd w:fill="CCEEFF" w:val="clear"/>
            <w:vAlign w:val="center"/>
          </w:tcPr>
          <w:p>
            <w:pPr>
              <w:pStyle w:val="TableContents"/>
              <w:bidi w:val="0"/>
              <w:spacing w:before="0" w:after="283"/>
              <w:ind w:left="0" w:right="0" w:hanging="0"/>
              <w:jc w:val="right"/>
              <w:rPr/>
            </w:pPr>
            <w:r>
              <w:rPr/>
              <w:t>F-6</w:t>
            </w:r>
          </w:p>
        </w:tc>
      </w:tr>
      <w:tr>
        <w:trPr/>
        <w:tc>
          <w:tcPr>
            <w:tcW w:w="9848" w:type="dxa"/>
            <w:tcBorders/>
            <w:shd w:fill="FFFFFF" w:val="clear"/>
            <w:vAlign w:val="center"/>
          </w:tcPr>
          <w:p>
            <w:pPr>
              <w:pStyle w:val="TableContents"/>
              <w:bidi w:val="0"/>
              <w:spacing w:before="0" w:after="283"/>
              <w:ind w:left="0" w:right="0" w:hanging="0"/>
              <w:jc w:val="left"/>
              <w:rPr/>
            </w:pPr>
            <w:hyperlink w:anchor="fin_06">
              <w:r>
                <w:rPr>
                  <w:rStyle w:val="InternetLink"/>
                </w:rPr>
                <w:t>Notes to Consolidated Financial Statements</w:t>
              </w:r>
            </w:hyperlink>
          </w:p>
        </w:tc>
        <w:tc>
          <w:tcPr>
            <w:tcW w:w="357" w:type="dxa"/>
            <w:tcBorders/>
            <w:shd w:fill="FFFFFF" w:val="clear"/>
            <w:vAlign w:val="center"/>
          </w:tcPr>
          <w:p>
            <w:pPr>
              <w:pStyle w:val="TableContents"/>
              <w:bidi w:val="0"/>
              <w:spacing w:before="0" w:after="283"/>
              <w:jc w:val="right"/>
              <w:rPr/>
            </w:pPr>
            <w:r>
              <w:rPr/>
              <w:t>F-8</w:t>
            </w:r>
          </w:p>
        </w:tc>
      </w:tr>
    </w:tbl>
    <w:p>
      <w:pPr>
        <w:pStyle w:val="TextBody"/>
        <w:bidi w:val="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caps/>
        </w:rPr>
      </w:pPr>
      <w:r>
        <w:rPr>
          <w:caps/>
        </w:rPr>
        <w:t> </w:t>
      </w:r>
    </w:p>
    <w:p>
      <w:pPr>
        <w:pStyle w:val="TextBody"/>
        <w:bidi w:val="0"/>
        <w:ind w:left="154" w:right="0" w:hanging="10"/>
        <w:jc w:val="center"/>
        <w:rPr>
          <w:rFonts w:ascii="Times New Roman;Times;Serif" w:hAnsi="Times New Roman;Times;Serif"/>
          <w:b/>
          <w:i w:val="false"/>
          <w:caps w:val="false"/>
          <w:smallCaps w:val="false"/>
          <w:sz w:val="20"/>
        </w:rPr>
      </w:pPr>
      <w:bookmarkStart w:id="82" w:name="fin_01"/>
      <w:bookmarkEnd w:id="82"/>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Dragonfly Energy Holdings Corp.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based on our audits,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also included evaluating the accounting principles used and significant estimates made by management, as well as evaluating the overall presentation of the financial statements. We believe that our audit</w:t>
      </w: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83" w:name="xdx_905_edei--AuditorName_c20240101__202"/>
      <w:bookmarkEnd w:id="83"/>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4" w:name="xdx_90D_edei--AuditorLocation_c20240101_"/>
      <w:bookmarkEnd w:id="84"/>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p>
      <w:pPr>
        <w:pStyle w:val="TextBody"/>
        <w:bidi w:val="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85" w:name="fin_02"/>
      <w:bookmarkEnd w:id="85"/>
      <w:r>
        <w:rPr>
          <w:rFonts w:ascii="Times New Roman;Times;Serif" w:hAnsi="Times New Roman;Times;Serif"/>
          <w:b/>
          <w:i w:val="false"/>
          <w:caps/>
          <w:sz w:val="20"/>
        </w:rPr>
        <w:t>Consolidated Balance Sheets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6" w:name="xdx_303_111_pn3n3_zAsHxgaMqhI2"/>
      <w:bookmarkStart w:id="87" w:name="xdx_303_111_pn3n3_zAsHxgaMqhI2"/>
      <w:bookmarkEnd w:id="87"/>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88" w:name="xdx_491_20241231_znsz3JKhSIj4"/>
            <w:bookmarkEnd w:id="88"/>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9B_20231231_zmPjfjTd7l36"/>
            <w:bookmarkEnd w:id="89"/>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0"/>
              <w:jc w:val="left"/>
              <w:rPr/>
            </w:pPr>
            <w:r>
              <w:rPr/>
              <w:t> </w:t>
            </w:r>
            <w:bookmarkStart w:id="90" w:name="xdx_404_eus-gaap--AssetsCurrentAbstract_"/>
            <w:bookmarkEnd w:id="90"/>
          </w:p>
        </w:tc>
      </w:tr>
      <w:tr>
        <w:trPr/>
        <w:tc>
          <w:tcPr>
            <w:tcW w:w="8090" w:type="dxa"/>
            <w:tcBorders/>
            <w:shd w:fill="CCEEFF" w:val="clear"/>
            <w:vAlign w:val="center"/>
          </w:tcPr>
          <w:p>
            <w:pPr>
              <w:pStyle w:val="TableContents"/>
              <w:bidi w:val="0"/>
              <w:spacing w:before="0" w:after="283"/>
              <w:jc w:val="both"/>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91" w:name="xdx_40B_eus-gaap--CashAndCashEquivalents"/>
            <w:bookmarkEnd w:id="91"/>
          </w:p>
        </w:tc>
      </w:tr>
      <w:tr>
        <w:trPr/>
        <w:tc>
          <w:tcPr>
            <w:tcW w:w="8090" w:type="dxa"/>
            <w:tcBorders/>
            <w:shd w:fill="FFFFFF" w:val="clear"/>
            <w:vAlign w:val="center"/>
          </w:tcPr>
          <w:p>
            <w:pPr>
              <w:pStyle w:val="TableContents"/>
              <w:bidi w:val="0"/>
              <w:spacing w:before="0" w:after="283"/>
              <w:jc w:val="both"/>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12,713</w:t>
            </w:r>
          </w:p>
        </w:tc>
        <w:tc>
          <w:tcPr>
            <w:tcW w:w="110" w:type="dxa"/>
            <w:tcBorders/>
            <w:shd w:fill="FFFFFF" w:val="clear"/>
            <w:vAlign w:val="center"/>
          </w:tcPr>
          <w:p>
            <w:pPr>
              <w:pStyle w:val="TableContents"/>
              <w:bidi w:val="0"/>
              <w:spacing w:before="0" w:after="283"/>
              <w:ind w:left="0" w:right="0" w:hanging="0"/>
              <w:jc w:val="left"/>
              <w:rPr/>
            </w:pPr>
            <w:r>
              <w:rPr/>
              <w:t> </w:t>
            </w:r>
            <w:bookmarkStart w:id="92" w:name="xdx_406_eus-gaap--AccountsReceivableNetC"/>
            <w:bookmarkEnd w:id="92"/>
          </w:p>
        </w:tc>
      </w:tr>
      <w:tr>
        <w:trPr/>
        <w:tc>
          <w:tcPr>
            <w:tcW w:w="8090" w:type="dxa"/>
            <w:tcBorders/>
            <w:shd w:fill="CCEEFF" w:val="clear"/>
            <w:vAlign w:val="center"/>
          </w:tcPr>
          <w:p>
            <w:pPr>
              <w:pStyle w:val="TableContents"/>
              <w:bidi w:val="0"/>
              <w:spacing w:before="0" w:after="283"/>
              <w:jc w:val="both"/>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1,639</w:t>
            </w:r>
          </w:p>
        </w:tc>
        <w:tc>
          <w:tcPr>
            <w:tcW w:w="110" w:type="dxa"/>
            <w:tcBorders/>
            <w:shd w:fill="CCEEFF" w:val="clear"/>
            <w:vAlign w:val="center"/>
          </w:tcPr>
          <w:p>
            <w:pPr>
              <w:pStyle w:val="TableContents"/>
              <w:bidi w:val="0"/>
              <w:spacing w:before="0" w:after="283"/>
              <w:ind w:left="0" w:right="0" w:hanging="0"/>
              <w:jc w:val="left"/>
              <w:rPr/>
            </w:pPr>
            <w:r>
              <w:rPr/>
              <w:t> </w:t>
            </w:r>
            <w:bookmarkStart w:id="93" w:name="xdx_408_eus-gaap--InventoryNet_i01I_maAC"/>
            <w:bookmarkEnd w:id="93"/>
          </w:p>
        </w:tc>
      </w:tr>
      <w:tr>
        <w:trPr/>
        <w:tc>
          <w:tcPr>
            <w:tcW w:w="8090" w:type="dxa"/>
            <w:tcBorders/>
            <w:shd w:fill="FFFFFF" w:val="clear"/>
            <w:vAlign w:val="center"/>
          </w:tcPr>
          <w:p>
            <w:pPr>
              <w:pStyle w:val="TableContents"/>
              <w:bidi w:val="0"/>
              <w:spacing w:before="0" w:after="283"/>
              <w:jc w:val="both"/>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38,778</w:t>
            </w:r>
          </w:p>
        </w:tc>
        <w:tc>
          <w:tcPr>
            <w:tcW w:w="110" w:type="dxa"/>
            <w:tcBorders/>
            <w:shd w:fill="FFFFFF" w:val="clear"/>
            <w:vAlign w:val="center"/>
          </w:tcPr>
          <w:p>
            <w:pPr>
              <w:pStyle w:val="TableContents"/>
              <w:bidi w:val="0"/>
              <w:spacing w:before="0" w:after="283"/>
              <w:ind w:left="0" w:right="0" w:hanging="0"/>
              <w:jc w:val="left"/>
              <w:rPr/>
            </w:pPr>
            <w:r>
              <w:rPr/>
              <w:t> </w:t>
            </w:r>
            <w:bookmarkStart w:id="94" w:name="xdx_400_ecustom--PrepaidExpenseOtherThan"/>
            <w:bookmarkEnd w:id="94"/>
          </w:p>
        </w:tc>
      </w:tr>
      <w:tr>
        <w:trPr/>
        <w:tc>
          <w:tcPr>
            <w:tcW w:w="8090" w:type="dxa"/>
            <w:tcBorders/>
            <w:shd w:fill="CCEEFF" w:val="clear"/>
            <w:vAlign w:val="center"/>
          </w:tcPr>
          <w:p>
            <w:pPr>
              <w:pStyle w:val="TableContents"/>
              <w:bidi w:val="0"/>
              <w:spacing w:before="0" w:after="283"/>
              <w:jc w:val="both"/>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772</w:t>
            </w:r>
          </w:p>
        </w:tc>
        <w:tc>
          <w:tcPr>
            <w:tcW w:w="110" w:type="dxa"/>
            <w:tcBorders/>
            <w:shd w:fill="CCEEFF" w:val="clear"/>
            <w:vAlign w:val="center"/>
          </w:tcPr>
          <w:p>
            <w:pPr>
              <w:pStyle w:val="TableContents"/>
              <w:bidi w:val="0"/>
              <w:spacing w:before="0" w:after="283"/>
              <w:ind w:left="0" w:right="0" w:hanging="0"/>
              <w:jc w:val="left"/>
              <w:rPr/>
            </w:pPr>
            <w:r>
              <w:rPr/>
              <w:t> </w:t>
            </w:r>
            <w:bookmarkStart w:id="95" w:name="xdx_40C_eus-gaap--Supplies_i01I_maACzNqj"/>
            <w:bookmarkEnd w:id="95"/>
          </w:p>
        </w:tc>
      </w:tr>
      <w:tr>
        <w:trPr/>
        <w:tc>
          <w:tcPr>
            <w:tcW w:w="8090" w:type="dxa"/>
            <w:tcBorders/>
            <w:shd w:fill="FFFFFF" w:val="clear"/>
            <w:vAlign w:val="center"/>
          </w:tcPr>
          <w:p>
            <w:pPr>
              <w:pStyle w:val="TableContents"/>
              <w:bidi w:val="0"/>
              <w:spacing w:before="0" w:after="283"/>
              <w:jc w:val="both"/>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1,381</w:t>
            </w:r>
          </w:p>
        </w:tc>
        <w:tc>
          <w:tcPr>
            <w:tcW w:w="110" w:type="dxa"/>
            <w:tcBorders/>
            <w:shd w:fill="FFFFFF" w:val="clear"/>
            <w:vAlign w:val="center"/>
          </w:tcPr>
          <w:p>
            <w:pPr>
              <w:pStyle w:val="TableContents"/>
              <w:bidi w:val="0"/>
              <w:spacing w:before="0" w:after="283"/>
              <w:ind w:left="0" w:right="0" w:hanging="0"/>
              <w:jc w:val="left"/>
              <w:rPr/>
            </w:pPr>
            <w:r>
              <w:rPr/>
              <w:t> </w:t>
            </w:r>
            <w:bookmarkStart w:id="96" w:name="xdx_40E_eus-gaap--PrepaidTaxes_i01I_maAC"/>
            <w:bookmarkEnd w:id="96"/>
          </w:p>
        </w:tc>
      </w:tr>
      <w:tr>
        <w:trPr/>
        <w:tc>
          <w:tcPr>
            <w:tcW w:w="8090" w:type="dxa"/>
            <w:tcBorders/>
            <w:shd w:fill="CCEEFF" w:val="clear"/>
            <w:vAlign w:val="center"/>
          </w:tcPr>
          <w:p>
            <w:pPr>
              <w:pStyle w:val="TableContents"/>
              <w:bidi w:val="0"/>
              <w:spacing w:before="0" w:after="283"/>
              <w:jc w:val="both"/>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519</w:t>
            </w:r>
          </w:p>
        </w:tc>
        <w:tc>
          <w:tcPr>
            <w:tcW w:w="110" w:type="dxa"/>
            <w:tcBorders/>
            <w:shd w:fill="CCEEFF" w:val="clear"/>
            <w:vAlign w:val="center"/>
          </w:tcPr>
          <w:p>
            <w:pPr>
              <w:pStyle w:val="TableContents"/>
              <w:bidi w:val="0"/>
              <w:spacing w:before="0" w:after="283"/>
              <w:ind w:left="0" w:right="0" w:hanging="0"/>
              <w:jc w:val="left"/>
              <w:rPr/>
            </w:pPr>
            <w:r>
              <w:rPr/>
              <w:t> </w:t>
            </w:r>
            <w:bookmarkStart w:id="97" w:name="xdx_40A_eus-gaap--AssetsHeldForSaleNotPa"/>
            <w:bookmarkEnd w:id="97"/>
          </w:p>
        </w:tc>
      </w:tr>
      <w:tr>
        <w:trPr/>
        <w:tc>
          <w:tcPr>
            <w:tcW w:w="8090" w:type="dxa"/>
            <w:tcBorders/>
            <w:shd w:fill="FFFFFF" w:val="clear"/>
            <w:vAlign w:val="center"/>
          </w:tcPr>
          <w:p>
            <w:pPr>
              <w:pStyle w:val="TableContents"/>
              <w:bidi w:val="0"/>
              <w:spacing w:before="0" w:after="283"/>
              <w:jc w:val="both"/>
              <w:rPr/>
            </w:pPr>
            <w:r>
              <w:rPr/>
              <w:t>Assets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98" w:name="xdx_409_eus-gaap--OtherAssetsCurrent_i01"/>
            <w:bookmarkEnd w:id="98"/>
          </w:p>
        </w:tc>
      </w:tr>
      <w:tr>
        <w:trPr/>
        <w:tc>
          <w:tcPr>
            <w:tcW w:w="8090" w:type="dxa"/>
            <w:tcBorders/>
            <w:shd w:fill="CCEEFF" w:val="clear"/>
            <w:vAlign w:val="center"/>
          </w:tcPr>
          <w:p>
            <w:pPr>
              <w:pStyle w:val="TableContents"/>
              <w:bidi w:val="0"/>
              <w:spacing w:before="0" w:after="283"/>
              <w:jc w:val="both"/>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118</w:t>
            </w:r>
          </w:p>
        </w:tc>
        <w:tc>
          <w:tcPr>
            <w:tcW w:w="110" w:type="dxa"/>
            <w:tcBorders/>
            <w:shd w:fill="CCEEFF" w:val="clear"/>
            <w:vAlign w:val="center"/>
          </w:tcPr>
          <w:p>
            <w:pPr>
              <w:pStyle w:val="TableContents"/>
              <w:bidi w:val="0"/>
              <w:spacing w:before="0" w:after="283"/>
              <w:ind w:left="0" w:right="0" w:hanging="0"/>
              <w:jc w:val="left"/>
              <w:rPr/>
            </w:pPr>
            <w:r>
              <w:rPr/>
              <w:t> </w:t>
            </w:r>
            <w:bookmarkStart w:id="99" w:name="xdx_409_eus-gaap--AssetsCurrent_i01TI_mt"/>
            <w:bookmarkEnd w:id="99"/>
          </w:p>
        </w:tc>
      </w:tr>
      <w:tr>
        <w:trPr/>
        <w:tc>
          <w:tcPr>
            <w:tcW w:w="8090"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32,925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55,920</w:t>
            </w:r>
          </w:p>
        </w:tc>
        <w:tc>
          <w:tcPr>
            <w:tcW w:w="110" w:type="dxa"/>
            <w:tcBorders/>
            <w:shd w:fill="FFFFFF" w:val="clear"/>
            <w:vAlign w:val="center"/>
          </w:tcPr>
          <w:p>
            <w:pPr>
              <w:pStyle w:val="TableContents"/>
              <w:bidi w:val="0"/>
              <w:spacing w:before="0" w:after="283"/>
              <w:ind w:left="0" w:right="0" w:hanging="0"/>
              <w:jc w:val="left"/>
              <w:rPr/>
            </w:pPr>
            <w:r>
              <w:rPr/>
              <w:t> </w:t>
            </w:r>
            <w:bookmarkStart w:id="100" w:name="xdx_40E_eus-gaap--PropertyPlantAndEquipm"/>
            <w:bookmarkEnd w:id="100"/>
          </w:p>
        </w:tc>
      </w:tr>
      <w:tr>
        <w:trPr/>
        <w:tc>
          <w:tcPr>
            <w:tcW w:w="8090" w:type="dxa"/>
            <w:tcBorders/>
            <w:shd w:fill="CCEEFF" w:val="clear"/>
            <w:vAlign w:val="center"/>
          </w:tcPr>
          <w:p>
            <w:pPr>
              <w:pStyle w:val="TableContents"/>
              <w:bidi w:val="0"/>
              <w:spacing w:before="0" w:after="283"/>
              <w:jc w:val="both"/>
              <w:rPr>
                <w:b/>
              </w:rPr>
            </w:pPr>
            <w:r>
              <w:rPr>
                <w:b/>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101" w:name="xdx_408_eus-gaap--MachineryAndEquipmentG"/>
            <w:bookmarkEnd w:id="101"/>
          </w:p>
        </w:tc>
      </w:tr>
      <w:tr>
        <w:trPr/>
        <w:tc>
          <w:tcPr>
            <w:tcW w:w="8090" w:type="dxa"/>
            <w:tcBorders/>
            <w:shd w:fill="FFFFFF" w:val="clear"/>
            <w:vAlign w:val="center"/>
          </w:tcPr>
          <w:p>
            <w:pPr>
              <w:pStyle w:val="TableContents"/>
              <w:bidi w:val="0"/>
              <w:spacing w:before="0" w:after="283"/>
              <w:jc w:val="both"/>
              <w:rPr/>
            </w:pPr>
            <w:r>
              <w:rPr/>
              <w:t>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16,714</w:t>
            </w:r>
          </w:p>
        </w:tc>
        <w:tc>
          <w:tcPr>
            <w:tcW w:w="110" w:type="dxa"/>
            <w:tcBorders/>
            <w:shd w:fill="FFFFFF" w:val="clear"/>
            <w:vAlign w:val="center"/>
          </w:tcPr>
          <w:p>
            <w:pPr>
              <w:pStyle w:val="TableContents"/>
              <w:bidi w:val="0"/>
              <w:spacing w:before="0" w:after="283"/>
              <w:ind w:left="0" w:right="0" w:hanging="0"/>
              <w:jc w:val="left"/>
              <w:rPr/>
            </w:pPr>
            <w:r>
              <w:rPr/>
              <w:t> </w:t>
            </w:r>
            <w:bookmarkStart w:id="102" w:name="xdx_409_eus-gaap--FurnitureAndFixturesGr"/>
            <w:bookmarkEnd w:id="102"/>
          </w:p>
        </w:tc>
      </w:tr>
      <w:tr>
        <w:trPr/>
        <w:tc>
          <w:tcPr>
            <w:tcW w:w="8090" w:type="dxa"/>
            <w:tcBorders/>
            <w:shd w:fill="CCEEFF" w:val="clear"/>
            <w:vAlign w:val="center"/>
          </w:tcPr>
          <w:p>
            <w:pPr>
              <w:pStyle w:val="TableContents"/>
              <w:bidi w:val="0"/>
              <w:spacing w:before="0" w:after="283"/>
              <w:jc w:val="both"/>
              <w:rPr/>
            </w:pPr>
            <w:r>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319</w:t>
            </w:r>
          </w:p>
        </w:tc>
        <w:tc>
          <w:tcPr>
            <w:tcW w:w="110" w:type="dxa"/>
            <w:tcBorders/>
            <w:shd w:fill="CCEEFF" w:val="clear"/>
            <w:vAlign w:val="center"/>
          </w:tcPr>
          <w:p>
            <w:pPr>
              <w:pStyle w:val="TableContents"/>
              <w:bidi w:val="0"/>
              <w:spacing w:before="0" w:after="283"/>
              <w:ind w:left="0" w:right="0" w:hanging="0"/>
              <w:jc w:val="left"/>
              <w:rPr/>
            </w:pPr>
            <w:r>
              <w:rPr/>
              <w:t> </w:t>
            </w:r>
            <w:bookmarkStart w:id="103" w:name="xdx_40D_eus-gaap--LeaseholdImprovementsG"/>
            <w:bookmarkEnd w:id="103"/>
          </w:p>
        </w:tc>
      </w:tr>
      <w:tr>
        <w:trPr/>
        <w:tc>
          <w:tcPr>
            <w:tcW w:w="8090" w:type="dxa"/>
            <w:tcBorders/>
            <w:shd w:fill="FFFFFF" w:val="clear"/>
            <w:vAlign w:val="center"/>
          </w:tcPr>
          <w:p>
            <w:pPr>
              <w:pStyle w:val="TableContents"/>
              <w:bidi w:val="0"/>
              <w:spacing w:before="0" w:after="283"/>
              <w:jc w:val="both"/>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1,727</w:t>
            </w:r>
          </w:p>
        </w:tc>
        <w:tc>
          <w:tcPr>
            <w:tcW w:w="110" w:type="dxa"/>
            <w:tcBorders/>
            <w:shd w:fill="FFFFFF" w:val="clear"/>
            <w:vAlign w:val="center"/>
          </w:tcPr>
          <w:p>
            <w:pPr>
              <w:pStyle w:val="TableContents"/>
              <w:bidi w:val="0"/>
              <w:spacing w:before="0" w:after="283"/>
              <w:ind w:left="0" w:right="0" w:hanging="0"/>
              <w:jc w:val="left"/>
              <w:rPr/>
            </w:pPr>
            <w:r>
              <w:rPr/>
              <w:t> </w:t>
            </w:r>
            <w:bookmarkStart w:id="104" w:name="xdx_40E_ecustom--VehicleGross_i01I_maPPA"/>
            <w:bookmarkEnd w:id="104"/>
          </w:p>
        </w:tc>
      </w:tr>
      <w:tr>
        <w:trPr/>
        <w:tc>
          <w:tcPr>
            <w:tcW w:w="8090" w:type="dxa"/>
            <w:tcBorders/>
            <w:shd w:fill="CCEEFF" w:val="clear"/>
            <w:vAlign w:val="center"/>
          </w:tcPr>
          <w:p>
            <w:pPr>
              <w:pStyle w:val="TableContents"/>
              <w:bidi w:val="0"/>
              <w:spacing w:before="0" w:after="283"/>
              <w:jc w:val="both"/>
              <w:rPr/>
            </w:pPr>
            <w:r>
              <w:rPr/>
              <w:t>Vehicle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110" w:type="dxa"/>
            <w:tcBorders/>
            <w:shd w:fill="CCEEFF" w:val="clear"/>
            <w:vAlign w:val="center"/>
          </w:tcPr>
          <w:p>
            <w:pPr>
              <w:pStyle w:val="TableContents"/>
              <w:bidi w:val="0"/>
              <w:spacing w:before="0" w:after="283"/>
              <w:ind w:left="0" w:right="0" w:hanging="0"/>
              <w:jc w:val="left"/>
              <w:rPr/>
            </w:pPr>
            <w:r>
              <w:rPr/>
              <w:t> </w:t>
            </w:r>
            <w:bookmarkStart w:id="105" w:name="xdx_400_eus-gaap--PropertyPlantAndEquipm"/>
            <w:bookmarkEnd w:id="105"/>
          </w:p>
        </w:tc>
      </w:tr>
      <w:tr>
        <w:trPr/>
        <w:tc>
          <w:tcPr>
            <w:tcW w:w="809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18,793</w:t>
            </w:r>
          </w:p>
        </w:tc>
        <w:tc>
          <w:tcPr>
            <w:tcW w:w="110" w:type="dxa"/>
            <w:tcBorders/>
            <w:shd w:fill="FFFFFF" w:val="clear"/>
            <w:vAlign w:val="center"/>
          </w:tcPr>
          <w:p>
            <w:pPr>
              <w:pStyle w:val="TableContents"/>
              <w:bidi w:val="0"/>
              <w:spacing w:before="0" w:after="283"/>
              <w:ind w:left="0" w:right="0" w:hanging="0"/>
              <w:jc w:val="left"/>
              <w:rPr/>
            </w:pPr>
            <w:r>
              <w:rPr/>
              <w:t> </w:t>
            </w:r>
            <w:bookmarkStart w:id="106" w:name="xdx_406_eus-gaap--AccumulatedDepreciatio"/>
            <w:bookmarkEnd w:id="106"/>
          </w:p>
        </w:tc>
      </w:tr>
      <w:tr>
        <w:trPr/>
        <w:tc>
          <w:tcPr>
            <w:tcW w:w="8090"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(2,824</w:t>
            </w:r>
          </w:p>
        </w:tc>
        <w:tc>
          <w:tcPr>
            <w:tcW w:w="110" w:type="dxa"/>
            <w:tcBorders/>
            <w:shd w:fill="CCEEFF" w:val="clear"/>
            <w:vAlign w:val="center"/>
          </w:tcPr>
          <w:p>
            <w:pPr>
              <w:pStyle w:val="TableContents"/>
              <w:bidi w:val="0"/>
              <w:spacing w:before="0" w:after="283"/>
              <w:ind w:left="0" w:right="0" w:hanging="0"/>
              <w:jc w:val="left"/>
              <w:rPr/>
            </w:pPr>
            <w:r>
              <w:rPr/>
              <w:t>)</w:t>
            </w:r>
            <w:bookmarkStart w:id="107" w:name="xdx_407_eus-gaap--PropertyPlantAndEquipm"/>
            <w:bookmarkEnd w:id="107"/>
          </w:p>
        </w:tc>
      </w:tr>
      <w:tr>
        <w:trPr/>
        <w:tc>
          <w:tcPr>
            <w:tcW w:w="8090"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15,969</w:t>
            </w:r>
          </w:p>
        </w:tc>
        <w:tc>
          <w:tcPr>
            <w:tcW w:w="110" w:type="dxa"/>
            <w:tcBorders/>
            <w:shd w:fill="FFFFFF" w:val="clear"/>
            <w:vAlign w:val="center"/>
          </w:tcPr>
          <w:p>
            <w:pPr>
              <w:pStyle w:val="TableContents"/>
              <w:bidi w:val="0"/>
              <w:spacing w:before="0" w:after="283"/>
              <w:ind w:left="0" w:right="0" w:hanging="0"/>
              <w:jc w:val="left"/>
              <w:rPr/>
            </w:pPr>
            <w:r>
              <w:rPr/>
              <w:t> </w:t>
            </w:r>
            <w:bookmarkStart w:id="108" w:name="xdx_409_eus-gaap--OperatingLeaseRightOfU"/>
            <w:bookmarkEnd w:id="108"/>
          </w:p>
        </w:tc>
      </w:tr>
      <w:tr>
        <w:trPr/>
        <w:tc>
          <w:tcPr>
            <w:tcW w:w="8090" w:type="dxa"/>
            <w:tcBorders/>
            <w:shd w:fill="CCEEFF" w:val="clear"/>
            <w:vAlign w:val="center"/>
          </w:tcPr>
          <w:p>
            <w:pPr>
              <w:pStyle w:val="TableContents"/>
              <w:bidi w:val="0"/>
              <w:spacing w:before="0" w:after="283"/>
              <w:jc w:val="both"/>
              <w:rPr/>
            </w:pPr>
            <w:r>
              <w:rPr/>
              <w:t>Operating lease right of use 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3,315</w:t>
            </w:r>
          </w:p>
        </w:tc>
        <w:tc>
          <w:tcPr>
            <w:tcW w:w="110" w:type="dxa"/>
            <w:tcBorders/>
            <w:shd w:fill="CCEEFF" w:val="clear"/>
            <w:vAlign w:val="center"/>
          </w:tcPr>
          <w:p>
            <w:pPr>
              <w:pStyle w:val="TableContents"/>
              <w:bidi w:val="0"/>
              <w:spacing w:before="0" w:after="283"/>
              <w:ind w:left="0" w:right="0" w:hanging="0"/>
              <w:jc w:val="left"/>
              <w:rPr/>
            </w:pPr>
            <w:r>
              <w:rPr/>
              <w:t> </w:t>
            </w:r>
            <w:bookmarkStart w:id="109" w:name="xdx_405_eus-gaap--OtherAssetsNoncurrent_"/>
            <w:bookmarkEnd w:id="109"/>
          </w:p>
        </w:tc>
      </w:tr>
      <w:tr>
        <w:trPr/>
        <w:tc>
          <w:tcPr>
            <w:tcW w:w="8090" w:type="dxa"/>
            <w:tcBorders/>
            <w:shd w:fill="FFFFFF" w:val="clear"/>
            <w:vAlign w:val="center"/>
          </w:tcPr>
          <w:p>
            <w:pPr>
              <w:pStyle w:val="TableContents"/>
              <w:bidi w:val="0"/>
              <w:spacing w:before="0" w:after="283"/>
              <w:jc w:val="both"/>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110" w:name="xdx_40F_eus-gaap--Assets_iTI_mtAzvhT_zax"/>
            <w:bookmarkEnd w:id="110"/>
          </w:p>
        </w:tc>
      </w:tr>
      <w:tr>
        <w:trPr/>
        <w:tc>
          <w:tcPr>
            <w:tcW w:w="8090"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75,204</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111" w:name="xdx_40E_eus-gaap--LiabilitiesCurrentAbst"/>
            <w:bookmarkEnd w:id="111"/>
          </w:p>
        </w:tc>
      </w:tr>
      <w:tr>
        <w:trPr/>
        <w:tc>
          <w:tcPr>
            <w:tcW w:w="8090" w:type="dxa"/>
            <w:tcBorders/>
            <w:shd w:fill="CCEEFF" w:val="clear"/>
            <w:vAlign w:val="center"/>
          </w:tcPr>
          <w:p>
            <w:pPr>
              <w:pStyle w:val="TableContents"/>
              <w:bidi w:val="0"/>
              <w:spacing w:before="0" w:after="283"/>
              <w:jc w:val="both"/>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112" w:name="xdx_400_eus-gaap--AccountsPayableCurrent"/>
            <w:bookmarkEnd w:id="112"/>
          </w:p>
        </w:tc>
      </w:tr>
      <w:tr>
        <w:trPr/>
        <w:tc>
          <w:tcPr>
            <w:tcW w:w="8090"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10,258</w:t>
            </w:r>
          </w:p>
        </w:tc>
        <w:tc>
          <w:tcPr>
            <w:tcW w:w="110" w:type="dxa"/>
            <w:tcBorders/>
            <w:shd w:fill="CCEEFF" w:val="clear"/>
            <w:vAlign w:val="center"/>
          </w:tcPr>
          <w:p>
            <w:pPr>
              <w:pStyle w:val="TableContents"/>
              <w:bidi w:val="0"/>
              <w:spacing w:before="0" w:after="283"/>
              <w:ind w:left="0" w:right="0" w:hanging="0"/>
              <w:jc w:val="left"/>
              <w:rPr/>
            </w:pPr>
            <w:r>
              <w:rPr/>
              <w:t> </w:t>
            </w:r>
            <w:bookmarkStart w:id="113" w:name="xdx_40C_eus-gaap--EmployeeRelatedLiabili"/>
            <w:bookmarkEnd w:id="113"/>
          </w:p>
        </w:tc>
      </w:tr>
      <w:tr>
        <w:trPr/>
        <w:tc>
          <w:tcPr>
            <w:tcW w:w="8090" w:type="dxa"/>
            <w:tcBorders/>
            <w:shd w:fill="FFFFFF" w:val="clear"/>
            <w:vAlign w:val="center"/>
          </w:tcPr>
          <w:p>
            <w:pPr>
              <w:pStyle w:val="TableContents"/>
              <w:bidi w:val="0"/>
              <w:spacing w:before="0" w:after="283"/>
              <w:jc w:val="both"/>
              <w:rPr/>
            </w:pPr>
            <w:r>
              <w:rPr/>
              <w:t>Accrued payroll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7,107</w:t>
            </w:r>
          </w:p>
        </w:tc>
        <w:tc>
          <w:tcPr>
            <w:tcW w:w="110" w:type="dxa"/>
            <w:tcBorders/>
            <w:shd w:fill="FFFFFF" w:val="clear"/>
            <w:vAlign w:val="center"/>
          </w:tcPr>
          <w:p>
            <w:pPr>
              <w:pStyle w:val="TableContents"/>
              <w:bidi w:val="0"/>
              <w:spacing w:before="0" w:after="283"/>
              <w:ind w:left="0" w:right="0" w:hanging="0"/>
              <w:jc w:val="left"/>
              <w:rPr/>
            </w:pPr>
            <w:r>
              <w:rPr/>
              <w:t> </w:t>
            </w:r>
            <w:bookmarkStart w:id="114" w:name="xdx_407_ecustom--AccruedTariffs_i01I_maL"/>
            <w:bookmarkEnd w:id="114"/>
          </w:p>
        </w:tc>
      </w:tr>
      <w:tr>
        <w:trPr/>
        <w:tc>
          <w:tcPr>
            <w:tcW w:w="8090" w:type="dxa"/>
            <w:tcBorders/>
            <w:shd w:fill="CCEEFF" w:val="clear"/>
            <w:vAlign w:val="center"/>
          </w:tcPr>
          <w:p>
            <w:pPr>
              <w:pStyle w:val="TableContents"/>
              <w:bidi w:val="0"/>
              <w:spacing w:before="0" w:after="283"/>
              <w:jc w:val="both"/>
              <w:rPr/>
            </w:pPr>
            <w:r>
              <w:rPr/>
              <w:t>Accrued tariffs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1,713</w:t>
            </w:r>
          </w:p>
        </w:tc>
        <w:tc>
          <w:tcPr>
            <w:tcW w:w="110" w:type="dxa"/>
            <w:tcBorders/>
            <w:shd w:fill="CCEEFF" w:val="clear"/>
            <w:vAlign w:val="center"/>
          </w:tcPr>
          <w:p>
            <w:pPr>
              <w:pStyle w:val="TableContents"/>
              <w:bidi w:val="0"/>
              <w:spacing w:before="0" w:after="283"/>
              <w:ind w:left="0" w:right="0" w:hanging="0"/>
              <w:jc w:val="left"/>
              <w:rPr/>
            </w:pPr>
            <w:r>
              <w:rPr/>
              <w:t> </w:t>
            </w:r>
            <w:bookmarkStart w:id="115" w:name="xdx_403_ecustom--AccruedSettlementCurren"/>
            <w:bookmarkEnd w:id="115"/>
          </w:p>
        </w:tc>
      </w:tr>
      <w:tr>
        <w:trPr/>
        <w:tc>
          <w:tcPr>
            <w:tcW w:w="8090" w:type="dxa"/>
            <w:tcBorders/>
            <w:shd w:fill="FFFFFF" w:val="clear"/>
            <w:vAlign w:val="center"/>
          </w:tcPr>
          <w:p>
            <w:pPr>
              <w:pStyle w:val="TableContents"/>
              <w:bidi w:val="0"/>
              <w:spacing w:before="0" w:after="283"/>
              <w:jc w:val="both"/>
              <w:rPr/>
            </w:pPr>
            <w:r>
              <w:rPr/>
              <w:t>Accrued settlement,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116" w:name="xdx_40E_eus-gaap--ContractWithCustomerLi"/>
            <w:bookmarkEnd w:id="116"/>
          </w:p>
        </w:tc>
      </w:tr>
      <w:tr>
        <w:trPr/>
        <w:tc>
          <w:tcPr>
            <w:tcW w:w="8090" w:type="dxa"/>
            <w:tcBorders/>
            <w:shd w:fill="CCEEFF" w:val="clear"/>
            <w:vAlign w:val="center"/>
          </w:tcPr>
          <w:p>
            <w:pPr>
              <w:pStyle w:val="TableContents"/>
              <w:bidi w:val="0"/>
              <w:spacing w:before="0" w:after="283"/>
              <w:jc w:val="both"/>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201</w:t>
            </w:r>
          </w:p>
        </w:tc>
        <w:tc>
          <w:tcPr>
            <w:tcW w:w="110" w:type="dxa"/>
            <w:tcBorders/>
            <w:shd w:fill="CCEEFF" w:val="clear"/>
            <w:vAlign w:val="center"/>
          </w:tcPr>
          <w:p>
            <w:pPr>
              <w:pStyle w:val="TableContents"/>
              <w:bidi w:val="0"/>
              <w:spacing w:before="0" w:after="283"/>
              <w:ind w:left="0" w:right="0" w:hanging="0"/>
              <w:jc w:val="left"/>
              <w:rPr/>
            </w:pPr>
            <w:r>
              <w:rPr/>
              <w:t> </w:t>
            </w:r>
            <w:bookmarkStart w:id="117" w:name="xdx_407_eus-gaap--DeferredIncomeCurrent_"/>
            <w:bookmarkEnd w:id="117"/>
          </w:p>
        </w:tc>
      </w:tr>
      <w:tr>
        <w:trPr/>
        <w:tc>
          <w:tcPr>
            <w:tcW w:w="8090" w:type="dxa"/>
            <w:tcBorders/>
            <w:shd w:fill="FFFFFF" w:val="clear"/>
            <w:vAlign w:val="center"/>
          </w:tcPr>
          <w:p>
            <w:pPr>
              <w:pStyle w:val="TableContents"/>
              <w:bidi w:val="0"/>
              <w:spacing w:before="0" w:after="283"/>
              <w:jc w:val="both"/>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118" w:name="xdx_40D_ecustom--UncertainTaxPositionLia"/>
            <w:bookmarkEnd w:id="118"/>
          </w:p>
        </w:tc>
      </w:tr>
      <w:tr>
        <w:trPr/>
        <w:tc>
          <w:tcPr>
            <w:tcW w:w="8090" w:type="dxa"/>
            <w:tcBorders/>
            <w:shd w:fill="CCEEFF" w:val="clear"/>
            <w:vAlign w:val="center"/>
          </w:tcPr>
          <w:p>
            <w:pPr>
              <w:pStyle w:val="TableContents"/>
              <w:bidi w:val="0"/>
              <w:spacing w:before="0" w:after="283"/>
              <w:jc w:val="both"/>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ind w:left="0" w:right="0" w:hanging="0"/>
              <w:jc w:val="left"/>
              <w:rPr/>
            </w:pPr>
            <w:r>
              <w:rPr/>
              <w:t> </w:t>
            </w:r>
            <w:bookmarkStart w:id="119" w:name="xdx_401_eus-gaap--NotesPayableCurrent_i0"/>
            <w:bookmarkEnd w:id="119"/>
          </w:p>
        </w:tc>
      </w:tr>
      <w:tr>
        <w:trPr/>
        <w:tc>
          <w:tcPr>
            <w:tcW w:w="8090" w:type="dxa"/>
            <w:tcBorders/>
            <w:shd w:fill="FFFFFF" w:val="clear"/>
            <w:vAlign w:val="center"/>
          </w:tcPr>
          <w:p>
            <w:pPr>
              <w:pStyle w:val="TableContents"/>
              <w:bidi w:val="0"/>
              <w:spacing w:before="0" w:after="283"/>
              <w:jc w:val="both"/>
              <w:rPr/>
            </w:pPr>
            <w:r>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19,683</w:t>
            </w:r>
          </w:p>
        </w:tc>
        <w:tc>
          <w:tcPr>
            <w:tcW w:w="110" w:type="dxa"/>
            <w:tcBorders/>
            <w:shd w:fill="FFFFFF" w:val="clear"/>
            <w:vAlign w:val="center"/>
          </w:tcPr>
          <w:p>
            <w:pPr>
              <w:pStyle w:val="TableContents"/>
              <w:bidi w:val="0"/>
              <w:spacing w:before="0" w:after="283"/>
              <w:ind w:left="0" w:right="0" w:hanging="0"/>
              <w:jc w:val="left"/>
              <w:rPr/>
            </w:pPr>
            <w:r>
              <w:rPr/>
              <w:t> </w:t>
            </w:r>
            <w:bookmarkStart w:id="120" w:name="xdx_406_eus-gaap--OperatingLeaseLiabilit"/>
            <w:bookmarkEnd w:id="120"/>
          </w:p>
        </w:tc>
      </w:tr>
      <w:tr>
        <w:trPr/>
        <w:tc>
          <w:tcPr>
            <w:tcW w:w="8090" w:type="dxa"/>
            <w:tcBorders/>
            <w:shd w:fill="CCEEFF" w:val="clear"/>
            <w:vAlign w:val="center"/>
          </w:tcPr>
          <w:p>
            <w:pPr>
              <w:pStyle w:val="TableContents"/>
              <w:bidi w:val="0"/>
              <w:spacing w:before="0" w:after="283"/>
              <w:jc w:val="both"/>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1,288</w:t>
            </w:r>
          </w:p>
        </w:tc>
        <w:tc>
          <w:tcPr>
            <w:tcW w:w="110" w:type="dxa"/>
            <w:tcBorders/>
            <w:shd w:fill="CCEEFF" w:val="clear"/>
            <w:vAlign w:val="center"/>
          </w:tcPr>
          <w:p>
            <w:pPr>
              <w:pStyle w:val="TableContents"/>
              <w:bidi w:val="0"/>
              <w:spacing w:before="0" w:after="283"/>
              <w:ind w:left="0" w:right="0" w:hanging="0"/>
              <w:jc w:val="left"/>
              <w:rPr/>
            </w:pPr>
            <w:r>
              <w:rPr/>
              <w:t> </w:t>
            </w:r>
            <w:bookmarkStart w:id="121" w:name="xdx_402_eus-gaap--FinanceLeaseLiabilityC"/>
            <w:bookmarkEnd w:id="121"/>
          </w:p>
        </w:tc>
      </w:tr>
      <w:tr>
        <w:trPr/>
        <w:tc>
          <w:tcPr>
            <w:tcW w:w="8090" w:type="dxa"/>
            <w:tcBorders/>
            <w:shd w:fill="FFFFFF" w:val="clear"/>
            <w:vAlign w:val="center"/>
          </w:tcPr>
          <w:p>
            <w:pPr>
              <w:pStyle w:val="TableContents"/>
              <w:bidi w:val="0"/>
              <w:spacing w:before="0" w:after="283"/>
              <w:jc w:val="both"/>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ind w:left="0" w:right="0" w:hanging="0"/>
              <w:jc w:val="left"/>
              <w:rPr/>
            </w:pPr>
            <w:r>
              <w:rPr/>
              <w:t> </w:t>
            </w:r>
            <w:bookmarkStart w:id="122" w:name="xdx_40A_eus-gaap--LiabilitiesCurrent_i01"/>
            <w:bookmarkEnd w:id="122"/>
          </w:p>
        </w:tc>
      </w:tr>
      <w:tr>
        <w:trPr/>
        <w:tc>
          <w:tcPr>
            <w:tcW w:w="8090"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40,377</w:t>
            </w:r>
          </w:p>
        </w:tc>
        <w:tc>
          <w:tcPr>
            <w:tcW w:w="110" w:type="dxa"/>
            <w:tcBorders/>
            <w:shd w:fill="CCEEFF" w:val="clear"/>
            <w:vAlign w:val="center"/>
          </w:tcPr>
          <w:p>
            <w:pPr>
              <w:pStyle w:val="TableContents"/>
              <w:bidi w:val="0"/>
              <w:spacing w:before="0" w:after="283"/>
              <w:ind w:left="0" w:right="0" w:hanging="0"/>
              <w:jc w:val="left"/>
              <w:rPr/>
            </w:pPr>
            <w:r>
              <w:rPr/>
              <w:t> </w:t>
            </w:r>
            <w:bookmarkStart w:id="123" w:name="xdx_40C_eus-gaap--LiabilitiesNoncurrentA"/>
            <w:bookmarkEnd w:id="123"/>
          </w:p>
        </w:tc>
      </w:tr>
      <w:tr>
        <w:trPr/>
        <w:tc>
          <w:tcPr>
            <w:tcW w:w="8090" w:type="dxa"/>
            <w:tcBorders/>
            <w:shd w:fill="FFFFFF" w:val="clear"/>
            <w:vAlign w:val="center"/>
          </w:tcPr>
          <w:p>
            <w:pPr>
              <w:pStyle w:val="TableContents"/>
              <w:bidi w:val="0"/>
              <w:spacing w:before="0" w:after="283"/>
              <w:jc w:val="both"/>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124" w:name="xdx_40F_eus-gaap--DeferredRevenueNoncurr"/>
            <w:bookmarkEnd w:id="124"/>
          </w:p>
        </w:tc>
      </w:tr>
      <w:tr>
        <w:trPr/>
        <w:tc>
          <w:tcPr>
            <w:tcW w:w="8090" w:type="dxa"/>
            <w:tcBorders/>
            <w:shd w:fill="CCEEFF" w:val="clear"/>
            <w:vAlign w:val="center"/>
          </w:tcPr>
          <w:p>
            <w:pPr>
              <w:pStyle w:val="TableContents"/>
              <w:bidi w:val="0"/>
              <w:spacing w:before="0" w:after="283"/>
              <w:jc w:val="both"/>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125" w:name="xdx_406_eus-gaap--DerivativeLiabilitiesN"/>
            <w:bookmarkEnd w:id="125"/>
          </w:p>
        </w:tc>
      </w:tr>
      <w:tr>
        <w:trPr/>
        <w:tc>
          <w:tcPr>
            <w:tcW w:w="8090" w:type="dxa"/>
            <w:tcBorders/>
            <w:shd w:fill="FFFFFF" w:val="clear"/>
            <w:vAlign w:val="center"/>
          </w:tcPr>
          <w:p>
            <w:pPr>
              <w:pStyle w:val="TableContents"/>
              <w:bidi w:val="0"/>
              <w:spacing w:before="0" w:after="283"/>
              <w:jc w:val="both"/>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4,463</w:t>
            </w:r>
          </w:p>
        </w:tc>
        <w:tc>
          <w:tcPr>
            <w:tcW w:w="110" w:type="dxa"/>
            <w:tcBorders/>
            <w:shd w:fill="FFFFFF" w:val="clear"/>
            <w:vAlign w:val="center"/>
          </w:tcPr>
          <w:p>
            <w:pPr>
              <w:pStyle w:val="TableContents"/>
              <w:bidi w:val="0"/>
              <w:spacing w:before="0" w:after="283"/>
              <w:ind w:left="0" w:right="0" w:hanging="0"/>
              <w:jc w:val="left"/>
              <w:rPr/>
            </w:pPr>
            <w:r>
              <w:rPr/>
              <w:t> </w:t>
            </w:r>
            <w:bookmarkStart w:id="126" w:name="xdx_405_eus-gaap--OtherAccruedLiabilitie"/>
            <w:bookmarkEnd w:id="126"/>
          </w:p>
        </w:tc>
      </w:tr>
      <w:tr>
        <w:trPr/>
        <w:tc>
          <w:tcPr>
            <w:tcW w:w="8090" w:type="dxa"/>
            <w:tcBorders/>
            <w:shd w:fill="CCEEFF" w:val="clear"/>
            <w:vAlign w:val="center"/>
          </w:tcPr>
          <w:p>
            <w:pPr>
              <w:pStyle w:val="TableContents"/>
              <w:bidi w:val="0"/>
              <w:spacing w:before="0" w:after="283"/>
              <w:jc w:val="both"/>
              <w:rPr/>
            </w:pPr>
            <w:r>
              <w:rPr/>
              <w:t>Accrued expenses-long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w:t>
            </w:r>
          </w:p>
        </w:tc>
        <w:tc>
          <w:tcPr>
            <w:tcW w:w="110" w:type="dxa"/>
            <w:tcBorders/>
            <w:shd w:fill="CCEEFF" w:val="clear"/>
            <w:vAlign w:val="center"/>
          </w:tcPr>
          <w:p>
            <w:pPr>
              <w:pStyle w:val="TableContents"/>
              <w:bidi w:val="0"/>
              <w:spacing w:before="0" w:after="283"/>
              <w:ind w:left="0" w:right="0" w:hanging="0"/>
              <w:jc w:val="left"/>
              <w:rPr/>
            </w:pPr>
            <w:r>
              <w:rPr/>
              <w:t> </w:t>
            </w:r>
            <w:bookmarkStart w:id="127" w:name="xdx_40D_ecustom--AccruedSettlementNonCur"/>
            <w:bookmarkEnd w:id="127"/>
          </w:p>
        </w:tc>
      </w:tr>
      <w:tr>
        <w:trPr/>
        <w:tc>
          <w:tcPr>
            <w:tcW w:w="8090" w:type="dxa"/>
            <w:tcBorders/>
            <w:shd w:fill="FFFFFF" w:val="clear"/>
            <w:vAlign w:val="center"/>
          </w:tcPr>
          <w:p>
            <w:pPr>
              <w:pStyle w:val="TableContents"/>
              <w:bidi w:val="0"/>
              <w:spacing w:before="0" w:after="283"/>
              <w:jc w:val="both"/>
              <w:rPr/>
            </w:pPr>
            <w:r>
              <w:rPr/>
              <w:t>Accrued settlement,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128" w:name="xdx_40E_eus-gaap--LongTermNotesPayable_i"/>
            <w:bookmarkEnd w:id="128"/>
          </w:p>
        </w:tc>
      </w:tr>
      <w:tr>
        <w:trPr/>
        <w:tc>
          <w:tcPr>
            <w:tcW w:w="8090" w:type="dxa"/>
            <w:tcBorders/>
            <w:shd w:fill="CCEEFF" w:val="clear"/>
            <w:vAlign w:val="center"/>
          </w:tcPr>
          <w:p>
            <w:pPr>
              <w:pStyle w:val="TableContents"/>
              <w:bidi w:val="0"/>
              <w:spacing w:before="0" w:after="283"/>
              <w:jc w:val="both"/>
              <w:rPr/>
            </w:pPr>
            <w:r>
              <w:rPr/>
              <w:t>Notes payable, non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129" w:name="xdx_40E_eus-gaap--OperatingLeaseLiabilit"/>
            <w:bookmarkEnd w:id="129"/>
          </w:p>
        </w:tc>
      </w:tr>
      <w:tr>
        <w:trPr/>
        <w:tc>
          <w:tcPr>
            <w:tcW w:w="8090" w:type="dxa"/>
            <w:tcBorders/>
            <w:shd w:fill="FFFFFF" w:val="clear"/>
            <w:vAlign w:val="center"/>
          </w:tcPr>
          <w:p>
            <w:pPr>
              <w:pStyle w:val="TableContents"/>
              <w:bidi w:val="0"/>
              <w:spacing w:before="0" w:after="283"/>
              <w:jc w:val="both"/>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2,234</w:t>
            </w:r>
          </w:p>
        </w:tc>
        <w:tc>
          <w:tcPr>
            <w:tcW w:w="110" w:type="dxa"/>
            <w:tcBorders/>
            <w:shd w:fill="FFFFFF" w:val="clear"/>
            <w:vAlign w:val="center"/>
          </w:tcPr>
          <w:p>
            <w:pPr>
              <w:pStyle w:val="TableContents"/>
              <w:bidi w:val="0"/>
              <w:spacing w:before="0" w:after="283"/>
              <w:ind w:left="0" w:right="0" w:hanging="0"/>
              <w:jc w:val="left"/>
              <w:rPr/>
            </w:pPr>
            <w:r>
              <w:rPr/>
              <w:t> </w:t>
            </w:r>
            <w:bookmarkStart w:id="130" w:name="xdx_406_eus-gaap--FinanceLeaseLiabilityN"/>
            <w:bookmarkEnd w:id="130"/>
          </w:p>
        </w:tc>
      </w:tr>
      <w:tr>
        <w:trPr/>
        <w:tc>
          <w:tcPr>
            <w:tcW w:w="8090" w:type="dxa"/>
            <w:tcBorders/>
            <w:shd w:fill="CCEEFF" w:val="clear"/>
            <w:vAlign w:val="center"/>
          </w:tcPr>
          <w:p>
            <w:pPr>
              <w:pStyle w:val="TableContents"/>
              <w:bidi w:val="0"/>
              <w:spacing w:before="0" w:after="283"/>
              <w:jc w:val="both"/>
              <w:rPr/>
            </w:pPr>
            <w:r>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ind w:left="0" w:right="0" w:hanging="0"/>
              <w:jc w:val="left"/>
              <w:rPr/>
            </w:pPr>
            <w:r>
              <w:rPr/>
              <w:t> </w:t>
            </w:r>
            <w:bookmarkStart w:id="131" w:name="xdx_40E_eus-gaap--LiabilitiesNoncurrent_"/>
            <w:bookmarkEnd w:id="131"/>
          </w:p>
        </w:tc>
      </w:tr>
      <w:tr>
        <w:trPr/>
        <w:tc>
          <w:tcPr>
            <w:tcW w:w="8090" w:type="dxa"/>
            <w:tcBorders/>
            <w:shd w:fill="FFFFFF" w:val="clear"/>
            <w:vAlign w:val="center"/>
          </w:tcPr>
          <w:p>
            <w:pPr>
              <w:pStyle w:val="TableContents"/>
              <w:bidi w:val="0"/>
              <w:spacing w:before="0" w:after="283"/>
              <w:jc w:val="both"/>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62,763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6,915</w:t>
            </w:r>
          </w:p>
        </w:tc>
        <w:tc>
          <w:tcPr>
            <w:tcW w:w="110" w:type="dxa"/>
            <w:tcBorders/>
            <w:shd w:fill="FFFFFF" w:val="clear"/>
            <w:vAlign w:val="center"/>
          </w:tcPr>
          <w:p>
            <w:pPr>
              <w:pStyle w:val="TableContents"/>
              <w:bidi w:val="0"/>
              <w:spacing w:before="0" w:after="283"/>
              <w:ind w:left="0" w:right="0" w:hanging="0"/>
              <w:jc w:val="left"/>
              <w:rPr/>
            </w:pPr>
            <w:r>
              <w:rPr/>
              <w:t> </w:t>
            </w:r>
            <w:bookmarkStart w:id="132" w:name="xdx_409_eus-gaap--Liabilities_i01TI_mtLz"/>
            <w:bookmarkEnd w:id="132"/>
          </w:p>
        </w:tc>
      </w:tr>
      <w:tr>
        <w:trPr/>
        <w:tc>
          <w:tcPr>
            <w:tcW w:w="8090" w:type="dxa"/>
            <w:tcBorders/>
            <w:shd w:fill="CCEEFF" w:val="clear"/>
            <w:vAlign w:val="center"/>
          </w:tcPr>
          <w:p>
            <w:pPr>
              <w:pStyle w:val="TableContents"/>
              <w:bidi w:val="0"/>
              <w:spacing w:before="0" w:after="283"/>
              <w:jc w:val="both"/>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84,618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47,292</w:t>
            </w:r>
          </w:p>
        </w:tc>
        <w:tc>
          <w:tcPr>
            <w:tcW w:w="110" w:type="dxa"/>
            <w:tcBorders/>
            <w:shd w:fill="CCEEFF" w:val="clear"/>
            <w:vAlign w:val="center"/>
          </w:tcPr>
          <w:p>
            <w:pPr>
              <w:pStyle w:val="TableContents"/>
              <w:bidi w:val="0"/>
              <w:spacing w:before="0" w:after="283"/>
              <w:ind w:left="0" w:right="0" w:hanging="0"/>
              <w:jc w:val="left"/>
              <w:rPr/>
            </w:pPr>
            <w:r>
              <w:rPr/>
              <w:t> </w:t>
            </w:r>
            <w:bookmarkStart w:id="133" w:name="xdx_40D_eus-gaap--CommitmentsAndContinge"/>
            <w:bookmarkEnd w:id="133"/>
          </w:p>
        </w:tc>
      </w:tr>
      <w:tr>
        <w:trPr/>
        <w:tc>
          <w:tcPr>
            <w:tcW w:w="8090" w:type="dxa"/>
            <w:tcBorders/>
            <w:shd w:fill="FFFFFF" w:val="clear"/>
            <w:vAlign w:val="center"/>
          </w:tcPr>
          <w:p>
            <w:pPr>
              <w:pStyle w:val="TableContents"/>
              <w:bidi w:val="0"/>
              <w:spacing w:before="0" w:after="283"/>
              <w:jc w:val="both"/>
              <w:rPr>
                <w:b/>
              </w:rPr>
            </w:pPr>
            <w:r>
              <w:rPr>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134" w:name="xdx_40E_eus-gaap--StockholdersEquityAbst"/>
            <w:bookmarkEnd w:id="134"/>
          </w:p>
        </w:tc>
      </w:tr>
      <w:tr>
        <w:trPr/>
        <w:tc>
          <w:tcPr>
            <w:tcW w:w="8090" w:type="dxa"/>
            <w:tcBorders/>
            <w:shd w:fill="CCEEFF" w:val="clear"/>
            <w:vAlign w:val="center"/>
          </w:tcPr>
          <w:p>
            <w:pPr>
              <w:pStyle w:val="TableContents"/>
              <w:bidi w:val="0"/>
              <w:spacing w:before="0" w:after="283"/>
              <w:jc w:val="both"/>
              <w:rPr>
                <w:b/>
              </w:rPr>
            </w:pPr>
            <w:r>
              <w:rPr>
                <w:b/>
              </w:rPr>
              <w:t>Stockholders’ (Deficit)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135" w:name="xdx_40E_eus-gaap--PreferredStockValue_i0"/>
            <w:bookmarkEnd w:id="135"/>
          </w:p>
        </w:tc>
      </w:tr>
      <w:tr>
        <w:trPr/>
        <w:tc>
          <w:tcPr>
            <w:tcW w:w="8090" w:type="dxa"/>
            <w:tcBorders/>
            <w:shd w:fill="FFFFFF" w:val="clear"/>
            <w:vAlign w:val="center"/>
          </w:tcPr>
          <w:p>
            <w:pPr>
              <w:pStyle w:val="TableContents"/>
              <w:bidi w:val="0"/>
              <w:spacing w:before="0" w:after="283"/>
              <w:jc w:val="both"/>
              <w:rPr/>
            </w:pPr>
            <w:r>
              <w:rPr/>
              <w:t xml:space="preserve">Preferred stock, </w:t>
            </w:r>
            <w:bookmarkStart w:id="136" w:name="xdx_906_eus-gaap--PreferredStockSharesAu"/>
            <w:bookmarkStart w:id="137" w:name="xdx_904_eus-gaap--PreferredStockSharesAu"/>
            <w:bookmarkEnd w:id="136"/>
            <w:bookmarkEnd w:id="137"/>
            <w:r>
              <w:rPr/>
              <w:t>5,000,000 shares at $</w:t>
            </w:r>
            <w:bookmarkStart w:id="138" w:name="xdx_90E_eus-gaap--PreferredStockParOrSta"/>
            <w:bookmarkStart w:id="139" w:name="xdx_904_eus-gaap--PreferredStockParOrSta"/>
            <w:bookmarkEnd w:id="138"/>
            <w:bookmarkEnd w:id="139"/>
            <w:r>
              <w:rPr/>
              <w:t xml:space="preserve">0.0001 par value, authorized, </w:t>
            </w:r>
            <w:bookmarkStart w:id="140" w:name="xdx_907_eus-gaap--PreferredStockSharesOu"/>
            <w:bookmarkStart w:id="141" w:name="xdx_906_eus-gaap--PreferredStockSharesIs"/>
            <w:bookmarkStart w:id="142" w:name="xdx_90A_eus-gaap--PreferredStockSharesOu"/>
            <w:bookmarkStart w:id="143" w:name="xdx_90D_eus-gaap--PreferredStockSharesIs"/>
            <w:bookmarkEnd w:id="140"/>
            <w:bookmarkEnd w:id="141"/>
            <w:bookmarkEnd w:id="142"/>
            <w:bookmarkEnd w:id="143"/>
            <w:r>
              <w:rPr/>
              <w:t>no shares issued and outstanding as of December 31, 2024 and 2023,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144" w:name="xdx_404_eus-gaap--CommonStockValue_i01I_"/>
            <w:bookmarkEnd w:id="144"/>
          </w:p>
        </w:tc>
      </w:tr>
      <w:tr>
        <w:trPr/>
        <w:tc>
          <w:tcPr>
            <w:tcW w:w="8090" w:type="dxa"/>
            <w:tcBorders/>
            <w:shd w:fill="CCEEFF" w:val="clear"/>
            <w:vAlign w:val="center"/>
          </w:tcPr>
          <w:p>
            <w:pPr>
              <w:pStyle w:val="TableContents"/>
              <w:bidi w:val="0"/>
              <w:spacing w:before="0" w:after="283"/>
              <w:jc w:val="both"/>
              <w:rPr/>
            </w:pPr>
            <w:r>
              <w:rPr/>
              <w:t xml:space="preserve">Common stock, </w:t>
            </w:r>
            <w:bookmarkStart w:id="145" w:name="xdx_909_eus-gaap--CommonStockSharesAutho"/>
            <w:bookmarkStart w:id="146" w:name="xdx_905_eus-gaap--CommonStockSharesAutho"/>
            <w:bookmarkEnd w:id="145"/>
            <w:bookmarkEnd w:id="146"/>
            <w:r>
              <w:rPr/>
              <w:t>250,000,000 shares at $</w:t>
            </w:r>
            <w:bookmarkStart w:id="147" w:name="xdx_90F_eus-gaap--CommonStockParOrStated"/>
            <w:bookmarkStart w:id="148" w:name="xdx_90B_eus-gaap--CommonStockParOrStated"/>
            <w:bookmarkEnd w:id="147"/>
            <w:bookmarkEnd w:id="148"/>
            <w:r>
              <w:rPr/>
              <w:t xml:space="preserve">0.0001 par value, authorized, </w:t>
            </w:r>
            <w:bookmarkStart w:id="149" w:name="xdx_909_eus-gaap--CommonStockSharesOutst"/>
            <w:bookmarkStart w:id="150" w:name="xdx_902_eus-gaap--CommonStockSharesIssue"/>
            <w:bookmarkEnd w:id="149"/>
            <w:bookmarkEnd w:id="150"/>
            <w:r>
              <w:rPr/>
              <w:t xml:space="preserve">7,232,650 and </w:t>
            </w:r>
            <w:bookmarkStart w:id="151" w:name="xdx_90A_eus-gaap--CommonStockSharesOutst"/>
            <w:bookmarkStart w:id="152" w:name="xdx_907_eus-gaap--CommonStockSharesIssue"/>
            <w:bookmarkEnd w:id="151"/>
            <w:bookmarkEnd w:id="152"/>
            <w:r>
              <w:rPr/>
              <w:t>6,695,587 shares issued and outstanding as of December 31, 2024 and 2023,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ind w:left="0" w:right="0" w:hanging="0"/>
              <w:jc w:val="left"/>
              <w:rPr/>
            </w:pPr>
            <w:r>
              <w:rPr/>
              <w:t> </w:t>
            </w:r>
            <w:bookmarkStart w:id="153" w:name="xdx_40F_eus-gaap--AdditionalPaidInCapita"/>
            <w:bookmarkEnd w:id="153"/>
          </w:p>
        </w:tc>
      </w:tr>
      <w:tr>
        <w:trPr/>
        <w:tc>
          <w:tcPr>
            <w:tcW w:w="8090" w:type="dxa"/>
            <w:tcBorders/>
            <w:shd w:fill="FFFFFF" w:val="clear"/>
            <w:vAlign w:val="center"/>
          </w:tcPr>
          <w:p>
            <w:pPr>
              <w:pStyle w:val="TableContents"/>
              <w:bidi w:val="0"/>
              <w:spacing w:before="0" w:after="283"/>
              <w:jc w:val="both"/>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69,450</w:t>
            </w:r>
          </w:p>
        </w:tc>
        <w:tc>
          <w:tcPr>
            <w:tcW w:w="110" w:type="dxa"/>
            <w:tcBorders/>
            <w:shd w:fill="FFFFFF" w:val="clear"/>
            <w:vAlign w:val="center"/>
          </w:tcPr>
          <w:p>
            <w:pPr>
              <w:pStyle w:val="TableContents"/>
              <w:bidi w:val="0"/>
              <w:spacing w:before="0" w:after="283"/>
              <w:ind w:left="0" w:right="0" w:hanging="10"/>
              <w:jc w:val="left"/>
              <w:rPr/>
            </w:pPr>
            <w:r>
              <w:rPr/>
              <w:t> </w:t>
            </w:r>
            <w:bookmarkStart w:id="154" w:name="xdx_407_eus-gaap--RetainedEarningsAccumu"/>
            <w:bookmarkEnd w:id="154"/>
          </w:p>
        </w:tc>
      </w:tr>
      <w:tr>
        <w:trPr/>
        <w:tc>
          <w:tcPr>
            <w:tcW w:w="8090"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(82,154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(41,539</w:t>
            </w:r>
          </w:p>
        </w:tc>
        <w:tc>
          <w:tcPr>
            <w:tcW w:w="110" w:type="dxa"/>
            <w:tcBorders/>
            <w:shd w:fill="CCEEFF" w:val="clear"/>
            <w:vAlign w:val="center"/>
          </w:tcPr>
          <w:p>
            <w:pPr>
              <w:pStyle w:val="TableContents"/>
              <w:bidi w:val="0"/>
              <w:spacing w:before="0" w:after="283"/>
              <w:ind w:left="0" w:right="0" w:hanging="10"/>
              <w:jc w:val="left"/>
              <w:rPr/>
            </w:pPr>
            <w:r>
              <w:rPr/>
              <w:t>)</w:t>
            </w:r>
            <w:bookmarkStart w:id="155" w:name="xdx_409_eus-gaap--StockholdersEquity_i01"/>
            <w:bookmarkEnd w:id="155"/>
          </w:p>
        </w:tc>
      </w:tr>
      <w:tr>
        <w:trPr/>
        <w:tc>
          <w:tcPr>
            <w:tcW w:w="8090" w:type="dxa"/>
            <w:tcBorders/>
            <w:shd w:fill="FFFFFF" w:val="clear"/>
            <w:vAlign w:val="center"/>
          </w:tcPr>
          <w:p>
            <w:pPr>
              <w:pStyle w:val="TableContents"/>
              <w:bidi w:val="0"/>
              <w:spacing w:before="0" w:after="283"/>
              <w:jc w:val="both"/>
              <w:rPr>
                <w:b/>
              </w:rPr>
            </w:pPr>
            <w:r>
              <w:rPr>
                <w:b/>
              </w:rPr>
              <w:t>Total Stockholders’ (Deficit)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(9,404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27,912</w:t>
            </w:r>
          </w:p>
        </w:tc>
        <w:tc>
          <w:tcPr>
            <w:tcW w:w="110" w:type="dxa"/>
            <w:tcBorders/>
            <w:shd w:fill="FFFFFF" w:val="clear"/>
            <w:vAlign w:val="center"/>
          </w:tcPr>
          <w:p>
            <w:pPr>
              <w:pStyle w:val="TableContents"/>
              <w:bidi w:val="0"/>
              <w:spacing w:before="0" w:after="283"/>
              <w:ind w:left="0" w:right="0" w:hanging="10"/>
              <w:jc w:val="left"/>
              <w:rPr/>
            </w:pPr>
            <w:r>
              <w:rPr/>
              <w:t> </w:t>
            </w:r>
            <w:bookmarkStart w:id="156" w:name="xdx_40D_eus-gaap--LiabilitiesAndStockhol"/>
            <w:bookmarkEnd w:id="156"/>
          </w:p>
        </w:tc>
      </w:tr>
      <w:tr>
        <w:trPr/>
        <w:tc>
          <w:tcPr>
            <w:tcW w:w="8090" w:type="dxa"/>
            <w:tcBorders/>
            <w:shd w:fill="CCEEFF" w:val="clear"/>
            <w:vAlign w:val="center"/>
          </w:tcPr>
          <w:p>
            <w:pPr>
              <w:pStyle w:val="TableContents"/>
              <w:bidi w:val="0"/>
              <w:spacing w:before="0" w:after="283"/>
              <w:jc w:val="both"/>
              <w:rPr>
                <w:b/>
              </w:rPr>
            </w:pPr>
            <w:r>
              <w:rPr>
                <w:b/>
              </w:rPr>
              <w:t>Total Liabilities and Stockholders’ (Deficit)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75,204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both"/>
        <w:rPr>
          <w:caps w:val="false"/>
          <w:smallCaps w:val="false"/>
        </w:rPr>
      </w:pPr>
      <w:r>
        <w:rPr>
          <w:caps w:val="false"/>
          <w:smallCaps w:val="false"/>
        </w:rPr>
        <w:t> </w:t>
      </w:r>
    </w:p>
    <w:p>
      <w:pPr>
        <w:pStyle w:val="TextBody"/>
        <w:bidi w:val="0"/>
        <w:ind w:left="10" w:right="0" w:hanging="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157" w:name="fin_03"/>
      <w:bookmarkEnd w:id="157"/>
      <w:r>
        <w:rPr>
          <w:rFonts w:ascii="Times New Roman;Times;Serif" w:hAnsi="Times New Roman;Times;Serif"/>
          <w:b/>
          <w:i w:val="false"/>
          <w:caps/>
          <w:sz w:val="20"/>
        </w:rPr>
        <w:t>Consolidated Statements of Operations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2024 and 2023</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8" w:name="xdx_307_113_pn3n3_zAUF8MD0VZgd"/>
      <w:bookmarkStart w:id="159" w:name="xdx_307_113_pn3n3_zAUF8MD0VZgd"/>
      <w:bookmarkEnd w:id="159"/>
    </w:p>
    <w:tbl>
      <w:tblPr>
        <w:tblW w:w="7895" w:type="dxa"/>
        <w:jc w:val="left"/>
        <w:tblInd w:w="0" w:type="dxa"/>
        <w:tblLayout w:type="fixed"/>
        <w:tblCellMar>
          <w:top w:w="0" w:type="dxa"/>
          <w:left w:w="0" w:type="dxa"/>
          <w:bottom w:w="0" w:type="dxa"/>
          <w:right w:w="0" w:type="dxa"/>
        </w:tblCellMar>
      </w:tblPr>
      <w:tblGrid>
        <w:gridCol w:w="5330"/>
        <w:gridCol w:w="60"/>
        <w:gridCol w:w="140"/>
        <w:gridCol w:w="980"/>
        <w:gridCol w:w="95"/>
        <w:gridCol w:w="60"/>
        <w:gridCol w:w="140"/>
        <w:gridCol w:w="980"/>
        <w:gridCol w:w="110"/>
      </w:tblGrid>
      <w:tr>
        <w:trPr/>
        <w:tc>
          <w:tcPr>
            <w:tcW w:w="5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60" w:name="xdx_49C_20240101__20241231_z2MuwEf72wQ1"/>
            <w:bookmarkEnd w:id="160"/>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95_20230101__20231231_zm9Km9m5S2Bc"/>
            <w:bookmarkEnd w:id="161"/>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ind w:left="0" w:right="0" w:hanging="10"/>
              <w:jc w:val="left"/>
              <w:rPr/>
            </w:pPr>
            <w:r>
              <w:rPr/>
              <w:t> </w:t>
            </w:r>
            <w:bookmarkStart w:id="162" w:name="xdx_408_eus-gaap--RevenueFromContractWit"/>
            <w:bookmarkEnd w:id="162"/>
          </w:p>
        </w:tc>
      </w:tr>
      <w:tr>
        <w:trPr/>
        <w:tc>
          <w:tcPr>
            <w:tcW w:w="5330" w:type="dxa"/>
            <w:tcBorders/>
            <w:shd w:fill="CCEEFF" w:val="clear"/>
            <w:vAlign w:val="center"/>
          </w:tcPr>
          <w:p>
            <w:pPr>
              <w:pStyle w:val="TableContents"/>
              <w:bidi w:val="0"/>
              <w:spacing w:before="0" w:after="283"/>
              <w:jc w:val="both"/>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50,645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64,392</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bookmarkStart w:id="163" w:name="xdx_400_eus-gaap--CostOfGoodsAndServices"/>
            <w:bookmarkEnd w:id="163"/>
          </w:p>
        </w:tc>
      </w:tr>
      <w:tr>
        <w:trPr/>
        <w:tc>
          <w:tcPr>
            <w:tcW w:w="5330" w:type="dxa"/>
            <w:tcBorders/>
            <w:shd w:fill="CCEEFF" w:val="clear"/>
            <w:vAlign w:val="center"/>
          </w:tcPr>
          <w:p>
            <w:pPr>
              <w:pStyle w:val="TableContents"/>
              <w:bidi w:val="0"/>
              <w:spacing w:before="0" w:after="283"/>
              <w:jc w:val="both"/>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48,946</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bookmarkStart w:id="164" w:name="xdx_407_eus-gaap--GrossProfit_iT_mtGPzs1"/>
            <w:bookmarkEnd w:id="164"/>
          </w:p>
        </w:tc>
      </w:tr>
      <w:tr>
        <w:trPr/>
        <w:tc>
          <w:tcPr>
            <w:tcW w:w="5330"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15,446</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bookmarkStart w:id="165" w:name="xdx_40C_eus-gaap--OperatingExpensesAbstr"/>
            <w:bookmarkEnd w:id="165"/>
          </w:p>
        </w:tc>
      </w:tr>
      <w:tr>
        <w:trPr/>
        <w:tc>
          <w:tcPr>
            <w:tcW w:w="5330"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166" w:name="xdx_406_eus-gaap--ResearchAndDevelopment"/>
            <w:bookmarkEnd w:id="166"/>
          </w:p>
        </w:tc>
      </w:tr>
      <w:tr>
        <w:trPr/>
        <w:tc>
          <w:tcPr>
            <w:tcW w:w="5330" w:type="dxa"/>
            <w:tcBorders/>
            <w:shd w:fill="FFFFFF" w:val="clear"/>
            <w:vAlign w:val="center"/>
          </w:tcPr>
          <w:p>
            <w:pPr>
              <w:pStyle w:val="TableContents"/>
              <w:bidi w:val="0"/>
              <w:spacing w:before="0" w:after="283"/>
              <w:jc w:val="both"/>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3,863</w:t>
            </w:r>
          </w:p>
        </w:tc>
        <w:tc>
          <w:tcPr>
            <w:tcW w:w="110" w:type="dxa"/>
            <w:tcBorders/>
            <w:shd w:fill="FFFFFF" w:val="clear"/>
            <w:vAlign w:val="center"/>
          </w:tcPr>
          <w:p>
            <w:pPr>
              <w:pStyle w:val="TableContents"/>
              <w:bidi w:val="0"/>
              <w:spacing w:before="0" w:after="283"/>
              <w:ind w:left="0" w:right="0" w:hanging="10"/>
              <w:jc w:val="left"/>
              <w:rPr/>
            </w:pPr>
            <w:r>
              <w:rPr/>
              <w:t> </w:t>
            </w:r>
            <w:bookmarkStart w:id="167" w:name="xdx_403_eus-gaap--GeneralAndAdministrati"/>
            <w:bookmarkEnd w:id="167"/>
          </w:p>
        </w:tc>
      </w:tr>
      <w:tr>
        <w:trPr/>
        <w:tc>
          <w:tcPr>
            <w:tcW w:w="5330"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26,389</w:t>
            </w:r>
          </w:p>
        </w:tc>
        <w:tc>
          <w:tcPr>
            <w:tcW w:w="110" w:type="dxa"/>
            <w:tcBorders/>
            <w:shd w:fill="CCEEFF" w:val="clear"/>
            <w:vAlign w:val="center"/>
          </w:tcPr>
          <w:p>
            <w:pPr>
              <w:pStyle w:val="TableContents"/>
              <w:bidi w:val="0"/>
              <w:spacing w:before="0" w:after="283"/>
              <w:ind w:left="0" w:right="0" w:hanging="10"/>
              <w:jc w:val="left"/>
              <w:rPr/>
            </w:pPr>
            <w:r>
              <w:rPr/>
              <w:t> </w:t>
            </w:r>
            <w:bookmarkStart w:id="168" w:name="xdx_40A_eus-gaap--SellingAndMarketingExp"/>
            <w:bookmarkEnd w:id="168"/>
          </w:p>
        </w:tc>
      </w:tr>
      <w:tr>
        <w:trPr/>
        <w:tc>
          <w:tcPr>
            <w:tcW w:w="5330" w:type="dxa"/>
            <w:tcBorders/>
            <w:shd w:fill="FFFFFF" w:val="clear"/>
            <w:vAlign w:val="center"/>
          </w:tcPr>
          <w:p>
            <w:pPr>
              <w:pStyle w:val="TableContents"/>
              <w:bidi w:val="0"/>
              <w:spacing w:before="0" w:after="283"/>
              <w:jc w:val="both"/>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12,623</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169" w:name="xdx_40B_eus-gaap--OperatingExpenses_i01T"/>
            <w:bookmarkEnd w:id="169"/>
          </w:p>
        </w:tc>
      </w:tr>
      <w:tr>
        <w:trPr/>
        <w:tc>
          <w:tcPr>
            <w:tcW w:w="5330" w:type="dxa"/>
            <w:tcBorders/>
            <w:shd w:fill="FFFFFF" w:val="clear"/>
            <w:vAlign w:val="center"/>
          </w:tcPr>
          <w:p>
            <w:pPr>
              <w:pStyle w:val="TableContents"/>
              <w:bidi w:val="0"/>
              <w:spacing w:before="0" w:after="283"/>
              <w:jc w:val="both"/>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37,385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42,875</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170" w:name="xdx_406_eus-gaap--OperatingIncomeLoss_iT"/>
            <w:bookmarkEnd w:id="170"/>
          </w:p>
        </w:tc>
      </w:tr>
      <w:tr>
        <w:trPr/>
        <w:tc>
          <w:tcPr>
            <w:tcW w:w="5330" w:type="dxa"/>
            <w:tcBorders/>
            <w:shd w:fill="FFFFFF" w:val="clear"/>
            <w:vAlign w:val="center"/>
          </w:tcPr>
          <w:p>
            <w:pPr>
              <w:pStyle w:val="TableContents"/>
              <w:bidi w:val="0"/>
              <w:spacing w:before="0" w:after="283"/>
              <w:jc w:val="both"/>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(27,429</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171" w:name="xdx_407_eus-gaap--NonoperatingIncomeExpe"/>
            <w:bookmarkEnd w:id="171"/>
          </w:p>
        </w:tc>
      </w:tr>
      <w:tr>
        <w:trPr/>
        <w:tc>
          <w:tcPr>
            <w:tcW w:w="5330" w:type="dxa"/>
            <w:tcBorders/>
            <w:shd w:fill="FFFFFF" w:val="clear"/>
            <w:vAlign w:val="center"/>
          </w:tcPr>
          <w:p>
            <w:pPr>
              <w:pStyle w:val="TableContents"/>
              <w:bidi w:val="0"/>
              <w:spacing w:before="0" w:after="283"/>
              <w:jc w:val="both"/>
              <w:rPr>
                <w:b/>
              </w:rPr>
            </w:pPr>
            <w:r>
              <w:rPr>
                <w:b/>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bookmarkStart w:id="172" w:name="xdx_409_eus-gaap--InterestExpenseNonoper"/>
            <w:bookmarkEnd w:id="172"/>
          </w:p>
        </w:tc>
      </w:tr>
      <w:tr>
        <w:trPr/>
        <w:tc>
          <w:tcPr>
            <w:tcW w:w="5330" w:type="dxa"/>
            <w:tcBorders/>
            <w:shd w:fill="CCEEFF" w:val="clear"/>
            <w:vAlign w:val="center"/>
          </w:tcPr>
          <w:p>
            <w:pPr>
              <w:pStyle w:val="TableContents"/>
              <w:bidi w:val="0"/>
              <w:spacing w:before="0" w:after="283"/>
              <w:jc w:val="both"/>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(16,015</w:t>
            </w:r>
          </w:p>
        </w:tc>
        <w:tc>
          <w:tcPr>
            <w:tcW w:w="110" w:type="dxa"/>
            <w:tcBorders/>
            <w:shd w:fill="CCEEFF" w:val="clear"/>
            <w:vAlign w:val="center"/>
          </w:tcPr>
          <w:p>
            <w:pPr>
              <w:pStyle w:val="TableContents"/>
              <w:bidi w:val="0"/>
              <w:spacing w:before="0" w:after="283"/>
              <w:ind w:left="0" w:right="0" w:hanging="10"/>
              <w:jc w:val="left"/>
              <w:rPr/>
            </w:pPr>
            <w:r>
              <w:rPr/>
              <w:t>)</w:t>
            </w:r>
            <w:bookmarkStart w:id="173" w:name="xdx_40D_eus-gaap--OtherNonoperatingIncom"/>
            <w:bookmarkEnd w:id="173"/>
          </w:p>
        </w:tc>
      </w:tr>
      <w:tr>
        <w:trPr/>
        <w:tc>
          <w:tcPr>
            <w:tcW w:w="5330" w:type="dxa"/>
            <w:tcBorders/>
            <w:shd w:fill="FFFFFF" w:val="clear"/>
            <w:vAlign w:val="center"/>
          </w:tcPr>
          <w:p>
            <w:pPr>
              <w:pStyle w:val="TableContents"/>
              <w:bidi w:val="0"/>
              <w:spacing w:before="0" w:after="283"/>
              <w:jc w:val="both"/>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ind w:left="0" w:right="0" w:hanging="10"/>
              <w:jc w:val="left"/>
              <w:rPr/>
            </w:pPr>
            <w:r>
              <w:rPr/>
              <w:t> </w:t>
            </w:r>
            <w:bookmarkStart w:id="174" w:name="xdx_404_eus-gaap--FairValueAdjustmentOfW"/>
            <w:bookmarkEnd w:id="174"/>
          </w:p>
        </w:tc>
      </w:tr>
      <w:tr>
        <w:trPr/>
        <w:tc>
          <w:tcPr>
            <w:tcW w:w="5330" w:type="dxa"/>
            <w:tcBorders/>
            <w:shd w:fill="CCEEFF" w:val="clear"/>
            <w:vAlign w:val="center"/>
          </w:tcPr>
          <w:p>
            <w:pPr>
              <w:pStyle w:val="TableContents"/>
              <w:bidi w:val="0"/>
              <w:spacing w:before="0" w:after="283"/>
              <w:jc w:val="both"/>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29,582</w:t>
            </w:r>
          </w:p>
        </w:tc>
        <w:tc>
          <w:tcPr>
            <w:tcW w:w="110" w:type="dxa"/>
            <w:tcBorders/>
            <w:shd w:fill="CCEEFF" w:val="clear"/>
            <w:vAlign w:val="center"/>
          </w:tcPr>
          <w:p>
            <w:pPr>
              <w:pStyle w:val="TableContents"/>
              <w:bidi w:val="0"/>
              <w:spacing w:before="0" w:after="283"/>
              <w:ind w:left="0" w:right="0" w:hanging="10"/>
              <w:jc w:val="left"/>
              <w:rPr/>
            </w:pPr>
            <w:r>
              <w:rPr/>
              <w:t> </w:t>
            </w:r>
            <w:bookmarkStart w:id="175" w:name="xdx_40C_eus-gaap--NonoperatingIncomeExpe"/>
            <w:bookmarkEnd w:id="175"/>
          </w:p>
        </w:tc>
      </w:tr>
      <w:tr>
        <w:trPr/>
        <w:tc>
          <w:tcPr>
            <w:tcW w:w="5330" w:type="dxa"/>
            <w:tcBorders/>
            <w:shd w:fill="FFFFFF" w:val="clear"/>
            <w:vAlign w:val="center"/>
          </w:tcPr>
          <w:p>
            <w:pPr>
              <w:pStyle w:val="TableContents"/>
              <w:bidi w:val="0"/>
              <w:spacing w:before="0" w:after="283"/>
              <w:jc w:val="both"/>
              <w:rPr>
                <w:b/>
              </w:rPr>
            </w:pPr>
            <w:r>
              <w:rPr>
                <w:b/>
              </w:rPr>
              <w:t>Total 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13,586</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176" w:name="xdx_40D_eus-gaap--IncomeLossFromContinui"/>
            <w:bookmarkEnd w:id="176"/>
          </w:p>
        </w:tc>
      </w:tr>
      <w:tr>
        <w:trPr/>
        <w:tc>
          <w:tcPr>
            <w:tcW w:w="5330" w:type="dxa"/>
            <w:tcBorders/>
            <w:shd w:fill="FFFFFF" w:val="clear"/>
            <w:vAlign w:val="center"/>
          </w:tcPr>
          <w:p>
            <w:pPr>
              <w:pStyle w:val="TableContents"/>
              <w:bidi w:val="0"/>
              <w:spacing w:before="0" w:after="283"/>
              <w:jc w:val="both"/>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(13,843</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177" w:name="xdx_407_eus-gaap--IncomeTaxExpenseBenefi"/>
            <w:bookmarkEnd w:id="177"/>
          </w:p>
        </w:tc>
      </w:tr>
      <w:tr>
        <w:trPr/>
        <w:tc>
          <w:tcPr>
            <w:tcW w:w="5330" w:type="dxa"/>
            <w:tcBorders/>
            <w:shd w:fill="FFFFFF" w:val="clear"/>
            <w:vAlign w:val="center"/>
          </w:tcPr>
          <w:p>
            <w:pPr>
              <w:pStyle w:val="TableContents"/>
              <w:bidi w:val="0"/>
              <w:spacing w:before="0" w:after="283"/>
              <w:jc w:val="both"/>
              <w:rPr>
                <w:b/>
              </w:rPr>
            </w:pPr>
            <w:r>
              <w:rPr>
                <w:b/>
              </w:rPr>
              <w:t>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178" w:name="xdx_40E_eus-gaap--NetIncomeLoss_iT_mtNIL"/>
            <w:bookmarkEnd w:id="178"/>
          </w:p>
        </w:tc>
      </w:tr>
      <w:tr>
        <w:trPr/>
        <w:tc>
          <w:tcPr>
            <w:tcW w:w="5330"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(40,615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(13,817</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Loss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79" w:name="xdx_906_eus-gaap--EarningsPerShareDilute"/>
            <w:bookmarkStart w:id="180" w:name="xdx_90E_eus-gaap--EarningsPerShareBasic_"/>
            <w:bookmarkEnd w:id="179"/>
            <w:bookmarkEnd w:id="180"/>
            <w:r>
              <w:rPr/>
              <w:t>(5.91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81" w:name="xdx_908_eus-gaap--EarningsPerShareDilute"/>
            <w:bookmarkStart w:id="182" w:name="xdx_909_eus-gaap--EarningsPerShareBasic_"/>
            <w:bookmarkEnd w:id="181"/>
            <w:bookmarkEnd w:id="182"/>
            <w:r>
              <w:rPr/>
              <w:t>(2.36</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Weighted Average Number of Shares -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83" w:name="xdx_90A_eus-gaap--WeightedAverageNumberO"/>
            <w:bookmarkStart w:id="184" w:name="xdx_907_eus-gaap--WeightedAverageNumberO"/>
            <w:bookmarkEnd w:id="183"/>
            <w:bookmarkEnd w:id="184"/>
            <w:r>
              <w:rPr/>
              <w:t>6,866,826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85" w:name="xdx_902_eus-gaap--WeightedAverageNumberO"/>
            <w:bookmarkStart w:id="186" w:name="xdx_90C_eus-gaap--WeightedAverageNumberO"/>
            <w:bookmarkEnd w:id="185"/>
            <w:bookmarkEnd w:id="186"/>
            <w:r>
              <w:rPr/>
              <w:t>5,865,165</w:t>
            </w:r>
          </w:p>
        </w:tc>
        <w:tc>
          <w:tcPr>
            <w:tcW w:w="110" w:type="dxa"/>
            <w:tcBorders/>
            <w:shd w:fill="FFFFFF" w:val="clear"/>
            <w:vAlign w:val="center"/>
          </w:tcPr>
          <w:p>
            <w:pPr>
              <w:pStyle w:val="TableContents"/>
              <w:bidi w:val="0"/>
              <w:spacing w:before="0" w:after="283"/>
              <w:jc w:val="left"/>
              <w:rPr/>
            </w:pPr>
            <w:r>
              <w:rPr/>
              <w:t> </w:t>
            </w:r>
          </w:p>
        </w:tc>
      </w:tr>
    </w:tbl>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ind w:left="10" w:right="0" w:hanging="1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187" w:name="fin_04"/>
      <w:bookmarkEnd w:id="187"/>
      <w:r>
        <w:rPr>
          <w:rFonts w:ascii="Times New Roman;Times;Serif" w:hAnsi="Times New Roman;Times;Serif"/>
          <w:b/>
          <w:i w:val="false"/>
          <w:caps/>
          <w:sz w:val="20"/>
        </w:rPr>
        <w:t>Consolidated Statements of Shareholders’ Equity (Deficit)</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2024 and 2023</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ind w:left="10" w:right="0" w:hanging="10"/>
        <w:jc w:val="center"/>
        <w:rPr>
          <w:caps/>
        </w:rPr>
      </w:pPr>
      <w:r>
        <w:rPr>
          <w:caps/>
        </w:rPr>
        <w:t> </w:t>
      </w:r>
    </w:p>
    <w:p>
      <w:pPr>
        <w:pStyle w:val="Normal"/>
        <w:bidi w:val="0"/>
        <w:spacing w:before="0" w:after="0"/>
        <w:jc w:val="left"/>
        <w:rPr>
          <w:sz w:val="4"/>
          <w:szCs w:val="4"/>
        </w:rPr>
      </w:pPr>
      <w:r>
        <w:rPr>
          <w:sz w:val="4"/>
          <w:szCs w:val="4"/>
        </w:rPr>
      </w:r>
      <w:bookmarkStart w:id="188" w:name="xdx_303_114_pn3n3_zUCrmyNmfpi3"/>
      <w:bookmarkStart w:id="189" w:name="xdx_303_114_pn3n3_zUCrmyNmfpi3"/>
      <w:bookmarkEnd w:id="189"/>
    </w:p>
    <w:tbl>
      <w:tblPr>
        <w:tblW w:w="10205" w:type="dxa"/>
        <w:jc w:val="left"/>
        <w:tblInd w:w="0" w:type="dxa"/>
        <w:tblLayout w:type="fixed"/>
        <w:tblCellMar>
          <w:top w:w="0" w:type="dxa"/>
          <w:left w:w="0" w:type="dxa"/>
          <w:bottom w:w="0" w:type="dxa"/>
          <w:right w:w="0" w:type="dxa"/>
        </w:tblCellMar>
      </w:tblPr>
      <w:tblGrid>
        <w:gridCol w:w="4184"/>
        <w:gridCol w:w="60"/>
        <w:gridCol w:w="60"/>
        <w:gridCol w:w="980"/>
        <w:gridCol w:w="95"/>
        <w:gridCol w:w="60"/>
        <w:gridCol w:w="400"/>
        <w:gridCol w:w="400"/>
        <w:gridCol w:w="60"/>
        <w:gridCol w:w="60"/>
        <w:gridCol w:w="219"/>
        <w:gridCol w:w="1065"/>
        <w:gridCol w:w="60"/>
        <w:gridCol w:w="60"/>
        <w:gridCol w:w="200"/>
        <w:gridCol w:w="1080"/>
        <w:gridCol w:w="95"/>
        <w:gridCol w:w="60"/>
        <w:gridCol w:w="140"/>
        <w:gridCol w:w="755"/>
        <w:gridCol w:w="112"/>
      </w:tblGrid>
      <w:tr>
        <w:trPr/>
        <w:tc>
          <w:tcPr>
            <w:tcW w:w="4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0" w:name="xdx_4B3_us-gaap--StatementEquityComponen"/>
            <w:bookmarkEnd w:id="190"/>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 w:name="xdx_4BD_us-gaap--StatementEquityComponen"/>
            <w:bookmarkEnd w:id="191"/>
          </w:p>
        </w:tc>
        <w:tc>
          <w:tcPr>
            <w:tcW w:w="1284"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2" w:name="xdx_4B1_us-gaap--StatementEquityComponen"/>
            <w:bookmarkEnd w:id="192"/>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 w:name="xdx_4B2_zKhzNgUkuvkc"/>
            <w:bookmarkEnd w:id="193"/>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left"/>
              <w:rPr/>
            </w:pPr>
            <w:r>
              <w:rPr/>
              <w:t> </w:t>
            </w:r>
          </w:p>
        </w:tc>
      </w:tr>
      <w:tr>
        <w:trPr/>
        <w:tc>
          <w:tcPr>
            <w:tcW w:w="4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vAlign w:val="center"/>
          </w:tcPr>
          <w:p>
            <w:pPr>
              <w:pStyle w:val="TableContents"/>
              <w:bidi w:val="0"/>
              <w:spacing w:before="0" w:after="283"/>
              <w:jc w:val="center"/>
              <w:rPr/>
            </w:pPr>
            <w:r>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112" w:type="dxa"/>
            <w:tcBorders/>
            <w:vAlign w:val="center"/>
          </w:tcPr>
          <w:p>
            <w:pPr>
              <w:pStyle w:val="TableContents"/>
              <w:bidi w:val="0"/>
              <w:spacing w:before="0" w:after="283"/>
              <w:jc w:val="left"/>
              <w:rPr/>
            </w:pPr>
            <w:r>
              <w:rPr/>
              <w:t> </w:t>
            </w:r>
          </w:p>
        </w:tc>
      </w:tr>
      <w:tr>
        <w:trPr/>
        <w:tc>
          <w:tcPr>
            <w:tcW w:w="4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left"/>
              <w:rPr/>
            </w:pPr>
            <w:r>
              <w:rPr/>
              <w:t> </w:t>
            </w:r>
          </w:p>
        </w:tc>
      </w:tr>
      <w:tr>
        <w:trPr/>
        <w:tc>
          <w:tcPr>
            <w:tcW w:w="4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112" w:type="dxa"/>
            <w:tcBorders/>
            <w:vAlign w:val="center"/>
          </w:tcPr>
          <w:p>
            <w:pPr>
              <w:pStyle w:val="TableContents"/>
              <w:bidi w:val="0"/>
              <w:spacing w:before="0" w:after="283"/>
              <w:ind w:left="0" w:right="0" w:hanging="10"/>
              <w:jc w:val="left"/>
              <w:rPr/>
            </w:pPr>
            <w:r>
              <w:rPr/>
              <w:t> </w:t>
            </w:r>
            <w:bookmarkStart w:id="194" w:name="xdx_432_c20230101__20231231_eus-gaap--St"/>
            <w:bookmarkEnd w:id="194"/>
          </w:p>
        </w:tc>
      </w:tr>
      <w:tr>
        <w:trPr/>
        <w:tc>
          <w:tcPr>
            <w:tcW w:w="4184" w:type="dxa"/>
            <w:tcBorders/>
            <w:shd w:fill="CCEEFF" w:val="clear"/>
            <w:vAlign w:val="center"/>
          </w:tcPr>
          <w:p>
            <w:pPr>
              <w:pStyle w:val="TableContents"/>
              <w:bidi w:val="0"/>
              <w:spacing w:before="0" w:after="283"/>
              <w:jc w:val="left"/>
              <w:rPr>
                <w:b/>
              </w:rPr>
            </w:pPr>
            <w:r>
              <w:rPr>
                <w:b/>
              </w:rPr>
              <w:t>Balance -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5" w:name="xdx_987_eus-gaap--SharesOutstanding_iS_p"/>
            <w:bookmarkEnd w:id="195"/>
          </w:p>
        </w:tc>
        <w:tc>
          <w:tcPr>
            <w:tcW w:w="980" w:type="dxa"/>
            <w:tcBorders/>
            <w:shd w:fill="CCEEFF" w:val="clear"/>
            <w:vAlign w:val="center"/>
          </w:tcPr>
          <w:p>
            <w:pPr>
              <w:pStyle w:val="TableContents"/>
              <w:bidi w:val="0"/>
              <w:spacing w:before="0" w:after="283"/>
              <w:jc w:val="right"/>
              <w:rPr/>
            </w:pPr>
            <w:r>
              <w:rPr/>
              <w:t>4,811,078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38,465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(27,722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10,743</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0"/>
              <w:jc w:val="left"/>
              <w:rPr/>
            </w:pPr>
            <w:r>
              <w:rPr/>
              <w:t> </w:t>
            </w:r>
            <w:bookmarkStart w:id="196" w:name="xdx_40F_eus-gaap--NetIncomeLoss_pn3n3_ze"/>
            <w:bookmarkEnd w:id="196"/>
          </w:p>
        </w:tc>
      </w:tr>
      <w:tr>
        <w:trPr/>
        <w:tc>
          <w:tcPr>
            <w:tcW w:w="418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(13,817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(13,817</w:t>
            </w:r>
          </w:p>
        </w:tc>
        <w:tc>
          <w:tcPr>
            <w:tcW w:w="112" w:type="dxa"/>
            <w:tcBorders/>
            <w:shd w:fill="CCEEFF" w:val="clear"/>
            <w:vAlign w:val="center"/>
          </w:tcPr>
          <w:p>
            <w:pPr>
              <w:pStyle w:val="TableContents"/>
              <w:bidi w:val="0"/>
              <w:spacing w:before="0" w:after="283"/>
              <w:ind w:left="0" w:right="0" w:hanging="10"/>
              <w:jc w:val="left"/>
              <w:rPr/>
            </w:pPr>
            <w:r>
              <w:rPr/>
              <w:t>)</w:t>
            </w:r>
            <w:bookmarkStart w:id="197" w:name="xdx_406_eus-gaap--StockIssuedDuringPerio"/>
            <w:bookmarkEnd w:id="197"/>
          </w:p>
        </w:tc>
      </w:tr>
      <w:tr>
        <w:trPr/>
        <w:tc>
          <w:tcPr>
            <w:tcW w:w="4184"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8" w:name="xdx_984_eus-gaap--StockIssuedDuringPerio"/>
            <w:bookmarkEnd w:id="198"/>
          </w:p>
        </w:tc>
        <w:tc>
          <w:tcPr>
            <w:tcW w:w="980" w:type="dxa"/>
            <w:tcBorders/>
            <w:shd w:fill="FFFFFF" w:val="clear"/>
            <w:vAlign w:val="center"/>
          </w:tcPr>
          <w:p>
            <w:pPr>
              <w:pStyle w:val="TableContents"/>
              <w:bidi w:val="0"/>
              <w:spacing w:before="0" w:after="283"/>
              <w:jc w:val="right"/>
              <w:rPr/>
            </w:pPr>
            <w:r>
              <w:rPr/>
              <w:t>65,389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1,273</w:t>
            </w:r>
          </w:p>
        </w:tc>
        <w:tc>
          <w:tcPr>
            <w:tcW w:w="112" w:type="dxa"/>
            <w:tcBorders/>
            <w:shd w:fill="FFFFFF" w:val="clear"/>
            <w:vAlign w:val="center"/>
          </w:tcPr>
          <w:p>
            <w:pPr>
              <w:pStyle w:val="TableContents"/>
              <w:bidi w:val="0"/>
              <w:spacing w:before="0" w:after="283"/>
              <w:ind w:left="0" w:right="0" w:hanging="10"/>
              <w:jc w:val="left"/>
              <w:rPr/>
            </w:pPr>
            <w:r>
              <w:rPr/>
              <w:t> </w:t>
            </w:r>
            <w:bookmarkStart w:id="199" w:name="xdx_40F_ecustom--StockIssuedDuringPeriod"/>
            <w:bookmarkEnd w:id="199"/>
          </w:p>
        </w:tc>
      </w:tr>
      <w:tr>
        <w:trPr/>
        <w:tc>
          <w:tcPr>
            <w:tcW w:w="4184" w:type="dxa"/>
            <w:tcBorders/>
            <w:shd w:fill="CCEEFF" w:val="clear"/>
            <w:vAlign w:val="center"/>
          </w:tcPr>
          <w:p>
            <w:pPr>
              <w:pStyle w:val="TableContents"/>
              <w:bidi w:val="0"/>
              <w:spacing w:before="0" w:after="283"/>
              <w:jc w:val="left"/>
              <w:rPr/>
            </w:pPr>
            <w:r>
              <w:rPr/>
              <w:t>Common stock issued in public offering, net of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2_ecustom--StockIssuedDuringPeriod"/>
            <w:bookmarkEnd w:id="200"/>
          </w:p>
        </w:tc>
        <w:tc>
          <w:tcPr>
            <w:tcW w:w="980" w:type="dxa"/>
            <w:tcBorders/>
            <w:shd w:fill="CCEEFF" w:val="clear"/>
            <w:vAlign w:val="center"/>
          </w:tcPr>
          <w:p>
            <w:pPr>
              <w:pStyle w:val="TableContents"/>
              <w:bidi w:val="0"/>
              <w:spacing w:before="0" w:after="283"/>
              <w:jc w:val="right"/>
              <w:rPr/>
            </w:pPr>
            <w:r>
              <w:rPr/>
              <w:t>1,267,223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7,877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7,878</w:t>
            </w:r>
          </w:p>
        </w:tc>
        <w:tc>
          <w:tcPr>
            <w:tcW w:w="112" w:type="dxa"/>
            <w:tcBorders/>
            <w:shd w:fill="CCEEFF" w:val="clear"/>
            <w:vAlign w:val="center"/>
          </w:tcPr>
          <w:p>
            <w:pPr>
              <w:pStyle w:val="TableContents"/>
              <w:bidi w:val="0"/>
              <w:spacing w:before="0" w:after="283"/>
              <w:ind w:left="0" w:right="0" w:hanging="10"/>
              <w:jc w:val="left"/>
              <w:rPr/>
            </w:pPr>
            <w:r>
              <w:rPr/>
              <w:t> </w:t>
            </w:r>
            <w:bookmarkStart w:id="201" w:name="xdx_404_eus-gaap--StockIssuedDuringPerio"/>
            <w:bookmarkEnd w:id="201"/>
          </w:p>
        </w:tc>
      </w:tr>
      <w:tr>
        <w:trPr/>
        <w:tc>
          <w:tcPr>
            <w:tcW w:w="4184"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2" w:name="xdx_985_eus-gaap--StockIssuedDuringPerio"/>
            <w:bookmarkEnd w:id="202"/>
          </w:p>
        </w:tc>
        <w:tc>
          <w:tcPr>
            <w:tcW w:w="980" w:type="dxa"/>
            <w:tcBorders/>
            <w:shd w:fill="FFFFFF" w:val="clear"/>
            <w:vAlign w:val="center"/>
          </w:tcPr>
          <w:p>
            <w:pPr>
              <w:pStyle w:val="TableContents"/>
              <w:bidi w:val="0"/>
              <w:spacing w:before="0" w:after="283"/>
              <w:jc w:val="right"/>
              <w:rPr/>
            </w:pPr>
            <w:r>
              <w:rPr/>
              <w:t>101,963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586</w:t>
            </w:r>
          </w:p>
        </w:tc>
        <w:tc>
          <w:tcPr>
            <w:tcW w:w="112" w:type="dxa"/>
            <w:tcBorders/>
            <w:shd w:fill="FFFFFF" w:val="clear"/>
            <w:vAlign w:val="center"/>
          </w:tcPr>
          <w:p>
            <w:pPr>
              <w:pStyle w:val="TableContents"/>
              <w:bidi w:val="0"/>
              <w:spacing w:before="0" w:after="283"/>
              <w:ind w:left="0" w:right="0" w:hanging="10"/>
              <w:jc w:val="left"/>
              <w:rPr/>
            </w:pPr>
            <w:r>
              <w:rPr/>
              <w:t> </w:t>
            </w:r>
            <w:bookmarkStart w:id="203" w:name="xdx_400_ecustom--StockIssuedDuringPeriod"/>
            <w:bookmarkEnd w:id="203"/>
          </w:p>
        </w:tc>
      </w:tr>
      <w:tr>
        <w:trPr/>
        <w:tc>
          <w:tcPr>
            <w:tcW w:w="4184" w:type="dxa"/>
            <w:tcBorders/>
            <w:shd w:fill="CCEEFF" w:val="clear"/>
            <w:vAlign w:val="center"/>
          </w:tcPr>
          <w:p>
            <w:pPr>
              <w:pStyle w:val="TableContents"/>
              <w:bidi w:val="0"/>
              <w:spacing w:before="0" w:after="283"/>
              <w:jc w:val="left"/>
              <w:rPr/>
            </w:pPr>
            <w:r>
              <w:rPr/>
              <w:t>Exercise of 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4" w:name="xdx_98C_ecustom--StockIssuedDuringPeriod"/>
            <w:bookmarkEnd w:id="204"/>
          </w:p>
        </w:tc>
        <w:tc>
          <w:tcPr>
            <w:tcW w:w="980" w:type="dxa"/>
            <w:tcBorders/>
            <w:shd w:fill="CCEEFF" w:val="clear"/>
            <w:vAlign w:val="center"/>
          </w:tcPr>
          <w:p>
            <w:pPr>
              <w:pStyle w:val="TableContents"/>
              <w:bidi w:val="0"/>
              <w:spacing w:before="0" w:after="283"/>
              <w:jc w:val="right"/>
              <w:rPr/>
            </w:pPr>
            <w:r>
              <w:rPr/>
              <w:t>7,219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747</w:t>
            </w:r>
          </w:p>
        </w:tc>
        <w:tc>
          <w:tcPr>
            <w:tcW w:w="112" w:type="dxa"/>
            <w:tcBorders/>
            <w:shd w:fill="CCEEFF" w:val="clear"/>
            <w:vAlign w:val="center"/>
          </w:tcPr>
          <w:p>
            <w:pPr>
              <w:pStyle w:val="TableContents"/>
              <w:bidi w:val="0"/>
              <w:spacing w:before="0" w:after="283"/>
              <w:ind w:left="0" w:right="0" w:hanging="10"/>
              <w:jc w:val="left"/>
              <w:rPr/>
            </w:pPr>
            <w:r>
              <w:rPr/>
              <w:t> </w:t>
            </w:r>
            <w:bookmarkStart w:id="205" w:name="xdx_40F_eus-gaap--StockIssuedDuringPerio"/>
            <w:bookmarkEnd w:id="205"/>
          </w:p>
        </w:tc>
      </w:tr>
      <w:tr>
        <w:trPr/>
        <w:tc>
          <w:tcPr>
            <w:tcW w:w="4184" w:type="dxa"/>
            <w:tcBorders/>
            <w:shd w:fill="FFFFFF" w:val="clear"/>
            <w:vAlign w:val="center"/>
          </w:tcPr>
          <w:p>
            <w:pPr>
              <w:pStyle w:val="TableContents"/>
              <w:bidi w:val="0"/>
              <w:spacing w:before="0" w:after="283"/>
              <w:jc w:val="left"/>
              <w:rPr/>
            </w:pPr>
            <w:r>
              <w:rPr/>
              <w:t>Exercise of investor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6" w:name="xdx_989_eus-gaap--StockIssuedDuringPerio"/>
            <w:bookmarkEnd w:id="206"/>
          </w:p>
        </w:tc>
        <w:tc>
          <w:tcPr>
            <w:tcW w:w="980" w:type="dxa"/>
            <w:tcBorders/>
            <w:shd w:fill="FFFFFF" w:val="clear"/>
            <w:vAlign w:val="center"/>
          </w:tcPr>
          <w:p>
            <w:pPr>
              <w:pStyle w:val="TableContents"/>
              <w:bidi w:val="0"/>
              <w:spacing w:before="0" w:after="283"/>
              <w:jc w:val="right"/>
              <w:rPr/>
            </w:pPr>
            <w:r>
              <w:rPr/>
              <w:t>30,345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546</w:t>
            </w:r>
          </w:p>
        </w:tc>
        <w:tc>
          <w:tcPr>
            <w:tcW w:w="112" w:type="dxa"/>
            <w:tcBorders/>
            <w:shd w:fill="FFFFFF" w:val="clear"/>
            <w:vAlign w:val="center"/>
          </w:tcPr>
          <w:p>
            <w:pPr>
              <w:pStyle w:val="TableContents"/>
              <w:bidi w:val="0"/>
              <w:spacing w:before="0" w:after="283"/>
              <w:ind w:left="0" w:right="0" w:hanging="10"/>
              <w:jc w:val="left"/>
              <w:rPr/>
            </w:pPr>
            <w:r>
              <w:rPr/>
              <w:t> </w:t>
            </w:r>
            <w:bookmarkStart w:id="207" w:name="xdx_40B_eus-gaap--StockIssuedDuringPerio"/>
            <w:bookmarkEnd w:id="207"/>
          </w:p>
        </w:tc>
      </w:tr>
      <w:tr>
        <w:trPr/>
        <w:tc>
          <w:tcPr>
            <w:tcW w:w="4184"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8" w:name="xdx_984_eus-gaap--StockIssuedDuringPerio"/>
            <w:bookmarkEnd w:id="208"/>
          </w:p>
        </w:tc>
        <w:tc>
          <w:tcPr>
            <w:tcW w:w="980" w:type="dxa"/>
            <w:tcBorders/>
            <w:shd w:fill="CCEEFF" w:val="clear"/>
            <w:vAlign w:val="center"/>
          </w:tcPr>
          <w:p>
            <w:pPr>
              <w:pStyle w:val="TableContents"/>
              <w:bidi w:val="0"/>
              <w:spacing w:before="0" w:after="283"/>
              <w:jc w:val="right"/>
              <w:rPr/>
            </w:pPr>
            <w:r>
              <w:rPr/>
              <w:t>341,036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13,246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13,246</w:t>
            </w:r>
          </w:p>
        </w:tc>
        <w:tc>
          <w:tcPr>
            <w:tcW w:w="112" w:type="dxa"/>
            <w:tcBorders/>
            <w:shd w:fill="CCEEFF" w:val="clear"/>
            <w:vAlign w:val="center"/>
          </w:tcPr>
          <w:p>
            <w:pPr>
              <w:pStyle w:val="TableContents"/>
              <w:bidi w:val="0"/>
              <w:spacing w:before="0" w:after="283"/>
              <w:ind w:left="0" w:right="0" w:hanging="10"/>
              <w:jc w:val="left"/>
              <w:rPr/>
            </w:pPr>
            <w:r>
              <w:rPr/>
              <w:t> </w:t>
            </w:r>
            <w:bookmarkStart w:id="209" w:name="xdx_407_ecustom--StockIssuedDuringPeriod"/>
            <w:bookmarkEnd w:id="209"/>
          </w:p>
        </w:tc>
      </w:tr>
      <w:tr>
        <w:trPr/>
        <w:tc>
          <w:tcPr>
            <w:tcW w:w="4184" w:type="dxa"/>
            <w:tcBorders/>
            <w:shd w:fill="FFFFFF" w:val="clear"/>
            <w:vAlign w:val="center"/>
          </w:tcPr>
          <w:p>
            <w:pPr>
              <w:pStyle w:val="TableContents"/>
              <w:bidi w:val="0"/>
              <w:spacing w:before="0" w:after="283"/>
              <w:jc w:val="left"/>
              <w:rPr/>
            </w:pPr>
            <w:r>
              <w:rPr/>
              <w:t xml:space="preserve">Shares issued for vested restricted stock units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0" w:name="xdx_983_ecustom--StockIssuedDuringPeriod"/>
            <w:bookmarkEnd w:id="210"/>
          </w:p>
        </w:tc>
        <w:tc>
          <w:tcPr>
            <w:tcW w:w="980" w:type="dxa"/>
            <w:tcBorders/>
            <w:shd w:fill="FFFFFF" w:val="clear"/>
            <w:vAlign w:val="center"/>
          </w:tcPr>
          <w:p>
            <w:pPr>
              <w:pStyle w:val="TableContents"/>
              <w:bidi w:val="0"/>
              <w:spacing w:before="0" w:after="283"/>
              <w:jc w:val="right"/>
              <w:rPr/>
            </w:pPr>
            <w:r>
              <w:rPr/>
              <w:t>71,334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0"/>
              <w:jc w:val="left"/>
              <w:rPr/>
            </w:pPr>
            <w:r>
              <w:rPr/>
              <w:t> </w:t>
            </w:r>
            <w:bookmarkStart w:id="211" w:name="xdx_405_eus-gaap--AdjustmentsToAdditiona"/>
            <w:bookmarkEnd w:id="211"/>
          </w:p>
        </w:tc>
      </w:tr>
      <w:tr>
        <w:trPr/>
        <w:tc>
          <w:tcPr>
            <w:tcW w:w="4184"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6,710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6,710</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0"/>
              <w:jc w:val="left"/>
              <w:rPr/>
            </w:pPr>
            <w:r>
              <w:rPr/>
              <w:t> </w:t>
            </w:r>
            <w:bookmarkStart w:id="212" w:name="xdx_437_c20240101__20241231_eus-gaap--St"/>
            <w:bookmarkEnd w:id="212"/>
          </w:p>
        </w:tc>
      </w:tr>
      <w:tr>
        <w:trPr/>
        <w:tc>
          <w:tcPr>
            <w:tcW w:w="4184" w:type="dxa"/>
            <w:tcBorders/>
            <w:shd w:fill="CCEEFF" w:val="clear"/>
            <w:vAlign w:val="center"/>
          </w:tcPr>
          <w:p>
            <w:pPr>
              <w:pStyle w:val="TableContents"/>
              <w:bidi w:val="0"/>
              <w:spacing w:before="0" w:after="283"/>
              <w:jc w:val="left"/>
              <w:rPr>
                <w:b/>
              </w:rPr>
            </w:pPr>
            <w:r>
              <w:rPr>
                <w:b/>
              </w:rPr>
              <w:t>Balance -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3_eus-gaap--SharesOutstanding_iS_p"/>
            <w:bookmarkEnd w:id="213"/>
          </w:p>
        </w:tc>
        <w:tc>
          <w:tcPr>
            <w:tcW w:w="980" w:type="dxa"/>
            <w:tcBorders/>
            <w:shd w:fill="CCEEFF" w:val="clear"/>
            <w:vAlign w:val="center"/>
          </w:tcPr>
          <w:p>
            <w:pPr>
              <w:pStyle w:val="TableContents"/>
              <w:bidi w:val="0"/>
              <w:spacing w:before="0" w:after="283"/>
              <w:jc w:val="right"/>
              <w:rPr/>
            </w:pPr>
            <w:r>
              <w:rPr/>
              <w:t>6,695,587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69,450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27,912</w:t>
            </w:r>
          </w:p>
        </w:tc>
        <w:tc>
          <w:tcPr>
            <w:tcW w:w="112" w:type="dxa"/>
            <w:tcBorders/>
            <w:shd w:fill="CCEEFF" w:val="clear"/>
            <w:vAlign w:val="center"/>
          </w:tcPr>
          <w:p>
            <w:pPr>
              <w:pStyle w:val="TableContents"/>
              <w:bidi w:val="0"/>
              <w:spacing w:before="0" w:after="283"/>
              <w:ind w:left="0" w:right="0" w:hanging="10"/>
              <w:jc w:val="left"/>
              <w:rPr/>
            </w:pPr>
            <w:r>
              <w:rPr/>
              <w:t> </w:t>
            </w:r>
            <w:bookmarkStart w:id="214" w:name="xdx_430_c20240101__20241231_eus-gaap--St"/>
            <w:bookmarkEnd w:id="214"/>
          </w:p>
        </w:tc>
      </w:tr>
      <w:tr>
        <w:trPr/>
        <w:tc>
          <w:tcPr>
            <w:tcW w:w="418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5" w:name="xdx_982_eus-gaap--SharesOutstanding_iS_p"/>
            <w:bookmarkEnd w:id="215"/>
          </w:p>
        </w:tc>
        <w:tc>
          <w:tcPr>
            <w:tcW w:w="980" w:type="dxa"/>
            <w:tcBorders/>
            <w:shd w:fill="CCEEFF" w:val="clear"/>
            <w:vAlign w:val="center"/>
          </w:tcPr>
          <w:p>
            <w:pPr>
              <w:pStyle w:val="TableContents"/>
              <w:bidi w:val="0"/>
              <w:spacing w:before="0" w:after="283"/>
              <w:jc w:val="right"/>
              <w:rPr/>
            </w:pPr>
            <w:r>
              <w:rPr/>
              <w:t>6,695,587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69,450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27,912</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0"/>
              <w:jc w:val="left"/>
              <w:rPr/>
            </w:pPr>
            <w:r>
              <w:rPr/>
              <w:t> </w:t>
            </w:r>
            <w:bookmarkStart w:id="216" w:name="xdx_40F_eus-gaap--NetIncomeLoss_pn3n3_zW"/>
            <w:bookmarkEnd w:id="216"/>
          </w:p>
        </w:tc>
      </w:tr>
      <w:tr>
        <w:trPr/>
        <w:tc>
          <w:tcPr>
            <w:tcW w:w="418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(40,615</w:t>
            </w:r>
          </w:p>
        </w:tc>
        <w:tc>
          <w:tcPr>
            <w:tcW w:w="112" w:type="dxa"/>
            <w:tcBorders/>
            <w:shd w:fill="CCEEFF" w:val="clear"/>
            <w:vAlign w:val="center"/>
          </w:tcPr>
          <w:p>
            <w:pPr>
              <w:pStyle w:val="TableContents"/>
              <w:bidi w:val="0"/>
              <w:spacing w:before="0" w:after="283"/>
              <w:ind w:left="0" w:right="0" w:hanging="10"/>
              <w:jc w:val="left"/>
              <w:rPr/>
            </w:pPr>
            <w:r>
              <w:rPr/>
              <w:t>)</w:t>
            </w:r>
            <w:bookmarkStart w:id="217" w:name="xdx_409_ecustom--StockIssuedDuringPeriod"/>
            <w:bookmarkEnd w:id="217"/>
          </w:p>
        </w:tc>
      </w:tr>
      <w:tr>
        <w:trPr/>
        <w:tc>
          <w:tcPr>
            <w:tcW w:w="4184" w:type="dxa"/>
            <w:tcBorders/>
            <w:shd w:fill="FFFFFF" w:val="clear"/>
            <w:vAlign w:val="center"/>
          </w:tcPr>
          <w:p>
            <w:pPr>
              <w:pStyle w:val="TableContents"/>
              <w:bidi w:val="0"/>
              <w:spacing w:before="0" w:after="283"/>
              <w:jc w:val="left"/>
              <w:rPr/>
            </w:pPr>
            <w:r>
              <w:rPr/>
              <w:t>Adjustment due to the rounding impact from the reverse stock split in lieu of issuing fractional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8" w:name="xdx_988_ecustom--StockIssuedDuringPeriod"/>
            <w:bookmarkEnd w:id="218"/>
          </w:p>
        </w:tc>
        <w:tc>
          <w:tcPr>
            <w:tcW w:w="980" w:type="dxa"/>
            <w:tcBorders/>
            <w:shd w:fill="FFFFFF" w:val="clear"/>
            <w:vAlign w:val="center"/>
          </w:tcPr>
          <w:p>
            <w:pPr>
              <w:pStyle w:val="TableContents"/>
              <w:bidi w:val="0"/>
              <w:spacing w:before="0" w:after="283"/>
              <w:jc w:val="right"/>
              <w:rPr/>
            </w:pPr>
            <w:r>
              <w:rPr/>
              <w:t>123,408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0"/>
              <w:jc w:val="left"/>
              <w:rPr/>
            </w:pPr>
            <w:r>
              <w:rPr/>
              <w:t> </w:t>
            </w:r>
            <w:bookmarkStart w:id="219" w:name="xdx_40C_eus-gaap--StockIssuedDuringPerio"/>
            <w:bookmarkEnd w:id="219"/>
          </w:p>
        </w:tc>
      </w:tr>
      <w:tr>
        <w:trPr/>
        <w:tc>
          <w:tcPr>
            <w:tcW w:w="4184" w:type="dxa"/>
            <w:tcBorders/>
            <w:shd w:fill="CCEEFF" w:val="clear"/>
            <w:vAlign w:val="center"/>
          </w:tcPr>
          <w:p>
            <w:pPr>
              <w:pStyle w:val="TableContents"/>
              <w:bidi w:val="0"/>
              <w:spacing w:before="0" w:after="283"/>
              <w:jc w:val="left"/>
              <w:rPr/>
            </w:pPr>
            <w:r>
              <w:rPr/>
              <w:t>Common stock issued in public offering (ATM), net of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0" w:name="xdx_98C_eus-gaap--StockIssuedDuringPerio"/>
            <w:bookmarkEnd w:id="220"/>
          </w:p>
        </w:tc>
        <w:tc>
          <w:tcPr>
            <w:tcW w:w="980" w:type="dxa"/>
            <w:tcBorders/>
            <w:shd w:fill="CCEEFF" w:val="clear"/>
            <w:vAlign w:val="center"/>
          </w:tcPr>
          <w:p>
            <w:pPr>
              <w:pStyle w:val="TableContents"/>
              <w:bidi w:val="0"/>
              <w:spacing w:before="0" w:after="283"/>
              <w:jc w:val="right"/>
              <w:rPr/>
            </w:pPr>
            <w:r>
              <w:rPr/>
              <w:t>350,423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2,025</w:t>
            </w:r>
          </w:p>
        </w:tc>
        <w:tc>
          <w:tcPr>
            <w:tcW w:w="112" w:type="dxa"/>
            <w:tcBorders/>
            <w:shd w:fill="CCEEFF" w:val="clear"/>
            <w:vAlign w:val="center"/>
          </w:tcPr>
          <w:p>
            <w:pPr>
              <w:pStyle w:val="TableContents"/>
              <w:bidi w:val="0"/>
              <w:spacing w:before="0" w:after="283"/>
              <w:ind w:left="0" w:right="0" w:hanging="10"/>
              <w:jc w:val="left"/>
              <w:rPr/>
            </w:pPr>
            <w:r>
              <w:rPr/>
              <w:t> </w:t>
            </w:r>
            <w:bookmarkStart w:id="221" w:name="xdx_406_eus-gaap--StockIssuedDuringPerio"/>
            <w:bookmarkEnd w:id="221"/>
          </w:p>
        </w:tc>
      </w:tr>
      <w:tr>
        <w:trPr/>
        <w:tc>
          <w:tcPr>
            <w:tcW w:w="4184" w:type="dxa"/>
            <w:tcBorders/>
            <w:shd w:fill="FFFFFF" w:val="clear"/>
            <w:vAlign w:val="center"/>
          </w:tcPr>
          <w:p>
            <w:pPr>
              <w:pStyle w:val="TableContents"/>
              <w:bidi w:val="0"/>
              <w:spacing w:before="0" w:after="283"/>
              <w:jc w:val="left"/>
              <w:rPr/>
            </w:pPr>
            <w:r>
              <w:rPr/>
              <w:t>Share issuance under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2" w:name="xdx_984_eus-gaap--StockIssuedDuringPerio"/>
            <w:bookmarkEnd w:id="222"/>
          </w:p>
        </w:tc>
        <w:tc>
          <w:tcPr>
            <w:tcW w:w="980" w:type="dxa"/>
            <w:tcBorders/>
            <w:shd w:fill="FFFFFF" w:val="clear"/>
            <w:vAlign w:val="center"/>
          </w:tcPr>
          <w:p>
            <w:pPr>
              <w:pStyle w:val="TableContents"/>
              <w:bidi w:val="0"/>
              <w:spacing w:before="0" w:after="283"/>
              <w:jc w:val="right"/>
              <w:rPr/>
            </w:pPr>
            <w:r>
              <w:rPr/>
              <w:t>61,178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250</w:t>
            </w:r>
          </w:p>
        </w:tc>
        <w:tc>
          <w:tcPr>
            <w:tcW w:w="112" w:type="dxa"/>
            <w:tcBorders/>
            <w:shd w:fill="FFFFFF" w:val="clear"/>
            <w:vAlign w:val="center"/>
          </w:tcPr>
          <w:p>
            <w:pPr>
              <w:pStyle w:val="TableContents"/>
              <w:bidi w:val="0"/>
              <w:spacing w:before="0" w:after="283"/>
              <w:ind w:left="0" w:right="0" w:hanging="10"/>
              <w:jc w:val="left"/>
              <w:rPr/>
            </w:pPr>
            <w:r>
              <w:rPr/>
              <w:t> </w:t>
            </w:r>
            <w:bookmarkStart w:id="223" w:name="xdx_40F_eus-gaap--StockIssuedDuringPerio"/>
            <w:bookmarkEnd w:id="223"/>
          </w:p>
        </w:tc>
      </w:tr>
      <w:tr>
        <w:trPr/>
        <w:tc>
          <w:tcPr>
            <w:tcW w:w="4184" w:type="dxa"/>
            <w:tcBorders/>
            <w:shd w:fill="CCEEFF" w:val="clear"/>
            <w:vAlign w:val="center"/>
          </w:tcPr>
          <w:p>
            <w:pPr>
              <w:pStyle w:val="TableContents"/>
              <w:bidi w:val="0"/>
              <w:spacing w:before="0" w:after="283"/>
              <w:jc w:val="left"/>
              <w:rPr/>
            </w:pPr>
            <w:r>
              <w:rPr/>
              <w:t>Share cancellation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4" w:name="xdx_985_eus-gaap--StockIssuedDuringPerio"/>
            <w:bookmarkEnd w:id="224"/>
          </w:p>
        </w:tc>
        <w:tc>
          <w:tcPr>
            <w:tcW w:w="980"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0"/>
              <w:jc w:val="left"/>
              <w:rPr/>
            </w:pPr>
            <w:r>
              <w:rPr/>
              <w:t> </w:t>
            </w:r>
            <w:bookmarkStart w:id="225" w:name="xdx_408_eus-gaap--StockIssuedDuringPerio"/>
            <w:bookmarkEnd w:id="225"/>
          </w:p>
        </w:tc>
      </w:tr>
      <w:tr>
        <w:trPr/>
        <w:tc>
          <w:tcPr>
            <w:tcW w:w="4184"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6" w:name="xdx_981_eus-gaap--StockIssuedDuringPerio"/>
            <w:bookmarkEnd w:id="226"/>
          </w:p>
        </w:tc>
        <w:tc>
          <w:tcPr>
            <w:tcW w:w="980" w:type="dxa"/>
            <w:tcBorders/>
            <w:shd w:fill="FFFFFF" w:val="cle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ind w:left="0" w:right="0" w:hanging="10"/>
              <w:jc w:val="left"/>
              <w:rPr/>
            </w:pPr>
            <w:r>
              <w:rPr/>
              <w:t> </w:t>
            </w:r>
            <w:bookmarkStart w:id="227" w:name="xdx_402_ecustom--StockIssuedDuringPeriod"/>
            <w:bookmarkEnd w:id="227"/>
          </w:p>
        </w:tc>
      </w:tr>
      <w:tr>
        <w:trPr/>
        <w:tc>
          <w:tcPr>
            <w:tcW w:w="4184" w:type="dxa"/>
            <w:tcBorders/>
            <w:shd w:fill="CCEEFF" w:val="clear"/>
            <w:vAlign w:val="center"/>
          </w:tcPr>
          <w:p>
            <w:pPr>
              <w:pStyle w:val="TableContents"/>
              <w:bidi w:val="0"/>
              <w:spacing w:before="0" w:after="283"/>
              <w:jc w:val="left"/>
              <w:rPr/>
            </w:pPr>
            <w:r>
              <w:rPr/>
              <w:t>Shares issued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8" w:name="xdx_985_ecustom--StockIssuedDuringPeriod"/>
            <w:bookmarkEnd w:id="228"/>
          </w:p>
        </w:tc>
        <w:tc>
          <w:tcPr>
            <w:tcW w:w="980" w:type="dxa"/>
            <w:tcBorders/>
            <w:shd w:fill="CCEEFF" w:val="clear"/>
            <w:vAlign w:val="center"/>
          </w:tcPr>
          <w:p>
            <w:pPr>
              <w:pStyle w:val="TableContents"/>
              <w:bidi w:val="0"/>
              <w:spacing w:before="0" w:after="283"/>
              <w:jc w:val="right"/>
              <w:rPr/>
            </w:pPr>
            <w:r>
              <w:rPr/>
              <w:t>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0"/>
              <w:jc w:val="left"/>
              <w:rPr/>
            </w:pPr>
            <w:r>
              <w:rPr/>
              <w:t> </w:t>
            </w:r>
            <w:bookmarkStart w:id="229" w:name="xdx_40C_eus-gaap--AdjustmentsToAdditiona"/>
            <w:bookmarkEnd w:id="229"/>
          </w:p>
        </w:tc>
      </w:tr>
      <w:tr>
        <w:trPr/>
        <w:tc>
          <w:tcPr>
            <w:tcW w:w="418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1,020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1,020</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0"/>
              <w:jc w:val="left"/>
              <w:rPr/>
            </w:pPr>
            <w:r>
              <w:rPr/>
              <w:t> </w:t>
            </w:r>
            <w:bookmarkStart w:id="230" w:name="xdx_43F_c20240101__20241231_eus-gaap--St"/>
            <w:bookmarkEnd w:id="230"/>
          </w:p>
        </w:tc>
      </w:tr>
      <w:tr>
        <w:trPr/>
        <w:tc>
          <w:tcPr>
            <w:tcW w:w="4184" w:type="dxa"/>
            <w:tcBorders/>
            <w:shd w:fill="FFFFFF" w:val="clear"/>
            <w:vAlign w:val="center"/>
          </w:tcPr>
          <w:p>
            <w:pPr>
              <w:pStyle w:val="TableContents"/>
              <w:bidi w:val="0"/>
              <w:spacing w:before="0" w:after="283"/>
              <w:jc w:val="left"/>
              <w:rPr>
                <w:b/>
              </w:rPr>
            </w:pPr>
            <w:r>
              <w:rPr>
                <w:b/>
              </w:rPr>
              <w:t>Balance -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1" w:name="xdx_980_eus-gaap--SharesOutstanding_iE_p"/>
            <w:bookmarkEnd w:id="23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7,232,650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pPr>
            <w:r>
              <w:rPr/>
              <w:t>72,749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pPr>
            <w:r>
              <w:rPr/>
              <w:t>(82154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(9,404</w:t>
            </w:r>
          </w:p>
        </w:tc>
        <w:tc>
          <w:tcPr>
            <w:tcW w:w="112" w:type="dxa"/>
            <w:tcBorders/>
            <w:shd w:fill="FFFFFF" w:val="clear"/>
            <w:vAlign w:val="center"/>
          </w:tcPr>
          <w:p>
            <w:pPr>
              <w:pStyle w:val="TableContents"/>
              <w:bidi w:val="0"/>
              <w:spacing w:before="0" w:after="283"/>
              <w:ind w:left="0" w:right="0" w:hanging="10"/>
              <w:jc w:val="left"/>
              <w:rPr/>
            </w:pPr>
            <w:r>
              <w:rPr/>
              <w:t>)</w:t>
            </w:r>
            <w:bookmarkStart w:id="232" w:name="xdx_437_c20240101__20241231_eus-gaap--St"/>
            <w:bookmarkEnd w:id="232"/>
          </w:p>
        </w:tc>
      </w:tr>
      <w:tr>
        <w:trPr/>
        <w:tc>
          <w:tcPr>
            <w:tcW w:w="4184"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3" w:name="xdx_98D_eus-gaap--SharesOutstanding_iE_p"/>
            <w:bookmarkEnd w:id="23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7,232,650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pPr>
            <w:r>
              <w:rPr/>
              <w:t>72,749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pPr>
            <w:r>
              <w:rPr/>
              <w:t>(82154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(9,404</w:t>
            </w:r>
          </w:p>
        </w:tc>
        <w:tc>
          <w:tcPr>
            <w:tcW w:w="112" w:type="dxa"/>
            <w:tcBorders/>
            <w:shd w:fill="FFFFFF" w:val="clear"/>
            <w:vAlign w:val="center"/>
          </w:tcPr>
          <w:p>
            <w:pPr>
              <w:pStyle w:val="TableContents"/>
              <w:bidi w:val="0"/>
              <w:spacing w:before="0" w:after="283"/>
              <w:jc w:val="left"/>
              <w:rPr/>
            </w:pPr>
            <w:r>
              <w:rPr/>
              <w:t>)</w:t>
            </w:r>
          </w:p>
        </w:tc>
      </w:tr>
    </w:tbl>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accompanying notes are an integral part of the consolidated financial statements. </w:t>
      </w:r>
    </w:p>
    <w:p>
      <w:pPr>
        <w:pStyle w:val="TextBody"/>
        <w:bidi w:val="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234" w:name="fin_05"/>
      <w:bookmarkEnd w:id="234"/>
      <w:r>
        <w:rPr>
          <w:rFonts w:ascii="Times New Roman;Times;Serif" w:hAnsi="Times New Roman;Times;Serif"/>
          <w:b/>
          <w:i w:val="false"/>
          <w:caps/>
          <w:sz w:val="20"/>
        </w:rPr>
        <w:t>Consolidated Statements of Cash Flows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2024 and 2023</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w:t>
      </w:r>
    </w:p>
    <w:p>
      <w:pPr>
        <w:pStyle w:val="TextBody"/>
        <w:bidi w:val="0"/>
        <w:ind w:left="10" w:right="0" w:hanging="1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5" w:name="xdx_309_112_pn3n3_z7ptQ9SXBKSb"/>
      <w:bookmarkStart w:id="236" w:name="xdx_309_112_pn3n3_z7ptQ9SXBKSb"/>
      <w:bookmarkEnd w:id="236"/>
    </w:p>
    <w:tbl>
      <w:tblPr>
        <w:tblW w:w="6680" w:type="dxa"/>
        <w:jc w:val="left"/>
        <w:tblInd w:w="0" w:type="dxa"/>
        <w:tblLayout w:type="fixed"/>
        <w:tblCellMar>
          <w:top w:w="0" w:type="dxa"/>
          <w:left w:w="0" w:type="dxa"/>
          <w:bottom w:w="0" w:type="dxa"/>
          <w:right w:w="0" w:type="dxa"/>
        </w:tblCellMar>
      </w:tblPr>
      <w:tblGrid>
        <w:gridCol w:w="4565"/>
        <w:gridCol w:w="60"/>
        <w:gridCol w:w="140"/>
        <w:gridCol w:w="755"/>
        <w:gridCol w:w="95"/>
        <w:gridCol w:w="60"/>
        <w:gridCol w:w="140"/>
        <w:gridCol w:w="755"/>
        <w:gridCol w:w="110"/>
      </w:tblGrid>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37" w:name="xdx_49B_20240101__20241231_ztmNzB56b9M7"/>
            <w:bookmarkEnd w:id="237"/>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8" w:name="xdx_491_20230101__20231231_zJdM2B4QNwK6"/>
            <w:bookmarkEnd w:id="238"/>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bookmarkStart w:id="239" w:name="xdx_400_eus-gaap--NetCashProvidedByUsedI"/>
            <w:bookmarkEnd w:id="239"/>
          </w:p>
        </w:tc>
      </w:tr>
      <w:tr>
        <w:trPr/>
        <w:tc>
          <w:tcPr>
            <w:tcW w:w="4565" w:type="dxa"/>
            <w:tcBorders/>
            <w:shd w:fill="CCEEFF" w:val="clear"/>
            <w:vAlign w:val="center"/>
          </w:tcPr>
          <w:p>
            <w:pPr>
              <w:pStyle w:val="TableContents"/>
              <w:bidi w:val="0"/>
              <w:spacing w:before="0" w:after="283"/>
              <w:jc w:val="both"/>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240" w:name="xdx_403_eus-gaap--NetIncomeLoss_i01_maNC"/>
            <w:bookmarkEnd w:id="240"/>
          </w:p>
        </w:tc>
      </w:tr>
      <w:tr>
        <w:trPr/>
        <w:tc>
          <w:tcPr>
            <w:tcW w:w="4565"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(13,817</w:t>
            </w:r>
          </w:p>
        </w:tc>
        <w:tc>
          <w:tcPr>
            <w:tcW w:w="110" w:type="dxa"/>
            <w:tcBorders/>
            <w:shd w:fill="FFFFFF" w:val="clear"/>
            <w:vAlign w:val="center"/>
          </w:tcPr>
          <w:p>
            <w:pPr>
              <w:pStyle w:val="TableContents"/>
              <w:bidi w:val="0"/>
              <w:spacing w:before="0" w:after="283"/>
              <w:ind w:left="0" w:right="0" w:hanging="10"/>
              <w:jc w:val="left"/>
              <w:rPr/>
            </w:pPr>
            <w:r>
              <w:rPr/>
              <w:t>)</w:t>
            </w:r>
            <w:bookmarkStart w:id="241" w:name="xdx_400_eus-gaap--AdjustmentsToReconcile"/>
            <w:bookmarkEnd w:id="241"/>
          </w:p>
        </w:tc>
      </w:tr>
      <w:tr>
        <w:trPr/>
        <w:tc>
          <w:tcPr>
            <w:tcW w:w="4565" w:type="dxa"/>
            <w:tcBorders/>
            <w:shd w:fill="CCEEFF" w:val="clear"/>
            <w:vAlign w:val="center"/>
          </w:tcPr>
          <w:p>
            <w:pPr>
              <w:pStyle w:val="TableContents"/>
              <w:bidi w:val="0"/>
              <w:spacing w:before="0" w:after="283"/>
              <w:jc w:val="both"/>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242" w:name="xdx_400_eus-gaap--ShareBasedCompensation"/>
            <w:bookmarkEnd w:id="242"/>
          </w:p>
        </w:tc>
      </w:tr>
      <w:tr>
        <w:trPr/>
        <w:tc>
          <w:tcPr>
            <w:tcW w:w="456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6,710</w:t>
            </w:r>
          </w:p>
        </w:tc>
        <w:tc>
          <w:tcPr>
            <w:tcW w:w="110" w:type="dxa"/>
            <w:tcBorders/>
            <w:shd w:fill="CCEEFF" w:val="clear"/>
            <w:vAlign w:val="center"/>
          </w:tcPr>
          <w:p>
            <w:pPr>
              <w:pStyle w:val="TableContents"/>
              <w:bidi w:val="0"/>
              <w:spacing w:before="0" w:after="283"/>
              <w:ind w:left="0" w:right="0" w:hanging="0"/>
              <w:jc w:val="left"/>
              <w:rPr/>
            </w:pPr>
            <w:r>
              <w:rPr/>
              <w:t> </w:t>
            </w:r>
            <w:bookmarkStart w:id="243" w:name="xdx_406_eus-gaap--AmortizationOfDebtDisc"/>
            <w:bookmarkEnd w:id="243"/>
          </w:p>
        </w:tc>
      </w:tr>
      <w:tr>
        <w:trPr/>
        <w:tc>
          <w:tcPr>
            <w:tcW w:w="456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1,470</w:t>
            </w:r>
          </w:p>
        </w:tc>
        <w:tc>
          <w:tcPr>
            <w:tcW w:w="110" w:type="dxa"/>
            <w:tcBorders/>
            <w:shd w:fill="FFFFFF" w:val="clear"/>
            <w:vAlign w:val="center"/>
          </w:tcPr>
          <w:p>
            <w:pPr>
              <w:pStyle w:val="TableContents"/>
              <w:bidi w:val="0"/>
              <w:spacing w:before="0" w:after="283"/>
              <w:ind w:left="0" w:right="0" w:hanging="0"/>
              <w:jc w:val="left"/>
              <w:rPr/>
            </w:pPr>
            <w:r>
              <w:rPr/>
              <w:t> </w:t>
            </w:r>
            <w:bookmarkStart w:id="244" w:name="xdx_407_eus-gaap--FairValueAdjustmentOfW"/>
            <w:bookmarkEnd w:id="244"/>
          </w:p>
        </w:tc>
      </w:tr>
      <w:tr>
        <w:trPr/>
        <w:tc>
          <w:tcPr>
            <w:tcW w:w="4565"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(29,582</w:t>
            </w:r>
          </w:p>
        </w:tc>
        <w:tc>
          <w:tcPr>
            <w:tcW w:w="110" w:type="dxa"/>
            <w:tcBorders/>
            <w:shd w:fill="CCEEFF" w:val="clear"/>
            <w:vAlign w:val="center"/>
          </w:tcPr>
          <w:p>
            <w:pPr>
              <w:pStyle w:val="TableContents"/>
              <w:bidi w:val="0"/>
              <w:spacing w:before="0" w:after="283"/>
              <w:ind w:left="0" w:right="0" w:hanging="0"/>
              <w:jc w:val="left"/>
              <w:rPr/>
            </w:pPr>
            <w:r>
              <w:rPr/>
              <w:t>)</w:t>
            </w:r>
            <w:bookmarkStart w:id="245" w:name="xdx_401_ecustom--NoncashInterestExpenseP"/>
            <w:bookmarkEnd w:id="245"/>
          </w:p>
        </w:tc>
      </w:tr>
      <w:tr>
        <w:trPr/>
        <w:tc>
          <w:tcPr>
            <w:tcW w:w="4565" w:type="dxa"/>
            <w:tcBorders/>
            <w:shd w:fill="FFFFFF" w:val="clear"/>
            <w:vAlign w:val="center"/>
          </w:tcPr>
          <w:p>
            <w:pPr>
              <w:pStyle w:val="TableContents"/>
              <w:bidi w:val="0"/>
              <w:spacing w:before="0" w:after="283"/>
              <w:jc w:val="left"/>
              <w:rPr/>
            </w:pPr>
            <w:r>
              <w:rPr/>
              <w:t>Non-cash interest expense (paid-in 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4,938</w:t>
            </w:r>
          </w:p>
        </w:tc>
        <w:tc>
          <w:tcPr>
            <w:tcW w:w="110" w:type="dxa"/>
            <w:tcBorders/>
            <w:shd w:fill="FFFFFF" w:val="clear"/>
            <w:vAlign w:val="center"/>
          </w:tcPr>
          <w:p>
            <w:pPr>
              <w:pStyle w:val="TableContents"/>
              <w:bidi w:val="0"/>
              <w:spacing w:before="0" w:after="283"/>
              <w:ind w:left="0" w:right="0" w:hanging="0"/>
              <w:jc w:val="left"/>
              <w:rPr/>
            </w:pPr>
            <w:r>
              <w:rPr/>
              <w:t> </w:t>
            </w:r>
            <w:bookmarkStart w:id="246" w:name="xdx_409_eus-gaap--ProvisionForDoubtfulAc"/>
            <w:bookmarkEnd w:id="246"/>
          </w:p>
        </w:tc>
      </w:tr>
      <w:tr>
        <w:trPr/>
        <w:tc>
          <w:tcPr>
            <w:tcW w:w="4565"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ind w:left="0" w:right="0" w:hanging="0"/>
              <w:jc w:val="left"/>
              <w:rPr/>
            </w:pPr>
            <w:r>
              <w:rPr/>
              <w:t> </w:t>
            </w:r>
            <w:bookmarkStart w:id="247" w:name="xdx_404_eus-gaap--DepreciationDepletionA"/>
            <w:bookmarkEnd w:id="247"/>
          </w:p>
        </w:tc>
      </w:tr>
      <w:tr>
        <w:trPr/>
        <w:tc>
          <w:tcPr>
            <w:tcW w:w="456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ind w:left="0" w:right="0" w:hanging="0"/>
              <w:jc w:val="left"/>
              <w:rPr/>
            </w:pPr>
            <w:r>
              <w:rPr/>
              <w:t> </w:t>
            </w:r>
            <w:bookmarkStart w:id="248" w:name="xdx_406_eus-gaap--OperatingLeaseRightOfU"/>
            <w:bookmarkEnd w:id="248"/>
          </w:p>
        </w:tc>
      </w:tr>
      <w:tr>
        <w:trPr/>
        <w:tc>
          <w:tcPr>
            <w:tcW w:w="4565" w:type="dxa"/>
            <w:tcBorders/>
            <w:shd w:fill="CCEEFF" w:val="clear"/>
            <w:vAlign w:val="center"/>
          </w:tcPr>
          <w:p>
            <w:pPr>
              <w:pStyle w:val="TableContents"/>
              <w:bidi w:val="0"/>
              <w:spacing w:before="0" w:after="283"/>
              <w:jc w:val="left"/>
              <w:rPr/>
            </w:pPr>
            <w:r>
              <w:rPr/>
              <w:t>Amortization of right of use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1,179</w:t>
            </w:r>
          </w:p>
        </w:tc>
        <w:tc>
          <w:tcPr>
            <w:tcW w:w="110" w:type="dxa"/>
            <w:tcBorders/>
            <w:shd w:fill="CCEEFF" w:val="clear"/>
            <w:vAlign w:val="center"/>
          </w:tcPr>
          <w:p>
            <w:pPr>
              <w:pStyle w:val="TableContents"/>
              <w:bidi w:val="0"/>
              <w:spacing w:before="0" w:after="283"/>
              <w:ind w:left="0" w:right="0" w:hanging="0"/>
              <w:jc w:val="left"/>
              <w:rPr/>
            </w:pPr>
            <w:r>
              <w:rPr/>
              <w:t> </w:t>
            </w:r>
            <w:bookmarkStart w:id="249" w:name="xdx_403_eus-gaap--GainLossOnSaleOfProper"/>
            <w:bookmarkEnd w:id="249"/>
          </w:p>
        </w:tc>
      </w:tr>
      <w:tr>
        <w:trPr/>
        <w:tc>
          <w:tcPr>
            <w:tcW w:w="4565"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ind w:left="0" w:right="0" w:hanging="0"/>
              <w:jc w:val="left"/>
              <w:rPr/>
            </w:pPr>
            <w:r>
              <w:rPr/>
              <w:t> </w:t>
            </w:r>
            <w:bookmarkStart w:id="250" w:name="xdx_403_eus-gaap--GainLossOnSalesOfAsset"/>
            <w:bookmarkEnd w:id="250"/>
          </w:p>
        </w:tc>
      </w:tr>
      <w:tr>
        <w:trPr/>
        <w:tc>
          <w:tcPr>
            <w:tcW w:w="4565" w:type="dxa"/>
            <w:tcBorders/>
            <w:shd w:fill="CCEEFF" w:val="clear"/>
            <w:vAlign w:val="center"/>
          </w:tcPr>
          <w:p>
            <w:pPr>
              <w:pStyle w:val="TableContents"/>
              <w:bidi w:val="0"/>
              <w:spacing w:before="0" w:after="283"/>
              <w:jc w:val="left"/>
              <w:rPr/>
            </w:pPr>
            <w:r>
              <w:rPr/>
              <w:t>Loss on impairment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251" w:name="xdx_408_eus-gaap--GainLossOnSaleOfOtherA"/>
            <w:bookmarkEnd w:id="251"/>
          </w:p>
        </w:tc>
      </w:tr>
      <w:tr>
        <w:trPr/>
        <w:tc>
          <w:tcPr>
            <w:tcW w:w="4565" w:type="dxa"/>
            <w:tcBorders/>
            <w:shd w:fill="FFFFFF" w:val="clear"/>
            <w:vAlign w:val="center"/>
          </w:tcPr>
          <w:p>
            <w:pPr>
              <w:pStyle w:val="TableContents"/>
              <w:bidi w:val="0"/>
              <w:spacing w:before="0" w:after="283"/>
              <w:jc w:val="left"/>
              <w:rPr/>
            </w:pPr>
            <w:r>
              <w:rPr/>
              <w:t>Write-off of 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596</w:t>
            </w:r>
          </w:p>
        </w:tc>
        <w:tc>
          <w:tcPr>
            <w:tcW w:w="110" w:type="dxa"/>
            <w:tcBorders/>
            <w:shd w:fill="FFFFFF" w:val="clear"/>
            <w:vAlign w:val="center"/>
          </w:tcPr>
          <w:p>
            <w:pPr>
              <w:pStyle w:val="TableContents"/>
              <w:bidi w:val="0"/>
              <w:spacing w:before="0" w:after="283"/>
              <w:ind w:left="0" w:right="0" w:hanging="10"/>
              <w:jc w:val="left"/>
              <w:rPr/>
            </w:pPr>
            <w:r>
              <w:rPr/>
              <w:t> </w:t>
            </w:r>
            <w:bookmarkStart w:id="252" w:name="xdx_40A_eus-gaap--IncreaseDecreaseInOper"/>
            <w:bookmarkEnd w:id="252"/>
          </w:p>
        </w:tc>
      </w:tr>
      <w:tr>
        <w:trPr/>
        <w:tc>
          <w:tcPr>
            <w:tcW w:w="4565" w:type="dxa"/>
            <w:tcBorders/>
            <w:shd w:fill="CCEEFF" w:val="clear"/>
            <w:vAlign w:val="center"/>
          </w:tcPr>
          <w:p>
            <w:pPr>
              <w:pStyle w:val="TableContents"/>
              <w:bidi w:val="0"/>
              <w:spacing w:before="0" w:after="283"/>
              <w:jc w:val="both"/>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253" w:name="xdx_40D_eus-gaap--IncreaseDecreaseInAcco"/>
            <w:bookmarkEnd w:id="253"/>
          </w:p>
        </w:tc>
      </w:tr>
      <w:tr>
        <w:trPr/>
        <w:tc>
          <w:tcPr>
            <w:tcW w:w="4565"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(309</w:t>
            </w:r>
          </w:p>
        </w:tc>
        <w:tc>
          <w:tcPr>
            <w:tcW w:w="110" w:type="dxa"/>
            <w:tcBorders/>
            <w:shd w:fill="FFFFFF" w:val="clear"/>
            <w:vAlign w:val="center"/>
          </w:tcPr>
          <w:p>
            <w:pPr>
              <w:pStyle w:val="TableContents"/>
              <w:bidi w:val="0"/>
              <w:spacing w:before="0" w:after="283"/>
              <w:ind w:left="0" w:right="0" w:hanging="10"/>
              <w:jc w:val="left"/>
              <w:rPr/>
            </w:pPr>
            <w:r>
              <w:rPr/>
              <w:t>)</w:t>
            </w:r>
            <w:bookmarkStart w:id="254" w:name="xdx_40A_eus-gaap--IncreaseDecreaseInInve"/>
            <w:bookmarkEnd w:id="254"/>
          </w:p>
        </w:tc>
      </w:tr>
      <w:tr>
        <w:trPr/>
        <w:tc>
          <w:tcPr>
            <w:tcW w:w="4565"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11,411</w:t>
            </w:r>
          </w:p>
        </w:tc>
        <w:tc>
          <w:tcPr>
            <w:tcW w:w="110" w:type="dxa"/>
            <w:tcBorders/>
            <w:shd w:fill="CCEEFF" w:val="clear"/>
            <w:vAlign w:val="center"/>
          </w:tcPr>
          <w:p>
            <w:pPr>
              <w:pStyle w:val="TableContents"/>
              <w:bidi w:val="0"/>
              <w:spacing w:before="0" w:after="283"/>
              <w:ind w:left="0" w:right="0" w:hanging="10"/>
              <w:jc w:val="left"/>
              <w:rPr/>
            </w:pPr>
            <w:r>
              <w:rPr/>
              <w:t> </w:t>
            </w:r>
            <w:bookmarkStart w:id="255" w:name="xdx_405_eus-gaap--IncreaseDecreaseInPrep"/>
            <w:bookmarkEnd w:id="255"/>
          </w:p>
        </w:tc>
      </w:tr>
      <w:tr>
        <w:trPr/>
        <w:tc>
          <w:tcPr>
            <w:tcW w:w="4565" w:type="dxa"/>
            <w:tcBorders/>
            <w:shd w:fill="FFFFFF" w:val="clear"/>
            <w:vAlign w:val="center"/>
          </w:tcPr>
          <w:p>
            <w:pPr>
              <w:pStyle w:val="TableContents"/>
              <w:bidi w:val="0"/>
              <w:spacing w:before="0" w:after="283"/>
              <w:jc w:val="both"/>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852</w:t>
            </w:r>
          </w:p>
        </w:tc>
        <w:tc>
          <w:tcPr>
            <w:tcW w:w="110" w:type="dxa"/>
            <w:tcBorders/>
            <w:shd w:fill="FFFFFF" w:val="clear"/>
            <w:vAlign w:val="center"/>
          </w:tcPr>
          <w:p>
            <w:pPr>
              <w:pStyle w:val="TableContents"/>
              <w:bidi w:val="0"/>
              <w:spacing w:before="0" w:after="283"/>
              <w:ind w:left="0" w:right="0" w:hanging="10"/>
              <w:jc w:val="left"/>
              <w:rPr/>
            </w:pPr>
            <w:r>
              <w:rPr/>
              <w:t> </w:t>
            </w:r>
            <w:bookmarkStart w:id="256" w:name="xdx_40D_ecustom--IncreaseDecreaseInPrepa"/>
            <w:bookmarkEnd w:id="256"/>
          </w:p>
        </w:tc>
      </w:tr>
      <w:tr>
        <w:trPr/>
        <w:tc>
          <w:tcPr>
            <w:tcW w:w="4565" w:type="dxa"/>
            <w:tcBorders/>
            <w:shd w:fill="CCEEFF" w:val="clear"/>
            <w:vAlign w:val="center"/>
          </w:tcPr>
          <w:p>
            <w:pPr>
              <w:pStyle w:val="TableContents"/>
              <w:bidi w:val="0"/>
              <w:spacing w:before="0" w:after="283"/>
              <w:jc w:val="both"/>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ind w:left="0" w:right="0" w:hanging="10"/>
              <w:jc w:val="left"/>
              <w:rPr/>
            </w:pPr>
            <w:r>
              <w:rPr/>
              <w:t> </w:t>
            </w:r>
            <w:bookmarkStart w:id="257" w:name="xdx_407_eus-gaap--IncreaseDecreaseInOthe"/>
            <w:bookmarkEnd w:id="257"/>
          </w:p>
        </w:tc>
      </w:tr>
      <w:tr>
        <w:trPr/>
        <w:tc>
          <w:tcPr>
            <w:tcW w:w="4565" w:type="dxa"/>
            <w:tcBorders/>
            <w:shd w:fill="FFFFFF" w:val="clear"/>
            <w:vAlign w:val="center"/>
          </w:tcPr>
          <w:p>
            <w:pPr>
              <w:pStyle w:val="TableContents"/>
              <w:bidi w:val="0"/>
              <w:spacing w:before="0" w:after="283"/>
              <w:jc w:val="both"/>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w:t>
            </w:r>
          </w:p>
        </w:tc>
        <w:tc>
          <w:tcPr>
            <w:tcW w:w="110" w:type="dxa"/>
            <w:tcBorders/>
            <w:shd w:fill="FFFFFF" w:val="clear"/>
            <w:vAlign w:val="center"/>
          </w:tcPr>
          <w:p>
            <w:pPr>
              <w:pStyle w:val="TableContents"/>
              <w:bidi w:val="0"/>
              <w:spacing w:before="0" w:after="283"/>
              <w:ind w:left="0" w:right="0" w:hanging="10"/>
              <w:jc w:val="left"/>
              <w:rPr/>
            </w:pPr>
            <w:r>
              <w:rPr/>
              <w:t> </w:t>
            </w:r>
            <w:bookmarkStart w:id="258" w:name="xdx_409_eus-gaap--IncreaseDecreaseInOthe"/>
            <w:bookmarkEnd w:id="258"/>
          </w:p>
        </w:tc>
      </w:tr>
      <w:tr>
        <w:trPr/>
        <w:tc>
          <w:tcPr>
            <w:tcW w:w="4565" w:type="dxa"/>
            <w:tcBorders/>
            <w:shd w:fill="CCEEFF" w:val="clear"/>
            <w:vAlign w:val="center"/>
          </w:tcPr>
          <w:p>
            <w:pPr>
              <w:pStyle w:val="TableContents"/>
              <w:bidi w:val="0"/>
              <w:spacing w:before="0" w:after="283"/>
              <w:jc w:val="both"/>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ind w:left="0" w:right="0" w:hanging="10"/>
              <w:jc w:val="left"/>
              <w:rPr/>
            </w:pPr>
            <w:r>
              <w:rPr/>
              <w:t> </w:t>
            </w:r>
            <w:bookmarkStart w:id="259" w:name="xdx_400_eus-gaap--IncreaseDecreaseInAccr"/>
            <w:bookmarkEnd w:id="259"/>
          </w:p>
        </w:tc>
      </w:tr>
      <w:tr>
        <w:trPr/>
        <w:tc>
          <w:tcPr>
            <w:tcW w:w="4565" w:type="dxa"/>
            <w:tcBorders/>
            <w:shd w:fill="FFFFFF" w:val="clear"/>
            <w:vAlign w:val="center"/>
          </w:tcPr>
          <w:p>
            <w:pPr>
              <w:pStyle w:val="TableContents"/>
              <w:bidi w:val="0"/>
              <w:spacing w:before="0" w:after="283"/>
              <w:jc w:val="both"/>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ind w:left="0" w:right="0" w:hanging="10"/>
              <w:jc w:val="left"/>
              <w:rPr/>
            </w:pPr>
            <w:r>
              <w:rPr/>
              <w:t> </w:t>
            </w:r>
            <w:bookmarkStart w:id="260" w:name="xdx_402_eus-gaap--IncreaseDecreaseInAcco"/>
            <w:bookmarkEnd w:id="260"/>
          </w:p>
        </w:tc>
      </w:tr>
      <w:tr>
        <w:trPr/>
        <w:tc>
          <w:tcPr>
            <w:tcW w:w="4565" w:type="dxa"/>
            <w:tcBorders/>
            <w:shd w:fill="CCEEFF" w:val="clear"/>
            <w:vAlign w:val="center"/>
          </w:tcPr>
          <w:p>
            <w:pPr>
              <w:pStyle w:val="TableContents"/>
              <w:bidi w:val="0"/>
              <w:spacing w:before="0" w:after="283"/>
              <w:jc w:val="both"/>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(3,527</w:t>
            </w:r>
          </w:p>
        </w:tc>
        <w:tc>
          <w:tcPr>
            <w:tcW w:w="110" w:type="dxa"/>
            <w:tcBorders/>
            <w:shd w:fill="CCEEFF" w:val="clear"/>
            <w:vAlign w:val="center"/>
          </w:tcPr>
          <w:p>
            <w:pPr>
              <w:pStyle w:val="TableContents"/>
              <w:bidi w:val="0"/>
              <w:spacing w:before="0" w:after="283"/>
              <w:ind w:left="0" w:right="0" w:hanging="10"/>
              <w:jc w:val="left"/>
              <w:rPr/>
            </w:pPr>
            <w:r>
              <w:rPr/>
              <w:t>)</w:t>
            </w:r>
            <w:bookmarkStart w:id="261" w:name="xdx_405_ecustom--IncreaseDecreaseInAccru"/>
            <w:bookmarkEnd w:id="261"/>
          </w:p>
        </w:tc>
      </w:tr>
      <w:tr>
        <w:trPr/>
        <w:tc>
          <w:tcPr>
            <w:tcW w:w="4565" w:type="dxa"/>
            <w:tcBorders/>
            <w:shd w:fill="FFFFFF" w:val="clear"/>
            <w:vAlign w:val="center"/>
          </w:tcPr>
          <w:p>
            <w:pPr>
              <w:pStyle w:val="TableContents"/>
              <w:bidi w:val="0"/>
              <w:spacing w:before="0" w:after="283"/>
              <w:jc w:val="both"/>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781</w:t>
            </w:r>
          </w:p>
        </w:tc>
        <w:tc>
          <w:tcPr>
            <w:tcW w:w="110" w:type="dxa"/>
            <w:tcBorders/>
            <w:shd w:fill="FFFFFF" w:val="clear"/>
            <w:vAlign w:val="center"/>
          </w:tcPr>
          <w:p>
            <w:pPr>
              <w:pStyle w:val="TableContents"/>
              <w:bidi w:val="0"/>
              <w:spacing w:before="0" w:after="283"/>
              <w:ind w:left="0" w:right="0" w:hanging="10"/>
              <w:jc w:val="left"/>
              <w:rPr/>
            </w:pPr>
            <w:r>
              <w:rPr/>
              <w:t> </w:t>
            </w:r>
            <w:bookmarkStart w:id="262" w:name="xdx_409_ecustom--IncreaseDecreaseInAccru"/>
            <w:bookmarkEnd w:id="262"/>
          </w:p>
        </w:tc>
      </w:tr>
      <w:tr>
        <w:trPr/>
        <w:tc>
          <w:tcPr>
            <w:tcW w:w="4565" w:type="dxa"/>
            <w:tcBorders/>
            <w:shd w:fill="CCEEFF" w:val="clear"/>
            <w:vAlign w:val="center"/>
          </w:tcPr>
          <w:p>
            <w:pPr>
              <w:pStyle w:val="TableContents"/>
              <w:bidi w:val="0"/>
              <w:spacing w:before="0" w:after="283"/>
              <w:jc w:val="both"/>
              <w:rPr/>
            </w:pPr>
            <w:r>
              <w:rPr/>
              <w:t>Accrued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bookmarkStart w:id="263" w:name="xdx_407_eus-gaap--IncreaseDecreaseInDefe"/>
            <w:bookmarkEnd w:id="263"/>
          </w:p>
        </w:tc>
      </w:tr>
      <w:tr>
        <w:trPr/>
        <w:tc>
          <w:tcPr>
            <w:tcW w:w="4565"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bookmarkStart w:id="264" w:name="xdx_409_ecustom--IncreaseDecreaseInUnrec"/>
            <w:bookmarkEnd w:id="264"/>
          </w:p>
        </w:tc>
      </w:tr>
      <w:tr>
        <w:trPr/>
        <w:tc>
          <w:tcPr>
            <w:tcW w:w="4565" w:type="dxa"/>
            <w:tcBorders/>
            <w:shd w:fill="CCEEFF" w:val="clear"/>
            <w:vAlign w:val="center"/>
          </w:tcPr>
          <w:p>
            <w:pPr>
              <w:pStyle w:val="TableContents"/>
              <w:bidi w:val="0"/>
              <w:spacing w:before="0" w:after="283"/>
              <w:jc w:val="both"/>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ind w:left="0" w:right="0" w:hanging="10"/>
              <w:jc w:val="left"/>
              <w:rPr/>
            </w:pPr>
            <w:r>
              <w:rPr/>
              <w:t>)</w:t>
            </w:r>
            <w:bookmarkStart w:id="265" w:name="xdx_40B_eus-gaap--IncreaseDecreaseInCont"/>
            <w:bookmarkEnd w:id="265"/>
          </w:p>
        </w:tc>
      </w:tr>
      <w:tr>
        <w:trPr/>
        <w:tc>
          <w:tcPr>
            <w:tcW w:w="4565" w:type="dxa"/>
            <w:tcBorders/>
            <w:shd w:fill="FFFFFF" w:val="clear"/>
            <w:vAlign w:val="center"/>
          </w:tcPr>
          <w:p>
            <w:pPr>
              <w:pStyle w:val="TableContents"/>
              <w:bidi w:val="0"/>
              <w:spacing w:before="0" w:after="283"/>
              <w:jc w:val="both"/>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ind w:left="0" w:right="0" w:hanging="0"/>
              <w:jc w:val="left"/>
              <w:rPr/>
            </w:pPr>
            <w:r>
              <w:rPr/>
              <w:t>)</w:t>
            </w:r>
            <w:bookmarkStart w:id="266" w:name="xdx_401_eus-gaap--AdjustmentsToReconcile"/>
            <w:bookmarkEnd w:id="266"/>
          </w:p>
        </w:tc>
      </w:tr>
      <w:tr>
        <w:trPr/>
        <w:tc>
          <w:tcPr>
            <w:tcW w:w="4565"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(3,889</w:t>
            </w:r>
          </w:p>
        </w:tc>
        <w:tc>
          <w:tcPr>
            <w:tcW w:w="110" w:type="dxa"/>
            <w:tcBorders/>
            <w:shd w:fill="CCEEFF" w:val="clear"/>
            <w:vAlign w:val="center"/>
          </w:tcPr>
          <w:p>
            <w:pPr>
              <w:pStyle w:val="TableContents"/>
              <w:bidi w:val="0"/>
              <w:spacing w:before="0" w:after="283"/>
              <w:ind w:left="0" w:right="0" w:hanging="0"/>
              <w:jc w:val="left"/>
              <w:rPr/>
            </w:pPr>
            <w:r>
              <w:rPr/>
              <w:t>)</w:t>
            </w:r>
            <w:bookmarkStart w:id="267" w:name="xdx_405_eus-gaap--NetCashProvidedByUsedI"/>
            <w:bookmarkEnd w:id="267"/>
          </w:p>
        </w:tc>
      </w:tr>
      <w:tr>
        <w:trPr/>
        <w:tc>
          <w:tcPr>
            <w:tcW w:w="456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(17,706</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45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268" w:name="xdx_40B_eus-gaap--NetCashProvidedByUsedI"/>
            <w:bookmarkEnd w:id="268"/>
          </w:p>
        </w:tc>
      </w:tr>
      <w:tr>
        <w:trPr/>
        <w:tc>
          <w:tcPr>
            <w:tcW w:w="4565" w:type="dxa"/>
            <w:tcBorders/>
            <w:shd w:fill="FFFFFF" w:val="clear"/>
            <w:vAlign w:val="center"/>
          </w:tcPr>
          <w:p>
            <w:pPr>
              <w:pStyle w:val="TableContents"/>
              <w:bidi w:val="0"/>
              <w:spacing w:before="0" w:after="283"/>
              <w:jc w:val="both"/>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269" w:name="xdx_404_eus-gaap--ProceedsFromSaleOfProp"/>
            <w:bookmarkEnd w:id="269"/>
          </w:p>
        </w:tc>
      </w:tr>
      <w:tr>
        <w:trPr/>
        <w:tc>
          <w:tcPr>
            <w:tcW w:w="4565"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bookmarkStart w:id="270" w:name="xdx_408_eus-gaap--PaymentsToAcquirePrope"/>
            <w:bookmarkEnd w:id="270"/>
          </w:p>
        </w:tc>
      </w:tr>
      <w:tr>
        <w:trPr/>
        <w:tc>
          <w:tcPr>
            <w:tcW w:w="4565" w:type="dxa"/>
            <w:tcBorders/>
            <w:shd w:fill="FFFFFF" w:val="clear"/>
            <w:vAlign w:val="center"/>
          </w:tcPr>
          <w:p>
            <w:pPr>
              <w:pStyle w:val="TableContents"/>
              <w:bidi w:val="0"/>
              <w:spacing w:before="0" w:after="283"/>
              <w:jc w:val="both"/>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(6,885</w:t>
            </w:r>
          </w:p>
        </w:tc>
        <w:tc>
          <w:tcPr>
            <w:tcW w:w="110" w:type="dxa"/>
            <w:tcBorders/>
            <w:shd w:fill="FFFFFF" w:val="clear"/>
            <w:vAlign w:val="center"/>
          </w:tcPr>
          <w:p>
            <w:pPr>
              <w:pStyle w:val="TableContents"/>
              <w:bidi w:val="0"/>
              <w:spacing w:before="0" w:after="283"/>
              <w:ind w:left="0" w:right="0" w:hanging="0"/>
              <w:jc w:val="left"/>
              <w:rPr/>
            </w:pPr>
            <w:r>
              <w:rPr/>
              <w:t>)</w:t>
            </w:r>
            <w:bookmarkStart w:id="271" w:name="xdx_40E_eus-gaap--NetCashProvidedByUsedI"/>
            <w:bookmarkEnd w:id="271"/>
          </w:p>
        </w:tc>
      </w:tr>
      <w:tr>
        <w:trPr/>
        <w:tc>
          <w:tcPr>
            <w:tcW w:w="456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(2,729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(6,885</w:t>
            </w:r>
          </w:p>
        </w:tc>
        <w:tc>
          <w:tcPr>
            <w:tcW w:w="110" w:type="dxa"/>
            <w:tcBorders/>
            <w:shd w:fill="CCEEFF" w:val="clear"/>
            <w:vAlign w:val="center"/>
          </w:tcPr>
          <w:p>
            <w:pPr>
              <w:pStyle w:val="TableContents"/>
              <w:bidi w:val="0"/>
              <w:spacing w:before="0" w:after="283"/>
              <w:jc w:val="left"/>
              <w:rPr/>
            </w:pPr>
            <w:r>
              <w:rPr/>
              <w:t>)</w:t>
            </w:r>
          </w:p>
        </w:tc>
      </w:tr>
    </w:tbl>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accompanying notes are an integral part of the consolidated financial statements. </w:t>
      </w:r>
    </w:p>
    <w:p>
      <w:pPr>
        <w:pStyle w:val="TextBody"/>
        <w:bidi w:val="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Cash Flows (continued)</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2024 and 2023</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w:t>
      </w:r>
    </w:p>
    <w:p>
      <w:pPr>
        <w:pStyle w:val="TextBody"/>
        <w:bidi w:val="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40"/>
        <w:gridCol w:w="60"/>
        <w:gridCol w:w="140"/>
        <w:gridCol w:w="680"/>
        <w:gridCol w:w="95"/>
        <w:gridCol w:w="60"/>
        <w:gridCol w:w="140"/>
        <w:gridCol w:w="680"/>
        <w:gridCol w:w="110"/>
      </w:tblGrid>
      <w:tr>
        <w:trPr/>
        <w:tc>
          <w:tcPr>
            <w:tcW w:w="8240" w:type="dxa"/>
            <w:tcBorders/>
            <w:vAlign w:val="center"/>
          </w:tcPr>
          <w:p>
            <w:pPr>
              <w:pStyle w:val="TableContents"/>
              <w:bidi w:val="0"/>
              <w:spacing w:before="0" w:after="283"/>
              <w:jc w:val="both"/>
              <w:rPr/>
            </w:pPr>
            <w:r>
              <w:rPr/>
              <w:t>(continued from previous page)</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bookmarkStart w:id="272" w:name="xdx_405_eus-gaap--NetCashProvidedByUsedI"/>
            <w:bookmarkEnd w:id="272"/>
          </w:p>
        </w:tc>
      </w:tr>
      <w:tr>
        <w:trPr/>
        <w:tc>
          <w:tcPr>
            <w:tcW w:w="8240" w:type="dxa"/>
            <w:tcBorders/>
            <w:shd w:fill="CCEEFF" w:val="clear"/>
            <w:vAlign w:val="center"/>
          </w:tcPr>
          <w:p>
            <w:pPr>
              <w:pStyle w:val="TableContents"/>
              <w:bidi w:val="0"/>
              <w:spacing w:before="0" w:after="283"/>
              <w:jc w:val="both"/>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273" w:name="xdx_40A_eus-gaap--ProceedsFromIssuanceIn"/>
            <w:bookmarkEnd w:id="273"/>
          </w:p>
        </w:tc>
      </w:tr>
      <w:tr>
        <w:trPr/>
        <w:tc>
          <w:tcPr>
            <w:tcW w:w="8240" w:type="dxa"/>
            <w:tcBorders/>
            <w:shd w:fill="FFFFFF" w:val="clear"/>
            <w:vAlign w:val="center"/>
          </w:tcPr>
          <w:p>
            <w:pPr>
              <w:pStyle w:val="TableContents"/>
              <w:bidi w:val="0"/>
              <w:spacing w:before="0" w:after="283"/>
              <w:jc w:val="both"/>
              <w:rPr/>
            </w:pPr>
            <w:r>
              <w:rPr/>
              <w:t>Proceeds from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21,646</w:t>
            </w:r>
          </w:p>
        </w:tc>
        <w:tc>
          <w:tcPr>
            <w:tcW w:w="110" w:type="dxa"/>
            <w:tcBorders/>
            <w:shd w:fill="FFFFFF" w:val="clear"/>
            <w:vAlign w:val="center"/>
          </w:tcPr>
          <w:p>
            <w:pPr>
              <w:pStyle w:val="TableContents"/>
              <w:bidi w:val="0"/>
              <w:spacing w:before="0" w:after="283"/>
              <w:ind w:left="0" w:right="0" w:hanging="10"/>
              <w:jc w:val="left"/>
              <w:rPr/>
            </w:pPr>
            <w:r>
              <w:rPr/>
              <w:t> </w:t>
            </w:r>
            <w:bookmarkStart w:id="274" w:name="xdx_40E_ecustom--ProceedsFromIssuanceIni"/>
            <w:bookmarkEnd w:id="274"/>
          </w:p>
        </w:tc>
      </w:tr>
      <w:tr>
        <w:trPr/>
        <w:tc>
          <w:tcPr>
            <w:tcW w:w="8240" w:type="dxa"/>
            <w:tcBorders/>
            <w:shd w:fill="CCEEFF" w:val="clear"/>
            <w:vAlign w:val="center"/>
          </w:tcPr>
          <w:p>
            <w:pPr>
              <w:pStyle w:val="TableContents"/>
              <w:bidi w:val="0"/>
              <w:spacing w:before="0" w:after="283"/>
              <w:jc w:val="both"/>
              <w:rPr/>
            </w:pPr>
            <w:r>
              <w:rPr/>
              <w:t>Proceeds from public offering (ATM),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1,273</w:t>
            </w:r>
          </w:p>
        </w:tc>
        <w:tc>
          <w:tcPr>
            <w:tcW w:w="110" w:type="dxa"/>
            <w:tcBorders/>
            <w:shd w:fill="CCEEFF" w:val="clear"/>
            <w:vAlign w:val="center"/>
          </w:tcPr>
          <w:p>
            <w:pPr>
              <w:pStyle w:val="TableContents"/>
              <w:bidi w:val="0"/>
              <w:spacing w:before="0" w:after="283"/>
              <w:ind w:left="0" w:right="0" w:hanging="10"/>
              <w:jc w:val="left"/>
              <w:rPr/>
            </w:pPr>
            <w:r>
              <w:rPr/>
              <w:t> </w:t>
            </w:r>
            <w:bookmarkStart w:id="275" w:name="xdx_409_eus-gaap--ProceedsFromNotesPayab"/>
            <w:bookmarkEnd w:id="275"/>
          </w:p>
        </w:tc>
      </w:tr>
      <w:tr>
        <w:trPr/>
        <w:tc>
          <w:tcPr>
            <w:tcW w:w="8240" w:type="dxa"/>
            <w:tcBorders/>
            <w:shd w:fill="FFFFFF" w:val="clear"/>
            <w:vAlign w:val="center"/>
          </w:tcPr>
          <w:p>
            <w:pPr>
              <w:pStyle w:val="TableContents"/>
              <w:bidi w:val="0"/>
              <w:spacing w:before="0" w:after="283"/>
              <w:jc w:val="both"/>
              <w:rPr/>
            </w:pPr>
            <w:r>
              <w:rPr/>
              <w:t>Proceeds from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0"/>
              <w:jc w:val="left"/>
              <w:rPr/>
            </w:pPr>
            <w:r>
              <w:rPr/>
              <w:t> </w:t>
            </w:r>
            <w:bookmarkStart w:id="276" w:name="xdx_403_eus-gaap--RepaymentsOfNotesPayab"/>
            <w:bookmarkEnd w:id="276"/>
          </w:p>
        </w:tc>
      </w:tr>
      <w:tr>
        <w:trPr/>
        <w:tc>
          <w:tcPr>
            <w:tcW w:w="8240" w:type="dxa"/>
            <w:tcBorders/>
            <w:shd w:fill="CCEEFF" w:val="clear"/>
            <w:vAlign w:val="center"/>
          </w:tcPr>
          <w:p>
            <w:pPr>
              <w:pStyle w:val="TableContents"/>
              <w:bidi w:val="0"/>
              <w:spacing w:before="0" w:after="283"/>
              <w:jc w:val="both"/>
              <w:rPr/>
            </w:pPr>
            <w:r>
              <w:rPr/>
              <w:t>Repayment of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ind w:left="0" w:right="0" w:hanging="10"/>
              <w:jc w:val="left"/>
              <w:rPr/>
            </w:pPr>
            <w:r>
              <w:rPr/>
              <w:t>)</w:t>
            </w:r>
            <w:bookmarkStart w:id="277" w:name="xdx_406_ecustom--RepaymentsOfNotesPayabl"/>
            <w:bookmarkEnd w:id="277"/>
          </w:p>
        </w:tc>
      </w:tr>
      <w:tr>
        <w:trPr/>
        <w:tc>
          <w:tcPr>
            <w:tcW w:w="8240" w:type="dxa"/>
            <w:tcBorders/>
            <w:shd w:fill="FFFFFF" w:val="clear"/>
            <w:vAlign w:val="center"/>
          </w:tcPr>
          <w:p>
            <w:pPr>
              <w:pStyle w:val="TableContents"/>
              <w:bidi w:val="0"/>
              <w:spacing w:before="0" w:after="283"/>
              <w:jc w:val="both"/>
              <w:rPr/>
            </w:pPr>
            <w:r>
              <w:rPr/>
              <w:t>Repayment of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(5,275</w:t>
            </w:r>
          </w:p>
        </w:tc>
        <w:tc>
          <w:tcPr>
            <w:tcW w:w="110" w:type="dxa"/>
            <w:tcBorders/>
            <w:shd w:fill="FFFFFF" w:val="clear"/>
            <w:vAlign w:val="center"/>
          </w:tcPr>
          <w:p>
            <w:pPr>
              <w:pStyle w:val="TableContents"/>
              <w:bidi w:val="0"/>
              <w:spacing w:before="0" w:after="283"/>
              <w:ind w:left="0" w:right="0" w:hanging="10"/>
              <w:jc w:val="left"/>
              <w:rPr/>
            </w:pPr>
            <w:r>
              <w:rPr/>
              <w:t>)</w:t>
            </w:r>
            <w:bookmarkStart w:id="278" w:name="xdx_406_eus-gaap--ProceedsFromWarrantExe"/>
            <w:bookmarkEnd w:id="278"/>
          </w:p>
        </w:tc>
      </w:tr>
      <w:tr>
        <w:trPr/>
        <w:tc>
          <w:tcPr>
            <w:tcW w:w="8240" w:type="dxa"/>
            <w:tcBorders/>
            <w:shd w:fill="CCEEFF" w:val="clear"/>
            <w:vAlign w:val="center"/>
          </w:tcPr>
          <w:p>
            <w:pPr>
              <w:pStyle w:val="TableContents"/>
              <w:bidi w:val="0"/>
              <w:spacing w:before="0" w:after="283"/>
              <w:jc w:val="both"/>
              <w:rPr/>
            </w:pPr>
            <w:r>
              <w:rPr/>
              <w:t>Proceeds from exercise of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747</w:t>
            </w:r>
          </w:p>
        </w:tc>
        <w:tc>
          <w:tcPr>
            <w:tcW w:w="110" w:type="dxa"/>
            <w:tcBorders/>
            <w:shd w:fill="CCEEFF" w:val="clear"/>
            <w:vAlign w:val="center"/>
          </w:tcPr>
          <w:p>
            <w:pPr>
              <w:pStyle w:val="TableContents"/>
              <w:bidi w:val="0"/>
              <w:spacing w:before="0" w:after="283"/>
              <w:ind w:left="0" w:right="0" w:hanging="10"/>
              <w:jc w:val="left"/>
              <w:rPr/>
            </w:pPr>
            <w:r>
              <w:rPr/>
              <w:t> </w:t>
            </w:r>
            <w:bookmarkStart w:id="279" w:name="xdx_403_eus-gaap--ProceedsFromStockOptio"/>
            <w:bookmarkEnd w:id="279"/>
          </w:p>
        </w:tc>
      </w:tr>
      <w:tr>
        <w:trPr/>
        <w:tc>
          <w:tcPr>
            <w:tcW w:w="8240" w:type="dxa"/>
            <w:tcBorders/>
            <w:shd w:fill="FFFFFF" w:val="clear"/>
            <w:vAlign w:val="center"/>
          </w:tcPr>
          <w:p>
            <w:pPr>
              <w:pStyle w:val="TableContents"/>
              <w:bidi w:val="0"/>
              <w:spacing w:before="0" w:after="283"/>
              <w:jc w:val="both"/>
              <w:rPr/>
            </w:pPr>
            <w:r>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586</w:t>
            </w:r>
          </w:p>
        </w:tc>
        <w:tc>
          <w:tcPr>
            <w:tcW w:w="110" w:type="dxa"/>
            <w:tcBorders/>
            <w:shd w:fill="FFFFFF" w:val="clear"/>
            <w:vAlign w:val="center"/>
          </w:tcPr>
          <w:p>
            <w:pPr>
              <w:pStyle w:val="TableContents"/>
              <w:bidi w:val="0"/>
              <w:spacing w:before="0" w:after="283"/>
              <w:ind w:left="0" w:right="0" w:hanging="10"/>
              <w:jc w:val="left"/>
              <w:rPr/>
            </w:pPr>
            <w:r>
              <w:rPr/>
              <w:t> </w:t>
            </w:r>
            <w:bookmarkStart w:id="280" w:name="xdx_40C_ecustom--ProceedsFromExerciseOfI"/>
            <w:bookmarkEnd w:id="280"/>
          </w:p>
        </w:tc>
      </w:tr>
      <w:tr>
        <w:trPr/>
        <w:tc>
          <w:tcPr>
            <w:tcW w:w="8240" w:type="dxa"/>
            <w:tcBorders/>
            <w:shd w:fill="CCEEFF" w:val="clear"/>
            <w:vAlign w:val="center"/>
          </w:tcPr>
          <w:p>
            <w:pPr>
              <w:pStyle w:val="TableContents"/>
              <w:bidi w:val="0"/>
              <w:spacing w:before="0" w:after="283"/>
              <w:jc w:val="both"/>
              <w:rPr/>
            </w:pPr>
            <w:r>
              <w:rPr/>
              <w:t>Proceeds from exercise of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546</w:t>
            </w:r>
          </w:p>
        </w:tc>
        <w:tc>
          <w:tcPr>
            <w:tcW w:w="110" w:type="dxa"/>
            <w:tcBorders/>
            <w:shd w:fill="CCEEFF" w:val="clear"/>
            <w:vAlign w:val="center"/>
          </w:tcPr>
          <w:p>
            <w:pPr>
              <w:pStyle w:val="TableContents"/>
              <w:bidi w:val="0"/>
              <w:spacing w:before="0" w:after="283"/>
              <w:ind w:left="0" w:right="0" w:hanging="0"/>
              <w:jc w:val="left"/>
              <w:rPr/>
            </w:pPr>
            <w:r>
              <w:rPr/>
              <w:t> </w:t>
            </w:r>
            <w:bookmarkStart w:id="281" w:name="xdx_409_eus-gaap--NetCashProvidedByUsedI"/>
            <w:bookmarkEnd w:id="281"/>
          </w:p>
        </w:tc>
      </w:tr>
      <w:tr>
        <w:trPr/>
        <w:tc>
          <w:tcPr>
            <w:tcW w:w="824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19,523</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282" w:name="xdx_40B_eus-gaap--CashCashEquivalentsRes"/>
            <w:bookmarkEnd w:id="282"/>
          </w:p>
        </w:tc>
      </w:tr>
      <w:tr>
        <w:trPr/>
        <w:tc>
          <w:tcPr>
            <w:tcW w:w="8240" w:type="dxa"/>
            <w:tcBorders/>
            <w:shd w:fill="FFFFFF" w:val="clear"/>
            <w:vAlign w:val="center"/>
          </w:tcPr>
          <w:p>
            <w:pPr>
              <w:pStyle w:val="TableContents"/>
              <w:bidi w:val="0"/>
              <w:spacing w:before="0" w:after="283"/>
              <w:jc w:val="both"/>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(5,068</w:t>
            </w:r>
          </w:p>
        </w:tc>
        <w:tc>
          <w:tcPr>
            <w:tcW w:w="110" w:type="dxa"/>
            <w:tcBorders/>
            <w:shd w:fill="FFFFFF" w:val="clear"/>
            <w:vAlign w:val="center"/>
          </w:tcPr>
          <w:p>
            <w:pPr>
              <w:pStyle w:val="TableContents"/>
              <w:bidi w:val="0"/>
              <w:spacing w:before="0" w:after="283"/>
              <w:ind w:left="0" w:right="0" w:hanging="10"/>
              <w:jc w:val="left"/>
              <w:rPr/>
            </w:pPr>
            <w:r>
              <w:rPr/>
              <w:t>)</w:t>
            </w:r>
            <w:bookmarkStart w:id="283" w:name="xdx_407_eus-gaap--CashCashEquivalentsRes"/>
            <w:bookmarkEnd w:id="283"/>
          </w:p>
        </w:tc>
      </w:tr>
      <w:tr>
        <w:trPr/>
        <w:tc>
          <w:tcPr>
            <w:tcW w:w="8240" w:type="dxa"/>
            <w:tcBorders/>
            <w:shd w:fill="CCEEFF" w:val="clear"/>
            <w:vAlign w:val="center"/>
          </w:tcPr>
          <w:p>
            <w:pPr>
              <w:pStyle w:val="TableContents"/>
              <w:bidi w:val="0"/>
              <w:spacing w:before="0" w:after="283"/>
              <w:jc w:val="both"/>
              <w:rPr/>
            </w:pPr>
            <w:r>
              <w:rPr/>
              <w:t>Beginning Cash and cash equivalents -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17,781</w:t>
            </w:r>
          </w:p>
        </w:tc>
        <w:tc>
          <w:tcPr>
            <w:tcW w:w="110" w:type="dxa"/>
            <w:tcBorders/>
            <w:shd w:fill="CCEEFF" w:val="clear"/>
            <w:vAlign w:val="center"/>
          </w:tcPr>
          <w:p>
            <w:pPr>
              <w:pStyle w:val="TableContents"/>
              <w:bidi w:val="0"/>
              <w:spacing w:before="0" w:after="283"/>
              <w:ind w:left="0" w:right="0" w:hanging="10"/>
              <w:jc w:val="left"/>
              <w:rPr/>
            </w:pPr>
            <w:r>
              <w:rPr/>
              <w:t> </w:t>
            </w:r>
            <w:bookmarkStart w:id="284" w:name="xdx_407_eus-gaap--CashCashEquivalentsRes"/>
            <w:bookmarkEnd w:id="284"/>
          </w:p>
        </w:tc>
      </w:tr>
      <w:tr>
        <w:trPr/>
        <w:tc>
          <w:tcPr>
            <w:tcW w:w="8240" w:type="dxa"/>
            <w:tcBorders/>
            <w:shd w:fill="FFFFFF" w:val="clear"/>
            <w:vAlign w:val="center"/>
          </w:tcPr>
          <w:p>
            <w:pPr>
              <w:pStyle w:val="TableContents"/>
              <w:bidi w:val="0"/>
              <w:spacing w:before="0" w:after="283"/>
              <w:jc w:val="both"/>
              <w:rPr/>
            </w:pPr>
            <w:r>
              <w:rPr/>
              <w:t>Ending Cash and cash equivalents -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12,713</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285" w:name="xdx_400_eus-gaap--SupplementalCashFlowIn"/>
            <w:bookmarkEnd w:id="285"/>
          </w:p>
        </w:tc>
      </w:tr>
      <w:tr>
        <w:trPr/>
        <w:tc>
          <w:tcPr>
            <w:tcW w:w="8240" w:type="dxa"/>
            <w:tcBorders/>
            <w:shd w:fill="FFFFFF" w:val="clear"/>
            <w:vAlign w:val="center"/>
          </w:tcPr>
          <w:p>
            <w:pPr>
              <w:pStyle w:val="TableContents"/>
              <w:bidi w:val="0"/>
              <w:spacing w:before="0" w:after="283"/>
              <w:jc w:val="both"/>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286" w:name="xdx_407_eus-gaap--IncomeTaxesPaidNet_i01"/>
            <w:bookmarkEnd w:id="286"/>
          </w:p>
        </w:tc>
      </w:tr>
      <w:tr>
        <w:trPr/>
        <w:tc>
          <w:tcPr>
            <w:tcW w:w="824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238</w:t>
            </w:r>
          </w:p>
        </w:tc>
        <w:tc>
          <w:tcPr>
            <w:tcW w:w="110" w:type="dxa"/>
            <w:tcBorders/>
            <w:shd w:fill="CCEEFF" w:val="clear"/>
            <w:vAlign w:val="center"/>
          </w:tcPr>
          <w:p>
            <w:pPr>
              <w:pStyle w:val="TableContents"/>
              <w:bidi w:val="0"/>
              <w:spacing w:before="0" w:after="283"/>
              <w:ind w:left="0" w:right="0" w:hanging="0"/>
              <w:jc w:val="left"/>
              <w:rPr/>
            </w:pPr>
            <w:r>
              <w:rPr/>
              <w:t> </w:t>
            </w:r>
            <w:bookmarkStart w:id="287" w:name="xdx_409_eus-gaap--InterestPaidNet_i01_zW"/>
            <w:bookmarkEnd w:id="287"/>
          </w:p>
        </w:tc>
      </w:tr>
      <w:tr>
        <w:trPr/>
        <w:tc>
          <w:tcPr>
            <w:tcW w:w="824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9,102</w:t>
            </w:r>
          </w:p>
        </w:tc>
        <w:tc>
          <w:tcPr>
            <w:tcW w:w="110" w:type="dxa"/>
            <w:tcBorders/>
            <w:shd w:fill="FFFFFF" w:val="clear"/>
            <w:vAlign w:val="center"/>
          </w:tcPr>
          <w:p>
            <w:pPr>
              <w:pStyle w:val="TableContents"/>
              <w:bidi w:val="0"/>
              <w:spacing w:before="0" w:after="283"/>
              <w:ind w:left="0" w:right="0" w:hanging="10"/>
              <w:jc w:val="left"/>
              <w:rPr/>
            </w:pPr>
            <w:r>
              <w:rPr/>
              <w:t> </w:t>
            </w:r>
            <w:bookmarkStart w:id="288" w:name="xdx_401_eus-gaap--CashFlowNoncashInvesti"/>
            <w:bookmarkEnd w:id="288"/>
          </w:p>
        </w:tc>
      </w:tr>
      <w:tr>
        <w:trPr/>
        <w:tc>
          <w:tcPr>
            <w:tcW w:w="8240" w:type="dxa"/>
            <w:tcBorders/>
            <w:shd w:fill="CCEEFF" w:val="clear"/>
            <w:vAlign w:val="center"/>
          </w:tcPr>
          <w:p>
            <w:pPr>
              <w:pStyle w:val="TableContents"/>
              <w:bidi w:val="0"/>
              <w:spacing w:before="0" w:after="283"/>
              <w:jc w:val="both"/>
              <w:rPr/>
            </w:pPr>
            <w:r>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289" w:name="xdx_407_eus-gaap--CapitalExpendituresInc"/>
            <w:bookmarkEnd w:id="289"/>
          </w:p>
        </w:tc>
      </w:tr>
      <w:tr>
        <w:trPr/>
        <w:tc>
          <w:tcPr>
            <w:tcW w:w="824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ind w:left="0" w:right="0" w:hanging="0"/>
              <w:jc w:val="left"/>
              <w:rPr/>
            </w:pPr>
            <w:r>
              <w:rPr/>
              <w:t> </w:t>
            </w:r>
            <w:bookmarkStart w:id="290" w:name="xdx_40D_eus-gaap--RightOfUseAssetObtaine"/>
            <w:bookmarkEnd w:id="290"/>
          </w:p>
        </w:tc>
      </w:tr>
      <w:tr>
        <w:trPr/>
        <w:tc>
          <w:tcPr>
            <w:tcW w:w="8240" w:type="dxa"/>
            <w:tcBorders/>
            <w:shd w:fill="CCEE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291" w:name="xdx_401_ecustom--RecognitionOfLeaseholdI"/>
            <w:bookmarkEnd w:id="291"/>
          </w:p>
        </w:tc>
      </w:tr>
      <w:tr>
        <w:trPr/>
        <w:tc>
          <w:tcPr>
            <w:tcW w:w="8240" w:type="dxa"/>
            <w:tcBorders/>
            <w:shd w:fill="FFFFFF" w:val="clear"/>
            <w:vAlign w:val="center"/>
          </w:tcPr>
          <w:p>
            <w:pPr>
              <w:pStyle w:val="TableContents"/>
              <w:bidi w:val="0"/>
              <w:spacing w:before="0" w:after="283"/>
              <w:jc w:val="left"/>
              <w:rPr/>
            </w:pPr>
            <w:r>
              <w:rPr/>
              <w:t>Recognition of leasehold improvements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292" w:name="xdx_404_ecustom--RecognitionOfWarrantLia"/>
            <w:bookmarkEnd w:id="292"/>
          </w:p>
        </w:tc>
      </w:tr>
      <w:tr>
        <w:trPr/>
        <w:tc>
          <w:tcPr>
            <w:tcW w:w="8240" w:type="dxa"/>
            <w:tcBorders/>
            <w:shd w:fill="CCEEFF" w:val="clear"/>
            <w:vAlign w:val="center"/>
          </w:tcPr>
          <w:p>
            <w:pPr>
              <w:pStyle w:val="TableContents"/>
              <w:bidi w:val="0"/>
              <w:spacing w:before="0" w:after="283"/>
              <w:jc w:val="left"/>
              <w:rPr/>
            </w:pPr>
            <w:r>
              <w:rPr/>
              <w:t>Recognition of warrant liability -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13,762</w:t>
            </w:r>
          </w:p>
        </w:tc>
        <w:tc>
          <w:tcPr>
            <w:tcW w:w="110" w:type="dxa"/>
            <w:tcBorders/>
            <w:shd w:fill="CCEEFF" w:val="clear"/>
            <w:vAlign w:val="center"/>
          </w:tcPr>
          <w:p>
            <w:pPr>
              <w:pStyle w:val="TableContents"/>
              <w:bidi w:val="0"/>
              <w:spacing w:before="0" w:after="283"/>
              <w:ind w:left="0" w:right="0" w:hanging="0"/>
              <w:jc w:val="left"/>
              <w:rPr/>
            </w:pPr>
            <w:r>
              <w:rPr/>
              <w:t> </w:t>
            </w:r>
            <w:bookmarkStart w:id="293" w:name="xdx_404_ecustom--RecognitionOfWarrantLia"/>
            <w:bookmarkEnd w:id="293"/>
          </w:p>
        </w:tc>
      </w:tr>
      <w:tr>
        <w:trPr/>
        <w:tc>
          <w:tcPr>
            <w:tcW w:w="8240" w:type="dxa"/>
            <w:tcBorders/>
            <w:shd w:fill="FFFFFF" w:val="clear"/>
            <w:vAlign w:val="center"/>
          </w:tcPr>
          <w:p>
            <w:pPr>
              <w:pStyle w:val="TableContents"/>
              <w:bidi w:val="0"/>
              <w:spacing w:before="0" w:after="283"/>
              <w:jc w:val="left"/>
              <w:rPr/>
            </w:pPr>
            <w:r>
              <w:rPr/>
              <w:t>Recognition of warrant liability - Penny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7,354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698</w:t>
            </w:r>
          </w:p>
        </w:tc>
        <w:tc>
          <w:tcPr>
            <w:tcW w:w="110" w:type="dxa"/>
            <w:tcBorders/>
            <w:shd w:fill="FFFFFF" w:val="clear"/>
            <w:vAlign w:val="center"/>
          </w:tcPr>
          <w:p>
            <w:pPr>
              <w:pStyle w:val="TableContents"/>
              <w:bidi w:val="0"/>
              <w:spacing w:before="0" w:after="283"/>
              <w:ind w:left="0" w:right="0" w:hanging="0"/>
              <w:jc w:val="left"/>
              <w:rPr/>
            </w:pPr>
            <w:r>
              <w:rPr/>
              <w:t> </w:t>
            </w:r>
            <w:bookmarkStart w:id="294" w:name="xdx_401_ecustom--SettlementOfAccruedLiab"/>
            <w:bookmarkEnd w:id="294"/>
          </w:p>
        </w:tc>
      </w:tr>
      <w:tr>
        <w:trPr/>
        <w:tc>
          <w:tcPr>
            <w:tcW w:w="8240" w:type="dxa"/>
            <w:tcBorders/>
            <w:shd w:fill="CCEEFF" w:val="clear"/>
            <w:vAlign w:val="center"/>
          </w:tcPr>
          <w:p>
            <w:pPr>
              <w:pStyle w:val="TableContents"/>
              <w:bidi w:val="0"/>
              <w:spacing w:before="0" w:after="283"/>
              <w:jc w:val="left"/>
              <w:rPr/>
            </w:pPr>
            <w:r>
              <w:rPr/>
              <w:t>Settlement of accrued liability for employee stock purchase plan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295" w:name="xdx_401_ecustom--ReclassificationOfAsset"/>
            <w:bookmarkEnd w:id="295"/>
          </w:p>
        </w:tc>
      </w:tr>
      <w:tr>
        <w:trPr/>
        <w:tc>
          <w:tcPr>
            <w:tcW w:w="8240" w:type="dxa"/>
            <w:tcBorders/>
            <w:shd w:fill="FFFFFF" w:val="clear"/>
            <w:vAlign w:val="center"/>
          </w:tcPr>
          <w:p>
            <w:pPr>
              <w:pStyle w:val="TableContents"/>
              <w:bidi w:val="0"/>
              <w:spacing w:before="0" w:after="283"/>
              <w:jc w:val="left"/>
              <w:rPr/>
            </w:pPr>
            <w:r>
              <w:rPr/>
              <w:t>Reclassification of assets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296" w:name="xdx_409_ecustom--NoncashImpactOfCashExer"/>
            <w:bookmarkEnd w:id="296"/>
          </w:p>
        </w:tc>
      </w:tr>
      <w:tr>
        <w:trPr/>
        <w:tc>
          <w:tcPr>
            <w:tcW w:w="8240" w:type="dxa"/>
            <w:tcBorders/>
            <w:shd w:fill="CCEEFF" w:val="clear"/>
            <w:vAlign w:val="center"/>
          </w:tcPr>
          <w:p>
            <w:pPr>
              <w:pStyle w:val="TableContents"/>
              <w:bidi w:val="0"/>
              <w:spacing w:before="0" w:after="283"/>
              <w:jc w:val="left"/>
              <w:rPr/>
            </w:pPr>
            <w:r>
              <w:rPr/>
              <w:t>Non-cash impact of cash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617</w:t>
            </w:r>
          </w:p>
        </w:tc>
        <w:tc>
          <w:tcPr>
            <w:tcW w:w="110" w:type="dxa"/>
            <w:tcBorders/>
            <w:shd w:fill="CCEEFF" w:val="clear"/>
            <w:vAlign w:val="center"/>
          </w:tcPr>
          <w:p>
            <w:pPr>
              <w:pStyle w:val="TableContents"/>
              <w:bidi w:val="0"/>
              <w:spacing w:before="0" w:after="283"/>
              <w:ind w:left="0" w:right="0" w:hanging="0"/>
              <w:jc w:val="left"/>
              <w:rPr/>
            </w:pPr>
            <w:r>
              <w:rPr/>
              <w:t> </w:t>
            </w:r>
            <w:bookmarkStart w:id="297" w:name="xdx_407_ecustom--CashlessExerciseOfLiabi"/>
            <w:bookmarkEnd w:id="297"/>
          </w:p>
        </w:tc>
      </w:tr>
      <w:tr>
        <w:trPr/>
        <w:tc>
          <w:tcPr>
            <w:tcW w:w="8240" w:type="dxa"/>
            <w:tcBorders/>
            <w:shd w:fill="FFFFFF" w:val="clear"/>
            <w:vAlign w:val="center"/>
          </w:tcPr>
          <w:p>
            <w:pPr>
              <w:pStyle w:val="TableContents"/>
              <w:bidi w:val="0"/>
              <w:spacing w:before="0" w:after="283"/>
              <w:jc w:val="left"/>
              <w:rPr/>
            </w:pPr>
            <w:r>
              <w:rPr/>
              <w:t>Cashless exercise of liability 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12,629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ind w:left="10" w:right="0" w:hanging="1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298" w:name="fin_06"/>
      <w:bookmarkEnd w:id="298"/>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rPr>
      </w:pPr>
      <w:r>
        <w:rPr>
          <w:caps/>
        </w:rPr>
        <w:t> </w:t>
      </w:r>
    </w:p>
    <w:p>
      <w:pPr>
        <w:pStyle w:val="TextBody"/>
        <w:bidi w:val="0"/>
        <w:ind w:left="10" w:right="0" w:hanging="10"/>
        <w:jc w:val="both"/>
        <w:rPr>
          <w:rFonts w:ascii="Times New Roman;Times;Serif" w:hAnsi="Times New Roman;Times;Serif"/>
          <w:b/>
          <w:i w:val="false"/>
          <w:caps/>
          <w:sz w:val="20"/>
        </w:rPr>
      </w:pPr>
      <w:bookmarkStart w:id="299" w:name="xdx_80C_eus-gaap--NatureOfOperations_zDu"/>
      <w:bookmarkEnd w:id="299"/>
      <w:r>
        <w:rPr>
          <w:rFonts w:ascii="Times New Roman;Times;Serif" w:hAnsi="Times New Roman;Times;Serif"/>
          <w:b/>
          <w:i w:val="false"/>
          <w:caps/>
          <w:sz w:val="20"/>
        </w:rPr>
        <w:t xml:space="preserve">Note 1 - </w:t>
      </w:r>
      <w:bookmarkStart w:id="300" w:name="xdx_827_z6j4iniEjKZh"/>
      <w:bookmarkEnd w:id="300"/>
      <w:r>
        <w:rPr>
          <w:rFonts w:ascii="Times New Roman;Times;Serif" w:hAnsi="Times New Roman;Times;Serif"/>
          <w:b/>
          <w:i w:val="false"/>
          <w:caps/>
          <w:sz w:val="20"/>
        </w:rPr>
        <w:t>NATURE OF BUSINESS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Company changed its state of incorporation from the State of Delaware to the State of Nevada (the “Reincorporation”) pursuant to a plan of conversion dated March 30, 2023 (the “Plan of Conversion”). Pursuant to the Plan of Conversion, the issued and outstanding shares of common stock of the Company were automatically converted into common stock of the reincorporated company at the effective time of the Reincorporation.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29, 2023, the Company filed an amendment to the articles of incorporation with the State of Nevada, to increase the number of authorized shares of it common stock to </w:t>
      </w:r>
      <w:bookmarkStart w:id="301" w:name="xdx_901_eus-gaap--CommonStockSharesAutho"/>
      <w:bookmarkEnd w:id="301"/>
      <w:r>
        <w:rPr>
          <w:rFonts w:ascii="Times New Roman;Times;Serif" w:hAnsi="Times New Roman;Times;Serif"/>
          <w:b w:val="false"/>
          <w:i w:val="false"/>
          <w:caps w:val="false"/>
          <w:smallCaps w:val="false"/>
          <w:sz w:val="20"/>
        </w:rPr>
        <w:t>250,000,000 shares. The par value remained at $</w:t>
      </w:r>
      <w:bookmarkStart w:id="302" w:name="xdx_900_eus-gaap--CommonStockParOrStated"/>
      <w:bookmarkEnd w:id="302"/>
      <w:r>
        <w:rPr>
          <w:rFonts w:ascii="Times New Roman;Times;Serif" w:hAnsi="Times New Roman;Times;Serif"/>
          <w:b w:val="false"/>
          <w:i w:val="false"/>
          <w:caps w:val="false"/>
          <w:smallCaps w:val="false"/>
          <w:sz w:val="20"/>
        </w:rPr>
        <w:t>0.0001 per share.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12, 2024, the Company’s Board of Directors approved the implementation of a </w:t>
      </w:r>
      <w:bookmarkStart w:id="303" w:name="xdx_90B_eus-gaap--StockholdersEquityReve"/>
      <w:bookmarkEnd w:id="303"/>
      <w:r>
        <w:rPr>
          <w:rFonts w:ascii="Times New Roman;Times;Serif" w:hAnsi="Times New Roman;Times;Serif"/>
          <w:b w:val="false"/>
          <w:i w:val="false"/>
          <w:caps w:val="false"/>
          <w:smallCaps w:val="false"/>
          <w:sz w:val="20"/>
        </w:rPr>
        <w:t>1-for-9 reverse stock split of the Company’s common stock, par value $</w:t>
      </w:r>
      <w:bookmarkStart w:id="304" w:name="xdx_90B_eus-gaap--CommonStockParOrStated"/>
      <w:bookmarkEnd w:id="304"/>
      <w:r>
        <w:rPr>
          <w:rFonts w:ascii="Times New Roman;Times;Serif" w:hAnsi="Times New Roman;Times;Serif"/>
          <w:b w:val="false"/>
          <w:i w:val="false"/>
          <w:caps w:val="false"/>
          <w:smallCaps w:val="false"/>
          <w:sz w:val="20"/>
        </w:rPr>
        <w:t>0.0001 per share (“Common Stock”) and a corresponding proportional reduction in the number of common stock shares issued and outstanding. The reverse stock split was effected upon market open on November 22, 2024, (the “Effective Date”), and shares of Common Stock began trading on a split-adjusted basis as of market open on November 22, 2024.</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of Common Stock, stock option awards and per share amounts contained in the Consolidated Financial Statements and Notes have been retroactively adjusted to reflect the </w:t>
      </w:r>
      <w:bookmarkStart w:id="305" w:name="xdx_90B_eus-gaap--StockholdersEquityReve"/>
      <w:bookmarkEnd w:id="305"/>
      <w:r>
        <w:rPr>
          <w:rFonts w:ascii="Times New Roman;Times;Serif" w:hAnsi="Times New Roman;Times;Serif"/>
          <w:b w:val="false"/>
          <w:i w:val="false"/>
          <w:caps w:val="false"/>
          <w:smallCaps w:val="false"/>
          <w:sz w:val="20"/>
        </w:rPr>
        <w:t>1-for-9 reverse stock split.</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i w:val="false"/>
          <w:caps/>
          <w:sz w:val="20"/>
        </w:rPr>
      </w:pPr>
      <w:bookmarkStart w:id="306" w:name="xdx_80F_eus-gaap--SignificantAccountingP"/>
      <w:bookmarkEnd w:id="306"/>
      <w:r>
        <w:rPr>
          <w:rFonts w:ascii="Times New Roman;Times;Serif" w:hAnsi="Times New Roman;Times;Serif"/>
          <w:b/>
          <w:i w:val="false"/>
          <w:caps/>
          <w:sz w:val="20"/>
        </w:rPr>
        <w:t xml:space="preserve">Note 2 – </w:t>
      </w:r>
      <w:bookmarkStart w:id="307" w:name="xdx_82A_zTGP6e8gBvSi"/>
      <w:bookmarkEnd w:id="307"/>
      <w:r>
        <w:rPr>
          <w:rFonts w:ascii="Times New Roman;Times;Serif" w:hAnsi="Times New Roman;Times;Serif"/>
          <w:b/>
          <w:i w:val="false"/>
          <w:caps/>
          <w:sz w:val="20"/>
        </w:rPr>
        <w:t>SUMMARY OF SIGNIFICANT ACCOUNTING POLICIES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08" w:name="xdx_86E_zyM9QLQ1koYb"/>
      <w:bookmarkStart w:id="309" w:name="xdx_843_eus-gaap--BasisOfAccountingPolic"/>
      <w:bookmarkEnd w:id="308"/>
      <w:bookmarkEnd w:id="309"/>
      <w:r>
        <w:rPr>
          <w:rFonts w:ascii="Times New Roman;Times;Serif" w:hAnsi="Times New Roman;Times;Serif"/>
          <w:b w:val="false"/>
          <w:i/>
          <w:caps w:val="false"/>
          <w:smallCaps w:val="false"/>
          <w:sz w:val="20"/>
          <w:u w:val="single"/>
        </w:rPr>
        <w:t>Basis of presentation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10" w:name="xdx_86D_zFGohpMhfBJ5"/>
      <w:bookmarkStart w:id="311" w:name="xdx_848_eus-gaap--ConsolidationPolicyTex"/>
      <w:bookmarkEnd w:id="310"/>
      <w:bookmarkEnd w:id="311"/>
      <w:r>
        <w:rPr>
          <w:rFonts w:ascii="Times New Roman;Times;Serif" w:hAnsi="Times New Roman;Times;Serif"/>
          <w:b w:val="false"/>
          <w:i/>
          <w:caps w:val="false"/>
          <w:smallCaps w:val="false"/>
          <w:sz w:val="20"/>
          <w:u w:val="single"/>
        </w:rPr>
        <w:t>Principles of consolidation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in accordance with “U.S. GAAP” and present the consolidated financial statements of the Company and its wholly owned subsidiary. All significant intercompany transactions and balances are eliminated in consolidation.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12" w:name="xdx_86A_zCFEkmAxz6Va"/>
      <w:bookmarkStart w:id="313" w:name="xdx_840_ecustom--GoingConcernPolicyTextB"/>
      <w:bookmarkEnd w:id="312"/>
      <w:bookmarkEnd w:id="313"/>
      <w:r>
        <w:rPr>
          <w:rFonts w:ascii="Times New Roman;Times;Serif" w:hAnsi="Times New Roman;Times;Serif"/>
          <w:b w:val="false"/>
          <w:i/>
          <w:caps w:val="false"/>
          <w:smallCaps w:val="false"/>
          <w:sz w:val="20"/>
          <w:u w:val="single"/>
        </w:rPr>
        <w:t>Going Concern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pStyle w:val="TextBody"/>
        <w:bidi w:val="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rPr>
      </w:pPr>
      <w:r>
        <w:rPr>
          <w:caps/>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Going Concern (Continued)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Company incurred losses from operations and had negative cash flow from operations. As of December 31, 2024, the Company had $</w:t>
      </w:r>
      <w:bookmarkStart w:id="314" w:name="xdx_90F_eus-gaap--Cash_iI_pn3n3_c2024123"/>
      <w:bookmarkEnd w:id="314"/>
      <w:r>
        <w:rPr>
          <w:rFonts w:ascii="Times New Roman;Times;Serif" w:hAnsi="Times New Roman;Times;Serif"/>
          <w:b w:val="false"/>
          <w:i w:val="false"/>
          <w:caps w:val="false"/>
          <w:smallCaps w:val="false"/>
          <w:sz w:val="20"/>
        </w:rPr>
        <w:t>4,849 in cash and cash equivalents and a working capital of $</w:t>
      </w:r>
      <w:bookmarkStart w:id="315" w:name="xdx_905_ecustom--WorkingCapital_pn3n3_c2"/>
      <w:bookmarkEnd w:id="315"/>
      <w:r>
        <w:rPr>
          <w:rFonts w:ascii="Times New Roman;Times;Serif" w:hAnsi="Times New Roman;Times;Serif"/>
          <w:b w:val="false"/>
          <w:i w:val="false"/>
          <w:caps w:val="false"/>
          <w:smallCaps w:val="false"/>
          <w:sz w:val="20"/>
        </w:rPr>
        <w:t>11,070.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316" w:name="xdx_90E_eus-gaap--DebtInstrumentFaceAmou"/>
      <w:bookmarkEnd w:id="316"/>
      <w:r>
        <w:rPr>
          <w:rFonts w:ascii="Times New Roman;Times;Serif" w:hAnsi="Times New Roman;Times;Serif"/>
          <w:b w:val="false"/>
          <w:i w:val="false"/>
          <w:caps w:val="false"/>
          <w:smallCaps w:val="false"/>
          <w:sz w:val="20"/>
        </w:rPr>
        <w:t xml:space="preserve">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Times;Serif" w:hAnsi="Times New Roman;Times;Serif"/>
          <w:b/>
          <w:i w:val="false"/>
          <w:caps w:val="false"/>
          <w:smallCaps w:val="false"/>
          <w:sz w:val="20"/>
        </w:rPr>
        <w:t>(See Note 6).</w:t>
      </w:r>
      <w:r>
        <w:rPr>
          <w:rFonts w:ascii="Times New Roman;Times;Serif" w:hAnsi="Times New Roman;Times;Serif"/>
          <w:b w:val="false"/>
          <w:i w:val="false"/>
          <w:caps w:val="false"/>
          <w:smallCaps w:val="false"/>
          <w:sz w:val="20"/>
        </w:rPr>
        <w:t xml:space="preserve"> On March 31, 2024, April 29, 2024, May 30, 2024, June 28, 2024, July 31, 2024, August 31, 2024, September 30, 2024, October 31, 2024, November 30, 2024 and December 31, 2024 the Company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subsequent to the current year ended December 31, 2024,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expected proceeds amount to $</w:t>
      </w:r>
      <w:bookmarkStart w:id="317" w:name="xdx_904_ecustom--ProceedsFromWorkingCapi"/>
      <w:bookmarkEnd w:id="317"/>
      <w:r>
        <w:rPr>
          <w:rFonts w:ascii="Times New Roman;Times;Serif" w:hAnsi="Times New Roman;Times;Serif"/>
          <w:b w:val="false"/>
          <w:i w:val="false"/>
          <w:caps w:val="false"/>
          <w:smallCaps w:val="false"/>
          <w:sz w:val="20"/>
        </w:rPr>
        <w:t>8,000 which the Company will use for working capital, general corporate purposes and mandatory payments on the Term Loan if more than $</w:t>
      </w:r>
      <w:bookmarkStart w:id="318" w:name="xdx_908_eus-gaap--LoansPayable_iI_c20250"/>
      <w:bookmarkEnd w:id="318"/>
      <w:r>
        <w:rPr>
          <w:rFonts w:ascii="Times New Roman;Times;Serif" w:hAnsi="Times New Roman;Times;Serif"/>
          <w:b w:val="false"/>
          <w:i w:val="false"/>
          <w:caps w:val="false"/>
          <w:smallCaps w:val="false"/>
          <w:sz w:val="20"/>
        </w:rPr>
        <w:t xml:space="preserve">8,000 is raised. In addition, investors received warrants to purchase up to </w:t>
      </w:r>
      <w:bookmarkStart w:id="319" w:name="xdx_90E_eus-gaap--ClassOfWarrantOrRightO"/>
      <w:bookmarkEnd w:id="319"/>
      <w:r>
        <w:rPr>
          <w:rFonts w:ascii="Times New Roman;Times;Serif" w:hAnsi="Times New Roman;Times;Serif"/>
          <w:b w:val="false"/>
          <w:i w:val="false"/>
          <w:caps w:val="false"/>
          <w:smallCaps w:val="false"/>
          <w:sz w:val="20"/>
        </w:rPr>
        <w:t>4,000 shares of Series A preferred stock at $</w:t>
      </w:r>
      <w:bookmarkStart w:id="320" w:name="xdx_90B_eus-gaap--ClassOfWarrantOrRightE"/>
      <w:bookmarkEnd w:id="320"/>
      <w:r>
        <w:rPr>
          <w:rFonts w:ascii="Times New Roman;Times;Serif" w:hAnsi="Times New Roman;Times;Serif"/>
          <w:b w:val="false"/>
          <w:i w:val="false"/>
          <w:caps w:val="false"/>
          <w:smallCaps w:val="false"/>
          <w:sz w:val="20"/>
        </w:rPr>
        <w:t>10,000 per share, potentially providing up to $</w:t>
      </w:r>
      <w:bookmarkStart w:id="321" w:name="xdx_901_eus-gaap--WarrantsAndRightsOutst"/>
      <w:bookmarkEnd w:id="321"/>
      <w:r>
        <w:rPr>
          <w:rFonts w:ascii="Times New Roman;Times;Serif" w:hAnsi="Times New Roman;Times;Serif"/>
          <w:b w:val="false"/>
          <w:i w:val="false"/>
          <w:caps w:val="false"/>
          <w:smallCaps w:val="false"/>
          <w:sz w:val="20"/>
        </w:rPr>
        <w:t xml:space="preserve">40 million in future capital. </w:t>
      </w:r>
      <w:bookmarkStart w:id="322" w:name="xdx_907_ecustom--ExpectedCostReceivedDes"/>
      <w:bookmarkEnd w:id="322"/>
      <w:r>
        <w:rPr>
          <w:rFonts w:ascii="Times New Roman;Times;Serif" w:hAnsi="Times New Roman;Times;Serif"/>
          <w:b w:val="false"/>
          <w:i w:val="false"/>
          <w:caps w:val="false"/>
          <w:smallCaps w:val="false"/>
          <w:sz w:val="20"/>
        </w:rPr>
        <w:t>We received $3,500 less $300 in costs on February 27, 2025 and expect to receive the remaining $4,500, minus costs, in early May 2025.</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w:t>
      </w:r>
      <w:bookmarkStart w:id="323" w:name="xdx_901_eus-gaap--CashAndCashEquivalents"/>
      <w:bookmarkEnd w:id="323"/>
      <w:r>
        <w:rPr>
          <w:rFonts w:ascii="Times New Roman;Times;Serif" w:hAnsi="Times New Roman;Times;Serif"/>
          <w:b w:val="false"/>
          <w:i w:val="false"/>
          <w:caps w:val="false"/>
          <w:smallCaps w:val="false"/>
          <w:sz w:val="20"/>
        </w:rPr>
        <w:t>2,500) for the next one and a half years.</w:t>
      </w:r>
    </w:p>
    <w:p>
      <w:pPr>
        <w:pStyle w:val="TextBody"/>
        <w:bidi w:val="0"/>
        <w:ind w:left="10" w:right="0" w:hanging="1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w:t>
      </w:r>
      <w:bookmarkStart w:id="324" w:name="xdx_90B_eus-gaap--CashAndCashEquivalents"/>
      <w:bookmarkEnd w:id="324"/>
      <w:r>
        <w:rPr>
          <w:rFonts w:ascii="Times New Roman;Times;Serif" w:hAnsi="Times New Roman;Times;Serif"/>
          <w:b w:val="false"/>
          <w:i w:val="false"/>
          <w:caps w:val="false"/>
          <w:smallCaps w:val="false"/>
          <w:sz w:val="20"/>
        </w:rPr>
        <w:t>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pStyle w:val="TextBody"/>
        <w:bidi w:val="0"/>
        <w:ind w:left="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rPr>
      </w:pPr>
      <w:r>
        <w:rPr>
          <w:caps/>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Policies(continued)</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25" w:name="xdx_84C_eus-gaap--CashAndCashEquivalents"/>
      <w:bookmarkEnd w:id="325"/>
      <w:r>
        <w:rPr>
          <w:rFonts w:ascii="Times New Roman;Times;Serif" w:hAnsi="Times New Roman;Times;Serif"/>
          <w:b w:val="false"/>
          <w:i/>
          <w:caps w:val="false"/>
          <w:smallCaps w:val="false"/>
          <w:sz w:val="20"/>
          <w:u w:val="single"/>
        </w:rPr>
        <w:t>Cash and Cash Equivalents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short-term debt securities purchased with a maturity of three months or less to be cash equivalents. As of December 31, 2024 and 2023, the Company held </w:t>
      </w:r>
      <w:bookmarkStart w:id="326" w:name="xdx_90E_eus-gaap--RestrictedCash_iI_do_c"/>
      <w:bookmarkStart w:id="327" w:name="xdx_901_eus-gaap--RestrictedCash_iI_do_c"/>
      <w:bookmarkEnd w:id="326"/>
      <w:bookmarkEnd w:id="327"/>
      <w:r>
        <w:rPr>
          <w:rFonts w:ascii="Times New Roman;Times;Serif" w:hAnsi="Times New Roman;Times;Serif"/>
          <w:b w:val="false"/>
          <w:i w:val="false"/>
          <w:caps w:val="false"/>
          <w:smallCaps w:val="false"/>
          <w:sz w:val="20"/>
        </w:rPr>
        <w:t>no Cash Equivalents.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28" w:name="xdx_84E_eus-gaap--TradeAndOtherAccountsR"/>
      <w:bookmarkEnd w:id="328"/>
      <w:r>
        <w:rPr>
          <w:rFonts w:ascii="Times New Roman;Times;Serif" w:hAnsi="Times New Roman;Times;Serif"/>
          <w:b w:val="false"/>
          <w:i/>
          <w:caps w:val="false"/>
          <w:smallCaps w:val="false"/>
          <w:sz w:val="20"/>
          <w:u w:val="single"/>
        </w:rPr>
        <w:t>Accounts Receivable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December 31, 2024 and 2023 were not material.</w:t>
      </w:r>
    </w:p>
    <w:p>
      <w:pPr>
        <w:pStyle w:val="TextBody"/>
        <w:bidi w:val="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329" w:name="xdx_84F_eus-gaap--InventoryPolicyTextBlo"/>
      <w:bookmarkEnd w:id="329"/>
      <w:r>
        <w:rPr>
          <w:rFonts w:ascii="Times New Roman;Times;Serif" w:hAnsi="Times New Roman;Times;Serif"/>
          <w:b w:val="false"/>
          <w:i/>
          <w:caps w:val="false"/>
          <w:smallCaps w:val="false"/>
          <w:sz w:val="20"/>
          <w:u w:val="single"/>
        </w:rPr>
        <w:t>Inventory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w:t>
      </w:r>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30" w:name="xdx_843_ecustom--AssetsHeldForSalePolicy"/>
      <w:bookmarkEnd w:id="330"/>
      <w:r>
        <w:rPr>
          <w:rFonts w:ascii="Times New Roman;Times;Serif" w:hAnsi="Times New Roman;Times;Serif"/>
          <w:b w:val="false"/>
          <w:i/>
          <w:caps w:val="false"/>
          <w:smallCaps w:val="false"/>
          <w:sz w:val="20"/>
          <w:u w:val="single"/>
        </w:rPr>
        <w:t>Assets Held for Sale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are valued at the lower of the carrying amount or the net realizable value estimated at December 31, 2024. Impairment to carrying amounts are recognized to non-operating expenses. The Assets held for sale, or the disposal group, consists of two research and development pieces of equipment that were not in use yet. Due to the nature of the disposal group being long-lived assets, the disposal group qualifies for the held for sale classification, as defined in ASC 360. Due to the Company shifting its focus from research and development efforts to product development, these assets would be put into service at an undeterminable time in the future and therefore, a search for a potential buyer was conducted. We have already invoiced the prospective buyer within the first three months of 2025 and plan to ship the equipment after payment is received.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31" w:name="xdx_845_eus-gaap--PropertyPlantAndEquipm"/>
      <w:bookmarkEnd w:id="331"/>
      <w:r>
        <w:rPr>
          <w:rFonts w:ascii="Times New Roman;Times;Serif" w:hAnsi="Times New Roman;Times;Serif"/>
          <w:b w:val="false"/>
          <w:i/>
          <w:caps w:val="false"/>
          <w:smallCaps w:val="false"/>
          <w:sz w:val="20"/>
          <w:u w:val="single"/>
        </w:rPr>
        <w:t>Property and Equipment</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2024 and 2023 was $</w:t>
      </w:r>
      <w:bookmarkStart w:id="332" w:name="xdx_909_eus-gaap--Depreciation_pn3n3_c20"/>
      <w:bookmarkEnd w:id="332"/>
      <w:r>
        <w:rPr>
          <w:rFonts w:ascii="Times New Roman;Times;Serif" w:hAnsi="Times New Roman;Times;Serif"/>
          <w:b w:val="false"/>
          <w:i w:val="false"/>
          <w:caps w:val="false"/>
          <w:smallCaps w:val="false"/>
          <w:sz w:val="20"/>
        </w:rPr>
        <w:t>1,372 and $</w:t>
      </w:r>
      <w:bookmarkStart w:id="333" w:name="xdx_90A_eus-gaap--Depreciation_pn3n3_c20"/>
      <w:bookmarkEnd w:id="333"/>
      <w:r>
        <w:rPr>
          <w:rFonts w:ascii="Times New Roman;Times;Serif" w:hAnsi="Times New Roman;Times;Serif"/>
          <w:b w:val="false"/>
          <w:i w:val="false"/>
          <w:caps w:val="false"/>
          <w:smallCaps w:val="false"/>
          <w:sz w:val="20"/>
        </w:rPr>
        <w:t>1,237, respectively.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bookmarkStart w:id="334" w:name="xdx_89D_eus-gaap--PropertyPlantAndEquipm"/>
      <w:bookmarkEnd w:id="334"/>
      <w:r>
        <w:rPr>
          <w:rFonts w:ascii="Times New Roman;Times;Serif" w:hAnsi="Times New Roman;Times;Serif"/>
          <w:b w:val="false"/>
          <w:i w:val="false"/>
          <w:caps w:val="false"/>
          <w:smallCaps w:val="false"/>
          <w:sz w:val="20"/>
        </w:rPr>
        <w:t>The various classes of property and equipment and estimated useful lives are as follows:</w:t>
      </w:r>
    </w:p>
    <w:p>
      <w:pPr>
        <w:pStyle w:val="TextBody"/>
        <w:bidi w:val="0"/>
        <w:ind w:left="10" w:right="0" w:hanging="10"/>
        <w:jc w:val="both"/>
        <w:rPr>
          <w:caps w:val="false"/>
          <w:smallCaps w:val="false"/>
        </w:rPr>
      </w:pPr>
      <w:r>
        <w:rPr>
          <w:caps w:val="false"/>
          <w:smallCaps w:val="false"/>
        </w:rPr>
        <w:t> </w:t>
      </w:r>
      <w:bookmarkStart w:id="335" w:name="xdx_8B4_zGKWBR8OFvv2"/>
      <w:bookmarkEnd w:id="335"/>
      <w:r>
        <w:rPr>
          <w:rFonts w:ascii="Times New Roman;Times;Serif" w:hAnsi="Times New Roman;Times;Serif"/>
          <w:b w:val="false"/>
          <w:i w:val="false"/>
          <w:caps w:val="false"/>
          <w:smallCaps w:val="false"/>
          <w:sz w:val="20"/>
        </w:rPr>
        <w:t>SCHEDULE OF VARIOUS CLASSES OF PROPERTY AND EQUIPMENT AND ESTIMATED USEFUL LIVES</w:t>
      </w:r>
    </w:p>
    <w:tbl>
      <w:tblPr>
        <w:tblW w:w="6655" w:type="dxa"/>
        <w:jc w:val="left"/>
        <w:tblInd w:w="0" w:type="dxa"/>
        <w:tblLayout w:type="fixed"/>
        <w:tblCellMar>
          <w:top w:w="0" w:type="dxa"/>
          <w:left w:w="0" w:type="dxa"/>
          <w:bottom w:w="0" w:type="dxa"/>
          <w:right w:w="0" w:type="dxa"/>
        </w:tblCellMar>
      </w:tblPr>
      <w:tblGrid>
        <w:gridCol w:w="2540"/>
        <w:gridCol w:w="4115"/>
      </w:tblGrid>
      <w:tr>
        <w:trPr/>
        <w:tc>
          <w:tcPr>
            <w:tcW w:w="2540" w:type="dxa"/>
            <w:tcBorders/>
            <w:vAlign w:val="center"/>
          </w:tcPr>
          <w:p>
            <w:pPr>
              <w:pStyle w:val="TableContents"/>
              <w:bidi w:val="0"/>
              <w:spacing w:before="0" w:after="283"/>
              <w:ind w:left="0" w:right="0" w:hanging="10"/>
              <w:jc w:val="both"/>
              <w:rPr>
                <w:sz w:val="20"/>
              </w:rPr>
            </w:pPr>
            <w:r>
              <w:rPr>
                <w:sz w:val="20"/>
              </w:rPr>
              <w:t>Office furniture and equipment</w:t>
            </w:r>
          </w:p>
        </w:tc>
        <w:tc>
          <w:tcPr>
            <w:tcW w:w="4115" w:type="dxa"/>
            <w:tcBorders/>
            <w:vAlign w:val="center"/>
          </w:tcPr>
          <w:p>
            <w:pPr>
              <w:pStyle w:val="TableContents"/>
              <w:bidi w:val="0"/>
              <w:spacing w:before="0" w:after="283"/>
              <w:ind w:left="0" w:right="0" w:hanging="10"/>
              <w:jc w:val="center"/>
              <w:rPr>
                <w:sz w:val="20"/>
              </w:rPr>
            </w:pPr>
            <w:bookmarkStart w:id="336" w:name="xdx_908_eus-gaap--PropertyPlantAndEquipm"/>
            <w:bookmarkEnd w:id="336"/>
            <w:r>
              <w:rPr>
                <w:sz w:val="20"/>
              </w:rPr>
              <w:t xml:space="preserve">3 to </w:t>
            </w:r>
            <w:bookmarkStart w:id="337" w:name="xdx_901_eus-gaap--PropertyPlantAndEquipm"/>
            <w:bookmarkEnd w:id="337"/>
            <w:r>
              <w:rPr>
                <w:sz w:val="20"/>
              </w:rPr>
              <w:t>7 years</w:t>
            </w:r>
          </w:p>
        </w:tc>
      </w:tr>
      <w:tr>
        <w:trPr/>
        <w:tc>
          <w:tcPr>
            <w:tcW w:w="2540" w:type="dxa"/>
            <w:tcBorders/>
            <w:vAlign w:val="center"/>
          </w:tcPr>
          <w:p>
            <w:pPr>
              <w:pStyle w:val="TableContents"/>
              <w:bidi w:val="0"/>
              <w:spacing w:before="0" w:after="283"/>
              <w:ind w:left="0" w:right="0" w:hanging="10"/>
              <w:jc w:val="both"/>
              <w:rPr>
                <w:sz w:val="20"/>
              </w:rPr>
            </w:pPr>
            <w:r>
              <w:rPr>
                <w:sz w:val="20"/>
              </w:rPr>
              <w:t>Vehicles</w:t>
            </w:r>
          </w:p>
        </w:tc>
        <w:tc>
          <w:tcPr>
            <w:tcW w:w="4115" w:type="dxa"/>
            <w:tcBorders/>
            <w:vAlign w:val="center"/>
          </w:tcPr>
          <w:p>
            <w:pPr>
              <w:pStyle w:val="TableContents"/>
              <w:bidi w:val="0"/>
              <w:spacing w:before="0" w:after="283"/>
              <w:ind w:left="0" w:right="0" w:hanging="10"/>
              <w:jc w:val="center"/>
              <w:rPr>
                <w:sz w:val="20"/>
              </w:rPr>
            </w:pPr>
            <w:bookmarkStart w:id="338" w:name="xdx_90B_eus-gaap--PropertyPlantAndEquipm"/>
            <w:bookmarkEnd w:id="338"/>
            <w:r>
              <w:rPr>
                <w:sz w:val="20"/>
              </w:rPr>
              <w:t>5 years</w:t>
            </w:r>
          </w:p>
        </w:tc>
      </w:tr>
      <w:tr>
        <w:trPr/>
        <w:tc>
          <w:tcPr>
            <w:tcW w:w="2540" w:type="dxa"/>
            <w:tcBorders/>
            <w:vAlign w:val="center"/>
          </w:tcPr>
          <w:p>
            <w:pPr>
              <w:pStyle w:val="TableContents"/>
              <w:bidi w:val="0"/>
              <w:spacing w:before="0" w:after="283"/>
              <w:ind w:left="0" w:right="0" w:hanging="10"/>
              <w:jc w:val="both"/>
              <w:rPr>
                <w:sz w:val="20"/>
              </w:rPr>
            </w:pPr>
            <w:r>
              <w:rPr>
                <w:sz w:val="20"/>
              </w:rPr>
              <w:t>Machinery and equipment</w:t>
            </w:r>
          </w:p>
        </w:tc>
        <w:tc>
          <w:tcPr>
            <w:tcW w:w="4115" w:type="dxa"/>
            <w:tcBorders/>
            <w:vAlign w:val="center"/>
          </w:tcPr>
          <w:p>
            <w:pPr>
              <w:pStyle w:val="TableContents"/>
              <w:bidi w:val="0"/>
              <w:spacing w:before="0" w:after="283"/>
              <w:ind w:left="0" w:right="0" w:hanging="10"/>
              <w:jc w:val="center"/>
              <w:rPr>
                <w:sz w:val="20"/>
              </w:rPr>
            </w:pPr>
            <w:bookmarkStart w:id="339" w:name="xdx_90B_eus-gaap--PropertyPlantAndEquipm"/>
            <w:bookmarkEnd w:id="339"/>
            <w:r>
              <w:rPr>
                <w:sz w:val="20"/>
              </w:rPr>
              <w:t xml:space="preserve">3 to </w:t>
            </w:r>
            <w:bookmarkStart w:id="340" w:name="xdx_908_eus-gaap--PropertyPlantAndEquipm"/>
            <w:bookmarkEnd w:id="340"/>
            <w:r>
              <w:rPr>
                <w:sz w:val="20"/>
              </w:rPr>
              <w:t>7 years</w:t>
            </w:r>
          </w:p>
        </w:tc>
      </w:tr>
      <w:tr>
        <w:trPr/>
        <w:tc>
          <w:tcPr>
            <w:tcW w:w="2540" w:type="dxa"/>
            <w:tcBorders/>
            <w:vAlign w:val="center"/>
          </w:tcPr>
          <w:p>
            <w:pPr>
              <w:pStyle w:val="TableContents"/>
              <w:bidi w:val="0"/>
              <w:spacing w:before="0" w:after="283"/>
              <w:ind w:left="0" w:right="0" w:hanging="10"/>
              <w:jc w:val="both"/>
              <w:rPr>
                <w:sz w:val="20"/>
              </w:rPr>
            </w:pPr>
            <w:r>
              <w:rPr>
                <w:sz w:val="20"/>
              </w:rPr>
              <w:t>Leasehold improvements</w:t>
            </w:r>
          </w:p>
        </w:tc>
        <w:tc>
          <w:tcPr>
            <w:tcW w:w="4115" w:type="dxa"/>
            <w:tcBorders/>
            <w:vAlign w:val="center"/>
          </w:tcPr>
          <w:p>
            <w:pPr>
              <w:pStyle w:val="TableContents"/>
              <w:bidi w:val="0"/>
              <w:spacing w:before="0" w:after="283"/>
              <w:jc w:val="center"/>
              <w:rPr>
                <w:sz w:val="20"/>
              </w:rPr>
            </w:pPr>
            <w:bookmarkStart w:id="341" w:name="xdx_909_eus-gaap--PropertyPlantAndEquipm"/>
            <w:bookmarkEnd w:id="341"/>
            <w:r>
              <w:rPr>
                <w:sz w:val="20"/>
              </w:rPr>
              <w:t>Shorter of Useful Life of Remaining Term of Lease</w:t>
            </w:r>
          </w:p>
        </w:tc>
      </w:tr>
    </w:tbl>
    <w:p>
      <w:pPr>
        <w:pStyle w:val="TextBody"/>
        <w:bidi w:val="0"/>
        <w:spacing w:before="0" w:after="283"/>
        <w:jc w:val="left"/>
        <w:rPr/>
      </w:pPr>
      <w:bookmarkStart w:id="342" w:name="xdx_8A2_zu3cVPdZPzyg"/>
      <w:bookmarkEnd w:id="342"/>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rPr>
      </w:pPr>
      <w:r>
        <w:rPr>
          <w:caps/>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43" w:name="xdx_841_eus-gaap--UseOfEstimates_zjiUVba"/>
      <w:bookmarkEnd w:id="343"/>
      <w:r>
        <w:rPr>
          <w:rFonts w:ascii="Times New Roman;Times;Serif" w:hAnsi="Times New Roman;Times;Serif"/>
          <w:b w:val="false"/>
          <w:i/>
          <w:caps w:val="false"/>
          <w:smallCaps w:val="false"/>
          <w:sz w:val="20"/>
          <w:u w:val="single"/>
        </w:rPr>
        <w:t>Use of Estimates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and license arrangement.</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44" w:name="xdx_841_eus-gaap--ImpairmentOrDisposalOf"/>
      <w:bookmarkEnd w:id="344"/>
      <w:r>
        <w:rPr>
          <w:rFonts w:ascii="Times New Roman;Times;Serif" w:hAnsi="Times New Roman;Times;Serif"/>
          <w:b w:val="false"/>
          <w:i/>
          <w:caps w:val="false"/>
          <w:smallCaps w:val="false"/>
          <w:sz w:val="20"/>
          <w:u w:val="single"/>
        </w:rPr>
        <w:t>Impairment of Long-Lived Assets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For the year ended December 31, 2024, the Company recorded an $</w:t>
      </w:r>
      <w:bookmarkStart w:id="345" w:name="xdx_90F_eus-gaap--GainLossOnSalesOfAsset"/>
      <w:bookmarkEnd w:id="345"/>
      <w:r>
        <w:rPr>
          <w:rFonts w:ascii="Times New Roman;Times;Serif" w:hAnsi="Times New Roman;Times;Serif"/>
          <w:b w:val="false"/>
          <w:i w:val="false"/>
          <w:caps w:val="false"/>
          <w:smallCaps w:val="false"/>
          <w:sz w:val="20"/>
        </w:rPr>
        <w:t xml:space="preserve">873 impairment, in connection to the Assets Held for Sale, on the Consolidated Statement of Operations. There were </w:t>
      </w:r>
      <w:bookmarkStart w:id="346" w:name="xdx_90B_eus-gaap--GainLossOnSalesOfAsset"/>
      <w:bookmarkEnd w:id="346"/>
      <w:r>
        <w:rPr>
          <w:rFonts w:ascii="Times New Roman;Times;Serif" w:hAnsi="Times New Roman;Times;Serif"/>
          <w:b w:val="false"/>
          <w:i w:val="false"/>
          <w:caps w:val="false"/>
          <w:smallCaps w:val="false"/>
          <w:sz w:val="20"/>
        </w:rPr>
        <w:t>no impairments for the year ended December 31, 2023.</w:t>
      </w:r>
    </w:p>
    <w:p>
      <w:pPr>
        <w:pStyle w:val="TextBody"/>
        <w:bidi w:val="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347" w:name="xdx_84E_ecustom--WarrantsPolicyTextBlock"/>
      <w:bookmarkEnd w:id="347"/>
      <w:r>
        <w:rPr>
          <w:rFonts w:ascii="Times New Roman;Times;Serif" w:hAnsi="Times New Roman;Times;Serif"/>
          <w:b w:val="false"/>
          <w:i/>
          <w:caps w:val="false"/>
          <w:smallCaps w:val="false"/>
          <w:sz w:val="20"/>
          <w:u w:val="single"/>
        </w:rPr>
        <w:t>Warrants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for equity classification are measured at fair value upon issuance and are not subsequently remeasured unless they are required to be reclassified.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48" w:name="xdx_84E_eus-gaap--CommitmentsAndContinge"/>
      <w:bookmarkEnd w:id="348"/>
      <w:r>
        <w:rPr>
          <w:rFonts w:ascii="Times New Roman;Times;Serif" w:hAnsi="Times New Roman;Times;Serif"/>
          <w:b w:val="false"/>
          <w:i/>
          <w:caps w:val="false"/>
          <w:smallCaps w:val="false"/>
          <w:sz w:val="20"/>
          <w:u w:val="single"/>
        </w:rPr>
        <w:t>Commitments and Contingencies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49" w:name="xdx_847_eus-gaap--RevenueFromContractWit"/>
      <w:bookmarkEnd w:id="349"/>
      <w:r>
        <w:rPr>
          <w:rFonts w:ascii="Times New Roman;Times;Serif" w:hAnsi="Times New Roman;Times;Serif"/>
          <w:b w:val="false"/>
          <w:i/>
          <w:caps w:val="false"/>
          <w:smallCaps w:val="false"/>
          <w:sz w:val="20"/>
          <w:u w:val="single"/>
        </w:rPr>
        <w:t>Revenue Recognition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ind w:left="10" w:right="0" w:hanging="1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350" w:name="xdx_901_ecustom--PaymentTermForDistribut"/>
      <w:bookmarkEnd w:id="350"/>
      <w:r>
        <w:rPr>
          <w:rFonts w:ascii="Times New Roman;Times;Serif" w:hAnsi="Times New Roman;Times;Serif"/>
          <w:b w:val="false"/>
          <w:i w:val="false"/>
          <w:caps w:val="false"/>
          <w:smallCaps w:val="false"/>
          <w:sz w:val="20"/>
        </w:rPr>
        <w:t>30-</w:t>
      </w:r>
      <w:bookmarkStart w:id="351" w:name="xdx_90F_ecustom--PaymentTermForDistribut"/>
      <w:bookmarkEnd w:id="351"/>
      <w:r>
        <w:rPr>
          <w:rFonts w:ascii="Times New Roman;Times;Serif" w:hAnsi="Times New Roman;Times;Serif"/>
          <w:b w:val="false"/>
          <w:i w:val="false"/>
          <w:caps w:val="false"/>
          <w:smallCaps w:val="false"/>
          <w:sz w:val="20"/>
        </w:rPr>
        <w:t>90 days after shipment. In such instances, the Company records a customer deposit liability. The Company recognizes these contract liabilities as sales after the revenue criteria are met. As of December 31, 2024 and 2023, the contract liability related to the Company’s customer deposits were approximately $</w:t>
      </w:r>
      <w:bookmarkStart w:id="352" w:name="xdx_906_eus-gaap--ContractWithCustomerLi"/>
      <w:bookmarkEnd w:id="352"/>
      <w:r>
        <w:rPr>
          <w:rFonts w:ascii="Times New Roman;Times;Serif" w:hAnsi="Times New Roman;Times;Serif"/>
          <w:b w:val="false"/>
          <w:i w:val="false"/>
          <w:caps w:val="false"/>
          <w:smallCaps w:val="false"/>
          <w:sz w:val="20"/>
        </w:rPr>
        <w:t>317 and $</w:t>
      </w:r>
      <w:bookmarkStart w:id="353" w:name="xdx_906_eus-gaap--ContractWithCustomerLi"/>
      <w:bookmarkEnd w:id="353"/>
      <w:r>
        <w:rPr>
          <w:rFonts w:ascii="Times New Roman;Times;Serif" w:hAnsi="Times New Roman;Times;Serif"/>
          <w:b w:val="false"/>
          <w:i w:val="false"/>
          <w:caps w:val="false"/>
          <w:smallCaps w:val="false"/>
          <w:sz w:val="20"/>
        </w:rPr>
        <w:t>201, respectively.</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354" w:name="xdx_900_eus-gaap--ContractWithCustomerLi"/>
      <w:bookmarkEnd w:id="354"/>
      <w:r>
        <w:rPr>
          <w:rFonts w:ascii="Times New Roman;Times;Serif" w:hAnsi="Times New Roman;Times;Serif"/>
          <w:b w:val="false"/>
          <w:i w:val="false"/>
          <w:caps w:val="false"/>
          <w:smallCaps w:val="false"/>
          <w:sz w:val="20"/>
        </w:rPr>
        <w:t>201 of the contract liability as of December 31, 2023 during the year ended December 31, 2024. During the year ended December 31, 2023, the Company recognized $</w:t>
      </w:r>
      <w:bookmarkStart w:id="355" w:name="xdx_90D_eus-gaap--ContractWithCustomerLi"/>
      <w:bookmarkEnd w:id="355"/>
      <w:r>
        <w:rPr>
          <w:rFonts w:ascii="Times New Roman;Times;Serif" w:hAnsi="Times New Roman;Times;Serif"/>
          <w:b w:val="false"/>
          <w:i w:val="false"/>
          <w:caps w:val="false"/>
          <w:smallCaps w:val="false"/>
          <w:sz w:val="20"/>
        </w:rPr>
        <w:t>230 of the contract liability that was recorded as a January 1, 2023 beginning balance.</w:t>
      </w:r>
    </w:p>
    <w:p>
      <w:pPr>
        <w:pStyle w:val="TextBody"/>
        <w:bidi w:val="0"/>
        <w:ind w:left="10" w:right="0" w:hanging="1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w:t>
      </w:r>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The $</w:t>
      </w:r>
      <w:bookmarkStart w:id="356" w:name="xdx_905_ecustom--LicensingFee_pn3n3_c202"/>
      <w:bookmarkEnd w:id="356"/>
      <w:r>
        <w:rPr>
          <w:rFonts w:ascii="Times New Roman;Times;Serif" w:hAnsi="Times New Roman;Times;Serif"/>
          <w:b w:val="false"/>
          <w:i w:val="false"/>
          <w:caps w:val="false"/>
          <w:smallCaps w:val="false"/>
          <w:sz w:val="20"/>
        </w:rPr>
        <w:t xml:space="preserve">5,000 initial licensing fee is being recognized as revenue on a straight-line basis over </w:t>
      </w:r>
      <w:bookmarkStart w:id="357" w:name="xdx_906_eus-gaap--FiniteLivedIntangibleA"/>
      <w:bookmarkEnd w:id="357"/>
      <w:r>
        <w:rPr>
          <w:rFonts w:ascii="Times New Roman;Times;Serif" w:hAnsi="Times New Roman;Times;Serif"/>
          <w:b w:val="false"/>
          <w:i w:val="false"/>
          <w:caps w:val="false"/>
          <w:smallCaps w:val="false"/>
          <w:sz w:val="20"/>
        </w:rPr>
        <w:t>five years. The Company has recorded $</w:t>
      </w:r>
      <w:bookmarkStart w:id="358" w:name="xdx_905_eus-gaap--RevenueFromContractWit"/>
      <w:bookmarkEnd w:id="358"/>
      <w:r>
        <w:rPr>
          <w:rFonts w:ascii="Times New Roman;Times;Serif" w:hAnsi="Times New Roman;Times;Serif"/>
          <w:b w:val="false"/>
          <w:i w:val="false"/>
          <w:caps w:val="false"/>
          <w:smallCaps w:val="false"/>
          <w:sz w:val="20"/>
        </w:rPr>
        <w:t>417 in revenue related to the license agreement for the year ended December 31, 2024. As of December 31, 2024 and 2023, the contract liability related to the Company’s deferred revenue were approximately $</w:t>
      </w:r>
      <w:bookmarkStart w:id="359" w:name="xdx_90B_eus-gaap--DeferredRevenue_iI_pn3"/>
      <w:bookmarkEnd w:id="359"/>
      <w:r>
        <w:rPr>
          <w:rFonts w:ascii="Times New Roman;Times;Serif" w:hAnsi="Times New Roman;Times;Serif"/>
          <w:b w:val="false"/>
          <w:i w:val="false"/>
          <w:caps w:val="false"/>
          <w:smallCaps w:val="false"/>
          <w:sz w:val="20"/>
        </w:rPr>
        <w:t>4,583 and $</w:t>
      </w:r>
      <w:bookmarkStart w:id="360" w:name="xdx_90C_eus-gaap--DeferredRevenue_iI_pn3"/>
      <w:bookmarkEnd w:id="360"/>
      <w:r>
        <w:rPr>
          <w:rFonts w:ascii="Times New Roman;Times;Serif" w:hAnsi="Times New Roman;Times;Serif"/>
          <w:b w:val="false"/>
          <w:i w:val="false"/>
          <w:caps w:val="false"/>
          <w:smallCaps w:val="false"/>
          <w:sz w:val="20"/>
        </w:rPr>
        <w:t>0, respectively. As of December 31, 2024, the Company had $</w:t>
      </w:r>
      <w:bookmarkStart w:id="361" w:name="xdx_90F_eus-gaap--DeferredIncomeCurrent_"/>
      <w:bookmarkEnd w:id="361"/>
      <w:r>
        <w:rPr>
          <w:rFonts w:ascii="Times New Roman;Times;Serif" w:hAnsi="Times New Roman;Times;Serif"/>
          <w:b w:val="false"/>
          <w:i w:val="false"/>
          <w:caps w:val="false"/>
          <w:smallCaps w:val="false"/>
          <w:sz w:val="20"/>
        </w:rPr>
        <w:t>1,000 in short term deferred revenue and $</w:t>
      </w:r>
      <w:bookmarkStart w:id="362" w:name="xdx_904_eus-gaap--DeferredIncomeNoncurre"/>
      <w:bookmarkEnd w:id="362"/>
      <w:r>
        <w:rPr>
          <w:rFonts w:ascii="Times New Roman;Times;Serif" w:hAnsi="Times New Roman;Times;Serif"/>
          <w:b w:val="false"/>
          <w:i w:val="false"/>
          <w:caps w:val="false"/>
          <w:smallCaps w:val="false"/>
          <w:sz w:val="20"/>
        </w:rPr>
        <w:t>3,583 in long-term deferred revenue related to the license agreement.</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63" w:name="xdx_84A_ecustom--DisaggregationOfRevenue"/>
      <w:bookmarkEnd w:id="363"/>
      <w:r>
        <w:rPr>
          <w:rFonts w:ascii="Times New Roman;Times;Serif" w:hAnsi="Times New Roman;Times;Serif"/>
          <w:b w:val="false"/>
          <w:i/>
          <w:caps w:val="false"/>
          <w:smallCaps w:val="false"/>
          <w:sz w:val="20"/>
          <w:u w:val="single"/>
        </w:rPr>
        <w:t>Disaggregation of Revenue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bookmarkStart w:id="364" w:name="xdx_892_eus-gaap--DisaggregationOfRevenu"/>
      <w:bookmarkEnd w:id="364"/>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ind w:left="10" w:right="0" w:hanging="10"/>
        <w:jc w:val="both"/>
        <w:rPr>
          <w:caps w:val="false"/>
          <w:smallCaps w:val="false"/>
        </w:rPr>
      </w:pPr>
      <w:r>
        <w:rPr>
          <w:caps w:val="false"/>
          <w:smallCaps w:val="false"/>
        </w:rPr>
        <w:t>  </w:t>
      </w:r>
      <w:bookmarkStart w:id="365" w:name="xdx_8BF_zKNlQ7D2nIO8"/>
      <w:bookmarkEnd w:id="365"/>
      <w:r>
        <w:rPr>
          <w:rFonts w:ascii="Times New Roman;Times;Serif" w:hAnsi="Times New Roman;Times;Serif"/>
          <w:b w:val="false"/>
          <w:i w:val="false"/>
          <w:caps w:val="false"/>
          <w:smallCaps w:val="false"/>
          <w:sz w:val="20"/>
        </w:rPr>
        <w:t>SCHEDULE OF DISAGGREGATED REVENUES BY DISTRIBUTION CHANNEL </w:t>
      </w:r>
    </w:p>
    <w:tbl>
      <w:tblPr>
        <w:tblW w:w="4990" w:type="dxa"/>
        <w:jc w:val="left"/>
        <w:tblInd w:w="0" w:type="dxa"/>
        <w:tblLayout w:type="fixed"/>
        <w:tblCellMar>
          <w:top w:w="0" w:type="dxa"/>
          <w:left w:w="0" w:type="dxa"/>
          <w:bottom w:w="0" w:type="dxa"/>
          <w:right w:w="0" w:type="dxa"/>
        </w:tblCellMar>
      </w:tblPr>
      <w:tblGrid>
        <w:gridCol w:w="3095"/>
        <w:gridCol w:w="60"/>
        <w:gridCol w:w="140"/>
        <w:gridCol w:w="680"/>
        <w:gridCol w:w="60"/>
        <w:gridCol w:w="60"/>
        <w:gridCol w:w="140"/>
        <w:gridCol w:w="680"/>
        <w:gridCol w:w="75"/>
      </w:tblGrid>
      <w:tr>
        <w:trPr/>
        <w:tc>
          <w:tcPr>
            <w:tcW w:w="3095" w:type="dxa"/>
            <w:tcBorders/>
            <w:vAlign w:val="center"/>
          </w:tcPr>
          <w:p>
            <w:pPr>
              <w:pStyle w:val="TableContents"/>
              <w:bidi w:val="0"/>
              <w:spacing w:before="0" w:after="283"/>
              <w:jc w:val="both"/>
              <w:rPr/>
            </w:pPr>
            <w:r>
              <w:rPr/>
              <w:t>Sales</w:t>
            </w:r>
          </w:p>
        </w:tc>
        <w:tc>
          <w:tcPr>
            <w:tcW w:w="60" w:type="dxa"/>
            <w:tcBorders/>
            <w:vAlign w:val="center"/>
          </w:tcPr>
          <w:p>
            <w:pPr>
              <w:pStyle w:val="TableContents"/>
              <w:bidi w:val="0"/>
              <w:spacing w:before="0" w:after="283"/>
              <w:jc w:val="left"/>
              <w:rPr/>
            </w:pPr>
            <w:r>
              <w:rPr/>
              <w:t> </w:t>
            </w:r>
            <w:bookmarkStart w:id="366" w:name="xdx_49F_20240101__20241231_zkYqMHMtSAP"/>
            <w:bookmarkEnd w:id="366"/>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7" w:name="xdx_49B_20230101__20231231_zkFDRpkUVGE8"/>
            <w:bookmarkEnd w:id="367"/>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Sales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ind w:left="0" w:right="0" w:hanging="0"/>
              <w:jc w:val="left"/>
              <w:rPr/>
            </w:pPr>
            <w:r>
              <w:rPr/>
              <w:t> </w:t>
            </w:r>
            <w:bookmarkStart w:id="368" w:name="xdx_400_eus-gaap--RevenueFromContractWit"/>
            <w:bookmarkEnd w:id="368"/>
          </w:p>
        </w:tc>
      </w:tr>
      <w:tr>
        <w:trPr/>
        <w:tc>
          <w:tcPr>
            <w:tcW w:w="3095" w:type="dxa"/>
            <w:tcBorders/>
            <w:shd w:fill="CCEEFF" w:val="clear"/>
            <w:vAlign w:val="center"/>
          </w:tcPr>
          <w:p>
            <w:pPr>
              <w:pStyle w:val="TableContents"/>
              <w:bidi w:val="0"/>
              <w:spacing w:before="0" w:after="283"/>
              <w:jc w:val="left"/>
              <w:rPr/>
            </w:pPr>
            <w:r>
              <w:rPr/>
              <w:t>Direct to customer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22,616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36,875</w:t>
            </w:r>
          </w:p>
        </w:tc>
        <w:tc>
          <w:tcPr>
            <w:tcW w:w="75" w:type="dxa"/>
            <w:tcBorders/>
            <w:shd w:fill="CCEEFF" w:val="clear"/>
            <w:vAlign w:val="center"/>
          </w:tcPr>
          <w:p>
            <w:pPr>
              <w:pStyle w:val="TableContents"/>
              <w:bidi w:val="0"/>
              <w:spacing w:before="0" w:after="283"/>
              <w:ind w:left="0" w:right="0" w:hanging="0"/>
              <w:jc w:val="left"/>
              <w:rPr/>
            </w:pPr>
            <w:r>
              <w:rPr/>
              <w:t> </w:t>
            </w:r>
            <w:bookmarkStart w:id="369" w:name="xdx_40F_eus-gaap--RevenueFromContractWit"/>
            <w:bookmarkEnd w:id="369"/>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27,517</w:t>
            </w:r>
          </w:p>
        </w:tc>
        <w:tc>
          <w:tcPr>
            <w:tcW w:w="75" w:type="dxa"/>
            <w:tcBorders/>
            <w:shd w:fill="FFFFFF" w:val="clear"/>
            <w:vAlign w:val="center"/>
          </w:tcPr>
          <w:p>
            <w:pPr>
              <w:pStyle w:val="TableContents"/>
              <w:bidi w:val="0"/>
              <w:spacing w:before="0" w:after="283"/>
              <w:ind w:left="0" w:right="0" w:hanging="0"/>
              <w:jc w:val="left"/>
              <w:rPr/>
            </w:pPr>
            <w:r>
              <w:rPr/>
              <w:t> </w:t>
            </w:r>
            <w:bookmarkStart w:id="370" w:name="xdx_407_eus-gaap--RevenueFromContractWit"/>
            <w:bookmarkEnd w:id="370"/>
          </w:p>
        </w:tc>
      </w:tr>
      <w:tr>
        <w:trPr/>
        <w:tc>
          <w:tcPr>
            <w:tcW w:w="3095" w:type="dxa"/>
            <w:tcBorders/>
            <w:shd w:fill="CCEEFF" w:val="clear"/>
            <w:vAlign w:val="center"/>
          </w:tcPr>
          <w:p>
            <w:pPr>
              <w:pStyle w:val="TableContents"/>
              <w:bidi w:val="0"/>
              <w:spacing w:before="0" w:after="283"/>
              <w:jc w:val="left"/>
              <w:rPr/>
            </w:pPr>
            <w:r>
              <w:rPr/>
              <w:t>License fee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0"/>
              <w:jc w:val="left"/>
              <w:rPr/>
            </w:pPr>
            <w:r>
              <w:rPr/>
              <w:t> </w:t>
            </w:r>
            <w:bookmarkStart w:id="371" w:name="xdx_402_eus-gaap--RevenueFromContractWit"/>
            <w:bookmarkEnd w:id="371"/>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50,645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64,392</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10" w:right="0" w:hanging="10"/>
        <w:jc w:val="both"/>
        <w:rPr>
          <w:caps w:val="false"/>
          <w:smallCaps w:val="false"/>
        </w:rPr>
      </w:pPr>
      <w:bookmarkStart w:id="372" w:name="xdx_8AD_z6CjycHH8JA2"/>
      <w:bookmarkEnd w:id="372"/>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73" w:name="xdx_844_ecustom--ShippingAndHandlingCost"/>
      <w:bookmarkEnd w:id="373"/>
      <w:r>
        <w:rPr>
          <w:rFonts w:ascii="Times New Roman;Times;Serif" w:hAnsi="Times New Roman;Times;Serif"/>
          <w:b w:val="false"/>
          <w:i/>
          <w:caps w:val="false"/>
          <w:smallCaps w:val="false"/>
          <w:sz w:val="20"/>
          <w:u w:val="single"/>
        </w:rPr>
        <w:t>Shipping and Handling</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w:t>
      </w:r>
      <w:bookmarkStart w:id="374" w:name="xdx_909_ecustom--ShippingAndHandlingCost"/>
      <w:bookmarkEnd w:id="374"/>
      <w:r>
        <w:rPr>
          <w:rFonts w:ascii="Times New Roman;Times;Serif" w:hAnsi="Times New Roman;Times;Serif"/>
          <w:b w:val="false"/>
          <w:i w:val="false"/>
          <w:caps w:val="false"/>
          <w:smallCaps w:val="false"/>
          <w:sz w:val="20"/>
        </w:rPr>
        <w:t>2,530 and $</w:t>
      </w:r>
      <w:bookmarkStart w:id="375" w:name="xdx_90F_ecustom--ShippingAndHandlingCost"/>
      <w:bookmarkEnd w:id="375"/>
      <w:r>
        <w:rPr>
          <w:rFonts w:ascii="Times New Roman;Times;Serif" w:hAnsi="Times New Roman;Times;Serif"/>
          <w:b w:val="false"/>
          <w:i w:val="false"/>
          <w:caps w:val="false"/>
          <w:smallCaps w:val="false"/>
          <w:sz w:val="20"/>
        </w:rPr>
        <w:t>3,466 for the years ended December 31, 2024 and 2023, respectively.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bookmarkStart w:id="376" w:name="xdx_842_eus-gaap--StandardProductWarrant"/>
      <w:bookmarkEnd w:id="376"/>
      <w:r>
        <w:rPr>
          <w:rFonts w:ascii="Times New Roman;Times;Serif" w:hAnsi="Times New Roman;Times;Serif"/>
          <w:b w:val="false"/>
          <w:i/>
          <w:caps w:val="false"/>
          <w:smallCaps w:val="false"/>
          <w:sz w:val="20"/>
          <w:u w:val="single"/>
        </w:rPr>
        <w:t>Product Warranty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377" w:name="xdx_907_ecustom--ProductWarrantyTermProv"/>
      <w:bookmarkEnd w:id="377"/>
      <w:r>
        <w:rPr>
          <w:rFonts w:ascii="Times New Roman;Times;Serif" w:hAnsi="Times New Roman;Times;Serif"/>
          <w:b w:val="false"/>
          <w:i w:val="false"/>
          <w:caps w:val="false"/>
          <w:smallCaps w:val="false"/>
          <w:sz w:val="20"/>
        </w:rPr>
        <w:t xml:space="preserve">5 to </w:t>
      </w:r>
      <w:bookmarkStart w:id="378" w:name="xdx_909_ecustom--ProductWarrantyTermProv"/>
      <w:bookmarkEnd w:id="378"/>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December 31, 2024 and 2023 to be $</w:t>
      </w:r>
      <w:bookmarkStart w:id="379" w:name="xdx_905_eus-gaap--ProductWarrantyAccrual"/>
      <w:bookmarkEnd w:id="379"/>
      <w:r>
        <w:rPr>
          <w:rFonts w:ascii="Times New Roman;Times;Serif" w:hAnsi="Times New Roman;Times;Serif"/>
          <w:b w:val="false"/>
          <w:i w:val="false"/>
          <w:caps w:val="false"/>
          <w:smallCaps w:val="false"/>
          <w:sz w:val="20"/>
        </w:rPr>
        <w:t>514 and $</w:t>
      </w:r>
      <w:bookmarkStart w:id="380" w:name="xdx_90E_eus-gaap--ProductWarrantyAccrual"/>
      <w:bookmarkEnd w:id="380"/>
      <w:r>
        <w:rPr>
          <w:rFonts w:ascii="Times New Roman;Times;Serif" w:hAnsi="Times New Roman;Times;Serif"/>
          <w:b w:val="false"/>
          <w:i w:val="false"/>
          <w:caps w:val="false"/>
          <w:smallCaps w:val="false"/>
          <w:sz w:val="20"/>
        </w:rPr>
        <w:t>307, respectively.</w:t>
      </w:r>
    </w:p>
    <w:p>
      <w:pPr>
        <w:pStyle w:val="TextBody"/>
        <w:bidi w:val="0"/>
        <w:jc w:val="center"/>
        <w:rPr>
          <w:rFonts w:ascii="Times New Roman;Times;Serif" w:hAnsi="Times New Roman;Times;Serif"/>
          <w:b w:val="false"/>
          <w:i w:val="false"/>
          <w:caps w:val="false"/>
          <w:smallCaps w:val="false"/>
          <w:sz w:val="20"/>
        </w:rPr>
      </w:pPr>
      <w:bookmarkStart w:id="381" w:name="xdx_8B6_z2m75OAAAUcb"/>
      <w:bookmarkStart w:id="382" w:name="xdx_89F_eus-gaap--ScheduleOfProductWarra"/>
      <w:bookmarkEnd w:id="381"/>
      <w:bookmarkEnd w:id="382"/>
      <w:r>
        <w:rPr>
          <w:rFonts w:ascii="Times New Roman;Times;Serif" w:hAnsi="Times New Roman;Times;Serif"/>
          <w:b w:val="false"/>
          <w:i w:val="false"/>
          <w:caps w:val="false"/>
          <w:smallCaps w:val="false"/>
          <w:sz w:val="20"/>
        </w:rPr>
        <w:t>SCHEDULE OF WARRANTY OBLIGATION</w:t>
      </w:r>
    </w:p>
    <w:tbl>
      <w:tblPr>
        <w:tblW w:w="4453" w:type="dxa"/>
        <w:jc w:val="left"/>
        <w:tblInd w:w="0" w:type="dxa"/>
        <w:tblLayout w:type="fixed"/>
        <w:tblCellMar>
          <w:top w:w="0" w:type="dxa"/>
          <w:left w:w="0" w:type="dxa"/>
          <w:bottom w:w="0" w:type="dxa"/>
          <w:right w:w="0" w:type="dxa"/>
        </w:tblCellMar>
      </w:tblPr>
      <w:tblGrid>
        <w:gridCol w:w="2930"/>
        <w:gridCol w:w="60"/>
        <w:gridCol w:w="141"/>
        <w:gridCol w:w="458"/>
        <w:gridCol w:w="95"/>
        <w:gridCol w:w="60"/>
        <w:gridCol w:w="141"/>
        <w:gridCol w:w="458"/>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3" w:name="xdx_49A_20240101__20241231_zawhNjHQuJRk"/>
            <w:bookmarkEnd w:id="383"/>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4" w:name="xdx_493_20230101__20231231_zmUFXhh05FP5"/>
            <w:bookmarkEnd w:id="384"/>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3"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bookmarkStart w:id="385" w:name="xdx_400_eus-gaap--ProductWarrantyAccrual"/>
            <w:bookmarkEnd w:id="385"/>
          </w:p>
        </w:tc>
      </w:tr>
      <w:tr>
        <w:trPr/>
        <w:tc>
          <w:tcPr>
            <w:tcW w:w="2930" w:type="dxa"/>
            <w:tcBorders/>
            <w:shd w:fill="CCEEFF" w:val="clear"/>
            <w:vAlign w:val="center"/>
          </w:tcPr>
          <w:p>
            <w:pPr>
              <w:pStyle w:val="TableContents"/>
              <w:bidi w:val="0"/>
              <w:spacing w:before="0" w:after="283"/>
              <w:jc w:val="left"/>
              <w:rPr/>
            </w:pPr>
            <w:r>
              <w:rPr/>
              <w:t>Beginning warranty obligation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283"/>
              <w:jc w:val="right"/>
              <w:rPr/>
            </w:pPr>
            <w:r>
              <w:rPr/>
              <w:t>328</w:t>
            </w:r>
          </w:p>
        </w:tc>
        <w:tc>
          <w:tcPr>
            <w:tcW w:w="110" w:type="dxa"/>
            <w:tcBorders/>
            <w:shd w:fill="CCEEFF" w:val="clear"/>
            <w:vAlign w:val="center"/>
          </w:tcPr>
          <w:p>
            <w:pPr>
              <w:pStyle w:val="TableContents"/>
              <w:bidi w:val="0"/>
              <w:spacing w:before="0" w:after="283"/>
              <w:ind w:left="0" w:right="0" w:hanging="10"/>
              <w:jc w:val="left"/>
              <w:rPr/>
            </w:pPr>
            <w:r>
              <w:rPr/>
              <w:t> </w:t>
            </w:r>
            <w:bookmarkStart w:id="386" w:name="xdx_403_eus-gaap--ProductWarrantyAccrual"/>
            <w:bookmarkEnd w:id="386"/>
          </w:p>
        </w:tc>
      </w:tr>
      <w:tr>
        <w:trPr/>
        <w:tc>
          <w:tcPr>
            <w:tcW w:w="2930" w:type="dxa"/>
            <w:tcBorders/>
            <w:shd w:fill="FFFFFF" w:val="clear"/>
            <w:vAlign w:val="center"/>
          </w:tcPr>
          <w:p>
            <w:pPr>
              <w:pStyle w:val="TableContents"/>
              <w:bidi w:val="0"/>
              <w:spacing w:before="0" w:after="283"/>
              <w:jc w:val="left"/>
              <w:rPr/>
            </w:pPr>
            <w:r>
              <w:rPr/>
              <w:t>Provision of warranty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ind w:left="0" w:right="0" w:hanging="10"/>
              <w:jc w:val="left"/>
              <w:rPr/>
            </w:pPr>
            <w:r>
              <w:rPr/>
              <w:t> </w:t>
            </w:r>
            <w:bookmarkStart w:id="387" w:name="xdx_40D_eus-gaap--ProductWarrantyAccrual"/>
            <w:bookmarkEnd w:id="387"/>
          </w:p>
        </w:tc>
      </w:tr>
      <w:tr>
        <w:trPr/>
        <w:tc>
          <w:tcPr>
            <w:tcW w:w="2930" w:type="dxa"/>
            <w:tcBorders/>
            <w:shd w:fill="CCEEFF" w:val="clear"/>
            <w:vAlign w:val="center"/>
          </w:tcPr>
          <w:p>
            <w:pPr>
              <w:pStyle w:val="TableContents"/>
              <w:bidi w:val="0"/>
              <w:spacing w:before="0" w:after="283"/>
              <w:jc w:val="left"/>
              <w:rPr/>
            </w:pPr>
            <w:r>
              <w:rPr/>
              <w:t>Settlement of warranty claims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pPr>
            <w:r>
              <w:rPr/>
              <w:t>(334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pPr>
            <w:r>
              <w:rPr/>
              <w:t>(418</w:t>
            </w:r>
          </w:p>
        </w:tc>
        <w:tc>
          <w:tcPr>
            <w:tcW w:w="110" w:type="dxa"/>
            <w:tcBorders/>
            <w:shd w:fill="CCEEFF" w:val="clear"/>
            <w:vAlign w:val="center"/>
          </w:tcPr>
          <w:p>
            <w:pPr>
              <w:pStyle w:val="TableContents"/>
              <w:bidi w:val="0"/>
              <w:spacing w:before="0" w:after="283"/>
              <w:ind w:left="0" w:right="0" w:hanging="0"/>
              <w:jc w:val="left"/>
              <w:rPr/>
            </w:pPr>
            <w:r>
              <w:rPr/>
              <w:t>)</w:t>
            </w:r>
            <w:bookmarkStart w:id="388" w:name="xdx_406_eus-gaap--ProductWarrantyAccrual"/>
            <w:bookmarkEnd w:id="388"/>
          </w:p>
        </w:tc>
      </w:tr>
      <w:tr>
        <w:trPr/>
        <w:tc>
          <w:tcPr>
            <w:tcW w:w="2930" w:type="dxa"/>
            <w:tcBorders/>
            <w:shd w:fill="FFFFFF" w:val="clear"/>
            <w:vAlign w:val="center"/>
          </w:tcPr>
          <w:p>
            <w:pPr>
              <w:pStyle w:val="TableContents"/>
              <w:bidi w:val="0"/>
              <w:spacing w:before="0" w:after="283"/>
              <w:jc w:val="left"/>
              <w:rPr/>
            </w:pPr>
            <w:r>
              <w:rPr/>
              <w:t>Ending warranty obligation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pPr>
            <w:r>
              <w:rPr/>
              <w:t>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pPr>
            <w:r>
              <w:rPr/>
              <w:t>307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389" w:name="xdx_8AE_zUPdny2Er9K8"/>
      <w:bookmarkEnd w:id="389"/>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390" w:name="xdx_841_eus-gaap--ConcentrationRiskCredi"/>
      <w:bookmarkEnd w:id="390"/>
      <w:r>
        <w:rPr>
          <w:rFonts w:ascii="Times New Roman;Times;Serif" w:hAnsi="Times New Roman;Times;Serif"/>
          <w:b w:val="false"/>
          <w:i/>
          <w:caps w:val="false"/>
          <w:smallCaps w:val="false"/>
          <w:sz w:val="20"/>
          <w:u w:val="single"/>
        </w:rPr>
        <w:t>Concentrations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receivables from Customer A and Customer B comprised approximately </w:t>
      </w:r>
      <w:bookmarkStart w:id="391" w:name="xdx_901_eus-gaap--ConcentrationRiskPerce"/>
      <w:bookmarkEnd w:id="391"/>
      <w:r>
        <w:rPr>
          <w:rFonts w:ascii="Times New Roman;Times;Serif" w:hAnsi="Times New Roman;Times;Serif"/>
          <w:b w:val="false"/>
          <w:i w:val="false"/>
          <w:caps w:val="false"/>
          <w:smallCaps w:val="false"/>
          <w:sz w:val="20"/>
        </w:rPr>
        <w:t xml:space="preserve">21% and </w:t>
      </w:r>
      <w:bookmarkStart w:id="392" w:name="xdx_90A_eus-gaap--ConcentrationRiskPerce"/>
      <w:bookmarkEnd w:id="392"/>
      <w:r>
        <w:rPr>
          <w:rFonts w:ascii="Times New Roman;Times;Serif" w:hAnsi="Times New Roman;Times;Serif"/>
          <w:b w:val="false"/>
          <w:i w:val="false"/>
          <w:caps w:val="false"/>
          <w:smallCaps w:val="false"/>
          <w:sz w:val="20"/>
        </w:rPr>
        <w:t xml:space="preserve">15%, respectively, of accounts receivable. As of December 31, 2023, receivables from Customer C and D comprised approximately </w:t>
      </w:r>
      <w:bookmarkStart w:id="393" w:name="xdx_907_eus-gaap--ConcentrationRiskPerce"/>
      <w:bookmarkEnd w:id="393"/>
      <w:r>
        <w:rPr>
          <w:rFonts w:ascii="Times New Roman;Times;Serif" w:hAnsi="Times New Roman;Times;Serif"/>
          <w:b w:val="false"/>
          <w:i w:val="false"/>
          <w:caps w:val="false"/>
          <w:smallCaps w:val="false"/>
          <w:sz w:val="20"/>
        </w:rPr>
        <w:t xml:space="preserve">28% and </w:t>
      </w:r>
      <w:bookmarkStart w:id="394" w:name="xdx_90F_eus-gaap--ConcentrationRiskPerce"/>
      <w:bookmarkEnd w:id="394"/>
      <w:r>
        <w:rPr>
          <w:rFonts w:ascii="Times New Roman;Times;Serif" w:hAnsi="Times New Roman;Times;Serif"/>
          <w:b w:val="false"/>
          <w:i w:val="false"/>
          <w:caps w:val="false"/>
          <w:smallCaps w:val="false"/>
          <w:sz w:val="20"/>
        </w:rPr>
        <w:t>10%, respectively, of accounts receivable. There are no other significant accounts receivable concentration.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from Customer A comprised approximately </w:t>
      </w:r>
      <w:bookmarkStart w:id="395" w:name="xdx_903_eus-gaap--ConcentrationRiskPerce"/>
      <w:bookmarkEnd w:id="395"/>
      <w:r>
        <w:rPr>
          <w:rFonts w:ascii="Times New Roman;Times;Serif" w:hAnsi="Times New Roman;Times;Serif"/>
          <w:b w:val="false"/>
          <w:i w:val="false"/>
          <w:caps w:val="false"/>
          <w:smallCaps w:val="false"/>
          <w:sz w:val="20"/>
        </w:rPr>
        <w:t xml:space="preserve">14% of the Company’s total revenue for the year ended December 31, 2024. Sales from Customer B comprised approximately </w:t>
      </w:r>
      <w:bookmarkStart w:id="396" w:name="xdx_903_eus-gaap--ConcentrationRiskPerce"/>
      <w:bookmarkEnd w:id="396"/>
      <w:r>
        <w:rPr>
          <w:rFonts w:ascii="Times New Roman;Times;Serif" w:hAnsi="Times New Roman;Times;Serif"/>
          <w:b w:val="false"/>
          <w:i w:val="false"/>
          <w:caps w:val="false"/>
          <w:smallCaps w:val="false"/>
          <w:sz w:val="20"/>
        </w:rPr>
        <w:t>16% of the Company’s total revenue for the year ended December 31, 2023.</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payables to Vendor A, Vendor B, and Vendor C comprised approximately </w:t>
      </w:r>
      <w:bookmarkStart w:id="397" w:name="xdx_908_eus-gaap--ConcentrationRiskPerce"/>
      <w:bookmarkEnd w:id="397"/>
      <w:r>
        <w:rPr>
          <w:rFonts w:ascii="Times New Roman;Times;Serif" w:hAnsi="Times New Roman;Times;Serif"/>
          <w:b w:val="false"/>
          <w:i w:val="false"/>
          <w:caps w:val="false"/>
          <w:smallCaps w:val="false"/>
          <w:sz w:val="20"/>
        </w:rPr>
        <w:t xml:space="preserve">33%, </w:t>
      </w:r>
      <w:bookmarkStart w:id="398" w:name="xdx_901_eus-gaap--ConcentrationRiskPerce"/>
      <w:bookmarkEnd w:id="398"/>
      <w:r>
        <w:rPr>
          <w:rFonts w:ascii="Times New Roman;Times;Serif" w:hAnsi="Times New Roman;Times;Serif"/>
          <w:b w:val="false"/>
          <w:i w:val="false"/>
          <w:caps w:val="false"/>
          <w:smallCaps w:val="false"/>
          <w:sz w:val="20"/>
        </w:rPr>
        <w:t xml:space="preserve">12%, and </w:t>
      </w:r>
      <w:bookmarkStart w:id="399" w:name="xdx_90E_eus-gaap--ConcentrationRiskPerce"/>
      <w:bookmarkEnd w:id="399"/>
      <w:r>
        <w:rPr>
          <w:rFonts w:ascii="Times New Roman;Times;Serif" w:hAnsi="Times New Roman;Times;Serif"/>
          <w:b w:val="false"/>
          <w:i w:val="false"/>
          <w:caps w:val="false"/>
          <w:smallCaps w:val="false"/>
          <w:sz w:val="20"/>
        </w:rPr>
        <w:t xml:space="preserve">11%, respectively, of accounts payables. As of December 31, 2023, payables to Vendor A comprised approximately </w:t>
      </w:r>
      <w:bookmarkStart w:id="400" w:name="xdx_901_eus-gaap--ConcentrationRiskPerce"/>
      <w:bookmarkEnd w:id="400"/>
      <w:r>
        <w:rPr>
          <w:rFonts w:ascii="Times New Roman;Times;Serif" w:hAnsi="Times New Roman;Times;Serif"/>
          <w:b w:val="false"/>
          <w:i w:val="false"/>
          <w:caps w:val="false"/>
          <w:smallCaps w:val="false"/>
          <w:sz w:val="20"/>
        </w:rPr>
        <w:t>65% of accounts payables.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Vendor A accounted for approximately </w:t>
      </w:r>
      <w:bookmarkStart w:id="401" w:name="xdx_900_eus-gaap--ConcentrationRiskPerce"/>
      <w:bookmarkEnd w:id="401"/>
      <w:r>
        <w:rPr>
          <w:rFonts w:ascii="Times New Roman;Times;Serif" w:hAnsi="Times New Roman;Times;Serif"/>
          <w:b w:val="false"/>
          <w:i w:val="false"/>
          <w:caps w:val="false"/>
          <w:smallCaps w:val="false"/>
          <w:sz w:val="20"/>
        </w:rPr>
        <w:t xml:space="preserve">11% of the Company’s total purchases. For the year ended December 31, 2023, Vendor B accounted for approximately </w:t>
      </w:r>
      <w:bookmarkStart w:id="402" w:name="xdx_909_eus-gaap--ConcentrationRiskPerce"/>
      <w:bookmarkEnd w:id="402"/>
      <w:r>
        <w:rPr>
          <w:rFonts w:ascii="Times New Roman;Times;Serif" w:hAnsi="Times New Roman;Times;Serif"/>
          <w:b w:val="false"/>
          <w:i w:val="false"/>
          <w:caps w:val="false"/>
          <w:smallCaps w:val="false"/>
          <w:sz w:val="20"/>
        </w:rPr>
        <w:t>14% of the Company’s total purchases.</w:t>
      </w:r>
    </w:p>
    <w:p>
      <w:pPr>
        <w:pStyle w:val="TextBody"/>
        <w:bidi w:val="0"/>
        <w:ind w:left="10" w:right="0" w:hanging="1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bookmarkStart w:id="403" w:name="xdx_843_eus-gaap--DeferredChargesPolicyT"/>
      <w:bookmarkEnd w:id="403"/>
      <w:r>
        <w:rPr>
          <w:rFonts w:ascii="Times New Roman;Times;Serif" w:hAnsi="Times New Roman;Times;Serif"/>
          <w:b w:val="false"/>
          <w:i/>
          <w:caps w:val="false"/>
          <w:smallCaps w:val="false"/>
          <w:sz w:val="20"/>
          <w:u w:val="single"/>
        </w:rPr>
        <w:t>Deferred Financing Costs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bookmarkStart w:id="404" w:name="xdx_84F_eus-gaap--ResearchAndDevelopment"/>
      <w:bookmarkEnd w:id="404"/>
      <w:r>
        <w:rPr>
          <w:rFonts w:ascii="Times New Roman;Times;Serif" w:hAnsi="Times New Roman;Times;Serif"/>
          <w:b w:val="false"/>
          <w:i/>
          <w:caps w:val="false"/>
          <w:smallCaps w:val="false"/>
          <w:sz w:val="20"/>
          <w:u w:val="single"/>
        </w:rPr>
        <w:t>Research and Development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405" w:name="xdx_847_eus-gaap--AdvertisingCostsPolicy"/>
      <w:bookmarkEnd w:id="405"/>
      <w:r>
        <w:rPr>
          <w:rFonts w:ascii="Times New Roman;Times;Serif" w:hAnsi="Times New Roman;Times;Serif"/>
          <w:b w:val="false"/>
          <w:i/>
          <w:caps w:val="false"/>
          <w:smallCaps w:val="false"/>
          <w:sz w:val="20"/>
          <w:u w:val="single"/>
        </w:rPr>
        <w:t>Advertising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w:t>
      </w:r>
      <w:bookmarkStart w:id="406" w:name="xdx_903_eus-gaap--AdvertisingExpense_pn3"/>
      <w:bookmarkEnd w:id="406"/>
      <w:r>
        <w:rPr>
          <w:rFonts w:ascii="Times New Roman;Times;Serif" w:hAnsi="Times New Roman;Times;Serif"/>
          <w:b w:val="false"/>
          <w:i w:val="false"/>
          <w:caps w:val="false"/>
          <w:smallCaps w:val="false"/>
          <w:sz w:val="20"/>
        </w:rPr>
        <w:t>2,257 and $</w:t>
      </w:r>
      <w:bookmarkStart w:id="407" w:name="xdx_905_eus-gaap--AdvertisingExpense_pn3"/>
      <w:bookmarkEnd w:id="407"/>
      <w:r>
        <w:rPr>
          <w:rFonts w:ascii="Times New Roman;Times;Serif" w:hAnsi="Times New Roman;Times;Serif"/>
          <w:b w:val="false"/>
          <w:i w:val="false"/>
          <w:caps w:val="false"/>
          <w:smallCaps w:val="false"/>
          <w:sz w:val="20"/>
        </w:rPr>
        <w:t>2,167 for the years ended December 31, 2024 and 2023,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bookmarkStart w:id="408" w:name="xdx_840_eus-gaap--ShareBasedCompensation"/>
      <w:bookmarkEnd w:id="408"/>
      <w:r>
        <w:rPr>
          <w:rFonts w:ascii="Times New Roman;Times;Serif" w:hAnsi="Times New Roman;Times;Serif"/>
          <w:b w:val="false"/>
          <w:i/>
          <w:caps w:val="false"/>
          <w:smallCaps w:val="false"/>
          <w:sz w:val="20"/>
          <w:u w:val="single"/>
        </w:rPr>
        <w:t>Stock-Based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Times;Serif" w:hAnsi="Times New Roman;Times;Serif"/>
          <w:b/>
          <w:i w:val="false"/>
          <w:caps w:val="false"/>
          <w:smallCaps w:val="false"/>
          <w:sz w:val="20"/>
        </w:rPr>
        <w:t>Note 12</w:t>
      </w:r>
      <w:r>
        <w:rPr>
          <w:rFonts w:ascii="Times New Roman;Times;Serif" w:hAnsi="Times New Roman;Times;Serif"/>
          <w:b w:val="false"/>
          <w:i w:val="false"/>
          <w:caps w:val="false"/>
          <w:smallCaps w:val="false"/>
          <w:sz w:val="20"/>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bookmarkStart w:id="409" w:name="xdx_84C_eus-gaap--IncomeTaxPolicyTextBlo"/>
      <w:bookmarkEnd w:id="409"/>
      <w:r>
        <w:rPr>
          <w:rFonts w:ascii="Times New Roman;Times;Serif" w:hAnsi="Times New Roman;Times;Serif"/>
          <w:b w:val="false"/>
          <w:i/>
          <w:caps w:val="false"/>
          <w:smallCaps w:val="false"/>
          <w:sz w:val="20"/>
          <w:u w:val="single"/>
        </w:rPr>
        <w:t>Income Taxes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w:t>
      </w:r>
      <w:r>
        <w:rPr>
          <w:rFonts w:ascii="Times New Roman;Times;Serif" w:hAnsi="Times New Roman;Times;Serif"/>
          <w:b/>
          <w:i w:val="false"/>
          <w:caps w:val="false"/>
          <w:smallCaps w:val="false"/>
          <w:sz w:val="20"/>
        </w:rPr>
        <w:t>Note 14</w:t>
      </w:r>
      <w:r>
        <w:rPr>
          <w:rFonts w:ascii="Times New Roman;Times;Serif" w:hAnsi="Times New Roman;Times;Serif"/>
          <w:b w:val="false"/>
          <w:i w:val="false"/>
          <w:caps w:val="false"/>
          <w:smallCaps w:val="false"/>
          <w:sz w:val="20"/>
        </w:rPr>
        <w:t>)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had a liability of $</w:t>
      </w:r>
      <w:bookmarkStart w:id="410" w:name="xdx_909_eus-gaap--UnrecognizedTaxBenefit"/>
      <w:bookmarkEnd w:id="410"/>
      <w:r>
        <w:rPr>
          <w:rFonts w:ascii="Times New Roman;Times;Serif" w:hAnsi="Times New Roman;Times;Serif"/>
          <w:b w:val="false"/>
          <w:i w:val="false"/>
          <w:caps w:val="false"/>
          <w:smallCaps w:val="false"/>
          <w:sz w:val="20"/>
        </w:rPr>
        <w:t>55 and $</w:t>
      </w:r>
      <w:bookmarkStart w:id="411" w:name="xdx_905_eus-gaap--UnrecognizedTaxBenefit"/>
      <w:bookmarkEnd w:id="411"/>
      <w:r>
        <w:rPr>
          <w:rFonts w:ascii="Times New Roman;Times;Serif" w:hAnsi="Times New Roman;Times;Serif"/>
          <w:b w:val="false"/>
          <w:i w:val="false"/>
          <w:caps w:val="false"/>
          <w:smallCaps w:val="false"/>
          <w:sz w:val="20"/>
        </w:rPr>
        <w:t>91 as of December 31, 2024 and 2023, of uncertain tax positions.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bookmarkStart w:id="412" w:name="xdx_84E_eus-gaap--EarningsPerSharePolicy"/>
      <w:bookmarkEnd w:id="412"/>
      <w:r>
        <w:rPr>
          <w:rFonts w:ascii="Times New Roman;Times;Serif" w:hAnsi="Times New Roman;Times;Serif"/>
          <w:b w:val="false"/>
          <w:i/>
          <w:caps w:val="false"/>
          <w:smallCaps w:val="false"/>
          <w:sz w:val="20"/>
          <w:u w:val="single"/>
        </w:rPr>
        <w:t>Net Loss per Common Share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gives effect to all potentially dilutive common equivalent shares, including outstanding stock options and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413" w:name="xdx_89A_eus-gaap--ScheduleOfAntidilutive"/>
      <w:bookmarkEnd w:id="413"/>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loss per share because their effect was anti-dilutive:</w:t>
      </w:r>
    </w:p>
    <w:p>
      <w:pPr>
        <w:pStyle w:val="TextBody"/>
        <w:bidi w:val="0"/>
        <w:spacing w:before="0" w:after="0"/>
        <w:ind w:left="10" w:right="0" w:hanging="10"/>
        <w:jc w:val="both"/>
        <w:rPr>
          <w:caps w:val="false"/>
          <w:smallCaps w:val="false"/>
        </w:rPr>
      </w:pPr>
      <w:r>
        <w:rPr>
          <w:caps w:val="false"/>
          <w:smallCaps w:val="false"/>
        </w:rPr>
        <w:t> </w:t>
      </w:r>
      <w:bookmarkStart w:id="414" w:name="xdx_8B3_zC6olt1rzR5a"/>
      <w:bookmarkEnd w:id="414"/>
      <w:r>
        <w:rPr>
          <w:rFonts w:ascii="Times New Roman;Times;Serif" w:hAnsi="Times New Roman;Times;Serif"/>
          <w:b w:val="false"/>
          <w:i w:val="false"/>
          <w:caps w:val="false"/>
          <w:smallCaps w:val="false"/>
          <w:sz w:val="20"/>
        </w:rPr>
        <w:t>SCHEDULE OF POTENTIAL SHARES OF COMMON STOCK EXCLUDED FROM DILUTED NET LOSS PER SHARE </w:t>
      </w:r>
    </w:p>
    <w:tbl>
      <w:tblPr>
        <w:tblW w:w="7200" w:type="dxa"/>
        <w:jc w:val="left"/>
        <w:tblInd w:w="0" w:type="dxa"/>
        <w:tblLayout w:type="fixed"/>
        <w:tblCellMar>
          <w:top w:w="0" w:type="dxa"/>
          <w:left w:w="0" w:type="dxa"/>
          <w:bottom w:w="0" w:type="dxa"/>
          <w:right w:w="0" w:type="dxa"/>
        </w:tblCellMar>
      </w:tblPr>
      <w:tblGrid>
        <w:gridCol w:w="4865"/>
        <w:gridCol w:w="60"/>
        <w:gridCol w:w="60"/>
        <w:gridCol w:w="980"/>
        <w:gridCol w:w="60"/>
        <w:gridCol w:w="60"/>
        <w:gridCol w:w="60"/>
        <w:gridCol w:w="980"/>
        <w:gridCol w:w="75"/>
      </w:tblGrid>
      <w:tr>
        <w:trPr/>
        <w:tc>
          <w:tcPr>
            <w:tcW w:w="4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15" w:name="xdx_495_20240101__20241231_zvoRj6f25fcl"/>
            <w:bookmarkEnd w:id="415"/>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6" w:name="xdx_497_20230101__20231231_zJPfokcmLxsf"/>
            <w:bookmarkEnd w:id="416"/>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ind w:left="0" w:right="0" w:hanging="10"/>
              <w:jc w:val="left"/>
              <w:rPr/>
            </w:pPr>
            <w:r>
              <w:rPr/>
              <w:t> </w:t>
            </w:r>
            <w:bookmarkStart w:id="417" w:name="xdx_401_eus-gaap--AntidilutiveSecurities"/>
            <w:bookmarkEnd w:id="417"/>
          </w:p>
        </w:tc>
      </w:tr>
      <w:tr>
        <w:trPr/>
        <w:tc>
          <w:tcPr>
            <w:tcW w:w="4865" w:type="dxa"/>
            <w:tcBorders/>
            <w:shd w:fill="CCEEFF" w:val="clear"/>
            <w:vAlign w:val="center"/>
          </w:tcPr>
          <w:p>
            <w:pPr>
              <w:pStyle w:val="TableContents"/>
              <w:bidi w:val="0"/>
              <w:spacing w:before="0" w:after="283"/>
              <w:jc w:val="both"/>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3,926,151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2,723,397</w:t>
            </w:r>
          </w:p>
        </w:tc>
        <w:tc>
          <w:tcPr>
            <w:tcW w:w="75" w:type="dxa"/>
            <w:tcBorders/>
            <w:shd w:fill="CCEEFF" w:val="clear"/>
            <w:vAlign w:val="center"/>
          </w:tcPr>
          <w:p>
            <w:pPr>
              <w:pStyle w:val="TableContents"/>
              <w:bidi w:val="0"/>
              <w:spacing w:before="0" w:after="283"/>
              <w:ind w:left="0" w:right="0" w:hanging="10"/>
              <w:jc w:val="left"/>
              <w:rPr/>
            </w:pPr>
            <w:r>
              <w:rPr/>
              <w:t> </w:t>
            </w:r>
            <w:bookmarkStart w:id="418" w:name="xdx_407_eus-gaap--AntidilutiveSecurities"/>
            <w:bookmarkEnd w:id="418"/>
          </w:p>
        </w:tc>
      </w:tr>
      <w:tr>
        <w:trPr/>
        <w:tc>
          <w:tcPr>
            <w:tcW w:w="4865"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334,751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5,224</w:t>
            </w:r>
          </w:p>
        </w:tc>
        <w:tc>
          <w:tcPr>
            <w:tcW w:w="75" w:type="dxa"/>
            <w:tcBorders/>
            <w:shd w:fill="FFFFFF" w:val="clear"/>
            <w:vAlign w:val="center"/>
          </w:tcPr>
          <w:p>
            <w:pPr>
              <w:pStyle w:val="TableContents"/>
              <w:bidi w:val="0"/>
              <w:spacing w:before="0" w:after="283"/>
              <w:ind w:left="0" w:right="0" w:hanging="10"/>
              <w:jc w:val="left"/>
              <w:rPr/>
            </w:pPr>
            <w:r>
              <w:rPr/>
              <w:t> </w:t>
            </w:r>
            <w:bookmarkStart w:id="419" w:name="xdx_407_eus-gaap--AntidilutiveSecurities"/>
            <w:bookmarkEnd w:id="419"/>
          </w:p>
        </w:tc>
      </w:tr>
      <w:tr>
        <w:trPr/>
        <w:tc>
          <w:tcPr>
            <w:tcW w:w="4865" w:type="dxa"/>
            <w:tcBorders/>
            <w:shd w:fill="CCEEFF" w:val="clear"/>
            <w:vAlign w:val="center"/>
          </w:tcPr>
          <w:p>
            <w:pPr>
              <w:pStyle w:val="TableContents"/>
              <w:bidi w:val="0"/>
              <w:spacing w:before="0" w:after="283"/>
              <w:jc w:val="both"/>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168,809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262,720</w:t>
            </w:r>
          </w:p>
        </w:tc>
        <w:tc>
          <w:tcPr>
            <w:tcW w:w="75" w:type="dxa"/>
            <w:tcBorders/>
            <w:shd w:fill="CCEEFF" w:val="clear"/>
            <w:vAlign w:val="center"/>
          </w:tcPr>
          <w:p>
            <w:pPr>
              <w:pStyle w:val="TableContents"/>
              <w:bidi w:val="0"/>
              <w:spacing w:before="0" w:after="283"/>
              <w:ind w:left="0" w:right="0" w:hanging="10"/>
              <w:jc w:val="left"/>
              <w:rPr/>
            </w:pPr>
            <w:r>
              <w:rPr/>
              <w:t> </w:t>
            </w:r>
            <w:bookmarkStart w:id="420" w:name="xdx_40D_eus-gaap--AntidilutiveSecurities"/>
            <w:bookmarkEnd w:id="420"/>
          </w:p>
        </w:tc>
      </w:tr>
      <w:tr>
        <w:trPr/>
        <w:tc>
          <w:tcPr>
            <w:tcW w:w="4865" w:type="dxa"/>
            <w:tcBorders/>
            <w:shd w:fill="FFFFFF" w:val="clear"/>
            <w:vAlign w:val="center"/>
          </w:tcPr>
          <w:p>
            <w:pPr>
              <w:pStyle w:val="TableContents"/>
              <w:bidi w:val="0"/>
              <w:spacing w:before="0" w:after="283"/>
              <w:jc w:val="both"/>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4,429,711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2,991,341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421" w:name="xdx_8A5_zpt3DZ46BiI9"/>
      <w:bookmarkEnd w:id="421"/>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422" w:name="xdx_84A_eus-gaap--LesseeLeasesPolicyText"/>
      <w:bookmarkEnd w:id="422"/>
      <w:r>
        <w:rPr>
          <w:rFonts w:ascii="Times New Roman;Times;Serif" w:hAnsi="Times New Roman;Times;Serif"/>
          <w:b w:val="false"/>
          <w:i/>
          <w:caps w:val="false"/>
          <w:smallCaps w:val="false"/>
          <w:sz w:val="20"/>
          <w:u w:val="single"/>
        </w:rPr>
        <w:t>Leases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bookmarkStart w:id="423" w:name="xdx_84F_eus-gaap--SegmentReportingPolicy"/>
      <w:bookmarkEnd w:id="423"/>
      <w:r>
        <w:rPr>
          <w:rFonts w:ascii="Times New Roman;Times;Serif" w:hAnsi="Times New Roman;Times;Serif"/>
          <w:b w:val="false"/>
          <w:i/>
          <w:caps w:val="false"/>
          <w:smallCaps w:val="false"/>
          <w:sz w:val="20"/>
          <w:u w:val="single"/>
        </w:rPr>
        <w:t>Segment Reporting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w:t>
      </w:r>
      <w:r>
        <w:rPr>
          <w:rFonts w:ascii="Times New Roman;Times;Serif" w:hAnsi="Times New Roman;Times;Serif"/>
          <w:b/>
          <w:i w:val="false"/>
          <w:caps w:val="false"/>
          <w:smallCaps w:val="false"/>
          <w:sz w:val="20"/>
        </w:rPr>
        <w:t>Note 15</w:t>
      </w:r>
      <w:r>
        <w:rPr>
          <w:rFonts w:ascii="Times New Roman;Times;Serif" w:hAnsi="Times New Roman;Times;Serif"/>
          <w:b w:val="false"/>
          <w:i w:val="false"/>
          <w:caps w:val="false"/>
          <w:smallCaps w:val="false"/>
          <w:sz w:val="20"/>
        </w:rPr>
        <w:t>) as components of an enterprise for which separate discrete financial information is available for evaluation by the Company’s Chief Executive Officer to make decisions with respect to resource allocation and assessment of performance. Previously, the Company recognized one operating segment. Historically, the Company reported a single operating and reportable segment, as management evaluated the business on a consolidated basis. During the fourth quarter of the current year, the Company reassessed its internal reporting structure and how management monitors operations and makes decisions. As a result of this reassessment, the Company determined that it now manages its business through two distinct operating segments. This change was driven by the development of the Company’s operations and internal decision-making processes, including the introduction of separate performance metrics and discrete financial information for each segment.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bookmarkStart w:id="424" w:name="xdx_843_eus-gaap--NewAccountingPronounce"/>
      <w:bookmarkEnd w:id="424"/>
      <w:r>
        <w:rPr>
          <w:rFonts w:ascii="Times New Roman;Times;Serif" w:hAnsi="Times New Roman;Times;Serif"/>
          <w:b w:val="false"/>
          <w:i/>
          <w:caps w:val="false"/>
          <w:smallCaps w:val="false"/>
          <w:sz w:val="20"/>
          <w:u w:val="single"/>
        </w:rPr>
        <w:t>Recently adopted accounting pronouncements: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No. 2023-07, Segment Reporting (Topic 280), Improvements to Reportable Segment Disclosures (“ASU 2023-07”) which will require companies to disclose significant segment expenses that are regularly provided to the chief operating decision maker (“CODM”). The pronouncement is effective for annual filings for the year ended December 31, 2024. The adoption of ASU 2023-07 will necessitate substantial changes to the notes to the financial statements, specifically in the area of segment disclosures. For a company that operates as a single-segment entity and previously did not need to comply with ASC 280 Segment Reporting (“ASC 280”), the changes include:</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 reportable segment entities are required to provide the new disclosures and all disclosures currently required under ASC 280</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the title and position of the CODM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significant segment expenses and “other segment items” for reach reportable segment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reportable segment profit or loss and assets in annual and interim periods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segment profitability measures used by the CODM provided such measures comply with the use of non-GAAP financial measures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impact of ASU 2023-07 on its financial reporting and the adoption did not have a material impact on its results of operations, financial position or cash flows. The Company implemented updates to its reporting processes (</w:t>
      </w:r>
      <w:r>
        <w:rPr>
          <w:rFonts w:ascii="Times New Roman;Times;Serif" w:hAnsi="Times New Roman;Times;Serif"/>
          <w:b/>
          <w:i w:val="false"/>
          <w:caps w:val="false"/>
          <w:smallCaps w:val="false"/>
          <w:sz w:val="20"/>
        </w:rPr>
        <w:t>Note 15</w:t>
      </w:r>
      <w:r>
        <w:rPr>
          <w:rFonts w:ascii="Times New Roman;Times;Serif" w:hAnsi="Times New Roman;Times;Serif"/>
          <w:b w:val="false"/>
          <w:i w:val="false"/>
          <w:caps w:val="false"/>
          <w:smallCaps w:val="false"/>
          <w:sz w:val="20"/>
        </w:rPr>
        <w:t>) to ensure compliance with the new standard, which required additional data collection related to significant segment expenses.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bookmarkStart w:id="425" w:name="xdx_849_ecustom--RecentlyIssuedAccountin"/>
      <w:bookmarkEnd w:id="425"/>
      <w:r>
        <w:rPr>
          <w:rFonts w:ascii="Times New Roman;Times;Serif" w:hAnsi="Times New Roman;Times;Serif"/>
          <w:b w:val="false"/>
          <w:i/>
          <w:caps w:val="false"/>
          <w:smallCaps w:val="false"/>
          <w:sz w:val="20"/>
          <w:u w:val="single"/>
        </w:rPr>
        <w:t>Recently issued accounting pronouncements</w:t>
      </w:r>
      <w:r>
        <w:rPr>
          <w:rFonts w:ascii="Times New Roman;Times;Serif" w:hAnsi="Times New Roman;Times;Serif"/>
          <w:b w:val="false"/>
          <w:i/>
          <w:caps w:val="false"/>
          <w:smallCaps w:val="false"/>
          <w:sz w:val="20"/>
        </w:rPr>
        <w: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w:t>
      </w:r>
      <w:r>
        <w:rPr>
          <w:rFonts w:ascii="Times New Roman;Times;Serif" w:hAnsi="Times New Roman;Times;Serif"/>
          <w:b/>
          <w:i w:val="false"/>
          <w:caps w:val="false"/>
          <w:smallCaps w:val="false"/>
          <w:sz w:val="20"/>
        </w:rPr>
        <w:t>2025</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01</w:t>
      </w:r>
      <w:r>
        <w:rPr>
          <w:rFonts w:ascii="Times New Roman;Times;Serif" w:hAnsi="Times New Roman;Times;Serif"/>
          <w:b w:val="false"/>
          <w:i w:val="false"/>
          <w:caps w:val="false"/>
          <w:smallCaps w:val="false"/>
          <w:sz w:val="20"/>
        </w:rPr>
        <w:t xml:space="preserve"> to clarify that all public entities, including non-calendar year-end entities, should adopt the disclosure requirements of ASU 2024-03. The Company is currently evaluating the impact.</w:t>
      </w:r>
    </w:p>
    <w:p>
      <w:pPr>
        <w:pStyle w:val="TextBody"/>
        <w:bidi w:val="0"/>
        <w:spacing w:before="0" w:after="0"/>
        <w:ind w:left="10" w:right="0" w:hanging="10"/>
        <w:jc w:val="both"/>
        <w:rPr>
          <w:caps w:val="false"/>
          <w:smallCaps w:val="false"/>
        </w:rPr>
      </w:pPr>
      <w:bookmarkStart w:id="426" w:name="xdx_85F_z8pbqisnxIl9"/>
      <w:bookmarkEnd w:id="426"/>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427" w:name="xdx_804_eus-gaap--FairValueDisclosuresTe"/>
      <w:bookmarkEnd w:id="427"/>
      <w:r>
        <w:rPr>
          <w:rFonts w:ascii="Times New Roman;Times;Serif" w:hAnsi="Times New Roman;Times;Serif"/>
          <w:b/>
          <w:i w:val="false"/>
          <w:caps/>
          <w:sz w:val="20"/>
        </w:rPr>
        <w:t xml:space="preserve">Note 3 - </w:t>
      </w:r>
      <w:bookmarkStart w:id="428" w:name="xdx_82B_ztzKK8IKFys8"/>
      <w:bookmarkEnd w:id="428"/>
      <w:r>
        <w:rPr>
          <w:rFonts w:ascii="Times New Roman;Times;Serif" w:hAnsi="Times New Roman;Times;Serif"/>
          <w:b/>
          <w:i w:val="false"/>
          <w:caps/>
          <w:sz w:val="20"/>
        </w:rPr>
        <w:t>FAIR VALUE MEASUREMENTS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36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429" w:name="xdx_893_eus-gaap--ScheduleOfFairValueAss"/>
      <w:bookmarkEnd w:id="429"/>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2024:</w:t>
      </w:r>
    </w:p>
    <w:p>
      <w:pPr>
        <w:pStyle w:val="TextBody"/>
        <w:bidi w:val="0"/>
        <w:spacing w:before="0" w:after="0"/>
        <w:jc w:val="center"/>
        <w:rPr>
          <w:caps w:val="false"/>
          <w:smallCaps w:val="false"/>
        </w:rPr>
      </w:pPr>
      <w:r>
        <w:rPr>
          <w:caps w:val="false"/>
          <w:smallCaps w:val="false"/>
        </w:rPr>
        <w:t> </w:t>
      </w:r>
      <w:bookmarkStart w:id="430" w:name="xdx_8B0_zxPyZZJsIOK9"/>
      <w:bookmarkEnd w:id="430"/>
      <w:r>
        <w:rPr>
          <w:rFonts w:ascii="Times New Roman;Times;Serif" w:hAnsi="Times New Roman;Times;Serif"/>
          <w:b w:val="false"/>
          <w:i w:val="false"/>
          <w:caps w:val="false"/>
          <w:smallCaps w:val="false"/>
          <w:sz w:val="20"/>
        </w:rPr>
        <w:t>SCHEDULE OF FAIR VALUE OF ASSETS AND LIABILITIES   </w:t>
      </w:r>
    </w:p>
    <w:tbl>
      <w:tblPr>
        <w:tblW w:w="8848" w:type="dxa"/>
        <w:jc w:val="left"/>
        <w:tblInd w:w="0" w:type="dxa"/>
        <w:tblLayout w:type="fixed"/>
        <w:tblCellMar>
          <w:top w:w="0" w:type="dxa"/>
          <w:left w:w="0" w:type="dxa"/>
          <w:bottom w:w="0" w:type="dxa"/>
          <w:right w:w="0" w:type="dxa"/>
        </w:tblCellMar>
      </w:tblPr>
      <w:tblGrid>
        <w:gridCol w:w="3665"/>
        <w:gridCol w:w="60"/>
        <w:gridCol w:w="289"/>
        <w:gridCol w:w="1156"/>
        <w:gridCol w:w="60"/>
        <w:gridCol w:w="60"/>
        <w:gridCol w:w="172"/>
        <w:gridCol w:w="688"/>
        <w:gridCol w:w="60"/>
        <w:gridCol w:w="60"/>
        <w:gridCol w:w="448"/>
        <w:gridCol w:w="306"/>
        <w:gridCol w:w="60"/>
        <w:gridCol w:w="60"/>
        <w:gridCol w:w="151"/>
        <w:gridCol w:w="604"/>
        <w:gridCol w:w="60"/>
        <w:gridCol w:w="60"/>
        <w:gridCol w:w="448"/>
        <w:gridCol w:w="306"/>
        <w:gridCol w:w="75"/>
      </w:tblGrid>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48" w:type="dxa"/>
            <w:gridSpan w:val="18"/>
            <w:tcBorders>
              <w:bottom w:val="single" w:sz="8" w:space="0" w:color="000000"/>
            </w:tcBorders>
            <w:tcMar>
              <w:bottom w:w="28" w:type="dxa"/>
            </w:tcMar>
            <w:vAlign w:val="center"/>
          </w:tcPr>
          <w:p>
            <w:pPr>
              <w:pStyle w:val="TableContents"/>
              <w:bidi w:val="0"/>
              <w:spacing w:before="0" w:after="283"/>
              <w:jc w:val="center"/>
              <w:rPr/>
            </w:pPr>
            <w:r>
              <w:rPr/>
              <w:t>As of December 31, 2024</w:t>
            </w:r>
          </w:p>
        </w:tc>
        <w:tc>
          <w:tcPr>
            <w:tcW w:w="75" w:type="dxa"/>
            <w:tcBorders/>
            <w:vAlign w:val="center"/>
          </w:tcPr>
          <w:p>
            <w:pPr>
              <w:pStyle w:val="TableContents"/>
              <w:bidi w:val="0"/>
              <w:spacing w:before="0" w:after="283"/>
              <w:ind w:left="0" w:right="0" w:hanging="10"/>
              <w:jc w:val="left"/>
              <w:rPr/>
            </w:pPr>
            <w:r>
              <w:rPr/>
              <w:t> </w:t>
            </w:r>
          </w:p>
        </w:tc>
      </w:tr>
      <w:tr>
        <w:trPr/>
        <w:tc>
          <w:tcPr>
            <w:tcW w:w="3665" w:type="dxa"/>
            <w:tcBorders/>
            <w:shd w:fill="CCEEFF" w:val="clear"/>
            <w:vAlign w:val="center"/>
          </w:tcPr>
          <w:p>
            <w:pPr>
              <w:pStyle w:val="TableContents"/>
              <w:bidi w:val="0"/>
              <w:spacing w:before="0" w:after="283"/>
              <w:jc w:val="both"/>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665" w:type="dxa"/>
            <w:tcBorders/>
            <w:shd w:fill="FFFFFF" w:val="clear"/>
            <w:vAlign w:val="center"/>
          </w:tcPr>
          <w:p>
            <w:pPr>
              <w:pStyle w:val="TableContents"/>
              <w:bidi w:val="0"/>
              <w:spacing w:before="0" w:after="283"/>
              <w:jc w:val="both"/>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w:t>
            </w:r>
            <w:bookmarkStart w:id="431" w:name="xdx_985_eus-gaap--DerivativeLiabilitiesN"/>
            <w:bookmarkEnd w:id="431"/>
          </w:p>
        </w:tc>
        <w:tc>
          <w:tcPr>
            <w:tcW w:w="1156"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bookmarkStart w:id="432" w:name="xdx_985_eus-gaap--LiabilitiesFairValueDi"/>
            <w:bookmarkEnd w:id="432"/>
          </w:p>
        </w:tc>
        <w:tc>
          <w:tcPr>
            <w:tcW w:w="688"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bookmarkStart w:id="433" w:name="xdx_98B_eus-gaap--LiabilitiesFairValueDi"/>
            <w:bookmarkEnd w:id="433"/>
          </w:p>
        </w:tc>
        <w:tc>
          <w:tcPr>
            <w:tcW w:w="3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434" w:name="xdx_98D_eus-gaap--LiabilitiesFairValueDi"/>
            <w:bookmarkEnd w:id="434"/>
          </w:p>
        </w:tc>
        <w:tc>
          <w:tcPr>
            <w:tcW w:w="604"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bookmarkStart w:id="435" w:name="xdx_98F_eus-gaap--LiabilitiesFairValueDi"/>
            <w:bookmarkEnd w:id="435"/>
          </w:p>
        </w:tc>
        <w:tc>
          <w:tcPr>
            <w:tcW w:w="30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665" w:type="dxa"/>
            <w:tcBorders/>
            <w:shd w:fill="CCEEFF" w:val="clear"/>
            <w:vAlign w:val="center"/>
          </w:tcPr>
          <w:p>
            <w:pPr>
              <w:pStyle w:val="TableContents"/>
              <w:bidi w:val="0"/>
              <w:spacing w:before="0" w:after="283"/>
              <w:jc w:val="both"/>
              <w:rPr/>
            </w:pPr>
            <w:r>
              <w:rPr/>
              <w:t>Warrant liability- June Public Offering</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6" w:name="xdx_985_eus-gaap--DerivativeLiabilitiesN"/>
            <w:bookmarkEnd w:id="436"/>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7" w:name="xdx_98B_eus-gaap--LiabilitiesFairValueDi"/>
            <w:bookmarkEnd w:id="437"/>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8" w:name="xdx_987_eus-gaap--LiabilitiesFairValueDi"/>
            <w:bookmarkEnd w:id="438"/>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9" w:name="xdx_986_eus-gaap--LiabilitiesFairValueDi"/>
            <w:bookmarkEnd w:id="439"/>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0" w:name="xdx_98A_eus-gaap--LiabilitiesFairValueDi"/>
            <w:bookmarkEnd w:id="440"/>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665"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1" w:name="xdx_98B_eus-gaap--DerivativeLiabilitiesN"/>
            <w:bookmarkEnd w:id="441"/>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2" w:name="xdx_988_eus-gaap--LiabilitiesFairValueDi"/>
            <w:bookmarkEnd w:id="442"/>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3" w:name="xdx_98C_eus-gaap--LiabilitiesFairValueDi"/>
            <w:bookmarkEnd w:id="443"/>
          </w:p>
        </w:tc>
        <w:tc>
          <w:tcPr>
            <w:tcW w:w="3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4" w:name="xdx_987_eus-gaap--LiabilitiesFairValueDi"/>
            <w:bookmarkEnd w:id="444"/>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5" w:name="xdx_98C_eus-gaap--LiabilitiesFairValueDi"/>
            <w:bookmarkEnd w:id="445"/>
          </w:p>
        </w:tc>
        <w:tc>
          <w:tcPr>
            <w:tcW w:w="3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2023:</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6"/>
        <w:gridCol w:w="60"/>
        <w:gridCol w:w="338"/>
        <w:gridCol w:w="1353"/>
        <w:gridCol w:w="60"/>
        <w:gridCol w:w="60"/>
        <w:gridCol w:w="204"/>
        <w:gridCol w:w="817"/>
        <w:gridCol w:w="60"/>
        <w:gridCol w:w="60"/>
        <w:gridCol w:w="527"/>
        <w:gridCol w:w="358"/>
        <w:gridCol w:w="60"/>
        <w:gridCol w:w="60"/>
        <w:gridCol w:w="310"/>
        <w:gridCol w:w="576"/>
        <w:gridCol w:w="60"/>
        <w:gridCol w:w="60"/>
        <w:gridCol w:w="177"/>
        <w:gridCol w:w="710"/>
        <w:gridCol w:w="79"/>
      </w:tblGrid>
      <w:tr>
        <w:trPr/>
        <w:tc>
          <w:tcPr>
            <w:tcW w:w="42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center"/>
          </w:tcPr>
          <w:p>
            <w:pPr>
              <w:pStyle w:val="TableContents"/>
              <w:bidi w:val="0"/>
              <w:spacing w:before="0" w:after="283"/>
              <w:jc w:val="center"/>
              <w:rPr/>
            </w:pPr>
            <w:r>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79" w:type="dxa"/>
            <w:tcBorders/>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50" w:type="dxa"/>
            <w:gridSpan w:val="18"/>
            <w:tcBorders>
              <w:bottom w:val="single" w:sz="8" w:space="0" w:color="000000"/>
            </w:tcBorders>
            <w:tcMar>
              <w:bottom w:w="28" w:type="dxa"/>
            </w:tcMar>
            <w:vAlign w:val="center"/>
          </w:tcPr>
          <w:p>
            <w:pPr>
              <w:pStyle w:val="TableContents"/>
              <w:bidi w:val="0"/>
              <w:spacing w:before="0" w:after="283"/>
              <w:jc w:val="center"/>
              <w:rPr/>
            </w:pPr>
            <w:r>
              <w:rPr/>
              <w:t>As of December 31, 2023</w:t>
            </w:r>
          </w:p>
        </w:tc>
        <w:tc>
          <w:tcPr>
            <w:tcW w:w="79" w:type="dxa"/>
            <w:tcBorders/>
            <w:vAlign w:val="center"/>
          </w:tcPr>
          <w:p>
            <w:pPr>
              <w:pStyle w:val="TableContents"/>
              <w:bidi w:val="0"/>
              <w:spacing w:before="0" w:after="283"/>
              <w:ind w:left="0" w:right="0" w:hanging="10"/>
              <w:jc w:val="left"/>
              <w:rPr/>
            </w:pPr>
            <w:r>
              <w:rPr/>
              <w:t> </w:t>
            </w:r>
          </w:p>
        </w:tc>
      </w:tr>
      <w:tr>
        <w:trPr/>
        <w:tc>
          <w:tcPr>
            <w:tcW w:w="4216" w:type="dxa"/>
            <w:tcBorders/>
            <w:shd w:fill="CCEEFF" w:val="clear"/>
            <w:vAlign w:val="center"/>
          </w:tcPr>
          <w:p>
            <w:pPr>
              <w:pStyle w:val="TableContents"/>
              <w:bidi w:val="0"/>
              <w:spacing w:before="0" w:after="283"/>
              <w:jc w:val="both"/>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4216" w:type="dxa"/>
            <w:tcBorders/>
            <w:shd w:fill="FFFFFF" w:val="clear"/>
            <w:vAlign w:val="center"/>
          </w:tcPr>
          <w:p>
            <w:pPr>
              <w:pStyle w:val="TableContents"/>
              <w:bidi w:val="0"/>
              <w:spacing w:before="0" w:after="283"/>
              <w:jc w:val="both"/>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w:t>
            </w:r>
            <w:bookmarkStart w:id="446" w:name="xdx_98E_eus-gaap--DerivativeLiabilitiesN"/>
            <w:bookmarkEnd w:id="446"/>
          </w:p>
        </w:tc>
        <w:tc>
          <w:tcPr>
            <w:tcW w:w="1353" w:type="dxa"/>
            <w:tcBorders/>
            <w:shd w:fill="FFFFFF" w:val="clear"/>
            <w:vAlign w:val="center"/>
          </w:tcPr>
          <w:p>
            <w:pPr>
              <w:pStyle w:val="TableContents"/>
              <w:bidi w:val="0"/>
              <w:spacing w:before="0" w:after="283"/>
              <w:jc w:val="right"/>
              <w:rPr/>
            </w:pPr>
            <w:r>
              <w:rPr/>
              <w:t>1,014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447" w:name="xdx_980_eus-gaap--LiabilitiesFairValueDi"/>
            <w:bookmarkEnd w:id="447"/>
          </w:p>
        </w:tc>
        <w:tc>
          <w:tcPr>
            <w:tcW w:w="817" w:type="dxa"/>
            <w:tcBorders/>
            <w:shd w:fill="FFFFFF" w:val="clear"/>
            <w:vAlign w:val="center"/>
          </w:tcPr>
          <w:p>
            <w:pPr>
              <w:pStyle w:val="TableContents"/>
              <w:bidi w:val="0"/>
              <w:spacing w:before="0" w:after="283"/>
              <w:jc w:val="right"/>
              <w:rPr/>
            </w:pPr>
            <w:r>
              <w:rPr/>
              <w:t>1,014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w:t>
            </w:r>
            <w:bookmarkStart w:id="448" w:name="xdx_98F_eus-gaap--LiabilitiesFairValueDi"/>
            <w:bookmarkEnd w:id="448"/>
          </w:p>
        </w:tc>
        <w:tc>
          <w:tcPr>
            <w:tcW w:w="3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w:t>
            </w:r>
            <w:bookmarkStart w:id="449" w:name="xdx_988_eus-gaap--LiabilitiesFairValueDi"/>
            <w:bookmarkEnd w:id="449"/>
          </w:p>
        </w:tc>
        <w:tc>
          <w:tcPr>
            <w:tcW w:w="5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50" w:name="xdx_984_eus-gaap--LiabilitiesFairValueDi"/>
            <w:bookmarkEnd w:id="450"/>
          </w:p>
        </w:tc>
        <w:tc>
          <w:tcPr>
            <w:tcW w:w="710" w:type="dxa"/>
            <w:tcBorders/>
            <w:shd w:fill="FFFFFF" w:val="clear"/>
            <w:vAlign w:val="center"/>
          </w:tcPr>
          <w:p>
            <w:pPr>
              <w:pStyle w:val="TableContents"/>
              <w:bidi w:val="0"/>
              <w:spacing w:before="0" w:after="283"/>
              <w:jc w:val="right"/>
              <w:rPr/>
            </w:pPr>
            <w:r>
              <w:rPr/>
              <w:t>1,014</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4216" w:type="dxa"/>
            <w:tcBorders/>
            <w:shd w:fill="CCEEFF" w:val="clear"/>
            <w:vAlign w:val="center"/>
          </w:tcPr>
          <w:p>
            <w:pPr>
              <w:pStyle w:val="TableContents"/>
              <w:bidi w:val="0"/>
              <w:spacing w:before="0" w:after="283"/>
              <w:jc w:val="both"/>
              <w:rPr/>
            </w:pPr>
            <w:r>
              <w:rPr/>
              <w:t>Warrant liability- June Public Offering</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bookmarkStart w:id="451" w:name="xdx_980_eus-gaap--DerivativeLiabilitiesN"/>
            <w:bookmarkEnd w:id="451"/>
          </w:p>
        </w:tc>
        <w:tc>
          <w:tcPr>
            <w:tcW w:w="1353" w:type="dxa"/>
            <w:tcBorders/>
            <w:shd w:fill="CCEEFF" w:val="clear"/>
            <w:vAlign w:val="center"/>
          </w:tcPr>
          <w:p>
            <w:pPr>
              <w:pStyle w:val="TableContents"/>
              <w:bidi w:val="0"/>
              <w:spacing w:before="0" w:after="283"/>
              <w:jc w:val="right"/>
              <w:rPr/>
            </w:pPr>
            <w:r>
              <w:rPr/>
              <w:t>3,434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bookmarkStart w:id="452" w:name="xdx_98E_eus-gaap--LiabilitiesFairValueDi"/>
            <w:bookmarkEnd w:id="452"/>
          </w:p>
        </w:tc>
        <w:tc>
          <w:tcPr>
            <w:tcW w:w="817" w:type="dxa"/>
            <w:tcBorders/>
            <w:shd w:fill="CCEEFF" w:val="clear"/>
            <w:vAlign w:val="center"/>
          </w:tcPr>
          <w:p>
            <w:pPr>
              <w:pStyle w:val="TableContents"/>
              <w:bidi w:val="0"/>
              <w:spacing w:before="0" w:after="283"/>
              <w:jc w:val="right"/>
              <w:rPr/>
            </w:pPr>
            <w:r>
              <w:rPr/>
              <w:t>3,434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bookmarkStart w:id="453" w:name="xdx_984_eus-gaap--LiabilitiesFairValueDi"/>
            <w:bookmarkEnd w:id="453"/>
          </w:p>
        </w:tc>
        <w:tc>
          <w:tcPr>
            <w:tcW w:w="3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bookmarkStart w:id="454" w:name="xdx_985_eus-gaap--LiabilitiesFairValueDi"/>
            <w:bookmarkEnd w:id="454"/>
          </w:p>
        </w:tc>
        <w:tc>
          <w:tcPr>
            <w:tcW w:w="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bookmarkStart w:id="455" w:name="xdx_985_eus-gaap--LiabilitiesFairValueDi"/>
            <w:bookmarkEnd w:id="455"/>
          </w:p>
        </w:tc>
        <w:tc>
          <w:tcPr>
            <w:tcW w:w="710" w:type="dxa"/>
            <w:tcBorders/>
            <w:shd w:fill="CCEEFF" w:val="clear"/>
            <w:vAlign w:val="center"/>
          </w:tcPr>
          <w:p>
            <w:pPr>
              <w:pStyle w:val="TableContents"/>
              <w:bidi w:val="0"/>
              <w:spacing w:before="0" w:after="283"/>
              <w:jc w:val="right"/>
              <w:rPr/>
            </w:pPr>
            <w:r>
              <w:rPr/>
              <w:t>3,434</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4216" w:type="dxa"/>
            <w:tcBorders/>
            <w:shd w:fill="FFFFFF" w:val="clear"/>
            <w:vAlign w:val="center"/>
          </w:tcPr>
          <w:p>
            <w:pPr>
              <w:pStyle w:val="TableContents"/>
              <w:bidi w:val="0"/>
              <w:spacing w:before="0" w:after="283"/>
              <w:jc w:val="both"/>
              <w:rPr/>
            </w:pPr>
            <w:r>
              <w:rPr/>
              <w:t>Warrant liability- Private placement warrants</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56" w:name="xdx_98A_eus-gaap--DerivativeLiabilitiesN"/>
            <w:bookmarkEnd w:id="456"/>
          </w:p>
        </w:tc>
        <w:tc>
          <w:tcPr>
            <w:tcW w:w="1353"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57" w:name="xdx_984_eus-gaap--LiabilitiesFairValueDi"/>
            <w:bookmarkEnd w:id="457"/>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58" w:name="xdx_98A_eus-gaap--LiabilitiesFairValueDi"/>
            <w:bookmarkEnd w:id="458"/>
          </w:p>
        </w:tc>
        <w:tc>
          <w:tcPr>
            <w:tcW w:w="3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59" w:name="xdx_982_eus-gaap--LiabilitiesFairValueDi"/>
            <w:bookmarkEnd w:id="459"/>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0" w:name="xdx_98A_eus-gaap--LiabilitiesFairValueDi"/>
            <w:bookmarkEnd w:id="460"/>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4216"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61" w:name="xdx_987_eus-gaap--DerivativeLiabilitiesN"/>
            <w:bookmarkEnd w:id="461"/>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4,463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62" w:name="xdx_987_eus-gaap--LiabilitiesFairValueDi"/>
            <w:bookmarkEnd w:id="462"/>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4,463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63" w:name="xdx_98B_eus-gaap--LiabilitiesFairValueDi"/>
            <w:bookmarkEnd w:id="463"/>
          </w:p>
        </w:tc>
        <w:tc>
          <w:tcPr>
            <w:tcW w:w="3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64" w:name="xdx_98D_eus-gaap--LiabilitiesFairValueDi"/>
            <w:bookmarkEnd w:id="464"/>
          </w:p>
        </w:tc>
        <w:tc>
          <w:tcPr>
            <w:tcW w:w="576" w:type="dxa"/>
            <w:tcBorders>
              <w:bottom w:val="double" w:sz="6"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65" w:name="xdx_982_eus-gaap--LiabilitiesFairValueDi"/>
            <w:bookmarkEnd w:id="465"/>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4,448</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466" w:name="xdx_8A7_z5zlf8G9pW93"/>
      <w:bookmarkEnd w:id="466"/>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December 31, 2024 and 2023 because of the relatively short maturity of these instruments.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December 31, 2024 and 2023 approximates fair value as the interest rate does not differ significantly from the current market rates available to the Company for similar debt and is considered level 2.</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 Roll forward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categorized within Level 3 are sensitive to changes in assumptions or methodology used to determine fair value, and such changes could result in a significant increase or decrease in the fair value.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467" w:name="xdx_890_eus-gaap--FairValueLiabilitiesMe"/>
      <w:bookmarkEnd w:id="467"/>
      <w:r>
        <w:rPr>
          <w:rFonts w:ascii="Times New Roman;Times;Serif" w:hAnsi="Times New Roman;Times;Serif"/>
          <w:b w:val="false"/>
          <w:i w:val="false"/>
          <w:caps w:val="false"/>
          <w:smallCaps w:val="false"/>
          <w:sz w:val="20"/>
        </w:rPr>
        <w:t>The changes for Level 3 items measured at fair value on recurring basis using significant unobservable inputs are as follows:</w:t>
      </w:r>
    </w:p>
    <w:p>
      <w:pPr>
        <w:pStyle w:val="TextBody"/>
        <w:bidi w:val="0"/>
        <w:spacing w:before="0" w:after="0"/>
        <w:ind w:left="10" w:right="0" w:hanging="10"/>
        <w:jc w:val="both"/>
        <w:rPr>
          <w:caps w:val="false"/>
          <w:smallCaps w:val="false"/>
        </w:rPr>
      </w:pPr>
      <w:r>
        <w:rPr>
          <w:caps w:val="false"/>
          <w:smallCaps w:val="false"/>
        </w:rPr>
        <w:t> </w:t>
      </w:r>
      <w:bookmarkStart w:id="468" w:name="xdx_8B4_zuhgfcMACbOa"/>
      <w:bookmarkEnd w:id="468"/>
      <w:r>
        <w:rPr>
          <w:rFonts w:ascii="Times New Roman;Times;Serif" w:hAnsi="Times New Roman;Times;Serif"/>
          <w:b w:val="false"/>
          <w:i w:val="false"/>
          <w:caps w:val="false"/>
          <w:smallCaps w:val="false"/>
          <w:sz w:val="20"/>
        </w:rPr>
        <w:t>SCHEDULE OF FAIR VALUE ON RECURRING BASIS USING SIGNIFICANT UNOBSERVABLE INPUTS  </w:t>
      </w:r>
    </w:p>
    <w:tbl>
      <w:tblPr>
        <w:tblW w:w="9848" w:type="dxa"/>
        <w:jc w:val="left"/>
        <w:tblInd w:w="0" w:type="dxa"/>
        <w:tblLayout w:type="fixed"/>
        <w:tblCellMar>
          <w:top w:w="0" w:type="dxa"/>
          <w:left w:w="0" w:type="dxa"/>
          <w:bottom w:w="0" w:type="dxa"/>
          <w:right w:w="0" w:type="dxa"/>
        </w:tblCellMar>
      </w:tblPr>
      <w:tblGrid>
        <w:gridCol w:w="3995"/>
        <w:gridCol w:w="60"/>
        <w:gridCol w:w="339"/>
        <w:gridCol w:w="1540"/>
        <w:gridCol w:w="95"/>
        <w:gridCol w:w="60"/>
        <w:gridCol w:w="655"/>
        <w:gridCol w:w="2994"/>
        <w:gridCol w:w="110"/>
      </w:tblGrid>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69" w:name="xdx_492_20240101__20241231__us-gaap--Fin"/>
            <w:bookmarkEnd w:id="469"/>
          </w:p>
        </w:tc>
        <w:tc>
          <w:tcPr>
            <w:tcW w:w="187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Warrant Liability – </w:t>
              <w:br/>
              <w:t>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0" w:name="xdx_49A_20240101__20241231__us-gaap--Fin"/>
            <w:bookmarkEnd w:id="470"/>
          </w:p>
        </w:tc>
        <w:tc>
          <w:tcPr>
            <w:tcW w:w="3649" w:type="dxa"/>
            <w:gridSpan w:val="2"/>
            <w:tcBorders>
              <w:bottom w:val="single" w:sz="8" w:space="0" w:color="000000"/>
            </w:tcBorders>
            <w:tcMar>
              <w:bottom w:w="28" w:type="dxa"/>
            </w:tcMar>
            <w:vAlign w:val="center"/>
          </w:tcPr>
          <w:p>
            <w:pPr>
              <w:pStyle w:val="TableContents"/>
              <w:bidi w:val="0"/>
              <w:spacing w:before="0" w:after="283"/>
              <w:jc w:val="center"/>
              <w:rPr/>
            </w:pPr>
            <w:r>
              <w:rPr/>
              <w:t>Warrant liability- June Public Offering</w:t>
            </w:r>
          </w:p>
        </w:tc>
        <w:tc>
          <w:tcPr>
            <w:tcW w:w="110" w:type="dxa"/>
            <w:tcBorders/>
            <w:vAlign w:val="center"/>
          </w:tcPr>
          <w:p>
            <w:pPr>
              <w:pStyle w:val="TableContents"/>
              <w:bidi w:val="0"/>
              <w:spacing w:before="0" w:after="283"/>
              <w:ind w:left="0" w:right="0" w:hanging="10"/>
              <w:jc w:val="left"/>
              <w:rPr/>
            </w:pPr>
            <w:r>
              <w:rPr/>
              <w:t> </w:t>
            </w:r>
            <w:bookmarkStart w:id="471" w:name="xdx_403_eus-gaap--FairValueMeasurementWi"/>
            <w:bookmarkEnd w:id="471"/>
          </w:p>
        </w:tc>
      </w:tr>
      <w:tr>
        <w:trPr/>
        <w:tc>
          <w:tcPr>
            <w:tcW w:w="3995" w:type="dxa"/>
            <w:tcBorders/>
            <w:shd w:fill="CCEEFF" w:val="clear"/>
            <w:vAlign w:val="center"/>
          </w:tcPr>
          <w:p>
            <w:pPr>
              <w:pStyle w:val="TableContents"/>
              <w:bidi w:val="0"/>
              <w:spacing w:before="0" w:after="283"/>
              <w:jc w:val="both"/>
              <w:rPr>
                <w:b/>
              </w:rPr>
            </w:pPr>
            <w:r>
              <w:rPr>
                <w:b/>
              </w:rPr>
              <w:t>Fair value as of January 1, 2024</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w:t>
            </w:r>
          </w:p>
        </w:tc>
        <w:tc>
          <w:tcPr>
            <w:tcW w:w="2994" w:type="dxa"/>
            <w:tcBorders/>
            <w:shd w:fill="CCEEFF" w:val="clear"/>
            <w:vAlign w:val="center"/>
          </w:tcPr>
          <w:p>
            <w:pPr>
              <w:pStyle w:val="TableContents"/>
              <w:bidi w:val="0"/>
              <w:spacing w:before="0" w:after="283"/>
              <w:jc w:val="right"/>
              <w:rPr/>
            </w:pPr>
            <w:r>
              <w:rPr/>
              <w:t>3,434</w:t>
            </w:r>
          </w:p>
        </w:tc>
        <w:tc>
          <w:tcPr>
            <w:tcW w:w="110" w:type="dxa"/>
            <w:tcBorders/>
            <w:shd w:fill="CCEEFF" w:val="clear"/>
            <w:vAlign w:val="center"/>
          </w:tcPr>
          <w:p>
            <w:pPr>
              <w:pStyle w:val="TableContents"/>
              <w:bidi w:val="0"/>
              <w:spacing w:before="0" w:after="283"/>
              <w:ind w:left="0" w:right="0" w:hanging="10"/>
              <w:jc w:val="left"/>
              <w:rPr/>
            </w:pPr>
            <w:r>
              <w:rPr/>
              <w:t> </w:t>
            </w:r>
            <w:bookmarkStart w:id="472" w:name="xdx_403_eus-gaap--FairValueMeasurementWi"/>
            <w:bookmarkEnd w:id="472"/>
          </w:p>
        </w:tc>
      </w:tr>
      <w:tr>
        <w:trPr/>
        <w:tc>
          <w:tcPr>
            <w:tcW w:w="3995"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7,353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29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bookmarkStart w:id="473" w:name="xdx_405_ecustom--FairValueMeasurementWit"/>
            <w:bookmarkEnd w:id="473"/>
          </w:p>
        </w:tc>
      </w:tr>
      <w:tr>
        <w:trPr/>
        <w:tc>
          <w:tcPr>
            <w:tcW w:w="3995" w:type="dxa"/>
            <w:tcBorders/>
            <w:shd w:fill="CCEEFF" w:val="clear"/>
            <w:vAlign w:val="center"/>
          </w:tcPr>
          <w:p>
            <w:pPr>
              <w:pStyle w:val="TableContents"/>
              <w:bidi w:val="0"/>
              <w:spacing w:before="0" w:after="283"/>
              <w:jc w:val="both"/>
              <w:rPr/>
            </w:pPr>
            <w:r>
              <w:rPr/>
              <w:t>Warrant exercises</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29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474" w:name="xdx_407_eus-gaap--FairValueMeasurementWi"/>
            <w:bookmarkEnd w:id="474"/>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gain included in net loss</w:t>
            </w:r>
            <w:bookmarkStart w:id="475" w:name="xdx_F4B_zpXh9ofqtmL5"/>
            <w:bookmarkEnd w:id="475"/>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(4,484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2994" w:type="dxa"/>
            <w:tcBorders/>
            <w:shd w:fill="CCEEFF" w:val="clear"/>
            <w:vAlign w:val="center"/>
          </w:tcPr>
          <w:p>
            <w:pPr>
              <w:pStyle w:val="TableContents"/>
              <w:bidi w:val="0"/>
              <w:spacing w:before="0" w:after="283"/>
              <w:jc w:val="right"/>
              <w:rPr/>
            </w:pPr>
            <w:r>
              <w:rPr/>
              <w:t>(2,184</w:t>
            </w:r>
          </w:p>
        </w:tc>
        <w:tc>
          <w:tcPr>
            <w:tcW w:w="110" w:type="dxa"/>
            <w:tcBorders/>
            <w:shd w:fill="CCEEFF" w:val="clear"/>
            <w:vAlign w:val="center"/>
          </w:tcPr>
          <w:p>
            <w:pPr>
              <w:pStyle w:val="TableContents"/>
              <w:bidi w:val="0"/>
              <w:spacing w:before="0" w:after="283"/>
              <w:ind w:left="0" w:right="0" w:hanging="10"/>
              <w:jc w:val="left"/>
              <w:rPr/>
            </w:pPr>
            <w:r>
              <w:rPr/>
              <w:t>)</w:t>
            </w:r>
            <w:bookmarkStart w:id="476" w:name="xdx_405_eus-gaap--FairValueMeasurementWi"/>
            <w:bookmarkEnd w:id="476"/>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Transfers from Level 3 to Level 2</w:t>
            </w:r>
            <w:bookmarkStart w:id="477" w:name="xdx_F48_zDzMo1ZDdru3"/>
            <w:bookmarkEnd w:id="477"/>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(3,883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94" w:type="dxa"/>
            <w:tcBorders>
              <w:bottom w:val="single" w:sz="8" w:space="0" w:color="000000"/>
            </w:tcBorders>
            <w:shd w:fill="FFFFFF" w:val="clear"/>
            <w:tcMar>
              <w:bottom w:w="28" w:type="dxa"/>
            </w:tcM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ind w:left="0" w:right="0" w:hanging="10"/>
              <w:jc w:val="left"/>
              <w:rPr/>
            </w:pPr>
            <w:r>
              <w:rPr/>
              <w:t>)</w:t>
            </w:r>
            <w:bookmarkStart w:id="478" w:name="xdx_400_eus-gaap--FairValueMeasurementWi"/>
            <w:bookmarkEnd w:id="478"/>
          </w:p>
        </w:tc>
      </w:tr>
      <w:tr>
        <w:trPr/>
        <w:tc>
          <w:tcPr>
            <w:tcW w:w="3995" w:type="dxa"/>
            <w:tcBorders/>
            <w:shd w:fill="CCEEFF" w:val="clear"/>
            <w:vAlign w:val="center"/>
          </w:tcPr>
          <w:p>
            <w:pPr>
              <w:pStyle w:val="TableContents"/>
              <w:bidi w:val="0"/>
              <w:spacing w:before="0" w:after="283"/>
              <w:jc w:val="both"/>
              <w:rPr>
                <w:b/>
              </w:rPr>
            </w:pPr>
            <w:r>
              <w:rPr>
                <w:b/>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99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48" w:type="dxa"/>
        <w:jc w:val="left"/>
        <w:tblInd w:w="0" w:type="dxa"/>
        <w:tblLayout w:type="fixed"/>
        <w:tblCellMar>
          <w:top w:w="0" w:type="dxa"/>
          <w:left w:w="0" w:type="dxa"/>
          <w:bottom w:w="0" w:type="dxa"/>
          <w:right w:w="0" w:type="dxa"/>
        </w:tblCellMar>
      </w:tblPr>
      <w:tblGrid>
        <w:gridCol w:w="3995"/>
        <w:gridCol w:w="60"/>
        <w:gridCol w:w="294"/>
        <w:gridCol w:w="1585"/>
        <w:gridCol w:w="95"/>
        <w:gridCol w:w="60"/>
        <w:gridCol w:w="620"/>
        <w:gridCol w:w="3029"/>
        <w:gridCol w:w="110"/>
      </w:tblGrid>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79" w:name="xdx_49F_20230101__20231231__us-gaap--Fin"/>
            <w:bookmarkEnd w:id="479"/>
          </w:p>
        </w:tc>
        <w:tc>
          <w:tcPr>
            <w:tcW w:w="187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Warrant Liability – </w:t>
              <w:br/>
              <w:t>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0" w:name="xdx_49E_20230101__20231231__us-gaap--Fin"/>
            <w:bookmarkEnd w:id="480"/>
          </w:p>
        </w:tc>
        <w:tc>
          <w:tcPr>
            <w:tcW w:w="3649" w:type="dxa"/>
            <w:gridSpan w:val="2"/>
            <w:tcBorders>
              <w:bottom w:val="single" w:sz="8" w:space="0" w:color="000000"/>
            </w:tcBorders>
            <w:tcMar>
              <w:bottom w:w="28" w:type="dxa"/>
            </w:tcMar>
            <w:vAlign w:val="center"/>
          </w:tcPr>
          <w:p>
            <w:pPr>
              <w:pStyle w:val="TableContents"/>
              <w:bidi w:val="0"/>
              <w:spacing w:before="0" w:after="283"/>
              <w:jc w:val="center"/>
              <w:rPr/>
            </w:pPr>
            <w:r>
              <w:rPr/>
              <w:t>Warrant liability- June Public Offering</w:t>
            </w:r>
          </w:p>
        </w:tc>
        <w:tc>
          <w:tcPr>
            <w:tcW w:w="110" w:type="dxa"/>
            <w:tcBorders/>
            <w:vAlign w:val="center"/>
          </w:tcPr>
          <w:p>
            <w:pPr>
              <w:pStyle w:val="TableContents"/>
              <w:bidi w:val="0"/>
              <w:spacing w:before="0" w:after="283"/>
              <w:ind w:left="0" w:right="0" w:hanging="10"/>
              <w:jc w:val="left"/>
              <w:rPr/>
            </w:pPr>
            <w:r>
              <w:rPr/>
              <w:t> </w:t>
            </w:r>
            <w:bookmarkStart w:id="481" w:name="xdx_403_eus-gaap--FairValueMeasurementWi"/>
            <w:bookmarkEnd w:id="481"/>
          </w:p>
        </w:tc>
      </w:tr>
      <w:tr>
        <w:trPr/>
        <w:tc>
          <w:tcPr>
            <w:tcW w:w="3995" w:type="dxa"/>
            <w:tcBorders/>
            <w:shd w:fill="CCEEFF" w:val="clear"/>
            <w:vAlign w:val="center"/>
          </w:tcPr>
          <w:p>
            <w:pPr>
              <w:pStyle w:val="TableContents"/>
              <w:bidi w:val="0"/>
              <w:spacing w:before="0" w:after="283"/>
              <w:jc w:val="both"/>
              <w:rPr>
                <w:b/>
              </w:rPr>
            </w:pPr>
            <w:r>
              <w:rPr>
                <w:b/>
              </w:rPr>
              <w:t>Fair value as of January 1, 2023</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585" w:type="dxa"/>
            <w:tcBorders/>
            <w:shd w:fill="CCEEFF" w:val="clear"/>
            <w:vAlign w:val="center"/>
          </w:tcPr>
          <w:p>
            <w:pPr>
              <w:pStyle w:val="TableContents"/>
              <w:bidi w:val="0"/>
              <w:spacing w:before="0" w:after="283"/>
              <w:jc w:val="right"/>
              <w:rPr/>
            </w:pPr>
            <w:r>
              <w:rPr/>
              <w:t>30,841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w:t>
            </w:r>
          </w:p>
        </w:tc>
        <w:tc>
          <w:tcPr>
            <w:tcW w:w="30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bookmarkStart w:id="482" w:name="xdx_40E_eus-gaap--FairValueMeasurementWi"/>
            <w:bookmarkEnd w:id="482"/>
          </w:p>
        </w:tc>
      </w:tr>
      <w:tr>
        <w:trPr/>
        <w:tc>
          <w:tcPr>
            <w:tcW w:w="3995" w:type="dxa"/>
            <w:tcBorders/>
            <w:shd w:fill="CCEEFF" w:val="clear"/>
            <w:vAlign w:val="center"/>
          </w:tcPr>
          <w:p>
            <w:pPr>
              <w:pStyle w:val="TableContents"/>
              <w:bidi w:val="0"/>
              <w:spacing w:before="0" w:after="283"/>
              <w:jc w:val="both"/>
              <w:rPr>
                <w:b/>
              </w:rPr>
            </w:pPr>
            <w:r>
              <w:rPr>
                <w:b/>
              </w:rPr>
              <w:t>Fair value, beginning balance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585" w:type="dxa"/>
            <w:tcBorders/>
            <w:shd w:fill="CCEEFF" w:val="clear"/>
            <w:vAlign w:val="center"/>
          </w:tcPr>
          <w:p>
            <w:pPr>
              <w:pStyle w:val="TableContents"/>
              <w:bidi w:val="0"/>
              <w:spacing w:before="0" w:after="283"/>
              <w:jc w:val="right"/>
              <w:rPr/>
            </w:pPr>
            <w:r>
              <w:rPr/>
              <w:t>30,841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w:t>
            </w:r>
          </w:p>
        </w:tc>
        <w:tc>
          <w:tcPr>
            <w:tcW w:w="30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bookmarkStart w:id="483" w:name="xdx_403_eus-gaap--FairValueMeasurementWi"/>
            <w:bookmarkEnd w:id="483"/>
          </w:p>
        </w:tc>
      </w:tr>
      <w:tr>
        <w:trPr/>
        <w:tc>
          <w:tcPr>
            <w:tcW w:w="3995"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3029" w:type="dxa"/>
            <w:tcBorders/>
            <w:shd w:fill="FFFFFF" w:val="clear"/>
            <w:vAlign w:val="center"/>
          </w:tcPr>
          <w:p>
            <w:pPr>
              <w:pStyle w:val="TableContents"/>
              <w:bidi w:val="0"/>
              <w:spacing w:before="0" w:after="283"/>
              <w:jc w:val="right"/>
              <w:rPr/>
            </w:pPr>
            <w:r>
              <w:rPr/>
              <w:t>13,762</w:t>
            </w:r>
          </w:p>
        </w:tc>
        <w:tc>
          <w:tcPr>
            <w:tcW w:w="110" w:type="dxa"/>
            <w:tcBorders/>
            <w:shd w:fill="FFFFFF" w:val="clear"/>
            <w:vAlign w:val="center"/>
          </w:tcPr>
          <w:p>
            <w:pPr>
              <w:pStyle w:val="TableContents"/>
              <w:bidi w:val="0"/>
              <w:spacing w:before="0" w:after="283"/>
              <w:ind w:left="0" w:right="0" w:hanging="10"/>
              <w:jc w:val="left"/>
              <w:rPr/>
            </w:pPr>
            <w:r>
              <w:rPr/>
              <w:t> </w:t>
            </w:r>
            <w:bookmarkStart w:id="484" w:name="xdx_40C_ecustom--FairValueMeasurementWit"/>
            <w:bookmarkEnd w:id="484"/>
          </w:p>
        </w:tc>
      </w:tr>
      <w:tr>
        <w:trPr/>
        <w:tc>
          <w:tcPr>
            <w:tcW w:w="3995" w:type="dxa"/>
            <w:tcBorders/>
            <w:shd w:fill="CCEEFF" w:val="clear"/>
            <w:vAlign w:val="center"/>
          </w:tcPr>
          <w:p>
            <w:pPr>
              <w:pStyle w:val="TableContents"/>
              <w:bidi w:val="0"/>
              <w:spacing w:before="0" w:after="283"/>
              <w:jc w:val="both"/>
              <w:rPr/>
            </w:pPr>
            <w:r>
              <w:rPr/>
              <w:t>Warrant exercises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(11,284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3029" w:type="dxa"/>
            <w:tcBorders/>
            <w:shd w:fill="CCEEFF" w:val="clear"/>
            <w:vAlign w:val="center"/>
          </w:tcPr>
          <w:p>
            <w:pPr>
              <w:pStyle w:val="TableContents"/>
              <w:bidi w:val="0"/>
              <w:spacing w:before="0" w:after="283"/>
              <w:jc w:val="right"/>
              <w:rPr/>
            </w:pPr>
            <w:r>
              <w:rPr/>
              <w:t>(617</w:t>
            </w:r>
          </w:p>
        </w:tc>
        <w:tc>
          <w:tcPr>
            <w:tcW w:w="110" w:type="dxa"/>
            <w:tcBorders/>
            <w:shd w:fill="CCEEFF" w:val="clear"/>
            <w:vAlign w:val="center"/>
          </w:tcPr>
          <w:p>
            <w:pPr>
              <w:pStyle w:val="TableContents"/>
              <w:bidi w:val="0"/>
              <w:spacing w:before="0" w:after="283"/>
              <w:ind w:left="0" w:right="0" w:hanging="10"/>
              <w:jc w:val="left"/>
              <w:rPr/>
            </w:pPr>
            <w:r>
              <w:rPr/>
              <w:t>)</w:t>
            </w:r>
            <w:bookmarkStart w:id="485" w:name="xdx_407_eus-gaap--FairValueMeasurementWi"/>
            <w:bookmarkEnd w:id="485"/>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gain included in net loss</w:t>
            </w:r>
            <w:bookmarkStart w:id="486" w:name="xdx_F42_z76QK4MEBLt7"/>
            <w:bookmarkEnd w:id="486"/>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pPr>
            <w:r>
              <w:rPr/>
              <w:t>(19,241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29" w:type="dxa"/>
            <w:tcBorders>
              <w:bottom w:val="single" w:sz="8" w:space="0" w:color="000000"/>
            </w:tcBorders>
            <w:shd w:fill="FFFFFF" w:val="clear"/>
            <w:tcMar>
              <w:bottom w:w="28" w:type="dxa"/>
            </w:tcMar>
            <w:vAlign w:val="center"/>
          </w:tcPr>
          <w:p>
            <w:pPr>
              <w:pStyle w:val="TableContents"/>
              <w:bidi w:val="0"/>
              <w:spacing w:before="0" w:after="283"/>
              <w:jc w:val="right"/>
              <w:rPr/>
            </w:pPr>
            <w:r>
              <w:rPr/>
              <w:t>(9,711</w:t>
            </w:r>
          </w:p>
        </w:tc>
        <w:tc>
          <w:tcPr>
            <w:tcW w:w="110" w:type="dxa"/>
            <w:tcBorders/>
            <w:shd w:fill="FFFFFF" w:val="clear"/>
            <w:vAlign w:val="center"/>
          </w:tcPr>
          <w:p>
            <w:pPr>
              <w:pStyle w:val="TableContents"/>
              <w:bidi w:val="0"/>
              <w:spacing w:before="0" w:after="283"/>
              <w:ind w:left="0" w:right="0" w:hanging="10"/>
              <w:jc w:val="left"/>
              <w:rPr/>
            </w:pPr>
            <w:r>
              <w:rPr/>
              <w:t>)</w:t>
            </w:r>
            <w:bookmarkStart w:id="487" w:name="xdx_400_eus-gaap--FairValueMeasurementWi"/>
            <w:bookmarkEnd w:id="487"/>
          </w:p>
        </w:tc>
      </w:tr>
      <w:tr>
        <w:trPr/>
        <w:tc>
          <w:tcPr>
            <w:tcW w:w="3995" w:type="dxa"/>
            <w:tcBorders/>
            <w:shd w:fill="CCEEFF" w:val="clear"/>
            <w:vAlign w:val="center"/>
          </w:tcPr>
          <w:p>
            <w:pPr>
              <w:pStyle w:val="TableContents"/>
              <w:bidi w:val="0"/>
              <w:spacing w:before="0" w:after="283"/>
              <w:jc w:val="both"/>
              <w:rPr>
                <w:b/>
              </w:rPr>
            </w:pPr>
            <w:r>
              <w:rPr>
                <w:b/>
              </w:rPr>
              <w:t>Fair value as of December 31, 2023</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29" w:type="dxa"/>
            <w:tcBorders>
              <w:bottom w:val="double" w:sz="6" w:space="0" w:color="000000"/>
            </w:tcBorders>
            <w:shd w:fill="CCEEFF" w:val="clear"/>
            <w:tcMar>
              <w:bottom w:w="28" w:type="dxa"/>
            </w:tcMar>
            <w:vAlign w:val="center"/>
          </w:tcPr>
          <w:p>
            <w:pPr>
              <w:pStyle w:val="TableContents"/>
              <w:bidi w:val="0"/>
              <w:spacing w:before="0" w:after="283"/>
              <w:jc w:val="right"/>
              <w:rPr/>
            </w:pPr>
            <w:r>
              <w:rPr/>
              <w:t>3,434</w:t>
            </w:r>
          </w:p>
        </w:tc>
        <w:tc>
          <w:tcPr>
            <w:tcW w:w="110" w:type="dxa"/>
            <w:tcBorders/>
            <w:shd w:fill="CCEEFF" w:val="clear"/>
            <w:vAlign w:val="center"/>
          </w:tcPr>
          <w:p>
            <w:pPr>
              <w:pStyle w:val="TableContents"/>
              <w:bidi w:val="0"/>
              <w:spacing w:before="0" w:after="283"/>
              <w:ind w:left="0" w:right="0" w:hanging="10"/>
              <w:jc w:val="left"/>
              <w:rPr/>
            </w:pPr>
            <w:r>
              <w:rPr/>
              <w:t> </w:t>
            </w:r>
            <w:bookmarkStart w:id="488" w:name="xdx_40B_eus-gaap--FairValueMeasurementWi"/>
            <w:bookmarkEnd w:id="488"/>
          </w:p>
        </w:tc>
      </w:tr>
      <w:tr>
        <w:trPr/>
        <w:tc>
          <w:tcPr>
            <w:tcW w:w="3995" w:type="dxa"/>
            <w:tcBorders/>
            <w:shd w:fill="CCEEFF" w:val="clear"/>
            <w:vAlign w:val="center"/>
          </w:tcPr>
          <w:p>
            <w:pPr>
              <w:pStyle w:val="TableContents"/>
              <w:bidi w:val="0"/>
              <w:spacing w:before="0" w:after="283"/>
              <w:jc w:val="both"/>
              <w:rPr>
                <w:b/>
              </w:rPr>
            </w:pPr>
            <w:r>
              <w:rPr>
                <w:b/>
              </w:rPr>
              <w:t>Fair value, ending balance</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29" w:type="dxa"/>
            <w:tcBorders>
              <w:bottom w:val="double" w:sz="6" w:space="0" w:color="000000"/>
            </w:tcBorders>
            <w:shd w:fill="CCEEFF" w:val="clear"/>
            <w:tcMar>
              <w:bottom w:w="28" w:type="dxa"/>
            </w:tcMar>
            <w:vAlign w:val="center"/>
          </w:tcPr>
          <w:p>
            <w:pPr>
              <w:pStyle w:val="TableContents"/>
              <w:bidi w:val="0"/>
              <w:spacing w:before="0" w:after="283"/>
              <w:jc w:val="right"/>
              <w:rPr/>
            </w:pPr>
            <w:r>
              <w:rPr/>
              <w:t>3,434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260"/>
        <w:gridCol w:w="23"/>
        <w:gridCol w:w="939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489" w:name="xdx_F00_zpBIEcLRyRli"/>
            <w:bookmarkEnd w:id="489"/>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395" w:type="dxa"/>
            <w:tcBorders/>
            <w:vAlign w:val="center"/>
          </w:tcPr>
          <w:p>
            <w:pPr>
              <w:pStyle w:val="TableContents"/>
              <w:bidi w:val="0"/>
              <w:spacing w:before="0" w:after="283"/>
              <w:jc w:val="both"/>
              <w:rPr>
                <w:rFonts w:ascii="Times New Roman;Times;Serif" w:hAnsi="Times New Roman;Times;Serif"/>
                <w:i/>
                <w:sz w:val="20"/>
              </w:rPr>
            </w:pPr>
            <w:bookmarkStart w:id="490" w:name="xdx_F12_zWZUNpJkhiYi"/>
            <w:bookmarkEnd w:id="490"/>
            <w:r>
              <w:rPr>
                <w:rFonts w:ascii="Times New Roman;Times;Serif" w:hAnsi="Times New Roman;Times;Serif"/>
                <w:i/>
                <w:sz w:val="20"/>
              </w:rPr>
              <w:t>Changes in fair value of warrant liabilities are disclosed separately in the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220"/>
        <w:gridCol w:w="23"/>
        <w:gridCol w:w="9962"/>
      </w:tblGrid>
      <w:tr>
        <w:trPr/>
        <w:tc>
          <w:tcPr>
            <w:tcW w:w="220" w:type="dxa"/>
            <w:tcBorders/>
            <w:vAlign w:val="center"/>
          </w:tcPr>
          <w:p>
            <w:pPr>
              <w:pStyle w:val="TableContents"/>
              <w:bidi w:val="0"/>
              <w:spacing w:before="0" w:after="283"/>
              <w:jc w:val="right"/>
              <w:rPr>
                <w:rFonts w:ascii="Times New Roman;Times;Serif" w:hAnsi="Times New Roman;Times;Serif"/>
                <w:sz w:val="20"/>
              </w:rPr>
            </w:pPr>
            <w:bookmarkStart w:id="491" w:name="xdx_F0F_zCSmlFJNzaBb"/>
            <w:bookmarkEnd w:id="491"/>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both"/>
              <w:rPr>
                <w:rFonts w:ascii="Times New Roman;Times;Serif" w:hAnsi="Times New Roman;Times;Serif"/>
                <w:i/>
                <w:sz w:val="20"/>
              </w:rPr>
            </w:pPr>
            <w:bookmarkStart w:id="492" w:name="xdx_F14_zCJSdsHCuN2i"/>
            <w:bookmarkEnd w:id="492"/>
            <w:r>
              <w:rPr>
                <w:rFonts w:ascii="Times New Roman;Times;Serif" w:hAnsi="Times New Roman;Times;Serif"/>
                <w:i/>
                <w:sz w:val="20"/>
              </w:rPr>
              <w:t>Transfers of warrant liability fair market value reclassified from Level 3 to Level 2 due to utilizing Black Scholes calculation for fair value measurement across all warrant liabilities, which includes observable inputs (such as company stock price and comparable company volatility calculations) and more closely aligns with Level 2.</w:t>
            </w:r>
          </w:p>
        </w:tc>
      </w:tr>
    </w:tbl>
    <w:p>
      <w:pPr>
        <w:pStyle w:val="TextBody"/>
        <w:bidi w:val="0"/>
        <w:spacing w:before="0" w:after="0"/>
        <w:ind w:left="10" w:right="0" w:hanging="10"/>
        <w:jc w:val="both"/>
        <w:rPr>
          <w:caps w:val="false"/>
          <w:smallCaps w:val="false"/>
        </w:rPr>
      </w:pPr>
      <w:bookmarkStart w:id="493" w:name="xdx_8A7_zPkxJgYk2kv9"/>
      <w:bookmarkEnd w:id="49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494" w:name="xdx_80E_eus-gaap--InventoryDisclosureTex"/>
      <w:bookmarkEnd w:id="494"/>
      <w:r>
        <w:rPr>
          <w:rFonts w:ascii="Times New Roman;Times;Serif" w:hAnsi="Times New Roman;Times;Serif"/>
          <w:b/>
          <w:i w:val="false"/>
          <w:caps/>
          <w:sz w:val="20"/>
        </w:rPr>
        <w:t xml:space="preserve">Note 4 - </w:t>
      </w:r>
      <w:bookmarkStart w:id="495" w:name="xdx_820_zZqiLeOmscnc"/>
      <w:bookmarkEnd w:id="495"/>
      <w:r>
        <w:rPr>
          <w:rFonts w:ascii="Times New Roman;Times;Serif" w:hAnsi="Times New Roman;Times;Serif"/>
          <w:b/>
          <w:i w:val="false"/>
          <w:caps/>
          <w:sz w:val="20"/>
        </w:rPr>
        <w:t>INVENTORY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496" w:name="xdx_892_eus-gaap--ScheduleOfInventoryCur"/>
      <w:bookmarkEnd w:id="496"/>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10" w:right="0" w:hanging="10"/>
        <w:jc w:val="both"/>
        <w:rPr>
          <w:caps w:val="false"/>
          <w:smallCaps w:val="false"/>
        </w:rPr>
      </w:pPr>
      <w:r>
        <w:rPr>
          <w:caps w:val="false"/>
          <w:smallCaps w:val="false"/>
        </w:rPr>
        <w:t> </w:t>
      </w:r>
      <w:bookmarkStart w:id="497" w:name="xdx_8BC_z1pNjCHowDc"/>
      <w:bookmarkEnd w:id="497"/>
      <w:r>
        <w:rPr>
          <w:rFonts w:ascii="Times New Roman;Times;Serif" w:hAnsi="Times New Roman;Times;Serif"/>
          <w:b w:val="false"/>
          <w:i w:val="false"/>
          <w:caps w:val="false"/>
          <w:smallCaps w:val="false"/>
          <w:sz w:val="20"/>
        </w:rPr>
        <w:t>SCHEDULE OF INVENTORY   </w:t>
      </w:r>
    </w:p>
    <w:tbl>
      <w:tblPr>
        <w:tblW w:w="5533" w:type="dxa"/>
        <w:jc w:val="left"/>
        <w:tblInd w:w="0" w:type="dxa"/>
        <w:tblLayout w:type="fixed"/>
        <w:tblCellMar>
          <w:top w:w="0" w:type="dxa"/>
          <w:left w:w="0" w:type="dxa"/>
          <w:bottom w:w="0" w:type="dxa"/>
          <w:right w:w="0" w:type="dxa"/>
        </w:tblCellMar>
      </w:tblPr>
      <w:tblGrid>
        <w:gridCol w:w="1490"/>
        <w:gridCol w:w="60"/>
        <w:gridCol w:w="321"/>
        <w:gridCol w:w="1573"/>
        <w:gridCol w:w="60"/>
        <w:gridCol w:w="60"/>
        <w:gridCol w:w="321"/>
        <w:gridCol w:w="1573"/>
        <w:gridCol w:w="75"/>
      </w:tblGrid>
      <w:tr>
        <w:trPr/>
        <w:tc>
          <w:tcPr>
            <w:tcW w:w="1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98" w:name="xdx_493_20241231_z5iIC4WlEmD7"/>
            <w:bookmarkEnd w:id="498"/>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5_20231231_zqOjmdCCneKc"/>
            <w:bookmarkEnd w:id="499"/>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2023</w:t>
            </w:r>
          </w:p>
        </w:tc>
        <w:tc>
          <w:tcPr>
            <w:tcW w:w="75" w:type="dxa"/>
            <w:tcBorders/>
            <w:vAlign w:val="center"/>
          </w:tcPr>
          <w:p>
            <w:pPr>
              <w:pStyle w:val="TableContents"/>
              <w:bidi w:val="0"/>
              <w:spacing w:before="0" w:after="283"/>
              <w:ind w:left="0" w:right="0" w:hanging="10"/>
              <w:jc w:val="left"/>
              <w:rPr/>
            </w:pPr>
            <w:r>
              <w:rPr/>
              <w:t> </w:t>
            </w:r>
            <w:bookmarkStart w:id="500" w:name="xdx_404_eus-gaap--InventoryRawMaterials_"/>
            <w:bookmarkEnd w:id="500"/>
          </w:p>
        </w:tc>
      </w:tr>
      <w:tr>
        <w:trPr/>
        <w:tc>
          <w:tcPr>
            <w:tcW w:w="1490" w:type="dxa"/>
            <w:tcBorders/>
            <w:shd w:fill="CCEEFF" w:val="clear"/>
            <w:vAlign w:val="center"/>
          </w:tcPr>
          <w:p>
            <w:pPr>
              <w:pStyle w:val="TableContents"/>
              <w:bidi w:val="0"/>
              <w:spacing w:before="0" w:after="283"/>
              <w:jc w:val="both"/>
              <w:rPr/>
            </w:pPr>
            <w:r>
              <w:rPr/>
              <w:t>Raw material</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18,776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31,604</w:t>
            </w:r>
          </w:p>
        </w:tc>
        <w:tc>
          <w:tcPr>
            <w:tcW w:w="75" w:type="dxa"/>
            <w:tcBorders/>
            <w:shd w:fill="CCEEFF" w:val="clear"/>
            <w:vAlign w:val="center"/>
          </w:tcPr>
          <w:p>
            <w:pPr>
              <w:pStyle w:val="TableContents"/>
              <w:bidi w:val="0"/>
              <w:spacing w:before="0" w:after="283"/>
              <w:ind w:left="0" w:right="0" w:hanging="10"/>
              <w:jc w:val="left"/>
              <w:rPr/>
            </w:pPr>
            <w:r>
              <w:rPr/>
              <w:t> </w:t>
            </w:r>
            <w:bookmarkStart w:id="501" w:name="xdx_401_eus-gaap--InventoryFinishedGoods"/>
            <w:bookmarkEnd w:id="501"/>
          </w:p>
        </w:tc>
      </w:tr>
      <w:tr>
        <w:trPr/>
        <w:tc>
          <w:tcPr>
            <w:tcW w:w="1490" w:type="dxa"/>
            <w:tcBorders/>
            <w:shd w:fill="FFFFFF" w:val="clear"/>
            <w:vAlign w:val="center"/>
          </w:tcPr>
          <w:p>
            <w:pPr>
              <w:pStyle w:val="TableContents"/>
              <w:bidi w:val="0"/>
              <w:spacing w:before="0" w:after="283"/>
              <w:jc w:val="both"/>
              <w:rPr/>
            </w:pPr>
            <w:r>
              <w:rPr/>
              <w:t>Finished goods</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8" w:space="0" w:color="000000"/>
            </w:tcBorders>
            <w:shd w:fill="FFFFFF" w:val="clear"/>
            <w:tcMar>
              <w:bottom w:w="28" w:type="dxa"/>
            </w:tcMar>
            <w:vAlign w:val="center"/>
          </w:tcPr>
          <w:p>
            <w:pPr>
              <w:pStyle w:val="TableContents"/>
              <w:bidi w:val="0"/>
              <w:spacing w:before="0" w:after="283"/>
              <w:jc w:val="right"/>
              <w:rPr/>
            </w:pPr>
            <w:r>
              <w:rPr/>
              <w:t>2,940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8" w:space="0" w:color="000000"/>
            </w:tcBorders>
            <w:shd w:fill="FFFFFF" w:val="clear"/>
            <w:tcMar>
              <w:bottom w:w="28" w:type="dxa"/>
            </w:tcMar>
            <w:vAlign w:val="center"/>
          </w:tcPr>
          <w:p>
            <w:pPr>
              <w:pStyle w:val="TableContents"/>
              <w:bidi w:val="0"/>
              <w:spacing w:before="0" w:after="283"/>
              <w:jc w:val="right"/>
              <w:rPr/>
            </w:pPr>
            <w:r>
              <w:rPr/>
              <w:t>7,174</w:t>
            </w:r>
          </w:p>
        </w:tc>
        <w:tc>
          <w:tcPr>
            <w:tcW w:w="75" w:type="dxa"/>
            <w:tcBorders/>
            <w:shd w:fill="FFFFFF" w:val="clear"/>
            <w:vAlign w:val="center"/>
          </w:tcPr>
          <w:p>
            <w:pPr>
              <w:pStyle w:val="TableContents"/>
              <w:bidi w:val="0"/>
              <w:spacing w:before="0" w:after="283"/>
              <w:ind w:left="0" w:right="0" w:hanging="10"/>
              <w:jc w:val="left"/>
              <w:rPr/>
            </w:pPr>
            <w:r>
              <w:rPr/>
              <w:t> </w:t>
            </w:r>
            <w:bookmarkStart w:id="502" w:name="xdx_40B_eus-gaap--InventoryNet_iTI_pn3n3"/>
            <w:bookmarkEnd w:id="502"/>
          </w:p>
        </w:tc>
      </w:tr>
      <w:tr>
        <w:trPr/>
        <w:tc>
          <w:tcPr>
            <w:tcW w:w="1490" w:type="dxa"/>
            <w:tcBorders/>
            <w:shd w:fill="CCEEFF" w:val="clear"/>
            <w:vAlign w:val="center"/>
          </w:tcPr>
          <w:p>
            <w:pPr>
              <w:pStyle w:val="TableContents"/>
              <w:bidi w:val="0"/>
              <w:spacing w:before="0" w:after="283"/>
              <w:jc w:val="both"/>
              <w:rPr/>
            </w:pPr>
            <w:r>
              <w:rPr/>
              <w:t>Total inventory</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21,716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38,778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3" w:name="xdx_8A8_zpkYjrqUkTSg"/>
      <w:bookmarkEnd w:id="503"/>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504" w:name="xdx_808_eus-gaap--CommitmentsAndContinge"/>
      <w:bookmarkEnd w:id="504"/>
      <w:r>
        <w:rPr>
          <w:rFonts w:ascii="Times New Roman;Times;Serif" w:hAnsi="Times New Roman;Times;Serif"/>
          <w:b/>
          <w:i w:val="false"/>
          <w:caps/>
          <w:sz w:val="20"/>
        </w:rPr>
        <w:t xml:space="preserve">Note 5 - </w:t>
      </w:r>
      <w:bookmarkStart w:id="505" w:name="xdx_829_zstGevuBfxC1"/>
      <w:bookmarkEnd w:id="505"/>
      <w:r>
        <w:rPr>
          <w:rFonts w:ascii="Times New Roman;Times;Serif" w:hAnsi="Times New Roman;Times;Serif"/>
          <w:b/>
          <w:i w:val="false"/>
          <w:caps/>
          <w:sz w:val="20"/>
        </w:rPr>
        <w:t>COMMITMENTS AND CONTINGENCIES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engineering office, and sales office, all located in Reno, Nevada. The leases require annual escalating monthly payments ranging from $</w:t>
      </w:r>
      <w:bookmarkStart w:id="506" w:name="xdx_906_eus-gaap--OperatingLeasePayments"/>
      <w:bookmarkEnd w:id="506"/>
      <w:r>
        <w:rPr>
          <w:rFonts w:ascii="Times New Roman;Times;Serif" w:hAnsi="Times New Roman;Times;Serif"/>
          <w:b w:val="false"/>
          <w:i w:val="false"/>
          <w:caps w:val="false"/>
          <w:smallCaps w:val="false"/>
          <w:sz w:val="20"/>
        </w:rPr>
        <w:t>111 to $</w:t>
      </w:r>
      <w:bookmarkStart w:id="507" w:name="xdx_908_eus-gaap--OperatingLeasePayments"/>
      <w:bookmarkEnd w:id="507"/>
      <w:r>
        <w:rPr>
          <w:rFonts w:ascii="Times New Roman;Times;Serif" w:hAnsi="Times New Roman;Times;Serif"/>
          <w:b w:val="false"/>
          <w:i w:val="false"/>
          <w:caps w:val="false"/>
          <w:smallCaps w:val="false"/>
          <w:sz w:val="20"/>
        </w:rPr>
        <w:t>309. On February 2, 2022, the Company entered into a 124-month lease agreement in Reno, Nevada. The lease calls for monthly base rent of $</w:t>
      </w:r>
      <w:bookmarkStart w:id="508" w:name="xdx_903_ecustom--LesseeOperatingLeaseMon"/>
      <w:bookmarkEnd w:id="508"/>
      <w:r>
        <w:rPr>
          <w:rFonts w:ascii="Times New Roman;Times;Serif" w:hAnsi="Times New Roman;Times;Serif"/>
          <w:b w:val="false"/>
          <w:i w:val="false"/>
          <w:caps w:val="false"/>
          <w:smallCaps w:val="false"/>
          <w:sz w:val="20"/>
        </w:rPr>
        <w:t>230, $</w:t>
      </w:r>
      <w:bookmarkStart w:id="509" w:name="xdx_90F_eus-gaap--OperatingLeaseCost_pn3"/>
      <w:bookmarkEnd w:id="509"/>
      <w:r>
        <w:rPr>
          <w:rFonts w:ascii="Times New Roman;Times;Serif" w:hAnsi="Times New Roman;Times;Serif"/>
          <w:b w:val="false"/>
          <w:i w:val="false"/>
          <w:caps w:val="false"/>
          <w:smallCaps w:val="false"/>
          <w:sz w:val="20"/>
        </w:rPr>
        <w:t>23 of fixed operating expense costs, and estimated monthly property taxes of $</w:t>
      </w:r>
      <w:bookmarkStart w:id="510" w:name="xdx_901_ecustom--LesseeOperatingLeaseEst"/>
      <w:bookmarkEnd w:id="510"/>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511" w:name="xdx_90E_ecustom--LesseeOperatingLeasePer"/>
      <w:bookmarkEnd w:id="511"/>
      <w:r>
        <w:rPr>
          <w:rFonts w:ascii="Times New Roman;Times;Serif" w:hAnsi="Times New Roman;Times;Serif"/>
          <w:b w:val="false"/>
          <w:i w:val="false"/>
          <w:caps w:val="false"/>
          <w:smallCaps w:val="false"/>
          <w:sz w:val="20"/>
        </w:rPr>
        <w:t xml:space="preserve">3% and </w:t>
      </w:r>
      <w:bookmarkStart w:id="512" w:name="xdx_90B_ecustom--LesseeOperatingLeasePer"/>
      <w:bookmarkEnd w:id="512"/>
      <w:r>
        <w:rPr>
          <w:rFonts w:ascii="Times New Roman;Times;Serif" w:hAnsi="Times New Roman;Times;Serif"/>
          <w:b w:val="false"/>
          <w:i w:val="false"/>
          <w:caps w:val="false"/>
          <w:smallCaps w:val="false"/>
          <w:sz w:val="20"/>
        </w:rPr>
        <w:t>2.4%, respectively, on an annual basis. A certificate of substantial completion has been issued and the lease commencement date was March 25, 2024. The Company began paying monthly rent under the lease on July 24,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entered into a lease agreement, pursuant to which the Company agreed to lease an approximately </w:t>
      </w:r>
      <w:bookmarkStart w:id="513" w:name="xdx_90C_eus-gaap--AreaOfLand_iI_usqft_c2"/>
      <w:bookmarkEnd w:id="513"/>
      <w:r>
        <w:rPr>
          <w:rFonts w:ascii="Times New Roman;Times;Serif" w:hAnsi="Times New Roman;Times;Serif"/>
          <w:b w:val="false"/>
          <w:i w:val="false"/>
          <w:caps w:val="false"/>
          <w:smallCaps w:val="false"/>
          <w:sz w:val="20"/>
        </w:rPr>
        <w:t>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is $</w:t>
      </w:r>
      <w:bookmarkStart w:id="514" w:name="xdx_90A_eus-gaap--PaymentsForRent_pn3n3_"/>
      <w:bookmarkEnd w:id="514"/>
      <w:r>
        <w:rPr>
          <w:rFonts w:ascii="Times New Roman;Times;Serif" w:hAnsi="Times New Roman;Times;Serif"/>
          <w:b w:val="false"/>
          <w:i w:val="false"/>
          <w:caps w:val="false"/>
          <w:smallCaps w:val="false"/>
          <w:sz w:val="20"/>
        </w:rPr>
        <w:t>45 for the first ten months, starting June 1, 2024, and is subject to a three percent (</w:t>
      </w:r>
      <w:bookmarkStart w:id="515" w:name="xdx_90E_ecustom--LeaseTermPercentage_pid"/>
      <w:bookmarkEnd w:id="515"/>
      <w:r>
        <w:rPr>
          <w:rFonts w:ascii="Times New Roman;Times;Serif" w:hAnsi="Times New Roman;Times;Serif"/>
          <w:b w:val="false"/>
          <w:i w:val="false"/>
          <w:caps w:val="false"/>
          <w:smallCaps w:val="false"/>
          <w:sz w:val="20"/>
        </w:rPr>
        <w:t>3.0%) increase on the anniversary of the Lease Commencement Date each year. The Company also will be responsible for twenty-five percent (</w:t>
      </w:r>
      <w:bookmarkStart w:id="516" w:name="xdx_908_ecustom--OperatingExpensesTaxesA"/>
      <w:bookmarkEnd w:id="516"/>
      <w:r>
        <w:rPr>
          <w:rFonts w:ascii="Times New Roman;Times;Serif" w:hAnsi="Times New Roman;Times;Serif"/>
          <w:b w:val="false"/>
          <w:i w:val="false"/>
          <w:caps w:val="false"/>
          <w:smallCaps w:val="false"/>
          <w:sz w:val="20"/>
        </w:rPr>
        <w:t>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w:t>
      </w:r>
      <w:bookmarkStart w:id="517" w:name="xdx_90B_eus-gaap--SecurityDeposit_iI_pn3"/>
      <w:bookmarkEnd w:id="517"/>
      <w:r>
        <w:rPr>
          <w:rFonts w:ascii="Times New Roman;Times;Serif" w:hAnsi="Times New Roman;Times;Serif"/>
          <w:b w:val="false"/>
          <w:i w:val="false"/>
          <w:caps w:val="false"/>
          <w:smallCaps w:val="false"/>
          <w:sz w:val="20"/>
        </w:rPr>
        <w:t>50.</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518" w:name="xdx_890_ecustom--ScheduleOfBreakoutOfOpe"/>
      <w:bookmarkEnd w:id="518"/>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10" w:right="0" w:hanging="10"/>
        <w:jc w:val="both"/>
        <w:rPr>
          <w:caps w:val="false"/>
          <w:smallCaps w:val="false"/>
        </w:rPr>
      </w:pPr>
      <w:r>
        <w:rPr>
          <w:caps w:val="false"/>
          <w:smallCaps w:val="false"/>
        </w:rPr>
        <w:t> </w:t>
      </w:r>
      <w:bookmarkStart w:id="519" w:name="xdx_8BE_zMLm6lCHt4t6"/>
      <w:bookmarkEnd w:id="519"/>
      <w:r>
        <w:rPr>
          <w:rFonts w:ascii="Times New Roman;Times;Serif" w:hAnsi="Times New Roman;Times;Serif"/>
          <w:b w:val="false"/>
          <w:i w:val="false"/>
          <w:caps w:val="false"/>
          <w:smallCaps w:val="false"/>
          <w:sz w:val="20"/>
        </w:rPr>
        <w:t>SCHEDULE OF BREAKOUT OF OPERATING LEASES   </w:t>
      </w:r>
    </w:p>
    <w:tbl>
      <w:tblPr>
        <w:tblW w:w="8109" w:type="dxa"/>
        <w:jc w:val="left"/>
        <w:tblInd w:w="0" w:type="dxa"/>
        <w:tblLayout w:type="fixed"/>
        <w:tblCellMar>
          <w:top w:w="0" w:type="dxa"/>
          <w:left w:w="0" w:type="dxa"/>
          <w:bottom w:w="0" w:type="dxa"/>
          <w:right w:w="0" w:type="dxa"/>
        </w:tblCellMar>
      </w:tblPr>
      <w:tblGrid>
        <w:gridCol w:w="3755"/>
        <w:gridCol w:w="60"/>
        <w:gridCol w:w="315"/>
        <w:gridCol w:w="1579"/>
        <w:gridCol w:w="215"/>
        <w:gridCol w:w="60"/>
        <w:gridCol w:w="379"/>
        <w:gridCol w:w="1516"/>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20" w:name="xdx_490_20241231_zIKVTunR2Dx8"/>
            <w:bookmarkEnd w:id="520"/>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1" w:name="xdx_499_20231231_zgTLOxKPPlm2"/>
            <w:bookmarkEnd w:id="521"/>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December 31, 2023</w:t>
            </w:r>
          </w:p>
        </w:tc>
        <w:tc>
          <w:tcPr>
            <w:tcW w:w="230" w:type="dxa"/>
            <w:tcBorders/>
            <w:vAlign w:val="center"/>
          </w:tcPr>
          <w:p>
            <w:pPr>
              <w:pStyle w:val="TableContents"/>
              <w:bidi w:val="0"/>
              <w:spacing w:before="0" w:after="283"/>
              <w:ind w:left="0" w:right="0" w:hanging="10"/>
              <w:jc w:val="left"/>
              <w:rPr/>
            </w:pPr>
            <w:r>
              <w:rPr/>
              <w:t> </w:t>
            </w:r>
            <w:bookmarkStart w:id="522" w:name="xdx_40E_eus-gaap--OperatingLeaseRightOfU"/>
            <w:bookmarkEnd w:id="522"/>
          </w:p>
        </w:tc>
      </w:tr>
      <w:tr>
        <w:trPr/>
        <w:tc>
          <w:tcPr>
            <w:tcW w:w="3755"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19,737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pPr>
            <w:r>
              <w:rPr/>
              <w:t>3,315</w:t>
            </w:r>
          </w:p>
        </w:tc>
        <w:tc>
          <w:tcPr>
            <w:tcW w:w="230" w:type="dxa"/>
            <w:tcBorders/>
            <w:shd w:fill="CCEEFF" w:val="clear"/>
            <w:vAlign w:val="center"/>
          </w:tcPr>
          <w:p>
            <w:pPr>
              <w:pStyle w:val="TableContents"/>
              <w:bidi w:val="0"/>
              <w:spacing w:before="0" w:after="283"/>
              <w:ind w:left="0" w:right="0" w:hanging="10"/>
              <w:jc w:val="left"/>
              <w:rPr/>
            </w:pPr>
            <w:r>
              <w:rPr/>
              <w:t> </w:t>
            </w:r>
            <w:bookmarkStart w:id="523" w:name="xdx_402_eus-gaap--OperatingLeaseLiabilit"/>
            <w:bookmarkEnd w:id="523"/>
          </w:p>
        </w:tc>
      </w:tr>
      <w:tr>
        <w:trPr/>
        <w:tc>
          <w:tcPr>
            <w:tcW w:w="3755" w:type="dxa"/>
            <w:tcBorders/>
            <w:shd w:fill="FFFFFF" w:val="clear"/>
            <w:vAlign w:val="center"/>
          </w:tcPr>
          <w:p>
            <w:pPr>
              <w:pStyle w:val="TableContents"/>
              <w:bidi w:val="0"/>
              <w:spacing w:before="0" w:after="283"/>
              <w:jc w:val="both"/>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2,926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1,288</w:t>
            </w:r>
          </w:p>
        </w:tc>
        <w:tc>
          <w:tcPr>
            <w:tcW w:w="230" w:type="dxa"/>
            <w:tcBorders/>
            <w:shd w:fill="FFFFFF" w:val="clear"/>
            <w:vAlign w:val="center"/>
          </w:tcPr>
          <w:p>
            <w:pPr>
              <w:pStyle w:val="TableContents"/>
              <w:bidi w:val="0"/>
              <w:spacing w:before="0" w:after="283"/>
              <w:ind w:left="0" w:right="0" w:hanging="10"/>
              <w:jc w:val="left"/>
              <w:rPr/>
            </w:pPr>
            <w:r>
              <w:rPr/>
              <w:t> </w:t>
            </w:r>
            <w:bookmarkStart w:id="524" w:name="xdx_401_eus-gaap--OperatingLeaseLiabilit"/>
            <w:bookmarkEnd w:id="524"/>
          </w:p>
        </w:tc>
      </w:tr>
      <w:tr>
        <w:trPr/>
        <w:tc>
          <w:tcPr>
            <w:tcW w:w="3755" w:type="dxa"/>
            <w:tcBorders/>
            <w:shd w:fill="CCEEFF" w:val="clear"/>
            <w:vAlign w:val="center"/>
          </w:tcPr>
          <w:p>
            <w:pPr>
              <w:pStyle w:val="TableContents"/>
              <w:bidi w:val="0"/>
              <w:spacing w:before="0" w:after="283"/>
              <w:jc w:val="both"/>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22,588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pPr>
            <w:r>
              <w:rPr/>
              <w:t>2,234</w:t>
            </w:r>
          </w:p>
        </w:tc>
        <w:tc>
          <w:tcPr>
            <w:tcW w:w="230" w:type="dxa"/>
            <w:tcBorders/>
            <w:shd w:fill="CCEEFF" w:val="clear"/>
            <w:vAlign w:val="center"/>
          </w:tcPr>
          <w:p>
            <w:pPr>
              <w:pStyle w:val="TableContents"/>
              <w:bidi w:val="0"/>
              <w:spacing w:before="0" w:after="283"/>
              <w:ind w:left="0" w:right="0" w:hanging="10"/>
              <w:jc w:val="left"/>
              <w:rPr/>
            </w:pPr>
            <w:r>
              <w:rPr/>
              <w:t> </w:t>
            </w:r>
            <w:bookmarkStart w:id="525" w:name="xdx_409_eus-gaap--OperatingLeaseLiabilit"/>
            <w:bookmarkEnd w:id="525"/>
          </w:p>
        </w:tc>
      </w:tr>
      <w:tr>
        <w:trPr/>
        <w:tc>
          <w:tcPr>
            <w:tcW w:w="3755" w:type="dxa"/>
            <w:tcBorders/>
            <w:shd w:fill="FFFFFF" w:val="clear"/>
            <w:vAlign w:val="center"/>
          </w:tcPr>
          <w:p>
            <w:pPr>
              <w:pStyle w:val="TableContents"/>
              <w:bidi w:val="0"/>
              <w:spacing w:before="0" w:after="283"/>
              <w:jc w:val="both"/>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79" w:type="dxa"/>
            <w:tcBorders>
              <w:bottom w:val="double" w:sz="6" w:space="0" w:color="000000"/>
            </w:tcBorders>
            <w:shd w:fill="FFFFFF" w:val="clear"/>
            <w:tcMar>
              <w:bottom w:w="28" w:type="dxa"/>
            </w:tcMar>
            <w:vAlign w:val="center"/>
          </w:tcPr>
          <w:p>
            <w:pPr>
              <w:pStyle w:val="TableContents"/>
              <w:bidi w:val="0"/>
              <w:spacing w:before="0" w:after="283"/>
              <w:jc w:val="right"/>
              <w:rPr/>
            </w:pPr>
            <w:r>
              <w:rPr/>
              <w:t>25,514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pPr>
            <w:r>
              <w:rPr/>
              <w:t>3,522</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sz w:val="20"/>
              </w:rPr>
            </w:pPr>
            <w:bookmarkStart w:id="526" w:name="xdx_906_eus-gaap--OperatingLeaseWeighted"/>
            <w:bookmarkEnd w:id="526"/>
            <w:r>
              <w:rPr>
                <w:rFonts w:ascii="Times New Roman;Times;Serif" w:hAnsi="Times New Roman;Times;Serif"/>
                <w:sz w:val="20"/>
              </w:rPr>
              <w:t>8.46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sz w:val="20"/>
              </w:rPr>
            </w:pPr>
            <w:bookmarkStart w:id="527" w:name="xdx_900_eus-gaap--OperatingLeaseWeighted"/>
            <w:bookmarkEnd w:id="527"/>
            <w:r>
              <w:rPr>
                <w:rFonts w:ascii="Times New Roman;Times;Serif" w:hAnsi="Times New Roman;Times;Serif"/>
                <w:sz w:val="20"/>
              </w:rPr>
              <w:t>2.6 years</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bookmarkStart w:id="528" w:name="xdx_90A_eus-gaap--OperatingLeaseWeighted"/>
            <w:bookmarkEnd w:id="528"/>
            <w:r>
              <w:rPr/>
              <w:t>7.86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529" w:name="xdx_90A_eus-gaap--OperatingLeaseWeighted"/>
            <w:bookmarkEnd w:id="529"/>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bookmarkStart w:id="530" w:name="xdx_8AB_zoLc1FuV4Oxa"/>
      <w:bookmarkEnd w:id="530"/>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531" w:name="xdx_89A_eus-gaap--LesseeOperatingLeaseLi"/>
      <w:bookmarkEnd w:id="531"/>
      <w:r>
        <w:rPr>
          <w:rFonts w:ascii="Times New Roman;Times;Serif" w:hAnsi="Times New Roman;Times;Serif"/>
          <w:b w:val="false"/>
          <w:i w:val="false"/>
          <w:caps w:val="false"/>
          <w:smallCaps w:val="false"/>
          <w:sz w:val="20"/>
        </w:rPr>
        <w:t>At December 31, 2024, the future minimum lease payments under these operating leases are as follows:</w:t>
      </w:r>
    </w:p>
    <w:p>
      <w:pPr>
        <w:pStyle w:val="TextBody"/>
        <w:bidi w:val="0"/>
        <w:spacing w:before="0" w:after="0"/>
        <w:ind w:left="10" w:right="0" w:hanging="10"/>
        <w:jc w:val="both"/>
        <w:rPr>
          <w:caps w:val="false"/>
          <w:smallCaps w:val="false"/>
        </w:rPr>
      </w:pPr>
      <w:r>
        <w:rPr>
          <w:caps w:val="false"/>
          <w:smallCaps w:val="false"/>
        </w:rPr>
        <w:t> </w:t>
      </w:r>
      <w:bookmarkStart w:id="532" w:name="xdx_8B2_zQtwGPVAzNw6"/>
      <w:bookmarkEnd w:id="532"/>
      <w:r>
        <w:rPr>
          <w:rFonts w:ascii="Times New Roman;Times;Serif" w:hAnsi="Times New Roman;Times;Serif"/>
          <w:b w:val="false"/>
          <w:i w:val="false"/>
          <w:caps w:val="false"/>
          <w:smallCaps w:val="false"/>
          <w:sz w:val="20"/>
        </w:rPr>
        <w:t>SCHEDULE OF FUTURE MINIMUM LEASE PAYMENTS UNDER OPERATING LEASES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CCEEFF" w:val="clear"/>
            <w:vAlign w:val="center"/>
          </w:tcPr>
          <w:p>
            <w:pPr>
              <w:pStyle w:val="TableContents"/>
              <w:bidi w:val="0"/>
              <w:spacing w:before="0" w:after="283"/>
              <w:ind w:left="0" w:right="0" w:hanging="10"/>
              <w:jc w:val="both"/>
              <w:rPr/>
            </w:pPr>
            <w:r>
              <w:rPr/>
              <w:t>Fiscal Years Ending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33" w:name="xdx_491_20241231_zz1jSa2YmMR6"/>
            <w:bookmarkEnd w:id="533"/>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0"/>
              <w:jc w:val="left"/>
              <w:rPr/>
            </w:pPr>
            <w:r>
              <w:rPr/>
              <w:t> </w:t>
            </w:r>
            <w:bookmarkStart w:id="534" w:name="xdx_40F_eus-gaap--LesseeOperatingLeaseLi"/>
            <w:bookmarkEnd w:id="534"/>
          </w:p>
        </w:tc>
      </w:tr>
      <w:tr>
        <w:trPr/>
        <w:tc>
          <w:tcPr>
            <w:tcW w:w="2900" w:type="dxa"/>
            <w:tcBorders/>
            <w:shd w:fill="FFFFFF" w:val="clear"/>
            <w:vAlign w:val="center"/>
          </w:tcPr>
          <w:p>
            <w:pPr>
              <w:pStyle w:val="TableContents"/>
              <w:bidi w:val="0"/>
              <w:spacing w:before="0" w:after="283"/>
              <w:jc w:val="both"/>
              <w:rPr/>
            </w:pPr>
            <w:r>
              <w:rPr/>
              <w:t>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4,817</w:t>
            </w:r>
          </w:p>
        </w:tc>
        <w:tc>
          <w:tcPr>
            <w:tcW w:w="75" w:type="dxa"/>
            <w:tcBorders/>
            <w:shd w:fill="FFFFFF" w:val="clear"/>
            <w:vAlign w:val="center"/>
          </w:tcPr>
          <w:p>
            <w:pPr>
              <w:pStyle w:val="TableContents"/>
              <w:bidi w:val="0"/>
              <w:spacing w:before="0" w:after="283"/>
              <w:ind w:left="0" w:right="0" w:hanging="10"/>
              <w:jc w:val="left"/>
              <w:rPr/>
            </w:pPr>
            <w:r>
              <w:rPr/>
              <w:t> </w:t>
            </w:r>
            <w:bookmarkStart w:id="535" w:name="xdx_401_eus-gaap--LesseeOperatingLeaseLi"/>
            <w:bookmarkEnd w:id="535"/>
          </w:p>
        </w:tc>
      </w:tr>
      <w:tr>
        <w:trPr/>
        <w:tc>
          <w:tcPr>
            <w:tcW w:w="2900" w:type="dxa"/>
            <w:tcBorders/>
            <w:shd w:fill="CCEEFF" w:val="clear"/>
            <w:vAlign w:val="center"/>
          </w:tcPr>
          <w:p>
            <w:pPr>
              <w:pStyle w:val="TableContents"/>
              <w:bidi w:val="0"/>
              <w:spacing w:before="0" w:after="283"/>
              <w:jc w:val="both"/>
              <w:rPr/>
            </w:pPr>
            <w:r>
              <w:rPr/>
              <w:t>December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4,376</w:t>
            </w:r>
          </w:p>
        </w:tc>
        <w:tc>
          <w:tcPr>
            <w:tcW w:w="75" w:type="dxa"/>
            <w:tcBorders/>
            <w:shd w:fill="CCEEFF" w:val="clear"/>
            <w:vAlign w:val="center"/>
          </w:tcPr>
          <w:p>
            <w:pPr>
              <w:pStyle w:val="TableContents"/>
              <w:bidi w:val="0"/>
              <w:spacing w:before="0" w:after="283"/>
              <w:ind w:left="0" w:right="0" w:hanging="10"/>
              <w:jc w:val="left"/>
              <w:rPr/>
            </w:pPr>
            <w:r>
              <w:rPr/>
              <w:t> </w:t>
            </w:r>
            <w:bookmarkStart w:id="536" w:name="xdx_408_eus-gaap--LesseeOperatingLeaseLi"/>
            <w:bookmarkEnd w:id="536"/>
          </w:p>
        </w:tc>
      </w:tr>
      <w:tr>
        <w:trPr/>
        <w:tc>
          <w:tcPr>
            <w:tcW w:w="2900" w:type="dxa"/>
            <w:tcBorders/>
            <w:shd w:fill="FFFFFF" w:val="clear"/>
            <w:vAlign w:val="center"/>
          </w:tcPr>
          <w:p>
            <w:pPr>
              <w:pStyle w:val="TableContents"/>
              <w:bidi w:val="0"/>
              <w:spacing w:before="0" w:after="283"/>
              <w:jc w:val="both"/>
              <w:rPr/>
            </w:pPr>
            <w:r>
              <w:rPr/>
              <w:t>December 31,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3,588</w:t>
            </w:r>
          </w:p>
        </w:tc>
        <w:tc>
          <w:tcPr>
            <w:tcW w:w="75" w:type="dxa"/>
            <w:tcBorders/>
            <w:shd w:fill="FFFFFF" w:val="clear"/>
            <w:vAlign w:val="center"/>
          </w:tcPr>
          <w:p>
            <w:pPr>
              <w:pStyle w:val="TableContents"/>
              <w:bidi w:val="0"/>
              <w:spacing w:before="0" w:after="283"/>
              <w:ind w:left="0" w:right="0" w:hanging="10"/>
              <w:jc w:val="left"/>
              <w:rPr/>
            </w:pPr>
            <w:r>
              <w:rPr/>
              <w:t> </w:t>
            </w:r>
            <w:bookmarkStart w:id="537" w:name="xdx_40A_eus-gaap--LesseeOperatingLeaseLi"/>
            <w:bookmarkEnd w:id="537"/>
          </w:p>
        </w:tc>
      </w:tr>
      <w:tr>
        <w:trPr/>
        <w:tc>
          <w:tcPr>
            <w:tcW w:w="2900" w:type="dxa"/>
            <w:tcBorders/>
            <w:shd w:fill="CCEEFF" w:val="clear"/>
            <w:vAlign w:val="center"/>
          </w:tcPr>
          <w:p>
            <w:pPr>
              <w:pStyle w:val="TableContents"/>
              <w:bidi w:val="0"/>
              <w:spacing w:before="0" w:after="283"/>
              <w:jc w:val="both"/>
              <w:rPr/>
            </w:pPr>
            <w:r>
              <w:rPr/>
              <w:t>December 31, 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3,695</w:t>
            </w:r>
          </w:p>
        </w:tc>
        <w:tc>
          <w:tcPr>
            <w:tcW w:w="75" w:type="dxa"/>
            <w:tcBorders/>
            <w:shd w:fill="CCEEFF" w:val="clear"/>
            <w:vAlign w:val="center"/>
          </w:tcPr>
          <w:p>
            <w:pPr>
              <w:pStyle w:val="TableContents"/>
              <w:bidi w:val="0"/>
              <w:spacing w:before="0" w:after="283"/>
              <w:ind w:left="0" w:right="0" w:hanging="10"/>
              <w:jc w:val="left"/>
              <w:rPr/>
            </w:pPr>
            <w:r>
              <w:rPr/>
              <w:t> </w:t>
            </w:r>
            <w:bookmarkStart w:id="538" w:name="xdx_404_eus-gaap--LesseeOperatingLeaseLi"/>
            <w:bookmarkEnd w:id="538"/>
          </w:p>
        </w:tc>
      </w:tr>
      <w:tr>
        <w:trPr/>
        <w:tc>
          <w:tcPr>
            <w:tcW w:w="2900" w:type="dxa"/>
            <w:tcBorders/>
            <w:shd w:fill="FFFFFF" w:val="clear"/>
            <w:vAlign w:val="center"/>
          </w:tcPr>
          <w:p>
            <w:pPr>
              <w:pStyle w:val="TableContents"/>
              <w:bidi w:val="0"/>
              <w:spacing w:before="0" w:after="283"/>
              <w:jc w:val="both"/>
              <w:rPr/>
            </w:pPr>
            <w:r>
              <w:rPr/>
              <w:t>December 31, 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3,443</w:t>
            </w:r>
          </w:p>
        </w:tc>
        <w:tc>
          <w:tcPr>
            <w:tcW w:w="75" w:type="dxa"/>
            <w:tcBorders/>
            <w:shd w:fill="FFFFFF" w:val="clear"/>
            <w:vAlign w:val="center"/>
          </w:tcPr>
          <w:p>
            <w:pPr>
              <w:pStyle w:val="TableContents"/>
              <w:bidi w:val="0"/>
              <w:spacing w:before="0" w:after="283"/>
              <w:ind w:left="0" w:right="0" w:hanging="10"/>
              <w:jc w:val="left"/>
              <w:rPr/>
            </w:pPr>
            <w:r>
              <w:rPr/>
              <w:t> </w:t>
            </w:r>
            <w:bookmarkStart w:id="539" w:name="xdx_405_eus-gaap--LesseeOperatingLeaseLi"/>
            <w:bookmarkEnd w:id="539"/>
          </w:p>
        </w:tc>
      </w:tr>
      <w:tr>
        <w:trPr/>
        <w:tc>
          <w:tcPr>
            <w:tcW w:w="2900" w:type="dxa"/>
            <w:tcBorders/>
            <w:shd w:fill="CCEEFF" w:val="clear"/>
            <w:vAlign w:val="center"/>
          </w:tcPr>
          <w:p>
            <w:pPr>
              <w:pStyle w:val="TableContents"/>
              <w:bidi w:val="0"/>
              <w:spacing w:before="0" w:after="283"/>
              <w:jc w:val="both"/>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15,883</w:t>
            </w:r>
          </w:p>
        </w:tc>
        <w:tc>
          <w:tcPr>
            <w:tcW w:w="75" w:type="dxa"/>
            <w:tcBorders/>
            <w:shd w:fill="CCEEFF" w:val="clear"/>
            <w:vAlign w:val="center"/>
          </w:tcPr>
          <w:p>
            <w:pPr>
              <w:pStyle w:val="TableContents"/>
              <w:bidi w:val="0"/>
              <w:spacing w:before="0" w:after="283"/>
              <w:ind w:left="0" w:right="0" w:hanging="10"/>
              <w:jc w:val="left"/>
              <w:rPr/>
            </w:pPr>
            <w:r>
              <w:rPr/>
              <w:t> </w:t>
            </w:r>
            <w:bookmarkStart w:id="540" w:name="xdx_40F_eus-gaap--LesseeOperatingLeaseLi"/>
            <w:bookmarkEnd w:id="540"/>
          </w:p>
        </w:tc>
      </w:tr>
      <w:tr>
        <w:trPr/>
        <w:tc>
          <w:tcPr>
            <w:tcW w:w="2900" w:type="dxa"/>
            <w:tcBorders/>
            <w:shd w:fill="FFFFFF" w:val="clear"/>
            <w:vAlign w:val="center"/>
          </w:tcPr>
          <w:p>
            <w:pPr>
              <w:pStyle w:val="TableContents"/>
              <w:bidi w:val="0"/>
              <w:spacing w:before="0" w:after="283"/>
              <w:jc w:val="both"/>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35,802</w:t>
            </w:r>
          </w:p>
        </w:tc>
        <w:tc>
          <w:tcPr>
            <w:tcW w:w="75" w:type="dxa"/>
            <w:tcBorders/>
            <w:shd w:fill="FFFFFF" w:val="clear"/>
            <w:vAlign w:val="center"/>
          </w:tcPr>
          <w:p>
            <w:pPr>
              <w:pStyle w:val="TableContents"/>
              <w:bidi w:val="0"/>
              <w:spacing w:before="0" w:after="283"/>
              <w:ind w:left="0" w:right="0" w:hanging="10"/>
              <w:jc w:val="left"/>
              <w:rPr/>
            </w:pPr>
            <w:r>
              <w:rPr/>
              <w:t> </w:t>
            </w:r>
            <w:bookmarkStart w:id="541" w:name="xdx_40E_eus-gaap--LesseeOperatingLeaseLi"/>
            <w:bookmarkEnd w:id="541"/>
          </w:p>
        </w:tc>
      </w:tr>
      <w:tr>
        <w:trPr/>
        <w:tc>
          <w:tcPr>
            <w:tcW w:w="290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10,288</w:t>
            </w:r>
          </w:p>
        </w:tc>
        <w:tc>
          <w:tcPr>
            <w:tcW w:w="75" w:type="dxa"/>
            <w:tcBorders/>
            <w:shd w:fill="CCEEFF" w:val="clear"/>
            <w:vAlign w:val="center"/>
          </w:tcPr>
          <w:p>
            <w:pPr>
              <w:pStyle w:val="TableContents"/>
              <w:bidi w:val="0"/>
              <w:spacing w:before="0" w:after="283"/>
              <w:ind w:left="0" w:right="0" w:hanging="10"/>
              <w:jc w:val="left"/>
              <w:rPr/>
            </w:pPr>
            <w:r>
              <w:rPr/>
              <w:t> </w:t>
            </w:r>
            <w:bookmarkStart w:id="542" w:name="xdx_40A_eus-gaap--OperatingLeaseLiabilit"/>
            <w:bookmarkEnd w:id="542"/>
          </w:p>
        </w:tc>
      </w:tr>
      <w:tr>
        <w:trPr/>
        <w:tc>
          <w:tcPr>
            <w:tcW w:w="2900" w:type="dxa"/>
            <w:tcBorders/>
            <w:shd w:fill="FFFFFF" w:val="clear"/>
            <w:vAlign w:val="center"/>
          </w:tcPr>
          <w:p>
            <w:pPr>
              <w:pStyle w:val="TableContents"/>
              <w:bidi w:val="0"/>
              <w:spacing w:before="0" w:after="283"/>
              <w:jc w:val="both"/>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25,514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543" w:name="xdx_8A6_zfnvdPyT8z61"/>
      <w:bookmarkEnd w:id="543"/>
      <w:r>
        <w:rPr>
          <w:caps w:val="false"/>
          <w:smallCaps w:val="false"/>
        </w:rPr>
        <w:t> </w:t>
      </w:r>
    </w:p>
    <w:p>
      <w:pPr>
        <w:pStyle w:val="TextBody"/>
        <w:bidi w:val="0"/>
        <w:spacing w:before="0" w:after="0"/>
        <w:ind w:left="10" w:right="0" w:hanging="10"/>
        <w:jc w:val="both"/>
        <w:rPr>
          <w:caps w:val="false"/>
          <w:smallCaps w:val="false"/>
        </w:rPr>
      </w:pPr>
      <w:bookmarkStart w:id="544" w:name="xdx_89E_eus-gaap--LeaseCostTableTextBloc"/>
      <w:bookmarkEnd w:id="544"/>
      <w:r>
        <w:rPr>
          <w:caps w:val="false"/>
          <w:smallCaps w:val="false"/>
        </w:rPr>
        <w:t> </w:t>
      </w:r>
      <w:bookmarkStart w:id="545" w:name="xdx_8B7_zFLx8AJBP3s"/>
      <w:bookmarkEnd w:id="545"/>
      <w:r>
        <w:rPr>
          <w:rFonts w:ascii="Times New Roman;Times;Serif" w:hAnsi="Times New Roman;Times;Serif"/>
          <w:b w:val="false"/>
          <w:i w:val="false"/>
          <w:caps w:val="false"/>
          <w:smallCaps w:val="false"/>
          <w:sz w:val="20"/>
        </w:rPr>
        <w:t>SCHEDULE OF LEASE COST</w:t>
      </w:r>
    </w:p>
    <w:tbl>
      <w:tblPr>
        <w:tblW w:w="8171" w:type="dxa"/>
        <w:jc w:val="left"/>
        <w:tblInd w:w="0" w:type="dxa"/>
        <w:tblLayout w:type="fixed"/>
        <w:tblCellMar>
          <w:top w:w="0" w:type="dxa"/>
          <w:left w:w="0" w:type="dxa"/>
          <w:bottom w:w="28" w:type="dxa"/>
          <w:right w:w="0" w:type="dxa"/>
        </w:tblCellMar>
      </w:tblPr>
      <w:tblGrid>
        <w:gridCol w:w="1940"/>
        <w:gridCol w:w="60"/>
        <w:gridCol w:w="2570"/>
        <w:gridCol w:w="60"/>
        <w:gridCol w:w="319"/>
        <w:gridCol w:w="1278"/>
        <w:gridCol w:w="136"/>
        <w:gridCol w:w="136"/>
        <w:gridCol w:w="319"/>
        <w:gridCol w:w="1278"/>
        <w:gridCol w:w="75"/>
      </w:tblGrid>
      <w:tr>
        <w:trPr/>
        <w:tc>
          <w:tcPr>
            <w:tcW w:w="1940" w:type="dxa"/>
            <w:tcBorders>
              <w:bottom w:val="single" w:sz="8" w:space="0" w:color="000000"/>
            </w:tcBorders>
            <w:vAlign w:val="center"/>
          </w:tcPr>
          <w:p>
            <w:pPr>
              <w:pStyle w:val="TableContents"/>
              <w:bidi w:val="0"/>
              <w:spacing w:before="0" w:after="283"/>
              <w:jc w:val="both"/>
              <w:rPr/>
            </w:pPr>
            <w:r>
              <w:rPr/>
              <w:t>Lease cost</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both"/>
              <w:rPr/>
            </w:pPr>
            <w:r>
              <w:rPr/>
              <w:t>Classification</w:t>
            </w:r>
          </w:p>
        </w:tc>
        <w:tc>
          <w:tcPr>
            <w:tcW w:w="60" w:type="dxa"/>
            <w:tcBorders/>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vAlign w:val="center"/>
          </w:tcPr>
          <w:p>
            <w:pPr>
              <w:pStyle w:val="TableContents"/>
              <w:bidi w:val="0"/>
              <w:spacing w:before="0" w:after="283"/>
              <w:jc w:val="center"/>
              <w:rPr/>
            </w:pPr>
            <w:r>
              <w:rPr/>
              <w:t>2024</w:t>
            </w:r>
          </w:p>
        </w:tc>
        <w:tc>
          <w:tcPr>
            <w:tcW w:w="136"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vAlign w:val="center"/>
          </w:tcPr>
          <w:p>
            <w:pPr>
              <w:pStyle w:val="TableContents"/>
              <w:bidi w:val="0"/>
              <w:spacing w:before="0" w:after="283"/>
              <w:jc w:val="center"/>
              <w:rPr/>
            </w:pPr>
            <w:r>
              <w:rPr/>
              <w:t>2023</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466" w:type="dxa"/>
            <w:gridSpan w:val="6"/>
            <w:tcBorders/>
            <w:tcMar>
              <w:bottom w:w="0" w:type="dxa"/>
            </w:tcMar>
            <w:vAlign w:val="center"/>
          </w:tcPr>
          <w:p>
            <w:pPr>
              <w:pStyle w:val="TableContents"/>
              <w:bidi w:val="0"/>
              <w:spacing w:before="0" w:after="283"/>
              <w:jc w:val="center"/>
              <w:rPr/>
            </w:pPr>
            <w:r>
              <w:rPr/>
              <w:t>For The Years Ended December 31,</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8" w:space="0" w:color="000000"/>
            </w:tcBorders>
            <w:vAlign w:val="center"/>
          </w:tcPr>
          <w:p>
            <w:pPr>
              <w:pStyle w:val="TableContents"/>
              <w:bidi w:val="0"/>
              <w:spacing w:before="0" w:after="283"/>
              <w:jc w:val="both"/>
              <w:rPr/>
            </w:pPr>
            <w:r>
              <w:rPr/>
              <w:t>Lease cost</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both"/>
              <w:rPr/>
            </w:pPr>
            <w:r>
              <w:rPr/>
              <w:t>Classification</w:t>
            </w:r>
          </w:p>
        </w:tc>
        <w:tc>
          <w:tcPr>
            <w:tcW w:w="60" w:type="dxa"/>
            <w:tcBorders/>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vAlign w:val="center"/>
          </w:tcPr>
          <w:p>
            <w:pPr>
              <w:pStyle w:val="TableContents"/>
              <w:bidi w:val="0"/>
              <w:spacing w:before="0" w:after="283"/>
              <w:jc w:val="center"/>
              <w:rPr/>
            </w:pPr>
            <w:r>
              <w:rPr/>
              <w:t>2024</w:t>
            </w:r>
          </w:p>
        </w:tc>
        <w:tc>
          <w:tcPr>
            <w:tcW w:w="136"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vAlign w:val="center"/>
          </w:tcPr>
          <w:p>
            <w:pPr>
              <w:pStyle w:val="TableContents"/>
              <w:bidi w:val="0"/>
              <w:spacing w:before="0" w:after="283"/>
              <w:jc w:val="center"/>
              <w:rPr/>
            </w:pPr>
            <w:r>
              <w:rPr/>
              <w:t>2023</w:t>
            </w:r>
          </w:p>
        </w:tc>
        <w:tc>
          <w:tcPr>
            <w:tcW w:w="75" w:type="dxa"/>
            <w:tcBorders/>
            <w:tcMar>
              <w:bottom w:w="0" w:type="dxa"/>
            </w:tcMar>
            <w:vAlign w:val="center"/>
          </w:tcPr>
          <w:p>
            <w:pPr>
              <w:pStyle w:val="TableContents"/>
              <w:bidi w:val="0"/>
              <w:spacing w:before="0" w:after="283"/>
              <w:ind w:left="0" w:right="0" w:hanging="10"/>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Operating lease cost</w:t>
            </w:r>
          </w:p>
        </w:tc>
        <w:tc>
          <w:tcPr>
            <w:tcW w:w="60" w:type="dxa"/>
            <w:tcBorders/>
            <w:shd w:fill="CCEEFF" w:val="clear"/>
            <w:tcMar>
              <w:bottom w:w="0" w:type="dxa"/>
            </w:tcMar>
            <w:vAlign w:val="center"/>
          </w:tcPr>
          <w:p>
            <w:pPr>
              <w:pStyle w:val="TableContents"/>
              <w:bidi w:val="0"/>
              <w:spacing w:before="0" w:after="283"/>
              <w:ind w:left="0" w:right="0" w:hanging="10"/>
              <w:jc w:val="left"/>
              <w:rPr/>
            </w:pPr>
            <w:r>
              <w:rPr/>
              <w:t> </w:t>
            </w:r>
          </w:p>
        </w:tc>
        <w:tc>
          <w:tcPr>
            <w:tcW w:w="2570" w:type="dxa"/>
            <w:tcBorders/>
            <w:shd w:fill="CCEEFF" w:val="clear"/>
            <w:tcMar>
              <w:bottom w:w="0" w:type="dxa"/>
            </w:tcMar>
            <w:vAlign w:val="center"/>
          </w:tcPr>
          <w:p>
            <w:pPr>
              <w:pStyle w:val="TableContents"/>
              <w:bidi w:val="0"/>
              <w:spacing w:before="0" w:after="283"/>
              <w:jc w:val="both"/>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w:t>
            </w:r>
            <w:bookmarkStart w:id="546" w:name="xdx_987_eus-gaap--OperatingLeaseCost_pn3"/>
            <w:bookmarkEnd w:id="546"/>
          </w:p>
        </w:tc>
        <w:tc>
          <w:tcPr>
            <w:tcW w:w="1278" w:type="dxa"/>
            <w:tcBorders/>
            <w:shd w:fill="CCEEFF" w:val="clear"/>
            <w:tcMar>
              <w:bottom w:w="0" w:type="dxa"/>
            </w:tcMar>
            <w:vAlign w:val="center"/>
          </w:tcPr>
          <w:p>
            <w:pPr>
              <w:pStyle w:val="TableContents"/>
              <w:bidi w:val="0"/>
              <w:spacing w:before="0" w:after="283"/>
              <w:jc w:val="right"/>
              <w:rPr/>
            </w:pPr>
            <w:r>
              <w:rPr/>
              <w:t>1,579</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w:t>
            </w:r>
            <w:bookmarkStart w:id="547" w:name="xdx_982_eus-gaap--OperatingLeaseCost_pn3"/>
            <w:bookmarkEnd w:id="547"/>
          </w:p>
        </w:tc>
        <w:tc>
          <w:tcPr>
            <w:tcW w:w="1278" w:type="dxa"/>
            <w:tcBorders/>
            <w:shd w:fill="CCEEFF" w:val="clear"/>
            <w:tcMar>
              <w:bottom w:w="0" w:type="dxa"/>
            </w:tcMar>
            <w:vAlign w:val="center"/>
          </w:tcPr>
          <w:p>
            <w:pPr>
              <w:pStyle w:val="TableContents"/>
              <w:bidi w:val="0"/>
              <w:spacing w:before="0" w:after="283"/>
              <w:jc w:val="right"/>
              <w:rPr/>
            </w:pPr>
            <w:r>
              <w:rPr/>
              <w:t>1,393</w:t>
            </w:r>
          </w:p>
        </w:tc>
        <w:tc>
          <w:tcPr>
            <w:tcW w:w="75" w:type="dxa"/>
            <w:tcBorders/>
            <w:shd w:fill="CCEEFF" w:val="clear"/>
            <w:tcMar>
              <w:bottom w:w="0" w:type="dxa"/>
            </w:tcMar>
            <w:vAlign w:val="center"/>
          </w:tcPr>
          <w:p>
            <w:pPr>
              <w:pStyle w:val="TableContents"/>
              <w:bidi w:val="0"/>
              <w:spacing w:before="0" w:after="283"/>
              <w:ind w:left="0" w:right="0" w:hanging="10"/>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pPr>
            <w:r>
              <w:rPr/>
              <w:t>Operating lease cost</w:t>
            </w:r>
          </w:p>
        </w:tc>
        <w:tc>
          <w:tcPr>
            <w:tcW w:w="60" w:type="dxa"/>
            <w:tcBorders/>
            <w:shd w:fill="FFFFFF" w:val="clear"/>
            <w:tcMar>
              <w:bottom w:w="0" w:type="dxa"/>
            </w:tcMar>
            <w:vAlign w:val="center"/>
          </w:tcPr>
          <w:p>
            <w:pPr>
              <w:pStyle w:val="TableContents"/>
              <w:bidi w:val="0"/>
              <w:spacing w:before="0" w:after="283"/>
              <w:ind w:left="0" w:right="0" w:hanging="10"/>
              <w:jc w:val="left"/>
              <w:rPr/>
            </w:pPr>
            <w:r>
              <w:rPr/>
              <w:t> </w:t>
            </w:r>
          </w:p>
        </w:tc>
        <w:tc>
          <w:tcPr>
            <w:tcW w:w="2570" w:type="dxa"/>
            <w:tcBorders/>
            <w:shd w:fill="FFFFFF" w:val="clear"/>
            <w:tcMar>
              <w:bottom w:w="0" w:type="dxa"/>
            </w:tcMar>
            <w:vAlign w:val="center"/>
          </w:tcPr>
          <w:p>
            <w:pPr>
              <w:pStyle w:val="TableContents"/>
              <w:bidi w:val="0"/>
              <w:spacing w:before="0" w:after="283"/>
              <w:jc w:val="both"/>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9" w:type="dxa"/>
            <w:tcBorders/>
            <w:shd w:fill="FFFFFF" w:val="clear"/>
            <w:tcMar>
              <w:bottom w:w="0" w:type="dxa"/>
            </w:tcMar>
            <w:vAlign w:val="center"/>
          </w:tcPr>
          <w:p>
            <w:pPr>
              <w:pStyle w:val="TableContents"/>
              <w:bidi w:val="0"/>
              <w:spacing w:before="0" w:after="283"/>
              <w:jc w:val="left"/>
              <w:rPr/>
            </w:pPr>
            <w:r>
              <w:rPr/>
              <w:t> </w:t>
            </w:r>
            <w:bookmarkStart w:id="548" w:name="xdx_98B_eus-gaap--OperatingLeaseCost_pn3"/>
            <w:bookmarkEnd w:id="548"/>
          </w:p>
        </w:tc>
        <w:tc>
          <w:tcPr>
            <w:tcW w:w="1278" w:type="dxa"/>
            <w:tcBorders/>
            <w:shd w:fill="FFFFFF" w:val="clear"/>
            <w:tcMar>
              <w:bottom w:w="0" w:type="dxa"/>
            </w:tcMar>
            <w:vAlign w:val="center"/>
          </w:tcPr>
          <w:p>
            <w:pPr>
              <w:pStyle w:val="TableContents"/>
              <w:bidi w:val="0"/>
              <w:spacing w:before="0" w:after="283"/>
              <w:jc w:val="right"/>
              <w:rPr/>
            </w:pPr>
            <w:r>
              <w:rPr/>
              <w:t>520</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319" w:type="dxa"/>
            <w:tcBorders/>
            <w:shd w:fill="FFFFFF" w:val="clear"/>
            <w:tcMar>
              <w:bottom w:w="0" w:type="dxa"/>
            </w:tcMar>
            <w:vAlign w:val="center"/>
          </w:tcPr>
          <w:p>
            <w:pPr>
              <w:pStyle w:val="TableContents"/>
              <w:bidi w:val="0"/>
              <w:spacing w:before="0" w:after="283"/>
              <w:jc w:val="left"/>
              <w:rPr/>
            </w:pPr>
            <w:r>
              <w:rPr/>
              <w:t> </w:t>
            </w:r>
            <w:bookmarkStart w:id="549" w:name="xdx_985_eus-gaap--OperatingLeaseCost_pn3"/>
            <w:bookmarkEnd w:id="549"/>
          </w:p>
        </w:tc>
        <w:tc>
          <w:tcPr>
            <w:tcW w:w="1278" w:type="dxa"/>
            <w:tcBorders/>
            <w:shd w:fill="FFFFFF" w:val="clear"/>
            <w:tcMar>
              <w:bottom w:w="0" w:type="dxa"/>
            </w:tcMar>
            <w:vAlign w:val="center"/>
          </w:tcPr>
          <w:p>
            <w:pPr>
              <w:pStyle w:val="TableContents"/>
              <w:bidi w:val="0"/>
              <w:spacing w:before="0" w:after="283"/>
              <w:jc w:val="right"/>
              <w:rPr/>
            </w:pPr>
            <w:r>
              <w:rPr/>
              <w:t>90</w:t>
            </w:r>
          </w:p>
        </w:tc>
        <w:tc>
          <w:tcPr>
            <w:tcW w:w="75" w:type="dxa"/>
            <w:tcBorders/>
            <w:shd w:fill="FFFFFF" w:val="clear"/>
            <w:tcMar>
              <w:bottom w:w="0" w:type="dxa"/>
            </w:tcMar>
            <w:vAlign w:val="center"/>
          </w:tcPr>
          <w:p>
            <w:pPr>
              <w:pStyle w:val="TableContents"/>
              <w:bidi w:val="0"/>
              <w:spacing w:before="0" w:after="283"/>
              <w:ind w:left="0" w:right="0" w:hanging="10"/>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Operating lease cost</w:t>
            </w:r>
          </w:p>
        </w:tc>
        <w:tc>
          <w:tcPr>
            <w:tcW w:w="60" w:type="dxa"/>
            <w:tcBorders/>
            <w:shd w:fill="CCEEFF" w:val="clear"/>
            <w:tcMar>
              <w:bottom w:w="0" w:type="dxa"/>
            </w:tcMar>
            <w:vAlign w:val="center"/>
          </w:tcPr>
          <w:p>
            <w:pPr>
              <w:pStyle w:val="TableContents"/>
              <w:bidi w:val="0"/>
              <w:spacing w:before="0" w:after="283"/>
              <w:ind w:left="0" w:right="0" w:hanging="10"/>
              <w:jc w:val="left"/>
              <w:rPr/>
            </w:pPr>
            <w:r>
              <w:rPr/>
              <w:t> </w:t>
            </w:r>
          </w:p>
        </w:tc>
        <w:tc>
          <w:tcPr>
            <w:tcW w:w="2570" w:type="dxa"/>
            <w:tcBorders/>
            <w:shd w:fill="CCEEFF" w:val="clear"/>
            <w:tcMar>
              <w:bottom w:w="0" w:type="dxa"/>
            </w:tcMar>
            <w:vAlign w:val="center"/>
          </w:tcPr>
          <w:p>
            <w:pPr>
              <w:pStyle w:val="TableContents"/>
              <w:bidi w:val="0"/>
              <w:spacing w:before="0" w:after="283"/>
              <w:jc w:val="both"/>
              <w:rPr/>
            </w:pPr>
            <w:r>
              <w:rPr/>
              <w:t>General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 </w:t>
            </w:r>
            <w:bookmarkStart w:id="550" w:name="xdx_98E_eus-gaap--OperatingLeaseCost_pn3"/>
            <w:bookmarkEnd w:id="550"/>
          </w:p>
        </w:tc>
        <w:tc>
          <w:tcPr>
            <w:tcW w:w="1278" w:type="dxa"/>
            <w:tcBorders/>
            <w:shd w:fill="CCEEFF" w:val="clear"/>
            <w:tcMar>
              <w:bottom w:w="0" w:type="dxa"/>
            </w:tcMar>
            <w:vAlign w:val="center"/>
          </w:tcPr>
          <w:p>
            <w:pPr>
              <w:pStyle w:val="TableContents"/>
              <w:bidi w:val="0"/>
              <w:spacing w:before="0" w:after="283"/>
              <w:jc w:val="right"/>
              <w:rPr/>
            </w:pPr>
            <w:r>
              <w:rPr/>
              <w:t>2,291</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 </w:t>
            </w:r>
            <w:bookmarkStart w:id="551" w:name="xdx_989_eus-gaap--OperatingLeaseCost_pn3"/>
            <w:bookmarkEnd w:id="551"/>
          </w:p>
        </w:tc>
        <w:tc>
          <w:tcPr>
            <w:tcW w:w="1278" w:type="dxa"/>
            <w:tcBorders/>
            <w:shd w:fill="CCEEFF" w:val="clear"/>
            <w:tcMar>
              <w:bottom w:w="0" w:type="dxa"/>
            </w:tcMar>
            <w:vAlign w:val="center"/>
          </w:tcPr>
          <w:p>
            <w:pPr>
              <w:pStyle w:val="TableContents"/>
              <w:bidi w:val="0"/>
              <w:spacing w:before="0" w:after="283"/>
              <w:jc w:val="right"/>
              <w:rPr/>
            </w:pPr>
            <w:r>
              <w:rPr/>
              <w:t>47</w:t>
            </w:r>
          </w:p>
        </w:tc>
        <w:tc>
          <w:tcPr>
            <w:tcW w:w="75" w:type="dxa"/>
            <w:tcBorders/>
            <w:shd w:fill="CCEEFF" w:val="clear"/>
            <w:tcMar>
              <w:bottom w:w="0" w:type="dxa"/>
            </w:tcMar>
            <w:vAlign w:val="center"/>
          </w:tcPr>
          <w:p>
            <w:pPr>
              <w:pStyle w:val="TableContents"/>
              <w:bidi w:val="0"/>
              <w:spacing w:before="0" w:after="283"/>
              <w:ind w:left="0" w:right="0" w:hanging="10"/>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pPr>
            <w:r>
              <w:rPr/>
              <w:t>Operating lease cost</w:t>
            </w:r>
          </w:p>
        </w:tc>
        <w:tc>
          <w:tcPr>
            <w:tcW w:w="60" w:type="dxa"/>
            <w:tcBorders/>
            <w:shd w:fill="FFFFFF" w:val="clear"/>
            <w:tcMar>
              <w:bottom w:w="0" w:type="dxa"/>
            </w:tcMar>
            <w:vAlign w:val="center"/>
          </w:tcPr>
          <w:p>
            <w:pPr>
              <w:pStyle w:val="TableContents"/>
              <w:bidi w:val="0"/>
              <w:spacing w:before="0" w:after="283"/>
              <w:ind w:left="0" w:right="0" w:hanging="10"/>
              <w:jc w:val="left"/>
              <w:rPr/>
            </w:pPr>
            <w:r>
              <w:rPr/>
              <w:t> </w:t>
            </w:r>
          </w:p>
        </w:tc>
        <w:tc>
          <w:tcPr>
            <w:tcW w:w="2570" w:type="dxa"/>
            <w:tcBorders/>
            <w:shd w:fill="FFFFFF" w:val="clear"/>
            <w:tcMar>
              <w:bottom w:w="0" w:type="dxa"/>
            </w:tcMar>
            <w:vAlign w:val="center"/>
          </w:tcPr>
          <w:p>
            <w:pPr>
              <w:pStyle w:val="TableContents"/>
              <w:bidi w:val="0"/>
              <w:spacing w:before="0" w:after="283"/>
              <w:jc w:val="both"/>
              <w:rPr/>
            </w:pPr>
            <w:r>
              <w:rPr/>
              <w:t>Selling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vAlign w:val="center"/>
          </w:tcPr>
          <w:p>
            <w:pPr>
              <w:pStyle w:val="TableContents"/>
              <w:bidi w:val="0"/>
              <w:spacing w:before="0" w:after="283"/>
              <w:jc w:val="left"/>
              <w:rPr/>
            </w:pPr>
            <w:r>
              <w:rPr/>
              <w:t> </w:t>
            </w:r>
            <w:bookmarkStart w:id="552" w:name="xdx_980_eus-gaap--OperatingLeaseCost_pn3"/>
            <w:bookmarkEnd w:id="552"/>
          </w:p>
        </w:tc>
        <w:tc>
          <w:tcPr>
            <w:tcW w:w="1278" w:type="dxa"/>
            <w:tcBorders>
              <w:bottom w:val="double" w:sz="6" w:space="0" w:color="000000"/>
            </w:tcBorders>
            <w:shd w:fill="FFFFFF" w:val="clear"/>
            <w:vAlign w:val="center"/>
          </w:tcPr>
          <w:p>
            <w:pPr>
              <w:pStyle w:val="TableContents"/>
              <w:bidi w:val="0"/>
              <w:spacing w:before="0" w:after="283"/>
              <w:jc w:val="right"/>
              <w:rPr/>
            </w:pPr>
            <w:r>
              <w:rPr/>
              <w:t>47</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vAlign w:val="center"/>
          </w:tcPr>
          <w:p>
            <w:pPr>
              <w:pStyle w:val="TableContents"/>
              <w:bidi w:val="0"/>
              <w:spacing w:before="0" w:after="283"/>
              <w:jc w:val="left"/>
              <w:rPr/>
            </w:pPr>
            <w:r>
              <w:rPr/>
              <w:t> </w:t>
            </w:r>
            <w:bookmarkStart w:id="553" w:name="xdx_98C_eus-gaap--OperatingLeaseCost_pn3"/>
            <w:bookmarkEnd w:id="553"/>
          </w:p>
        </w:tc>
        <w:tc>
          <w:tcPr>
            <w:tcW w:w="1278" w:type="dxa"/>
            <w:tcBorders>
              <w:bottom w:val="double" w:sz="6" w:space="0" w:color="000000"/>
            </w:tcBorders>
            <w:shd w:fill="FFFFFF" w:val="clear"/>
            <w:vAlign w:val="center"/>
          </w:tcPr>
          <w:p>
            <w:pPr>
              <w:pStyle w:val="TableContents"/>
              <w:bidi w:val="0"/>
              <w:spacing w:before="0" w:after="283"/>
              <w:jc w:val="right"/>
              <w:rPr/>
            </w:pPr>
            <w:r>
              <w:rPr/>
              <w:t>47</w:t>
            </w:r>
          </w:p>
        </w:tc>
        <w:tc>
          <w:tcPr>
            <w:tcW w:w="75" w:type="dxa"/>
            <w:tcBorders/>
            <w:shd w:fill="FFFFFF" w:val="clear"/>
            <w:tcMar>
              <w:bottom w:w="0" w:type="dxa"/>
            </w:tcMar>
            <w:vAlign w:val="center"/>
          </w:tcPr>
          <w:p>
            <w:pPr>
              <w:pStyle w:val="TableContents"/>
              <w:bidi w:val="0"/>
              <w:spacing w:before="0" w:after="283"/>
              <w:ind w:left="0" w:right="0" w:hanging="10"/>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Total lease cost</w:t>
            </w:r>
          </w:p>
        </w:tc>
        <w:tc>
          <w:tcPr>
            <w:tcW w:w="60" w:type="dxa"/>
            <w:tcBorders/>
            <w:shd w:fill="CCEEFF" w:val="clear"/>
            <w:tcMar>
              <w:bottom w:w="0" w:type="dxa"/>
            </w:tcMar>
            <w:vAlign w:val="center"/>
          </w:tcPr>
          <w:p>
            <w:pPr>
              <w:pStyle w:val="TableContents"/>
              <w:bidi w:val="0"/>
              <w:spacing w:before="0" w:after="283"/>
              <w:ind w:left="0" w:right="0" w:hanging="10"/>
              <w:jc w:val="left"/>
              <w:rPr/>
            </w:pPr>
            <w:r>
              <w:rPr/>
              <w:t> </w:t>
            </w:r>
          </w:p>
        </w:tc>
        <w:tc>
          <w:tcPr>
            <w:tcW w:w="257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CCEEFF" w:val="clear"/>
            <w:vAlign w:val="center"/>
          </w:tcPr>
          <w:p>
            <w:pPr>
              <w:pStyle w:val="TableContents"/>
              <w:bidi w:val="0"/>
              <w:spacing w:before="0" w:after="283"/>
              <w:jc w:val="left"/>
              <w:rPr/>
            </w:pPr>
            <w:r>
              <w:rPr/>
              <w:t>$</w:t>
            </w:r>
            <w:bookmarkStart w:id="554" w:name="xdx_986_eus-gaap--OperatingLeaseCost_pn3"/>
            <w:bookmarkEnd w:id="554"/>
          </w:p>
        </w:tc>
        <w:tc>
          <w:tcPr>
            <w:tcW w:w="1278" w:type="dxa"/>
            <w:tcBorders>
              <w:bottom w:val="double" w:sz="6" w:space="0" w:color="000000"/>
            </w:tcBorders>
            <w:shd w:fill="CCEEFF" w:val="clear"/>
            <w:vAlign w:val="center"/>
          </w:tcPr>
          <w:p>
            <w:pPr>
              <w:pStyle w:val="TableContents"/>
              <w:bidi w:val="0"/>
              <w:spacing w:before="0" w:after="283"/>
              <w:jc w:val="right"/>
              <w:rPr/>
            </w:pPr>
            <w:r>
              <w:rPr/>
              <w:t>4,437</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CCEEFF" w:val="clear"/>
            <w:vAlign w:val="center"/>
          </w:tcPr>
          <w:p>
            <w:pPr>
              <w:pStyle w:val="TableContents"/>
              <w:bidi w:val="0"/>
              <w:spacing w:before="0" w:after="283"/>
              <w:jc w:val="left"/>
              <w:rPr/>
            </w:pPr>
            <w:r>
              <w:rPr/>
              <w:t>$</w:t>
            </w:r>
            <w:bookmarkStart w:id="555" w:name="xdx_98C_eus-gaap--OperatingLeaseCost_pn3"/>
            <w:bookmarkEnd w:id="555"/>
          </w:p>
        </w:tc>
        <w:tc>
          <w:tcPr>
            <w:tcW w:w="1278" w:type="dxa"/>
            <w:tcBorders>
              <w:bottom w:val="double" w:sz="6" w:space="0" w:color="000000"/>
            </w:tcBorders>
            <w:shd w:fill="CCEEFF" w:val="clear"/>
            <w:vAlign w:val="center"/>
          </w:tcPr>
          <w:p>
            <w:pPr>
              <w:pStyle w:val="TableContents"/>
              <w:bidi w:val="0"/>
              <w:spacing w:before="0" w:after="283"/>
              <w:jc w:val="right"/>
              <w:rPr/>
            </w:pPr>
            <w:r>
              <w:rPr/>
              <w:t>1,577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6" w:name="xdx_8AE_zxV61mxF3x9d"/>
      <w:bookmarkEnd w:id="556"/>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Leases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finance lease agreements for equipment to support the Company’s operations. Payments under the finance lease agreements are fixed for a term of </w:t>
      </w:r>
      <w:bookmarkStart w:id="557" w:name="xdx_90B_eus-gaap--LesseeFinanceLeaseTerm"/>
      <w:bookmarkEnd w:id="557"/>
      <w:r>
        <w:rPr>
          <w:rFonts w:ascii="Times New Roman;Times;Serif" w:hAnsi="Times New Roman;Times;Serif"/>
          <w:b w:val="false"/>
          <w:i w:val="false"/>
          <w:caps w:val="false"/>
          <w:smallCaps w:val="false"/>
          <w:sz w:val="20"/>
        </w:rPr>
        <w:t>3-</w:t>
      </w:r>
      <w:bookmarkStart w:id="558" w:name="xdx_900_eus-gaap--LesseeFinanceLeaseTerm"/>
      <w:bookmarkEnd w:id="558"/>
      <w:r>
        <w:rPr>
          <w:rFonts w:ascii="Times New Roman;Times;Serif" w:hAnsi="Times New Roman;Times;Serif"/>
          <w:b w:val="false"/>
          <w:i w:val="false"/>
          <w:caps w:val="false"/>
          <w:smallCaps w:val="false"/>
          <w:sz w:val="20"/>
        </w:rPr>
        <w:t>5 years. The leased assets are recognized in property plant &amp; equipment.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559" w:name="xdx_890_ecustom--ScheduleOfBreakoutOfFin"/>
      <w:bookmarkEnd w:id="559"/>
      <w:r>
        <w:rPr>
          <w:rFonts w:ascii="Times New Roman;Times;Serif" w:hAnsi="Times New Roman;Times;Serif"/>
          <w:b w:val="false"/>
          <w:i w:val="false"/>
          <w:caps w:val="false"/>
          <w:smallCaps w:val="false"/>
          <w:sz w:val="20"/>
        </w:rPr>
        <w:t>The following table presents the breakout of the financing leases as of:</w:t>
      </w:r>
    </w:p>
    <w:p>
      <w:pPr>
        <w:pStyle w:val="TextBody"/>
        <w:bidi w:val="0"/>
        <w:spacing w:before="0" w:after="0"/>
        <w:ind w:left="10" w:right="0" w:hanging="10"/>
        <w:jc w:val="both"/>
        <w:rPr>
          <w:caps w:val="false"/>
          <w:smallCaps w:val="false"/>
        </w:rPr>
      </w:pPr>
      <w:r>
        <w:rPr>
          <w:caps w:val="false"/>
          <w:smallCaps w:val="false"/>
        </w:rPr>
        <w:t> </w:t>
      </w:r>
      <w:bookmarkStart w:id="560" w:name="xdx_8B3_zSDOGKOfgPFg"/>
      <w:bookmarkEnd w:id="560"/>
      <w:r>
        <w:rPr>
          <w:rFonts w:ascii="Times New Roman;Times;Serif" w:hAnsi="Times New Roman;Times;Serif"/>
          <w:b w:val="false"/>
          <w:i w:val="false"/>
          <w:caps w:val="false"/>
          <w:smallCaps w:val="false"/>
          <w:sz w:val="20"/>
        </w:rPr>
        <w:t>SCHEDULE OF BREAKOUT OF FINANCE LEASES</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sz w:val="20"/>
        </w:rPr>
        <w:t>  </w:t>
      </w:r>
    </w:p>
    <w:tbl>
      <w:tblPr>
        <w:tblW w:w="8108" w:type="dxa"/>
        <w:jc w:val="left"/>
        <w:tblInd w:w="0" w:type="dxa"/>
        <w:tblLayout w:type="fixed"/>
        <w:tblCellMar>
          <w:top w:w="0" w:type="dxa"/>
          <w:left w:w="0" w:type="dxa"/>
          <w:bottom w:w="0" w:type="dxa"/>
          <w:right w:w="0" w:type="dxa"/>
        </w:tblCellMar>
      </w:tblPr>
      <w:tblGrid>
        <w:gridCol w:w="3755"/>
        <w:gridCol w:w="60"/>
        <w:gridCol w:w="419"/>
        <w:gridCol w:w="1475"/>
        <w:gridCol w:w="215"/>
        <w:gridCol w:w="60"/>
        <w:gridCol w:w="457"/>
        <w:gridCol w:w="1437"/>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61" w:name="xdx_49E_20241231_zTSPbZB9rg3c"/>
            <w:bookmarkEnd w:id="561"/>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2" w:name="xdx_491_20231231_zxue1iMaRiG7"/>
            <w:bookmarkEnd w:id="562"/>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2023</w:t>
            </w:r>
          </w:p>
        </w:tc>
        <w:tc>
          <w:tcPr>
            <w:tcW w:w="230" w:type="dxa"/>
            <w:tcBorders/>
            <w:vAlign w:val="center"/>
          </w:tcPr>
          <w:p>
            <w:pPr>
              <w:pStyle w:val="TableContents"/>
              <w:bidi w:val="0"/>
              <w:spacing w:before="0" w:after="283"/>
              <w:ind w:left="0" w:right="0" w:hanging="10"/>
              <w:jc w:val="left"/>
              <w:rPr/>
            </w:pPr>
            <w:r>
              <w:rPr/>
              <w:t> </w:t>
            </w:r>
            <w:bookmarkStart w:id="563" w:name="xdx_40F_ecustom--FinanceLeaseRightOfUseA"/>
            <w:bookmarkEnd w:id="563"/>
          </w:p>
        </w:tc>
      </w:tr>
      <w:tr>
        <w:trPr/>
        <w:tc>
          <w:tcPr>
            <w:tcW w:w="3755" w:type="dxa"/>
            <w:tcBorders/>
            <w:shd w:fill="CCEEFF" w:val="clear"/>
            <w:vAlign w:val="center"/>
          </w:tcPr>
          <w:p>
            <w:pPr>
              <w:pStyle w:val="TableContents"/>
              <w:bidi w:val="0"/>
              <w:spacing w:before="0" w:after="283"/>
              <w:jc w:val="both"/>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pPr>
            <w:r>
              <w:rPr/>
              <w:t>106</w:t>
            </w:r>
          </w:p>
        </w:tc>
        <w:tc>
          <w:tcPr>
            <w:tcW w:w="230" w:type="dxa"/>
            <w:tcBorders/>
            <w:shd w:fill="CCEEFF" w:val="clear"/>
            <w:vAlign w:val="center"/>
          </w:tcPr>
          <w:p>
            <w:pPr>
              <w:pStyle w:val="TableContents"/>
              <w:bidi w:val="0"/>
              <w:spacing w:before="0" w:after="283"/>
              <w:ind w:left="0" w:right="0" w:hanging="10"/>
              <w:jc w:val="left"/>
              <w:rPr/>
            </w:pPr>
            <w:r>
              <w:rPr/>
              <w:t> </w:t>
            </w:r>
            <w:bookmarkStart w:id="564" w:name="xdx_403_eus-gaap--FinanceLeaseLiabilityC"/>
            <w:bookmarkEnd w:id="564"/>
          </w:p>
        </w:tc>
      </w:tr>
      <w:tr>
        <w:trPr/>
        <w:tc>
          <w:tcPr>
            <w:tcW w:w="3755" w:type="dxa"/>
            <w:tcBorders/>
            <w:shd w:fill="FFFFFF" w:val="clear"/>
            <w:vAlign w:val="center"/>
          </w:tcPr>
          <w:p>
            <w:pPr>
              <w:pStyle w:val="TableContents"/>
              <w:bidi w:val="0"/>
              <w:spacing w:before="0" w:after="283"/>
              <w:jc w:val="both"/>
              <w:rPr/>
            </w:pPr>
            <w:r>
              <w:rPr/>
              <w:t>Short-term finance lease liabilities</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36</w:t>
            </w:r>
          </w:p>
        </w:tc>
        <w:tc>
          <w:tcPr>
            <w:tcW w:w="230" w:type="dxa"/>
            <w:tcBorders/>
            <w:shd w:fill="FFFFFF" w:val="clear"/>
            <w:vAlign w:val="center"/>
          </w:tcPr>
          <w:p>
            <w:pPr>
              <w:pStyle w:val="TableContents"/>
              <w:bidi w:val="0"/>
              <w:spacing w:before="0" w:after="283"/>
              <w:ind w:left="0" w:right="0" w:hanging="10"/>
              <w:jc w:val="left"/>
              <w:rPr/>
            </w:pPr>
            <w:r>
              <w:rPr/>
              <w:t> </w:t>
            </w:r>
            <w:bookmarkStart w:id="565" w:name="xdx_402_eus-gaap--FinanceLeaseLiabilityN"/>
            <w:bookmarkEnd w:id="565"/>
          </w:p>
        </w:tc>
      </w:tr>
      <w:tr>
        <w:trPr/>
        <w:tc>
          <w:tcPr>
            <w:tcW w:w="3755" w:type="dxa"/>
            <w:tcBorders/>
            <w:shd w:fill="CCEEFF" w:val="clear"/>
            <w:vAlign w:val="center"/>
          </w:tcPr>
          <w:p>
            <w:pPr>
              <w:pStyle w:val="TableContents"/>
              <w:bidi w:val="0"/>
              <w:spacing w:before="0" w:after="283"/>
              <w:jc w:val="both"/>
              <w:rPr/>
            </w:pPr>
            <w:r>
              <w:rPr/>
              <w:t>Long-term finance lease liabilities</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63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230" w:type="dxa"/>
            <w:tcBorders/>
            <w:shd w:fill="CCEEFF" w:val="clear"/>
            <w:vAlign w:val="center"/>
          </w:tcPr>
          <w:p>
            <w:pPr>
              <w:pStyle w:val="TableContents"/>
              <w:bidi w:val="0"/>
              <w:spacing w:before="0" w:after="283"/>
              <w:ind w:left="0" w:right="0" w:hanging="10"/>
              <w:jc w:val="left"/>
              <w:rPr/>
            </w:pPr>
            <w:r>
              <w:rPr/>
              <w:t> </w:t>
            </w:r>
            <w:bookmarkStart w:id="566" w:name="xdx_400_eus-gaap--FinanceLeaseLiability_"/>
            <w:bookmarkEnd w:id="566"/>
          </w:p>
        </w:tc>
      </w:tr>
      <w:tr>
        <w:trPr/>
        <w:tc>
          <w:tcPr>
            <w:tcW w:w="3755" w:type="dxa"/>
            <w:tcBorders/>
            <w:shd w:fill="FFFFFF" w:val="clear"/>
            <w:vAlign w:val="center"/>
          </w:tcPr>
          <w:p>
            <w:pPr>
              <w:pStyle w:val="TableContents"/>
              <w:bidi w:val="0"/>
              <w:spacing w:before="0" w:after="283"/>
              <w:jc w:val="both"/>
              <w:rPr/>
            </w:pPr>
            <w:r>
              <w:rPr/>
              <w:t>Total finance lease liabilities</w:t>
            </w:r>
          </w:p>
        </w:tc>
        <w:tc>
          <w:tcPr>
            <w:tcW w:w="60" w:type="dxa"/>
            <w:tcBorders/>
            <w:shd w:fill="FFFFFF" w:val="cle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shd w:fill="FFFFFF" w:val="clear"/>
            <w:tcMar>
              <w:bottom w:w="28" w:type="dxa"/>
            </w:tcMar>
            <w:vAlign w:val="center"/>
          </w:tcPr>
          <w:p>
            <w:pPr>
              <w:pStyle w:val="TableContents"/>
              <w:bidi w:val="0"/>
              <w:spacing w:before="0" w:after="283"/>
              <w:jc w:val="right"/>
              <w:rPr/>
            </w:pPr>
            <w:r>
              <w:rPr/>
              <w:t>110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7" w:type="dxa"/>
            <w:tcBorders>
              <w:bottom w:val="double" w:sz="6" w:space="0" w:color="000000"/>
            </w:tcBorders>
            <w:shd w:fill="FFFFFF" w:val="clear"/>
            <w:tcMar>
              <w:bottom w:w="28" w:type="dxa"/>
            </w:tcMar>
            <w:vAlign w:val="center"/>
          </w:tcPr>
          <w:p>
            <w:pPr>
              <w:pStyle w:val="TableContents"/>
              <w:bidi w:val="0"/>
              <w:spacing w:before="0" w:after="283"/>
              <w:jc w:val="right"/>
              <w:rPr/>
            </w:pPr>
            <w:r>
              <w:rPr/>
              <w:t>102</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sz w:val="20"/>
              </w:rPr>
            </w:pPr>
            <w:bookmarkStart w:id="567" w:name="xdx_903_eus-gaap--FinanceLeaseWeightedAv"/>
            <w:bookmarkEnd w:id="567"/>
            <w:r>
              <w:rPr>
                <w:rFonts w:ascii="Times New Roman;Times;Serif" w:hAnsi="Times New Roman;Times;Serif"/>
                <w:sz w:val="20"/>
              </w:rPr>
              <w:t>2.78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sz w:val="20"/>
              </w:rPr>
            </w:pPr>
            <w:bookmarkStart w:id="568" w:name="xdx_907_eus-gaap--FinanceLeaseWeightedAv"/>
            <w:bookmarkEnd w:id="568"/>
            <w:r>
              <w:rPr>
                <w:rFonts w:ascii="Times New Roman;Times;Serif" w:hAnsi="Times New Roman;Times;Serif"/>
                <w:sz w:val="20"/>
              </w:rPr>
              <w:t>2.7 years</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bookmarkStart w:id="569" w:name="xdx_90B_eus-gaap--FinanceLeaseWeightedAv"/>
            <w:bookmarkEnd w:id="569"/>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bookmarkStart w:id="570" w:name="xdx_908_eus-gaap--FinanceLeaseWeightedAv"/>
            <w:bookmarkEnd w:id="570"/>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bookmarkStart w:id="571" w:name="xdx_8A3_zUn45UULIQM2"/>
      <w:bookmarkEnd w:id="571"/>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572" w:name="xdx_894_eus-gaap--FinanceLeaseLiabilityM"/>
      <w:bookmarkEnd w:id="572"/>
      <w:r>
        <w:rPr>
          <w:rFonts w:ascii="Times New Roman;Times;Serif" w:hAnsi="Times New Roman;Times;Serif"/>
          <w:b w:val="false"/>
          <w:i w:val="false"/>
          <w:caps w:val="false"/>
          <w:smallCaps w:val="false"/>
          <w:sz w:val="20"/>
        </w:rPr>
        <w:t>At December 31, 2024, the future minimum lease payments under these financing leases are as follows:</w:t>
      </w:r>
    </w:p>
    <w:p>
      <w:pPr>
        <w:pStyle w:val="TextBody"/>
        <w:bidi w:val="0"/>
        <w:spacing w:before="0" w:after="0"/>
        <w:ind w:left="10" w:right="0" w:hanging="10"/>
        <w:jc w:val="both"/>
        <w:rPr>
          <w:caps w:val="false"/>
          <w:smallCaps w:val="false"/>
        </w:rPr>
      </w:pPr>
      <w:r>
        <w:rPr>
          <w:caps w:val="false"/>
          <w:smallCaps w:val="false"/>
        </w:rPr>
        <w:t> </w:t>
      </w:r>
      <w:bookmarkStart w:id="573" w:name="xdx_8B5_zg6cugi6qFz4"/>
      <w:bookmarkEnd w:id="573"/>
      <w:r>
        <w:rPr>
          <w:rFonts w:ascii="Times New Roman;Times;Serif" w:hAnsi="Times New Roman;Times;Serif"/>
          <w:b w:val="false"/>
          <w:i w:val="false"/>
          <w:caps w:val="false"/>
          <w:smallCaps w:val="false"/>
          <w:sz w:val="20"/>
        </w:rPr>
        <w:t>SCHEDULE OF FUTURE MINIMUM LEASE PAYMENTS UNDER FINANCE LEASES   </w:t>
      </w:r>
    </w:p>
    <w:tbl>
      <w:tblPr>
        <w:tblW w:w="3555" w:type="dxa"/>
        <w:jc w:val="left"/>
        <w:tblInd w:w="0" w:type="dxa"/>
        <w:tblLayout w:type="fixed"/>
        <w:tblCellMar>
          <w:top w:w="0" w:type="dxa"/>
          <w:left w:w="0" w:type="dxa"/>
          <w:bottom w:w="0" w:type="dxa"/>
          <w:right w:w="0" w:type="dxa"/>
        </w:tblCellMar>
      </w:tblPr>
      <w:tblGrid>
        <w:gridCol w:w="2900"/>
        <w:gridCol w:w="60"/>
        <w:gridCol w:w="140"/>
        <w:gridCol w:w="380"/>
        <w:gridCol w:w="75"/>
      </w:tblGrid>
      <w:tr>
        <w:trPr/>
        <w:tc>
          <w:tcPr>
            <w:tcW w:w="2900" w:type="dxa"/>
            <w:tcBorders/>
            <w:shd w:fill="CCEEFF" w:val="clear"/>
            <w:vAlign w:val="center"/>
          </w:tcPr>
          <w:p>
            <w:pPr>
              <w:pStyle w:val="TableContents"/>
              <w:bidi w:val="0"/>
              <w:spacing w:before="0" w:after="283"/>
              <w:ind w:left="0" w:right="0" w:hanging="10"/>
              <w:jc w:val="both"/>
              <w:rPr/>
            </w:pPr>
            <w:r>
              <w:rPr/>
              <w:t>Fiscal Years Ending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74" w:name="xdx_491_20241231_zA2DMuMbpi7"/>
            <w:bookmarkEnd w:id="574"/>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0"/>
              <w:jc w:val="left"/>
              <w:rPr/>
            </w:pPr>
            <w:r>
              <w:rPr/>
              <w:t> </w:t>
            </w:r>
            <w:bookmarkStart w:id="575" w:name="xdx_408_eus-gaap--FinanceLeaseLiabilityP"/>
            <w:bookmarkEnd w:id="575"/>
          </w:p>
        </w:tc>
      </w:tr>
      <w:tr>
        <w:trPr/>
        <w:tc>
          <w:tcPr>
            <w:tcW w:w="2900" w:type="dxa"/>
            <w:tcBorders/>
            <w:shd w:fill="FFFFFF" w:val="clear"/>
            <w:vAlign w:val="center"/>
          </w:tcPr>
          <w:p>
            <w:pPr>
              <w:pStyle w:val="TableContents"/>
              <w:bidi w:val="0"/>
              <w:spacing w:before="0" w:after="283"/>
              <w:jc w:val="both"/>
              <w:rPr/>
            </w:pPr>
            <w:r>
              <w:rPr/>
              <w:t>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right"/>
              <w:rPr/>
            </w:pPr>
            <w:r>
              <w:rPr/>
              <w:t>52</w:t>
            </w:r>
          </w:p>
        </w:tc>
        <w:tc>
          <w:tcPr>
            <w:tcW w:w="75" w:type="dxa"/>
            <w:tcBorders/>
            <w:shd w:fill="FFFFFF" w:val="clear"/>
            <w:vAlign w:val="center"/>
          </w:tcPr>
          <w:p>
            <w:pPr>
              <w:pStyle w:val="TableContents"/>
              <w:bidi w:val="0"/>
              <w:spacing w:before="0" w:after="283"/>
              <w:ind w:left="0" w:right="0" w:hanging="10"/>
              <w:jc w:val="left"/>
              <w:rPr/>
            </w:pPr>
            <w:r>
              <w:rPr/>
              <w:t> </w:t>
            </w:r>
            <w:bookmarkStart w:id="576" w:name="xdx_404_eus-gaap--FinanceLeaseLiabilityP"/>
            <w:bookmarkEnd w:id="576"/>
          </w:p>
        </w:tc>
      </w:tr>
      <w:tr>
        <w:trPr/>
        <w:tc>
          <w:tcPr>
            <w:tcW w:w="2900" w:type="dxa"/>
            <w:tcBorders/>
            <w:shd w:fill="CCEEFF" w:val="clear"/>
            <w:vAlign w:val="center"/>
          </w:tcPr>
          <w:p>
            <w:pPr>
              <w:pStyle w:val="TableContents"/>
              <w:bidi w:val="0"/>
              <w:spacing w:before="0" w:after="283"/>
              <w:jc w:val="both"/>
              <w:rPr/>
            </w:pPr>
            <w:r>
              <w:rPr/>
              <w:t>December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ind w:left="0" w:right="0" w:hanging="10"/>
              <w:jc w:val="left"/>
              <w:rPr/>
            </w:pPr>
            <w:r>
              <w:rPr/>
              <w:t> </w:t>
            </w:r>
            <w:bookmarkStart w:id="577" w:name="xdx_404_eus-gaap--FinanceLeaseLiabilityP"/>
            <w:bookmarkEnd w:id="577"/>
          </w:p>
        </w:tc>
      </w:tr>
      <w:tr>
        <w:trPr/>
        <w:tc>
          <w:tcPr>
            <w:tcW w:w="2900" w:type="dxa"/>
            <w:tcBorders/>
            <w:shd w:fill="FFFFFF" w:val="clear"/>
            <w:vAlign w:val="center"/>
          </w:tcPr>
          <w:p>
            <w:pPr>
              <w:pStyle w:val="TableContents"/>
              <w:bidi w:val="0"/>
              <w:spacing w:before="0" w:after="283"/>
              <w:jc w:val="both"/>
              <w:rPr/>
            </w:pPr>
            <w:r>
              <w:rPr/>
              <w:t>December 31,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ind w:left="0" w:right="0" w:hanging="10"/>
              <w:jc w:val="left"/>
              <w:rPr/>
            </w:pPr>
            <w:r>
              <w:rPr/>
              <w:t> </w:t>
            </w:r>
            <w:bookmarkStart w:id="578" w:name="xdx_404_eus-gaap--FinanceLeaseLiabilityP"/>
            <w:bookmarkEnd w:id="578"/>
          </w:p>
        </w:tc>
      </w:tr>
      <w:tr>
        <w:trPr/>
        <w:tc>
          <w:tcPr>
            <w:tcW w:w="2900" w:type="dxa"/>
            <w:tcBorders/>
            <w:shd w:fill="CCEEFF" w:val="clear"/>
            <w:vAlign w:val="center"/>
          </w:tcPr>
          <w:p>
            <w:pPr>
              <w:pStyle w:val="TableContents"/>
              <w:bidi w:val="0"/>
              <w:spacing w:before="0" w:after="283"/>
              <w:jc w:val="both"/>
              <w:rPr/>
            </w:pPr>
            <w:r>
              <w:rPr/>
              <w:t>December 31, 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ind w:left="0" w:right="0" w:hanging="10"/>
              <w:jc w:val="left"/>
              <w:rPr/>
            </w:pPr>
            <w:r>
              <w:rPr/>
              <w:t> </w:t>
            </w:r>
            <w:bookmarkStart w:id="579" w:name="xdx_406_eus-gaap--FinanceLeaseLiabilityP"/>
            <w:bookmarkEnd w:id="579"/>
          </w:p>
        </w:tc>
      </w:tr>
      <w:tr>
        <w:trPr/>
        <w:tc>
          <w:tcPr>
            <w:tcW w:w="2900" w:type="dxa"/>
            <w:tcBorders/>
            <w:shd w:fill="FFFFFF" w:val="clear"/>
            <w:vAlign w:val="center"/>
          </w:tcPr>
          <w:p>
            <w:pPr>
              <w:pStyle w:val="TableContents"/>
              <w:bidi w:val="0"/>
              <w:spacing w:before="0" w:after="283"/>
              <w:jc w:val="both"/>
              <w:rPr/>
            </w:pPr>
            <w:r>
              <w:rPr/>
              <w:t>December 31, 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ind w:left="0" w:right="0" w:hanging="10"/>
              <w:jc w:val="left"/>
              <w:rPr/>
            </w:pPr>
            <w:r>
              <w:rPr/>
              <w:t> </w:t>
            </w:r>
            <w:bookmarkStart w:id="580" w:name="xdx_404_eus-gaap--FinanceLeaseLiabilityP"/>
            <w:bookmarkEnd w:id="580"/>
          </w:p>
        </w:tc>
      </w:tr>
      <w:tr>
        <w:trPr/>
        <w:tc>
          <w:tcPr>
            <w:tcW w:w="290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118</w:t>
            </w:r>
          </w:p>
        </w:tc>
        <w:tc>
          <w:tcPr>
            <w:tcW w:w="75" w:type="dxa"/>
            <w:tcBorders/>
            <w:shd w:fill="CCEEFF" w:val="clear"/>
            <w:vAlign w:val="center"/>
          </w:tcPr>
          <w:p>
            <w:pPr>
              <w:pStyle w:val="TableContents"/>
              <w:bidi w:val="0"/>
              <w:spacing w:before="0" w:after="283"/>
              <w:ind w:left="0" w:right="0" w:hanging="10"/>
              <w:jc w:val="left"/>
              <w:rPr/>
            </w:pPr>
            <w:r>
              <w:rPr/>
              <w:t> </w:t>
            </w:r>
            <w:bookmarkStart w:id="581" w:name="xdx_40E_eus-gaap--FinanceLeaseLiabilityU"/>
            <w:bookmarkEnd w:id="581"/>
          </w:p>
        </w:tc>
      </w:tr>
      <w:tr>
        <w:trPr/>
        <w:tc>
          <w:tcPr>
            <w:tcW w:w="290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ind w:left="0" w:right="0" w:hanging="10"/>
              <w:jc w:val="left"/>
              <w:rPr/>
            </w:pPr>
            <w:r>
              <w:rPr/>
              <w:t> </w:t>
            </w:r>
            <w:bookmarkStart w:id="582" w:name="xdx_406_eus-gaap--FinanceLeaseLiability_"/>
            <w:bookmarkEnd w:id="582"/>
          </w:p>
        </w:tc>
      </w:tr>
      <w:tr>
        <w:trPr/>
        <w:tc>
          <w:tcPr>
            <w:tcW w:w="2900" w:type="dxa"/>
            <w:tcBorders/>
            <w:shd w:fill="CCEEFF" w:val="clear"/>
            <w:vAlign w:val="center"/>
          </w:tcPr>
          <w:p>
            <w:pPr>
              <w:pStyle w:val="TableContents"/>
              <w:bidi w:val="0"/>
              <w:spacing w:before="0" w:after="283"/>
              <w:jc w:val="both"/>
              <w:rPr/>
            </w:pPr>
            <w:r>
              <w:rPr/>
              <w:t>Total financing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583" w:name="xdx_8A4_zh4DDLXTaFa8"/>
      <w:bookmarkEnd w:id="583"/>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further discussion regarding contingent consideration arising from the April 2022 Asset Purchase agreement with Thomason Jones Company, LLC.</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584" w:name="xdx_803_eus-gaap--DebtDisclosureTextBloc"/>
      <w:bookmarkEnd w:id="584"/>
      <w:r>
        <w:rPr>
          <w:rFonts w:ascii="Times New Roman;Times;Serif" w:hAnsi="Times New Roman;Times;Serif"/>
          <w:b/>
          <w:i w:val="false"/>
          <w:caps/>
          <w:sz w:val="20"/>
        </w:rPr>
        <w:t xml:space="preserve">Note 6 - </w:t>
      </w:r>
      <w:bookmarkStart w:id="585" w:name="xdx_82B_zpMAuv6wPma1"/>
      <w:bookmarkEnd w:id="585"/>
      <w:r>
        <w:rPr>
          <w:rFonts w:ascii="Times New Roman;Times;Serif" w:hAnsi="Times New Roman;Times;Serif"/>
          <w:b/>
          <w:i w:val="false"/>
          <w:caps/>
          <w:sz w:val="20"/>
        </w:rPr>
        <w:t>LONG TERM DEBT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had an outstanding term loan under a Term Loan, Guarantee and Security Agreement (the “Term Loan Agreement”), dated October 7, 2022, with EICF Agent LLC, as agent, and certain lenders. The Term Loan matures on October 7, 2027 and amortizes at a rate of </w:t>
      </w:r>
      <w:bookmarkStart w:id="586" w:name="xdx_907_ecustom--DebtInstrumentAmortizat"/>
      <w:bookmarkEnd w:id="586"/>
      <w:r>
        <w:rPr>
          <w:rFonts w:ascii="Times New Roman;Times;Serif" w:hAnsi="Times New Roman;Times;Serif"/>
          <w:b w:val="false"/>
          <w:i w:val="false"/>
          <w:caps w:val="false"/>
          <w:smallCaps w:val="false"/>
          <w:sz w:val="20"/>
        </w:rPr>
        <w:t>5% per annum beginning in October 2024. During the year ended December 31, 2023, the Company prepaid the first four required quarterly installments totaling $</w:t>
      </w:r>
      <w:bookmarkStart w:id="587" w:name="xdx_909_ecustom--RepaymentsOfNotesPayabl"/>
      <w:bookmarkEnd w:id="587"/>
      <w:r>
        <w:rPr>
          <w:rFonts w:ascii="Times New Roman;Times;Serif" w:hAnsi="Times New Roman;Times;Serif"/>
          <w:b w:val="false"/>
          <w:i w:val="false"/>
          <w:caps w:val="false"/>
          <w:smallCaps w:val="false"/>
          <w:sz w:val="20"/>
        </w:rPr>
        <w:t>5,275, which deferred the commencement of principal payments to October 2025.</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any amendments, the Term Loan accrues interest based on the Company’s senior leverage ratio. From inception through September 30, 2024, interest accrued at a per annum rate equal to adjusted SOFR (subject to a floor of 1.0%) plus </w:t>
      </w:r>
      <w:bookmarkStart w:id="588" w:name="xdx_900_ecustom--DebtInstrumentBasisSpre"/>
      <w:bookmarkEnd w:id="588"/>
      <w:r>
        <w:rPr>
          <w:rFonts w:ascii="Times New Roman;Times;Serif" w:hAnsi="Times New Roman;Times;Serif"/>
          <w:b w:val="false"/>
          <w:i w:val="false"/>
          <w:caps w:val="false"/>
          <w:smallCaps w:val="false"/>
          <w:sz w:val="20"/>
        </w:rPr>
        <w:t xml:space="preserve">7.0% payable in cash, plus an additional </w:t>
      </w:r>
      <w:bookmarkStart w:id="589" w:name="xdx_909_ecustom--DebtInstrumentBasisSpre"/>
      <w:bookmarkEnd w:id="589"/>
      <w:r>
        <w:rPr>
          <w:rFonts w:ascii="Times New Roman;Times;Serif" w:hAnsi="Times New Roman;Times;Serif"/>
          <w:b w:val="false"/>
          <w:i w:val="false"/>
          <w:caps w:val="false"/>
          <w:smallCaps w:val="false"/>
          <w:sz w:val="20"/>
        </w:rPr>
        <w:t xml:space="preserve">4.5% to </w:t>
      </w:r>
      <w:bookmarkStart w:id="590" w:name="xdx_902_ecustom--DebtInstrumentBasisSpre"/>
      <w:bookmarkEnd w:id="590"/>
      <w:r>
        <w:rPr>
          <w:rFonts w:ascii="Times New Roman;Times;Serif" w:hAnsi="Times New Roman;Times;Serif"/>
          <w:b w:val="false"/>
          <w:i w:val="false"/>
          <w:caps w:val="false"/>
          <w:smallCaps w:val="false"/>
          <w:sz w:val="20"/>
        </w:rPr>
        <w:t>6.5% payable in kind (“PIK”), depending on the Company’s senior leverage ratio. Effective April 1, 2024, interest payable to lenders subject to the regulations of the U.S. Small Business Administration (with $</w:t>
      </w:r>
      <w:bookmarkStart w:id="591" w:name="xdx_907_eus-gaap--DebtInstrumentFaceAmou"/>
      <w:bookmarkEnd w:id="591"/>
      <w:r>
        <w:rPr>
          <w:rFonts w:ascii="Times New Roman;Times;Serif" w:hAnsi="Times New Roman;Times;Serif"/>
          <w:b w:val="false"/>
          <w:i w:val="false"/>
          <w:caps w:val="false"/>
          <w:smallCaps w:val="false"/>
          <w:sz w:val="20"/>
        </w:rPr>
        <w:t xml:space="preserve">30,846 of principal outstanding as of that date) is limited to </w:t>
      </w:r>
      <w:bookmarkStart w:id="592" w:name="xdx_900_eus-gaap--DebtInstrumentInterest"/>
      <w:bookmarkEnd w:id="592"/>
      <w:r>
        <w:rPr>
          <w:rFonts w:ascii="Times New Roman;Times;Serif" w:hAnsi="Times New Roman;Times;Serif"/>
          <w:b w:val="false"/>
          <w:i w:val="false"/>
          <w:caps w:val="false"/>
          <w:smallCaps w:val="false"/>
          <w:sz w:val="20"/>
        </w:rPr>
        <w:t xml:space="preserve">14.0% per annum, excluding default interest permitted under applicable SBA regulations. From October 1, 2024 through March 31, 2025, interest on the non-SBA regulated portion continued to accrue at adjusted SOFR plus </w:t>
      </w:r>
      <w:bookmarkStart w:id="593" w:name="xdx_90A_ecustom--DebtInstrumentBasisSpre"/>
      <w:bookmarkEnd w:id="593"/>
      <w:r>
        <w:rPr>
          <w:rFonts w:ascii="Times New Roman;Times;Serif" w:hAnsi="Times New Roman;Times;Serif"/>
          <w:b w:val="false"/>
          <w:i w:val="false"/>
          <w:caps w:val="false"/>
          <w:smallCaps w:val="false"/>
          <w:sz w:val="20"/>
        </w:rPr>
        <w:t xml:space="preserve">7.0% payable in cash, and </w:t>
      </w:r>
      <w:bookmarkStart w:id="594" w:name="xdx_902_ecustom--DebtInstrumentBasisSpre"/>
      <w:bookmarkEnd w:id="594"/>
      <w:r>
        <w:rPr>
          <w:rFonts w:ascii="Times New Roman;Times;Serif" w:hAnsi="Times New Roman;Times;Serif"/>
          <w:b w:val="false"/>
          <w:i w:val="false"/>
          <w:caps w:val="false"/>
          <w:smallCaps w:val="false"/>
          <w:sz w:val="20"/>
        </w:rPr>
        <w:t xml:space="preserve">4.5% to </w:t>
      </w:r>
      <w:bookmarkStart w:id="595" w:name="xdx_90E_ecustom--DebtInstrumentBasisSpre"/>
      <w:bookmarkEnd w:id="595"/>
      <w:r>
        <w:rPr>
          <w:rFonts w:ascii="Times New Roman;Times;Serif" w:hAnsi="Times New Roman;Times;Serif"/>
          <w:b w:val="false"/>
          <w:i w:val="false"/>
          <w:caps w:val="false"/>
          <w:smallCaps w:val="false"/>
          <w:sz w:val="20"/>
        </w:rPr>
        <w:t xml:space="preserve">6.5% payable in kind. Beginning April 1, 2025, interest on all outstanding balances will be payable entirely in cash, at a rate equal to adjusted SOFR plus a margin ranging from </w:t>
      </w:r>
      <w:bookmarkStart w:id="596" w:name="xdx_905_ecustom--DebtInstrumentBasisSpre"/>
      <w:bookmarkEnd w:id="596"/>
      <w:r>
        <w:rPr>
          <w:rFonts w:ascii="Times New Roman;Times;Serif" w:hAnsi="Times New Roman;Times;Serif"/>
          <w:b w:val="false"/>
          <w:i w:val="false"/>
          <w:caps w:val="false"/>
          <w:smallCaps w:val="false"/>
          <w:sz w:val="20"/>
        </w:rPr>
        <w:t xml:space="preserve">11.5% to </w:t>
      </w:r>
      <w:bookmarkStart w:id="597" w:name="xdx_90D_ecustom--DebtInstrumentBasisSpre"/>
      <w:bookmarkEnd w:id="597"/>
      <w:r>
        <w:rPr>
          <w:rFonts w:ascii="Times New Roman;Times;Serif" w:hAnsi="Times New Roman;Times;Serif"/>
          <w:b w:val="false"/>
          <w:i w:val="false"/>
          <w:caps w:val="false"/>
          <w:smallCaps w:val="false"/>
          <w:sz w:val="20"/>
        </w:rPr>
        <w:t>13.5%, depending on the Company’s senior leverage ratio.</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the Company recognized interest expense of $</w:t>
      </w:r>
      <w:bookmarkStart w:id="598" w:name="xdx_90E_eus-gaap--InterestExpenseDebtExc"/>
      <w:bookmarkEnd w:id="598"/>
      <w:r>
        <w:rPr>
          <w:rFonts w:ascii="Times New Roman;Times;Serif" w:hAnsi="Times New Roman;Times;Serif"/>
          <w:b w:val="false"/>
          <w:i w:val="false"/>
          <w:caps w:val="false"/>
          <w:smallCaps w:val="false"/>
          <w:sz w:val="20"/>
        </w:rPr>
        <w:t>13,999 and $</w:t>
      </w:r>
      <w:bookmarkStart w:id="599" w:name="xdx_909_eus-gaap--InterestExpenseDebtExc"/>
      <w:bookmarkEnd w:id="599"/>
      <w:r>
        <w:rPr>
          <w:rFonts w:ascii="Times New Roman;Times;Serif" w:hAnsi="Times New Roman;Times;Serif"/>
          <w:b w:val="false"/>
          <w:i w:val="false"/>
          <w:caps w:val="false"/>
          <w:smallCaps w:val="false"/>
          <w:sz w:val="20"/>
        </w:rPr>
        <w:t>14,272, respectively. Amortization of debt issuance costs amounted to $</w:t>
      </w:r>
      <w:bookmarkStart w:id="600" w:name="xdx_902_eus-gaap--AmortizationOfFinancin"/>
      <w:bookmarkEnd w:id="600"/>
      <w:r>
        <w:rPr>
          <w:rFonts w:ascii="Times New Roman;Times;Serif" w:hAnsi="Times New Roman;Times;Serif"/>
          <w:b w:val="false"/>
          <w:i w:val="false"/>
          <w:caps w:val="false"/>
          <w:smallCaps w:val="false"/>
          <w:sz w:val="20"/>
        </w:rPr>
        <w:t>7,241 and $</w:t>
      </w:r>
      <w:bookmarkStart w:id="601" w:name="xdx_904_eus-gaap--AmortizationOfFinancin"/>
      <w:bookmarkEnd w:id="601"/>
      <w:r>
        <w:rPr>
          <w:rFonts w:ascii="Times New Roman;Times;Serif" w:hAnsi="Times New Roman;Times;Serif"/>
          <w:b w:val="false"/>
          <w:i w:val="false"/>
          <w:caps w:val="false"/>
          <w:smallCaps w:val="false"/>
          <w:sz w:val="20"/>
        </w:rPr>
        <w:t>1,471, respectively, for the same periods. As of December 31, 2024, the carrying value of the Term Loan was $</w:t>
      </w:r>
      <w:bookmarkStart w:id="602" w:name="xdx_906_eus-gaap--LongTermDebt_iI_pn3n3_"/>
      <w:bookmarkEnd w:id="602"/>
      <w:r>
        <w:rPr>
          <w:rFonts w:ascii="Times New Roman;Times;Serif" w:hAnsi="Times New Roman;Times;Serif"/>
          <w:b w:val="false"/>
          <w:i w:val="false"/>
          <w:caps w:val="false"/>
          <w:smallCaps w:val="false"/>
          <w:sz w:val="20"/>
        </w:rPr>
        <w:t>29,646, consisting of $</w:t>
      </w:r>
      <w:bookmarkStart w:id="603" w:name="xdx_90E_eus-gaap--DebtInstrumentFaceAmou"/>
      <w:bookmarkEnd w:id="603"/>
      <w:r>
        <w:rPr>
          <w:rFonts w:ascii="Times New Roman;Times;Serif" w:hAnsi="Times New Roman;Times;Serif"/>
          <w:b w:val="false"/>
          <w:i w:val="false"/>
          <w:caps w:val="false"/>
          <w:smallCaps w:val="false"/>
          <w:sz w:val="20"/>
        </w:rPr>
        <w:t>69,974 in principal and $</w:t>
      </w:r>
      <w:bookmarkStart w:id="604" w:name="xdx_904_eus-gaap--PaidInKindInterest_pn3"/>
      <w:bookmarkEnd w:id="604"/>
      <w:r>
        <w:rPr>
          <w:rFonts w:ascii="Times New Roman;Times;Serif" w:hAnsi="Times New Roman;Times;Serif"/>
          <w:b w:val="false"/>
          <w:i w:val="false"/>
          <w:caps w:val="false"/>
          <w:smallCaps w:val="false"/>
          <w:sz w:val="20"/>
        </w:rPr>
        <w:t>15,938 in capitalized PIK interest, net of $</w:t>
      </w:r>
      <w:bookmarkStart w:id="605" w:name="xdx_906_eus-gaap--DeferredFinanceCostsNe"/>
      <w:bookmarkEnd w:id="605"/>
      <w:r>
        <w:rPr>
          <w:rFonts w:ascii="Times New Roman;Times;Serif" w:hAnsi="Times New Roman;Times;Serif"/>
          <w:b w:val="false"/>
          <w:i w:val="false"/>
          <w:caps w:val="false"/>
          <w:smallCaps w:val="false"/>
          <w:sz w:val="20"/>
        </w:rPr>
        <w:t>56,266 in unamortized debt discount. As of December 31, 2023, the carrying value was $</w:t>
      </w:r>
      <w:bookmarkStart w:id="606" w:name="xdx_901_eus-gaap--LongTermDebt_iI_pn3n3_"/>
      <w:bookmarkEnd w:id="606"/>
      <w:r>
        <w:rPr>
          <w:rFonts w:ascii="Times New Roman;Times;Serif" w:hAnsi="Times New Roman;Times;Serif"/>
          <w:b w:val="false"/>
          <w:i w:val="false"/>
          <w:caps w:val="false"/>
          <w:smallCaps w:val="false"/>
          <w:sz w:val="20"/>
        </w:rPr>
        <w:t>19,683, consisting of $</w:t>
      </w:r>
      <w:bookmarkStart w:id="607" w:name="xdx_903_eus-gaap--DebtInstrumentFaceAmou"/>
      <w:bookmarkEnd w:id="607"/>
      <w:r>
        <w:rPr>
          <w:rFonts w:ascii="Times New Roman;Times;Serif" w:hAnsi="Times New Roman;Times;Serif"/>
          <w:b w:val="false"/>
          <w:i w:val="false"/>
          <w:caps w:val="false"/>
          <w:smallCaps w:val="false"/>
          <w:sz w:val="20"/>
        </w:rPr>
        <w:t>69,725 in principal and $</w:t>
      </w:r>
      <w:bookmarkStart w:id="608" w:name="xdx_909_eus-gaap--PaidInKindInterest_pn3"/>
      <w:bookmarkEnd w:id="608"/>
      <w:r>
        <w:rPr>
          <w:rFonts w:ascii="Times New Roman;Times;Serif" w:hAnsi="Times New Roman;Times;Serif"/>
          <w:b w:val="false"/>
          <w:i w:val="false"/>
          <w:caps w:val="false"/>
          <w:smallCaps w:val="false"/>
          <w:sz w:val="20"/>
        </w:rPr>
        <w:t>6,130 in capitalized PIK interest, net of $</w:t>
      </w:r>
      <w:bookmarkStart w:id="609" w:name="xdx_900_eus-gaap--DeferredFinanceCostsNe"/>
      <w:bookmarkEnd w:id="609"/>
      <w:r>
        <w:rPr>
          <w:rFonts w:ascii="Times New Roman;Times;Serif" w:hAnsi="Times New Roman;Times;Serif"/>
          <w:b w:val="false"/>
          <w:i w:val="false"/>
          <w:caps w:val="false"/>
          <w:smallCaps w:val="false"/>
          <w:sz w:val="20"/>
        </w:rPr>
        <w:t>56,172 in unamortized debt discount.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Term Loan Agreement are secured by a first-priority lien on substantially all of the Company’s assets, including certain mortgaged properties.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original execution of the Term Loan Agreement, the Company entered into several amendments which modified certain terms of the facility, including, but not limited to, interest rate mechanics, the timing of principal payments, and certain financial and operational covenants. These amendments were in effect as of December 31, 2024, and the terms described above reflect the terms of the agreement as originally issued. See below for further discussion of the amendments.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a waiver from its Administrative Agent and Term Loan Lenders (the “May 2024 Waiver”) in regards to its compliance with the Senior Leverage Ratio and Fixed Charge Coverage Ratio tests (the “Tests”) as of the last day of the quarter ended March 31, 2024. The May 2024 Waiver provided for a one-time issuance of penny warrants (the “May 2024 Penny Warrants”) to purchase up to </w:t>
      </w:r>
      <w:bookmarkStart w:id="610" w:name="xdx_903_eus-gaap--ClassOfWarrantOrRightN"/>
      <w:bookmarkEnd w:id="610"/>
      <w:r>
        <w:rPr>
          <w:rFonts w:ascii="Times New Roman;Times;Serif" w:hAnsi="Times New Roman;Times;Serif"/>
          <w:b w:val="false"/>
          <w:i w:val="false"/>
          <w:caps w:val="false"/>
          <w:smallCaps w:val="false"/>
          <w:sz w:val="20"/>
        </w:rPr>
        <w:t>283,334 shares of the Company’s common stock, par value $</w:t>
      </w:r>
      <w:bookmarkStart w:id="611" w:name="xdx_905_eus-gaap--CommonStockParOrStated"/>
      <w:bookmarkEnd w:id="611"/>
      <w:r>
        <w:rPr>
          <w:rFonts w:ascii="Times New Roman;Times;Serif" w:hAnsi="Times New Roman;Times;Serif"/>
          <w:b w:val="false"/>
          <w:i w:val="false"/>
          <w:caps w:val="false"/>
          <w:smallCaps w:val="false"/>
          <w:sz w:val="20"/>
        </w:rPr>
        <w:t>0.0001 per share (the “May 2024 Penny Warrant Shares”). The May 2024 Penny Warrants have an exercise price of $</w:t>
      </w:r>
      <w:bookmarkStart w:id="612" w:name="xdx_90B_eus-gaap--ClassOfWarrantOrRightE"/>
      <w:bookmarkEnd w:id="612"/>
      <w:r>
        <w:rPr>
          <w:rFonts w:ascii="Times New Roman;Times;Serif" w:hAnsi="Times New Roman;Times;Serif"/>
          <w:b w:val="false"/>
          <w:i w:val="false"/>
          <w:caps w:val="false"/>
          <w:smallCaps w:val="false"/>
          <w:sz w:val="20"/>
        </w:rPr>
        <w:t>0.09 per share, were valued at $</w:t>
      </w:r>
      <w:bookmarkStart w:id="613" w:name="xdx_90B_eus-gaap--WarrantsAndRightsOutst"/>
      <w:bookmarkEnd w:id="613"/>
      <w:r>
        <w:rPr>
          <w:rFonts w:ascii="Times New Roman;Times;Serif" w:hAnsi="Times New Roman;Times;Serif"/>
          <w:b w:val="false"/>
          <w:i w:val="false"/>
          <w:caps w:val="false"/>
          <w:smallCaps w:val="false"/>
          <w:sz w:val="20"/>
        </w:rPr>
        <w:t xml:space="preserve">3,022, and recorded as a debt discount. The May 2024 Penny Warrants were issued in connection with the Term Loan Lenders’ agreement to waive the Tests under the Term Loan for the quarter ended March 31, 2024. The May 2024 Penny Warrants were immediately exercisable upon issuance and will expire </w:t>
      </w:r>
      <w:bookmarkStart w:id="614" w:name="xdx_90D_eus-gaap--WarrantsAndRightsOutst"/>
      <w:bookmarkEnd w:id="614"/>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a Limited Waiver and First Amendment (the “Term Loan Amendment” and, together with the Term Loan Agreement, the “Term Loan Agreement”) to the Term Loan with the lenders in regards to its compliance with the Tests as of the last day of the quarter ended June 30, 2024 and certain amendments to the Term Loan. The Term Loan Amendment provided for a one-time issuance of Penny Warrants to purchase up to </w:t>
      </w:r>
      <w:bookmarkStart w:id="615" w:name="xdx_902_eus-gaap--ClassOfWarrantOrRightN"/>
      <w:bookmarkEnd w:id="615"/>
      <w:r>
        <w:rPr>
          <w:rFonts w:ascii="Times New Roman;Times;Serif" w:hAnsi="Times New Roman;Times;Serif"/>
          <w:b w:val="false"/>
          <w:i w:val="false"/>
          <w:caps w:val="false"/>
          <w:smallCaps w:val="false"/>
          <w:sz w:val="20"/>
        </w:rPr>
        <w:t>233,334 shares of the Company’s Common Stock at an exercise price of $</w:t>
      </w:r>
      <w:bookmarkStart w:id="616" w:name="xdx_909_eus-gaap--ClassOfWarrantOrRightE"/>
      <w:bookmarkEnd w:id="616"/>
      <w:r>
        <w:rPr>
          <w:rFonts w:ascii="Times New Roman;Times;Serif" w:hAnsi="Times New Roman;Times;Serif"/>
          <w:b w:val="false"/>
          <w:i w:val="false"/>
          <w:caps w:val="false"/>
          <w:smallCaps w:val="false"/>
          <w:sz w:val="20"/>
        </w:rPr>
        <w:t>0.09 per share (the “June 2024 Penny Warrants”), valued at $</w:t>
      </w:r>
      <w:bookmarkStart w:id="617" w:name="xdx_908_eus-gaap--WarrantsAndRightsOutst"/>
      <w:bookmarkEnd w:id="617"/>
      <w:r>
        <w:rPr>
          <w:rFonts w:ascii="Times New Roman;Times;Serif" w:hAnsi="Times New Roman;Times;Serif"/>
          <w:b w:val="false"/>
          <w:i w:val="false"/>
          <w:caps w:val="false"/>
          <w:smallCaps w:val="false"/>
          <w:sz w:val="20"/>
        </w:rPr>
        <w:t>1,767 and recorded as a debt discount. The June 2024 Penny Warrants were issued in connection with the lenders’ agreement to waive the Tests under the Term Loan for the quarter ended June30, 2024 and to amend the Term Loan. The June 2024 Penny Warrants are immediately exercisable upon issuance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First Amendment (i) reduced the liquidity requirement under the Term Loan to be $</w:t>
      </w:r>
      <w:bookmarkStart w:id="618" w:name="xdx_904_eus-gaap--LongTermDebt_iI_pn5n6_"/>
      <w:bookmarkEnd w:id="618"/>
      <w:r>
        <w:rPr>
          <w:rFonts w:ascii="Times New Roman;Times;Serif" w:hAnsi="Times New Roman;Times;Serif"/>
          <w:b w:val="false"/>
          <w:i w:val="false"/>
          <w:caps w:val="false"/>
          <w:smallCaps w:val="false"/>
          <w:sz w:val="20"/>
        </w:rPr>
        <w:t>3.5 million as of the last day of the month ended June 30, 2024, and $</w:t>
      </w:r>
      <w:bookmarkStart w:id="619" w:name="xdx_90C_eus-gaap--LongTermDebt_iI_pn5n6_"/>
      <w:bookmarkEnd w:id="619"/>
      <w:r>
        <w:rPr>
          <w:rFonts w:ascii="Times New Roman;Times;Serif" w:hAnsi="Times New Roman;Times;Serif"/>
          <w:b w:val="false"/>
          <w:i w:val="false"/>
          <w:caps w:val="false"/>
          <w:smallCaps w:val="false"/>
          <w:sz w:val="20"/>
        </w:rPr>
        <w:t>10.0 million as of the last day of each fiscal month thereafter commencing with the fiscal month ended July 31, 2024 and (ii) provided for the interest to be paid on the Payment Date (as defined in the Term Loan) occurred on July 1, 2024 to be solely payable-in-kind.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the Company, Legacy Dragonfly and Battle Born LLC entered into a Limited Waiver, Consent and Second Amendment (the “Second Amendment”) to Term Loan.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that would have been due to the Lenders under the Loan Agreement upon Battle Born LLC’s receipt of the Initial Licensing Fee.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 Amendment, Battle Born LLC entered into a Joinder Agreement with the Term Lenders whereby Battle Born LLC became a guarantor and credit party to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the Company entered into a Limited Waiver and Third Amendment (the “Third Amendment”, together with the Original Term Loan Agreement, the First Amendment and the Second Amendment, the “Term Loan Agreement”) to the Term Loan Agreement with the Term Loan Lenders in regards to its compliance with the Tests as of the last day of the quarter ended September 30, 2024 and certain amendments to the Term Loan Agreement. The Third Amendment provided for a one-time issuance of penny warrants (the “September 2024 Penny Warrants”, collectively with the Original Penny Warrants, the May 2024 Penny Warrants and the June 2024 Penny Warrants, the “Penny Warrants”) to purchase up to </w:t>
      </w:r>
      <w:bookmarkStart w:id="620" w:name="xdx_908_eus-gaap--ClassOfWarrantOrRightN"/>
      <w:bookmarkEnd w:id="620"/>
      <w:r>
        <w:rPr>
          <w:rFonts w:ascii="Times New Roman;Times;Serif" w:hAnsi="Times New Roman;Times;Serif"/>
          <w:b w:val="false"/>
          <w:i w:val="false"/>
          <w:caps w:val="false"/>
          <w:smallCaps w:val="false"/>
          <w:sz w:val="20"/>
        </w:rPr>
        <w:t>333,334 shares of the Company’s Common Stock at an exercise price of $</w:t>
      </w:r>
      <w:bookmarkStart w:id="621" w:name="xdx_905_eus-gaap--ClassOfWarrantOrRightE"/>
      <w:bookmarkEnd w:id="621"/>
      <w:r>
        <w:rPr>
          <w:rFonts w:ascii="Times New Roman;Times;Serif" w:hAnsi="Times New Roman;Times;Serif"/>
          <w:b w:val="false"/>
          <w:i w:val="false"/>
          <w:caps w:val="false"/>
          <w:smallCaps w:val="false"/>
          <w:sz w:val="20"/>
        </w:rPr>
        <w:t>0.09 per share (the “September 2024 Penny Warrant Shares”, collectively with the Original Penny Warrants, the May 2024 Penny Warrants and the June 2024 Penny Warrants, the “Penny Warrant Shares”), valued at $</w:t>
      </w:r>
      <w:bookmarkStart w:id="622" w:name="xdx_906_eus-gaap--AmortizationOfDebtDisc"/>
      <w:bookmarkEnd w:id="622"/>
      <w:r>
        <w:rPr>
          <w:rFonts w:ascii="Times New Roman;Times;Serif" w:hAnsi="Times New Roman;Times;Serif"/>
          <w:b w:val="false"/>
          <w:i w:val="false"/>
          <w:caps w:val="false"/>
          <w:smallCaps w:val="false"/>
          <w:sz w:val="20"/>
        </w:rPr>
        <w:t xml:space="preserve">1,576 and recorded as a debt discount. The September 2024 Penny Warrants were issued in connection with the Term Loan Lenders’ agreement to waive the Tests under the Term Loan for the quarter ended September 30, 2024 and to amend the Term Loan Agreement. The September 2024 Penny Warrants are immediately exercisable upon issuance and will expire </w:t>
      </w:r>
      <w:bookmarkStart w:id="623" w:name="xdx_901_eus-gaap--WarrantsAndRightsOutst"/>
      <w:bookmarkEnd w:id="623"/>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Third Amendment (i) reduced the liquidity requirement under the Term Loan to be $</w:t>
      </w:r>
      <w:bookmarkStart w:id="624" w:name="xdx_906_eus-gaap--LongTermDebt_iI_pn5n6_"/>
      <w:bookmarkEnd w:id="624"/>
      <w:r>
        <w:rPr>
          <w:rFonts w:ascii="Times New Roman;Times;Serif" w:hAnsi="Times New Roman;Times;Serif"/>
          <w:b w:val="false"/>
          <w:i w:val="false"/>
          <w:caps w:val="false"/>
          <w:smallCaps w:val="false"/>
          <w:sz w:val="20"/>
        </w:rPr>
        <w:t>7.0 million as of the last day of the month ended September 30, 2024, and $</w:t>
      </w:r>
      <w:bookmarkStart w:id="625" w:name="xdx_90B_eus-gaap--LongTermDebt_iI_pn5n6_"/>
      <w:bookmarkEnd w:id="625"/>
      <w:r>
        <w:rPr>
          <w:rFonts w:ascii="Times New Roman;Times;Serif" w:hAnsi="Times New Roman;Times;Serif"/>
          <w:b w:val="false"/>
          <w:i w:val="false"/>
          <w:caps w:val="false"/>
          <w:smallCaps w:val="false"/>
          <w:sz w:val="20"/>
        </w:rPr>
        <w:t>10.0 million as of the last day of each fiscal month thereafter commencing with the fiscal month ended July 31, 2024 and (ii) on October 1, 2024, interest is payable (a) $</w:t>
      </w:r>
      <w:bookmarkStart w:id="626" w:name="xdx_90A_eus-gaap--InterestPayableCurrent"/>
      <w:bookmarkEnd w:id="626"/>
      <w:r>
        <w:rPr>
          <w:rFonts w:ascii="Times New Roman;Times;Serif" w:hAnsi="Times New Roman;Times;Serif"/>
          <w:b w:val="false"/>
          <w:i w:val="false"/>
          <w:caps w:val="false"/>
          <w:smallCaps w:val="false"/>
          <w:sz w:val="20"/>
        </w:rPr>
        <w:t>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2024, the Company entered into a Limited Waiver and Fourth Amendment (the “Fourth Amendment”, together with the Original Term Loan Agreement, the First Amendment, the Second Amendment, and the Third Amendment the “Term Loan Agreement”) to the Term Loan Agreement with the Term Loan Lenders in regards to its compliance with the Tests as of the last day of the quarter ended December 31, 2024 and certain amendments to the Term Loan Agreement. The Fourth Amendment provided for a one-time issuance of penny warrants (the “December 2024 Penny Warrants”, collectively with the Original Penny Warrants, the May 2024 Penny Warrants, the June 2024 Penny Warrants and the September 2024 Penny Warrants, the “Penny Warrants”) to purchase up to </w:t>
      </w:r>
      <w:bookmarkStart w:id="627" w:name="xdx_902_eus-gaap--ClassOfWarrantOrRightN"/>
      <w:bookmarkEnd w:id="627"/>
      <w:r>
        <w:rPr>
          <w:rFonts w:ascii="Times New Roman;Times;Serif" w:hAnsi="Times New Roman;Times;Serif"/>
          <w:b w:val="false"/>
          <w:i w:val="false"/>
          <w:caps w:val="false"/>
          <w:smallCaps w:val="false"/>
          <w:sz w:val="20"/>
        </w:rPr>
        <w:t>350,000 shares of the Company’s Common Stock at an exercise price of $</w:t>
      </w:r>
      <w:bookmarkStart w:id="628" w:name="xdx_903_eus-gaap--ClassOfWarrantOrRightE"/>
      <w:bookmarkEnd w:id="628"/>
      <w:r>
        <w:rPr>
          <w:rFonts w:ascii="Times New Roman;Times;Serif" w:hAnsi="Times New Roman;Times;Serif"/>
          <w:b w:val="false"/>
          <w:i w:val="false"/>
          <w:caps w:val="false"/>
          <w:smallCaps w:val="false"/>
          <w:sz w:val="20"/>
        </w:rPr>
        <w:t>0.01 per share (the “December 2024 Penny Warrant Shares”, collectively with the Original Penny Warrants, the May 2024 Penny Warrants, the June 2024 Penny Warrants and the September 2024 Penny Warrants, the “Penny Warrant Shares”), valued at $</w:t>
      </w:r>
      <w:bookmarkStart w:id="629" w:name="xdx_903_eus-gaap--AmortizationOfDebtDisc"/>
      <w:bookmarkEnd w:id="629"/>
      <w:r>
        <w:rPr>
          <w:rFonts w:ascii="Times New Roman;Times;Serif" w:hAnsi="Times New Roman;Times;Serif"/>
          <w:b w:val="false"/>
          <w:i w:val="false"/>
          <w:caps w:val="false"/>
          <w:smallCaps w:val="false"/>
          <w:sz w:val="20"/>
        </w:rPr>
        <w:t>971 and recorded as a debt discount. The December 2024 Penny Warrants were issued in connection with the Term Loan Lenders’ agreement to waive the Tests under the Term Loan for the quarter ended December 31, 2024 and to amend the Term Loan Agreement. The December 2024 Penny Warrants will be exercisable at such time that the Company obtain the Warrant Issuance Shareholder Approval (as defined below)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Fourth Amendment (i) reduced the liquidity requirement under the Term Loan to be $</w:t>
      </w:r>
      <w:bookmarkStart w:id="630" w:name="xdx_906_eus-gaap--LongTermDebt_iI_pn5n6_"/>
      <w:bookmarkEnd w:id="630"/>
      <w:r>
        <w:rPr>
          <w:rFonts w:ascii="Times New Roman;Times;Serif" w:hAnsi="Times New Roman;Times;Serif"/>
          <w:b w:val="false"/>
          <w:i w:val="false"/>
          <w:caps w:val="false"/>
          <w:smallCaps w:val="false"/>
          <w:sz w:val="20"/>
        </w:rPr>
        <w:t>3.5 million as of the last day of the month ended December 31, 2024, and $</w:t>
      </w:r>
      <w:bookmarkStart w:id="631" w:name="xdx_901_eus-gaap--LongTermDebt_iI_pn5n6_"/>
      <w:bookmarkEnd w:id="631"/>
      <w:r>
        <w:rPr>
          <w:rFonts w:ascii="Times New Roman;Times;Serif" w:hAnsi="Times New Roman;Times;Serif"/>
          <w:b w:val="false"/>
          <w:i w:val="false"/>
          <w:caps w:val="false"/>
          <w:smallCaps w:val="false"/>
          <w:sz w:val="20"/>
        </w:rPr>
        <w:t>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restrictive financial covenants pertaining to Maximum Senior Leverage Ratio, Liquidity, Fixed Charge Coverage Ratio, and Capital Expenditures as defined in the Term Loan Agreement. As of December 31, 2024, the Company was not in compliance with its financial covenants pertaining to the fixed charge coverage ratio, liquidity, and the maximum senior leverage ratio. On March 31, 2024, April 29, 2024, May 30, 2024, June 28, 2024, July 31, 2024, August 30, 2024, September 30, 2024, October 31, 2024, November 30, 2024 and December 31, 2024 the Company obtained waivers from the Term Loan Lenders and administrative agent in regards to its failure to satisfy the liquidity requirement under the Term Loan for the quarters ended March 31, 2024, June 30, 2024, September 30, 2024, and December 31, 2024 and the fiscal months ended April 30, 2024, May 31, 2024, July 31, 2024, August 31, 2024, October 31, 2024, November 30, 2024, as applicable.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subsequent to the current year ended December 31, 2024, in connection with the Securities Purchase Agreement, the Company entered into the Fifth Amendment to the Term Loan. This amendment extended the loan’s maturity date by one year to October 2027 and deferred all principal and interest payments until April 2026. Additionally, the amendment postponed certain covenant requirements, significantly reducing the likelihood of a breach and the lender’s ability to accelerate repayment based on prior noncompliance, thereby allowing the Company to reclassify the debt as long-term as of December 31, 2024. As a result, the debt now qualifies for long-term classification.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632" w:name="xdx_89F_eus-gaap--ScheduleOfMaturitiesOf"/>
      <w:bookmarkEnd w:id="632"/>
      <w:r>
        <w:rPr>
          <w:rFonts w:ascii="Times New Roman;Times;Serif" w:hAnsi="Times New Roman;Times;Serif"/>
          <w:b w:val="false"/>
          <w:i w:val="false"/>
          <w:caps w:val="false"/>
          <w:smallCaps w:val="false"/>
          <w:sz w:val="20"/>
        </w:rPr>
        <w:t>At December 31, 2024, the future debt maturities are as follows: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633" w:name="xdx_8B6_zTGMrKCOsji"/>
      <w:bookmarkEnd w:id="633"/>
      <w:r>
        <w:rPr>
          <w:rFonts w:ascii="Times New Roman;Times;Serif" w:hAnsi="Times New Roman;Times;Serif"/>
          <w:b w:val="false"/>
          <w:i w:val="false"/>
          <w:caps w:val="false"/>
          <w:smallCaps w:val="false"/>
          <w:sz w:val="20"/>
        </w:rPr>
        <w:t>SCHEDULE OF FUTURE DEBT MATURITIES </w:t>
      </w:r>
    </w:p>
    <w:tbl>
      <w:tblPr>
        <w:tblW w:w="4775" w:type="dxa"/>
        <w:jc w:val="left"/>
        <w:tblInd w:w="0" w:type="dxa"/>
        <w:tblLayout w:type="fixed"/>
        <w:tblCellMar>
          <w:top w:w="0" w:type="dxa"/>
          <w:left w:w="0" w:type="dxa"/>
          <w:bottom w:w="28" w:type="dxa"/>
          <w:right w:w="0" w:type="dxa"/>
        </w:tblCellMar>
      </w:tblPr>
      <w:tblGrid>
        <w:gridCol w:w="3665"/>
        <w:gridCol w:w="60"/>
        <w:gridCol w:w="140"/>
        <w:gridCol w:w="800"/>
        <w:gridCol w:w="110"/>
      </w:tblGrid>
      <w:tr>
        <w:trPr/>
        <w:tc>
          <w:tcPr>
            <w:tcW w:w="3665" w:type="dxa"/>
            <w:tcBorders>
              <w:bottom w:val="single" w:sz="8" w:space="0" w:color="000000"/>
            </w:tcBorders>
            <w:vAlign w:val="center"/>
          </w:tcPr>
          <w:p>
            <w:pPr>
              <w:pStyle w:val="TableContents"/>
              <w:bidi w:val="0"/>
              <w:spacing w:before="0" w:after="283"/>
              <w:jc w:val="both"/>
              <w:rPr/>
            </w:pPr>
            <w:r>
              <w:rPr/>
              <w:t>For Year Ended December 31,</w:t>
            </w:r>
          </w:p>
        </w:tc>
        <w:tc>
          <w:tcPr>
            <w:tcW w:w="60" w:type="dxa"/>
            <w:tcBorders/>
            <w:tcMar>
              <w:bottom w:w="0" w:type="dxa"/>
            </w:tcMar>
            <w:vAlign w:val="center"/>
          </w:tcPr>
          <w:p>
            <w:pPr>
              <w:pStyle w:val="TableContents"/>
              <w:bidi w:val="0"/>
              <w:spacing w:before="0" w:after="283"/>
              <w:jc w:val="left"/>
              <w:rPr/>
            </w:pPr>
            <w:r>
              <w:rPr/>
              <w:t> </w:t>
            </w:r>
            <w:bookmarkStart w:id="634" w:name="xdx_490_20241231_zDQ2WoTDl569"/>
            <w:bookmarkEnd w:id="634"/>
          </w:p>
        </w:tc>
        <w:tc>
          <w:tcPr>
            <w:tcW w:w="94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ind w:left="0" w:right="0" w:hanging="10"/>
              <w:jc w:val="left"/>
              <w:rPr/>
            </w:pPr>
            <w:r>
              <w:rPr/>
              <w:t> </w:t>
            </w:r>
            <w:bookmarkStart w:id="635" w:name="xdx_408_eus-gaap--LongTermDebtMaturities"/>
            <w:bookmarkEnd w:id="635"/>
          </w:p>
        </w:tc>
      </w:tr>
      <w:tr>
        <w:trPr/>
        <w:tc>
          <w:tcPr>
            <w:tcW w:w="3665" w:type="dxa"/>
            <w:tcBorders/>
            <w:shd w:fill="CCEEFF" w:val="clear"/>
            <w:tcMar>
              <w:bottom w:w="0" w:type="dxa"/>
            </w:tcMar>
            <w:vAlign w:val="center"/>
          </w:tcPr>
          <w:p>
            <w:pPr>
              <w:pStyle w:val="TableContents"/>
              <w:bidi w:val="0"/>
              <w:spacing w:before="0" w:after="283"/>
              <w:jc w:val="both"/>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10"/>
              <w:jc w:val="left"/>
              <w:rPr/>
            </w:pPr>
            <w:r>
              <w:rPr/>
              <w:t> </w:t>
            </w:r>
            <w:bookmarkStart w:id="636" w:name="xdx_40E_eus-gaap--LongTermDebtMaturities"/>
            <w:bookmarkEnd w:id="636"/>
          </w:p>
        </w:tc>
      </w:tr>
      <w:tr>
        <w:trPr/>
        <w:tc>
          <w:tcPr>
            <w:tcW w:w="3665" w:type="dxa"/>
            <w:tcBorders/>
            <w:shd w:fill="FFFFFF" w:val="clear"/>
            <w:tcMar>
              <w:bottom w:w="0" w:type="dxa"/>
            </w:tcMar>
            <w:vAlign w:val="center"/>
          </w:tcPr>
          <w:p>
            <w:pPr>
              <w:pStyle w:val="TableContents"/>
              <w:bidi w:val="0"/>
              <w:spacing w:before="0" w:after="283"/>
              <w:jc w:val="both"/>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2,813</w:t>
            </w:r>
          </w:p>
        </w:tc>
        <w:tc>
          <w:tcPr>
            <w:tcW w:w="110" w:type="dxa"/>
            <w:tcBorders/>
            <w:shd w:fill="FFFFFF" w:val="clear"/>
            <w:tcMar>
              <w:bottom w:w="0" w:type="dxa"/>
            </w:tcMar>
            <w:vAlign w:val="center"/>
          </w:tcPr>
          <w:p>
            <w:pPr>
              <w:pStyle w:val="TableContents"/>
              <w:bidi w:val="0"/>
              <w:spacing w:before="0" w:after="283"/>
              <w:ind w:left="0" w:right="0" w:hanging="10"/>
              <w:jc w:val="left"/>
              <w:rPr/>
            </w:pPr>
            <w:r>
              <w:rPr/>
              <w:t> </w:t>
            </w:r>
            <w:bookmarkStart w:id="637" w:name="xdx_40E_eus-gaap--LongTermDebtMaturities"/>
            <w:bookmarkEnd w:id="637"/>
          </w:p>
        </w:tc>
      </w:tr>
      <w:tr>
        <w:trPr/>
        <w:tc>
          <w:tcPr>
            <w:tcW w:w="3665" w:type="dxa"/>
            <w:tcBorders/>
            <w:shd w:fill="CCEEFF" w:val="clear"/>
            <w:tcMar>
              <w:bottom w:w="0" w:type="dxa"/>
            </w:tcMar>
            <w:vAlign w:val="center"/>
          </w:tcPr>
          <w:p>
            <w:pPr>
              <w:pStyle w:val="TableContents"/>
              <w:bidi w:val="0"/>
              <w:spacing w:before="0" w:after="283"/>
              <w:jc w:val="both"/>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98,342</w:t>
            </w:r>
          </w:p>
        </w:tc>
        <w:tc>
          <w:tcPr>
            <w:tcW w:w="110" w:type="dxa"/>
            <w:tcBorders/>
            <w:shd w:fill="CCEEFF" w:val="clear"/>
            <w:tcMar>
              <w:bottom w:w="0" w:type="dxa"/>
            </w:tcMar>
            <w:vAlign w:val="center"/>
          </w:tcPr>
          <w:p>
            <w:pPr>
              <w:pStyle w:val="TableContents"/>
              <w:bidi w:val="0"/>
              <w:spacing w:before="0" w:after="283"/>
              <w:ind w:left="0" w:right="0" w:hanging="10"/>
              <w:jc w:val="left"/>
              <w:rPr/>
            </w:pPr>
            <w:r>
              <w:rPr/>
              <w:t> </w:t>
            </w:r>
            <w:bookmarkStart w:id="638" w:name="xdx_408_ecustom--LongTermDebtMaturitiesR"/>
            <w:bookmarkEnd w:id="638"/>
          </w:p>
        </w:tc>
      </w:tr>
      <w:tr>
        <w:trPr/>
        <w:tc>
          <w:tcPr>
            <w:tcW w:w="3665" w:type="dxa"/>
            <w:tcBorders/>
            <w:shd w:fill="FFFFFF" w:val="clear"/>
            <w:tcMar>
              <w:bottom w:w="0" w:type="dxa"/>
            </w:tcMar>
            <w:vAlign w:val="center"/>
          </w:tcPr>
          <w:p>
            <w:pPr>
              <w:pStyle w:val="TableContents"/>
              <w:bidi w:val="0"/>
              <w:spacing w:before="0" w:after="283"/>
              <w:jc w:val="both"/>
              <w:rPr/>
            </w:pPr>
            <w:r>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101,155</w:t>
            </w:r>
          </w:p>
        </w:tc>
        <w:tc>
          <w:tcPr>
            <w:tcW w:w="110" w:type="dxa"/>
            <w:tcBorders/>
            <w:shd w:fill="FFFFFF" w:val="clear"/>
            <w:tcMar>
              <w:bottom w:w="0" w:type="dxa"/>
            </w:tcMar>
            <w:vAlign w:val="center"/>
          </w:tcPr>
          <w:p>
            <w:pPr>
              <w:pStyle w:val="TableContents"/>
              <w:bidi w:val="0"/>
              <w:spacing w:before="0" w:after="283"/>
              <w:ind w:left="0" w:right="0" w:hanging="10"/>
              <w:jc w:val="left"/>
              <w:rPr/>
            </w:pPr>
            <w:r>
              <w:rPr/>
              <w:t> </w:t>
            </w:r>
            <w:bookmarkStart w:id="639" w:name="xdx_402_ecustom--EstimatedInterestPaidin"/>
            <w:bookmarkEnd w:id="639"/>
          </w:p>
        </w:tc>
      </w:tr>
      <w:tr>
        <w:trPr/>
        <w:tc>
          <w:tcPr>
            <w:tcW w:w="3665" w:type="dxa"/>
            <w:tcBorders/>
            <w:shd w:fill="CCEEFF" w:val="clear"/>
            <w:tcMar>
              <w:bottom w:w="0" w:type="dxa"/>
            </w:tcMar>
            <w:vAlign w:val="center"/>
          </w:tcPr>
          <w:p>
            <w:pPr>
              <w:pStyle w:val="TableContents"/>
              <w:bidi w:val="0"/>
              <w:spacing w:before="0" w:after="283"/>
              <w:jc w:val="both"/>
              <w:rPr/>
            </w:pPr>
            <w:r>
              <w:rPr/>
              <w:t>Less: Estimated interest paid-in-kind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vAlign w:val="center"/>
          </w:tcPr>
          <w:p>
            <w:pPr>
              <w:pStyle w:val="TableContents"/>
              <w:bidi w:val="0"/>
              <w:spacing w:before="0" w:after="283"/>
              <w:jc w:val="right"/>
              <w:rPr/>
            </w:pPr>
            <w:r>
              <w:rPr/>
              <w:t>(15,243</w:t>
            </w:r>
          </w:p>
        </w:tc>
        <w:tc>
          <w:tcPr>
            <w:tcW w:w="110" w:type="dxa"/>
            <w:tcBorders/>
            <w:shd w:fill="CCEEFF" w:val="clear"/>
            <w:tcMar>
              <w:bottom w:w="0" w:type="dxa"/>
            </w:tcMar>
            <w:vAlign w:val="center"/>
          </w:tcPr>
          <w:p>
            <w:pPr>
              <w:pStyle w:val="TableContents"/>
              <w:bidi w:val="0"/>
              <w:spacing w:before="0" w:after="283"/>
              <w:ind w:left="0" w:right="0" w:hanging="10"/>
              <w:jc w:val="left"/>
              <w:rPr/>
            </w:pPr>
            <w:r>
              <w:rPr/>
              <w:t>)</w:t>
            </w:r>
            <w:bookmarkStart w:id="640" w:name="xdx_401_eus-gaap--LongTermDebt_iTI_pn3n3"/>
            <w:bookmarkEnd w:id="640"/>
          </w:p>
        </w:tc>
      </w:tr>
      <w:tr>
        <w:trPr/>
        <w:tc>
          <w:tcPr>
            <w:tcW w:w="3665" w:type="dxa"/>
            <w:tcBorders/>
            <w:shd w:fill="FFFFFF" w:val="clear"/>
            <w:tcMar>
              <w:bottom w:w="0" w:type="dxa"/>
            </w:tcMar>
            <w:vAlign w:val="center"/>
          </w:tcPr>
          <w:p>
            <w:pPr>
              <w:pStyle w:val="TableContents"/>
              <w:bidi w:val="0"/>
              <w:spacing w:before="0" w:after="283"/>
              <w:jc w:val="both"/>
              <w:rPr/>
            </w:pPr>
            <w:r>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85,912</w:t>
            </w:r>
          </w:p>
        </w:tc>
        <w:tc>
          <w:tcPr>
            <w:tcW w:w="110" w:type="dxa"/>
            <w:tcBorders/>
            <w:shd w:fill="FFFFFF" w:val="clear"/>
            <w:tcMar>
              <w:bottom w:w="0" w:type="dxa"/>
            </w:tcMar>
            <w:vAlign w:val="center"/>
          </w:tcPr>
          <w:p>
            <w:pPr>
              <w:pStyle w:val="TableContents"/>
              <w:bidi w:val="0"/>
              <w:spacing w:before="0" w:after="283"/>
              <w:ind w:left="0" w:right="0" w:hanging="10"/>
              <w:jc w:val="left"/>
              <w:rPr/>
            </w:pPr>
            <w:r>
              <w:rPr/>
              <w:t> </w:t>
            </w:r>
            <w:bookmarkStart w:id="641" w:name="xdx_403_eus-gaap--DebtInstrumentUnamorti"/>
            <w:bookmarkEnd w:id="641"/>
          </w:p>
        </w:tc>
      </w:tr>
      <w:tr>
        <w:trPr/>
        <w:tc>
          <w:tcPr>
            <w:tcW w:w="3665" w:type="dxa"/>
            <w:tcBorders/>
            <w:shd w:fill="CCEEFF" w:val="clear"/>
            <w:tcMar>
              <w:bottom w:w="0" w:type="dxa"/>
            </w:tcMar>
            <w:vAlign w:val="center"/>
          </w:tcPr>
          <w:p>
            <w:pPr>
              <w:pStyle w:val="TableContents"/>
              <w:bidi w:val="0"/>
              <w:spacing w:before="0" w:after="283"/>
              <w:jc w:val="both"/>
              <w:rPr/>
            </w:pPr>
            <w:r>
              <w:rPr/>
              <w:t>Less: Unamortized debt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(56,266</w:t>
            </w:r>
          </w:p>
        </w:tc>
        <w:tc>
          <w:tcPr>
            <w:tcW w:w="110" w:type="dxa"/>
            <w:tcBorders/>
            <w:shd w:fill="CCEEFF" w:val="clear"/>
            <w:tcMar>
              <w:bottom w:w="0" w:type="dxa"/>
            </w:tcMar>
            <w:vAlign w:val="center"/>
          </w:tcPr>
          <w:p>
            <w:pPr>
              <w:pStyle w:val="TableContents"/>
              <w:bidi w:val="0"/>
              <w:spacing w:before="0" w:after="283"/>
              <w:ind w:left="0" w:right="0" w:hanging="10"/>
              <w:jc w:val="left"/>
              <w:rPr/>
            </w:pPr>
            <w:r>
              <w:rPr/>
              <w:t>)</w:t>
            </w:r>
            <w:bookmarkStart w:id="642" w:name="xdx_40F_eus-gaap--DebtInstrumentCarrying"/>
            <w:bookmarkEnd w:id="642"/>
          </w:p>
        </w:tc>
      </w:tr>
      <w:tr>
        <w:trPr/>
        <w:tc>
          <w:tcPr>
            <w:tcW w:w="3665" w:type="dxa"/>
            <w:tcBorders/>
            <w:shd w:fill="FFFFFF" w:val="clear"/>
            <w:tcMar>
              <w:bottom w:w="0" w:type="dxa"/>
            </w:tcMar>
            <w:vAlign w:val="center"/>
          </w:tcPr>
          <w:p>
            <w:pPr>
              <w:pStyle w:val="TableContents"/>
              <w:bidi w:val="0"/>
              <w:spacing w:before="0" w:after="283"/>
              <w:jc w:val="both"/>
              <w:rPr/>
            </w:pPr>
            <w:r>
              <w:rPr/>
              <w:t>Total carrying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29,646</w:t>
            </w:r>
          </w:p>
        </w:tc>
        <w:tc>
          <w:tcPr>
            <w:tcW w:w="110" w:type="dxa"/>
            <w:tcBorders/>
            <w:shd w:fill="FFFFFF" w:val="clear"/>
            <w:tcMar>
              <w:bottom w:w="0" w:type="dxa"/>
            </w:tcMar>
            <w:vAlign w:val="center"/>
          </w:tcPr>
          <w:p>
            <w:pPr>
              <w:pStyle w:val="TableContents"/>
              <w:bidi w:val="0"/>
              <w:spacing w:before="0" w:after="283"/>
              <w:ind w:left="0" w:right="0" w:hanging="10"/>
              <w:jc w:val="left"/>
              <w:rPr/>
            </w:pPr>
            <w:r>
              <w:rPr/>
              <w:t> </w:t>
            </w:r>
            <w:bookmarkStart w:id="643" w:name="xdx_407_eus-gaap--LongTermDebtCurrent_iN"/>
            <w:bookmarkEnd w:id="643"/>
          </w:p>
        </w:tc>
      </w:tr>
      <w:tr>
        <w:trPr/>
        <w:tc>
          <w:tcPr>
            <w:tcW w:w="3665" w:type="dxa"/>
            <w:tcBorders/>
            <w:shd w:fill="CCEEFF" w:val="clear"/>
            <w:tcMar>
              <w:bottom w:w="0" w:type="dxa"/>
            </w:tcMar>
            <w:vAlign w:val="center"/>
          </w:tcPr>
          <w:p>
            <w:pPr>
              <w:pStyle w:val="TableContents"/>
              <w:bidi w:val="0"/>
              <w:spacing w:before="0" w:after="283"/>
              <w:jc w:val="both"/>
              <w:rPr/>
            </w:pPr>
            <w:r>
              <w:rPr/>
              <w:t>Less: Current portion of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10"/>
              <w:jc w:val="left"/>
              <w:rPr/>
            </w:pPr>
            <w:r>
              <w:rPr/>
              <w:t> </w:t>
            </w:r>
            <w:bookmarkStart w:id="644" w:name="xdx_401_eus-gaap--LongTermDebtNoncurrent"/>
            <w:bookmarkEnd w:id="644"/>
          </w:p>
        </w:tc>
      </w:tr>
      <w:tr>
        <w:trPr/>
        <w:tc>
          <w:tcPr>
            <w:tcW w:w="3665" w:type="dxa"/>
            <w:tcBorders/>
            <w:shd w:fill="FFFFFF" w:val="clear"/>
            <w:tcMar>
              <w:bottom w:w="0" w:type="dxa"/>
            </w:tcMar>
            <w:vAlign w:val="center"/>
          </w:tcPr>
          <w:p>
            <w:pPr>
              <w:pStyle w:val="TableContents"/>
              <w:bidi w:val="0"/>
              <w:spacing w:before="0" w:after="283"/>
              <w:jc w:val="both"/>
              <w:rPr/>
            </w:pPr>
            <w:r>
              <w:rPr/>
              <w:t>Total long-term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800" w:type="dxa"/>
            <w:tcBorders>
              <w:bottom w:val="double" w:sz="6" w:space="0" w:color="000000"/>
            </w:tcBorders>
            <w:shd w:fill="FFFFFF" w:val="clear"/>
            <w:vAlign w:val="center"/>
          </w:tcPr>
          <w:p>
            <w:pPr>
              <w:pStyle w:val="TableContents"/>
              <w:bidi w:val="0"/>
              <w:spacing w:before="0" w:after="283"/>
              <w:jc w:val="right"/>
              <w:rPr/>
            </w:pPr>
            <w:r>
              <w:rPr/>
              <w:t>29,646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645" w:name="xdx_8AE_zXSbkIDTV0oi"/>
      <w:bookmarkEnd w:id="64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bookmarkStart w:id="646" w:name="xdx_80D_eus-gaap--AssetAcquisitionTextBl"/>
      <w:bookmarkEnd w:id="646"/>
      <w:r>
        <w:rPr>
          <w:rFonts w:ascii="Times New Roman;Times;Serif" w:hAnsi="Times New Roman;Times;Serif"/>
          <w:b/>
          <w:i w:val="false"/>
          <w:caps/>
          <w:sz w:val="20"/>
        </w:rPr>
        <w:t xml:space="preserve">Note 7 - </w:t>
      </w:r>
      <w:bookmarkStart w:id="647" w:name="xdx_827_zPldBuJaIzmb"/>
      <w:bookmarkEnd w:id="647"/>
      <w:r>
        <w:rPr>
          <w:rFonts w:ascii="Times New Roman;Times;Serif" w:hAnsi="Times New Roman;Times;Serif"/>
          <w:b/>
          <w:i w:val="false"/>
          <w:caps/>
          <w:sz w:val="20"/>
        </w:rPr>
        <w:t>ASSET PURCHASE AGREEMENT</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Thomason Jones Company, LLC</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with William Thomason, Richard Jones, and Thomason Jones Company, LLC whereby the Company acquired inventory and intellectual property assets for a price not to exceed $</w:t>
      </w:r>
      <w:bookmarkStart w:id="648" w:name="xdx_900_eus-gaap--AssetAcquisitionConsid"/>
      <w:bookmarkEnd w:id="648"/>
      <w:r>
        <w:rPr>
          <w:rFonts w:ascii="Times New Roman;Times;Serif" w:hAnsi="Times New Roman;Times;Serif"/>
          <w:b w:val="false"/>
          <w:i w:val="false"/>
          <w:caps w:val="false"/>
          <w:smallCaps w:val="false"/>
          <w:sz w:val="20"/>
        </w:rPr>
        <w:t>700 cash plus contingent payments of $</w:t>
      </w:r>
      <w:bookmarkStart w:id="649" w:name="xdx_905_eus-gaap--AssetAcquisitionConsid"/>
      <w:bookmarkEnd w:id="649"/>
      <w:r>
        <w:rPr>
          <w:rFonts w:ascii="Times New Roman;Times;Serif" w:hAnsi="Times New Roman;Times;Serif"/>
          <w:b w:val="false"/>
          <w:i w:val="false"/>
          <w:caps w:val="false"/>
          <w:smallCaps w:val="false"/>
          <w:sz w:val="20"/>
        </w:rPr>
        <w:t>1,000 each to William Thomason and Richard Jones (the “Earn Out”). The transaction was determined to be a business combination under the guidance in FASB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w:t>
      </w:r>
      <w:bookmarkStart w:id="650" w:name="xdx_904_eus-gaap--AssetAcquisitionConsid"/>
      <w:bookmarkEnd w:id="650"/>
      <w:r>
        <w:rPr>
          <w:rFonts w:ascii="Times New Roman;Times;Serif" w:hAnsi="Times New Roman;Times;Serif"/>
          <w:b w:val="false"/>
          <w:i w:val="false"/>
          <w:caps w:val="false"/>
          <w:smallCaps w:val="false"/>
          <w:sz w:val="20"/>
        </w:rPr>
        <w:t>444 and was allocated in its entirety to inventory.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dated April 2022, Dragonfly Energy Corp. agreed to a contingent compensation arrangement with Mr. Thomason and Mr. Jones. According to this agreement, if Dragonfly Energy Corp. realizes $</w:t>
      </w:r>
      <w:bookmarkStart w:id="651" w:name="xdx_90D_eus-gaap--CostOfGoodsAndServices"/>
      <w:bookmarkEnd w:id="651"/>
      <w:r>
        <w:rPr>
          <w:rFonts w:ascii="Times New Roman;Times;Serif" w:hAnsi="Times New Roman;Times;Serif"/>
          <w:b w:val="false"/>
          <w:i w:val="false"/>
          <w:caps w:val="false"/>
          <w:smallCaps w:val="false"/>
          <w:sz w:val="20"/>
        </w:rPr>
        <w:t>3,000 in gross sales from products sold under the Wakespeed brand or which incorporate any portion of the Purchased Intellectual Property (IP) within twenty-four months of the acquisition, the Company is obligated to pay each of Thomason and Jones $</w:t>
      </w:r>
      <w:bookmarkStart w:id="652" w:name="xdx_903_eus-gaap--RepaymentsOfRelatedPar"/>
      <w:bookmarkEnd w:id="652"/>
      <w:r>
        <w:rPr>
          <w:rFonts w:ascii="Times New Roman;Times;Serif" w:hAnsi="Times New Roman;Times;Serif"/>
          <w:b w:val="false"/>
          <w:i w:val="false"/>
          <w:caps w:val="false"/>
          <w:smallCaps w:val="false"/>
          <w:sz w:val="20"/>
        </w:rPr>
        <w:t>1,000. The Company may satisfy this obligation in cash or by issuing common stock at its discretion.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has recognized $</w:t>
      </w:r>
      <w:bookmarkStart w:id="653" w:name="xdx_90D_eus-gaap--CompensationExpenseExc"/>
      <w:bookmarkEnd w:id="653"/>
      <w:r>
        <w:rPr>
          <w:rFonts w:ascii="Times New Roman;Times;Serif" w:hAnsi="Times New Roman;Times;Serif"/>
          <w:b w:val="false"/>
          <w:i w:val="false"/>
          <w:caps w:val="false"/>
          <w:smallCaps w:val="false"/>
          <w:sz w:val="20"/>
        </w:rPr>
        <w:t>2,000 of compensation expense, respectively, in connection with this arrangement. This expense is reflected in the statement of operations under Sales and marketing expense. The total amount was recognized as compensation expense as of December 31, 2023, since it was deemed earned and no further service performance was required.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654" w:name="xdx_802_ecustom--LicenseAgreementDisclos"/>
      <w:bookmarkEnd w:id="654"/>
      <w:r>
        <w:rPr>
          <w:rFonts w:ascii="Times New Roman;Times;Serif" w:hAnsi="Times New Roman;Times;Serif"/>
          <w:b/>
          <w:i w:val="false"/>
          <w:caps/>
          <w:sz w:val="20"/>
        </w:rPr>
        <w:t xml:space="preserve">Note 8 - </w:t>
      </w:r>
      <w:bookmarkStart w:id="655" w:name="xdx_82C_zohHRuFpFHVj"/>
      <w:bookmarkEnd w:id="655"/>
      <w:r>
        <w:rPr>
          <w:rFonts w:ascii="Times New Roman;Times;Serif" w:hAnsi="Times New Roman;Times;Serif"/>
          <w:b/>
          <w:i w:val="false"/>
          <w:caps/>
          <w:sz w:val="20"/>
        </w:rPr>
        <w:t>LICENSE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w:t>
      </w:r>
      <w:bookmarkStart w:id="656" w:name="xdx_90D_ecustom--LicensingFee_pn3n3_c202"/>
      <w:bookmarkEnd w:id="656"/>
      <w:r>
        <w:rPr>
          <w:rFonts w:ascii="Times New Roman;Times;Serif" w:hAnsi="Times New Roman;Times;Serif"/>
          <w:b w:val="false"/>
          <w:i w:val="false"/>
          <w:caps w:val="false"/>
          <w:smallCaps w:val="false"/>
          <w:sz w:val="20"/>
        </w:rPr>
        <w:t>5,000 and will make additional mid-single digit royalty payments to be paid based on net sales to be paid quarterly utilizing the licensed trademarks, with total royalties capped at $</w:t>
      </w:r>
      <w:bookmarkStart w:id="657" w:name="xdx_906_ecustom--PaymentOfQuarterlyLicen"/>
      <w:bookmarkEnd w:id="657"/>
      <w:r>
        <w:rPr>
          <w:rFonts w:ascii="Times New Roman;Times;Serif" w:hAnsi="Times New Roman;Times;Serif"/>
          <w:b w:val="false"/>
          <w:i w:val="false"/>
          <w:caps w:val="false"/>
          <w:smallCaps w:val="false"/>
          <w:sz w:val="20"/>
        </w:rPr>
        <w:t>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w:t>
      </w:r>
      <w:bookmarkStart w:id="658" w:name="xdx_90D_ecustom--LicensingFee_pn3n3_c202"/>
      <w:bookmarkEnd w:id="658"/>
      <w:r>
        <w:rPr>
          <w:rFonts w:ascii="Times New Roman;Times;Serif" w:hAnsi="Times New Roman;Times;Serif"/>
          <w:b w:val="false"/>
          <w:i w:val="false"/>
          <w:caps w:val="false"/>
          <w:smallCaps w:val="false"/>
          <w:sz w:val="20"/>
        </w:rPr>
        <w:t xml:space="preserve">5,000 initial licensing fee is being recognized as revenue on a </w:t>
      </w:r>
      <w:bookmarkStart w:id="659" w:name="xdx_90E_ecustom--InitialLicensingFeeReco"/>
      <w:bookmarkEnd w:id="659"/>
      <w:r>
        <w:rPr>
          <w:rFonts w:ascii="Times New Roman;Times;Serif" w:hAnsi="Times New Roman;Times;Serif"/>
          <w:b w:val="false"/>
          <w:i w:val="false"/>
          <w:caps w:val="false"/>
          <w:smallCaps w:val="false"/>
          <w:sz w:val="20"/>
        </w:rPr>
        <w:t>straight-line basis over five years, which reflects the period over which the Company expects to satisfy its performance obligations and the customer is expected to benefit from the license. For the year ended December 31, 2024, the Company has recorded $</w:t>
      </w:r>
      <w:bookmarkStart w:id="660" w:name="xdx_906_eus-gaap--RevenueFromContractWit"/>
      <w:bookmarkEnd w:id="660"/>
      <w:r>
        <w:rPr>
          <w:rFonts w:ascii="Times New Roman;Times;Serif" w:hAnsi="Times New Roman;Times;Serif"/>
          <w:b w:val="false"/>
          <w:i w:val="false"/>
          <w:caps w:val="false"/>
          <w:smallCaps w:val="false"/>
          <w:sz w:val="20"/>
        </w:rPr>
        <w:t xml:space="preserve">417 in revenue related to the amortization of the License Agreement and </w:t>
      </w:r>
      <w:bookmarkStart w:id="661" w:name="xdx_908_eus-gaap--ProceedsFromRoyaltiesR"/>
      <w:bookmarkEnd w:id="661"/>
      <w:r>
        <w:rPr>
          <w:rFonts w:ascii="Times New Roman;Times;Serif" w:hAnsi="Times New Roman;Times;Serif"/>
          <w:b w:val="false"/>
          <w:i w:val="false"/>
          <w:caps w:val="false"/>
          <w:smallCaps w:val="false"/>
          <w:sz w:val="20"/>
        </w:rPr>
        <w:t>no royalty payments have been received or earned. As of December 31, 2024, the Company has recorded $</w:t>
      </w:r>
      <w:bookmarkStart w:id="662" w:name="xdx_90F_eus-gaap--DeferredRevenueCurrent"/>
      <w:bookmarkEnd w:id="662"/>
      <w:r>
        <w:rPr>
          <w:rFonts w:ascii="Times New Roman;Times;Serif" w:hAnsi="Times New Roman;Times;Serif"/>
          <w:b w:val="false"/>
          <w:i w:val="false"/>
          <w:caps w:val="false"/>
          <w:smallCaps w:val="false"/>
          <w:sz w:val="20"/>
        </w:rPr>
        <w:t>1,000 in short term deferred revenue and $</w:t>
      </w:r>
      <w:bookmarkStart w:id="663" w:name="xdx_90C_eus-gaap--DeferredRevenueNoncurr"/>
      <w:bookmarkEnd w:id="663"/>
      <w:r>
        <w:rPr>
          <w:rFonts w:ascii="Times New Roman;Times;Serif" w:hAnsi="Times New Roman;Times;Serif"/>
          <w:b w:val="false"/>
          <w:i w:val="false"/>
          <w:caps w:val="false"/>
          <w:smallCaps w:val="false"/>
          <w:sz w:val="20"/>
        </w:rPr>
        <w:t>3,583 in long-term deferred revenue related to the license agreement.</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bookmarkStart w:id="664" w:name="xdx_808_eus-gaap--RelatedPartyTransactio"/>
      <w:bookmarkEnd w:id="664"/>
      <w:r>
        <w:rPr>
          <w:rFonts w:ascii="Times New Roman;Times;Serif" w:hAnsi="Times New Roman;Times;Serif"/>
          <w:b/>
          <w:i w:val="false"/>
          <w:caps/>
          <w:sz w:val="20"/>
        </w:rPr>
        <w:t xml:space="preserve">Note 9 - </w:t>
      </w:r>
      <w:bookmarkStart w:id="665" w:name="xdx_824_zmhsQEDFHkt"/>
      <w:bookmarkEnd w:id="665"/>
      <w:r>
        <w:rPr>
          <w:rFonts w:ascii="Times New Roman;Times;Serif" w:hAnsi="Times New Roman;Times;Serif"/>
          <w:b/>
          <w:i w:val="false"/>
          <w:caps/>
          <w:sz w:val="20"/>
        </w:rPr>
        <w:t>RELATED PARTY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(“COO”). As consideration for the COO’s execution of the agreement, the Company agreed to pay the employee a lump sum payment of $</w:t>
      </w:r>
      <w:bookmarkStart w:id="666" w:name="xdx_905_eus-gaap--RelatedPartyTransactio"/>
      <w:bookmarkEnd w:id="666"/>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667" w:name="xdx_90C_eus-gaap--OtherLiabilities_iI_pn"/>
      <w:bookmarkEnd w:id="667"/>
      <w:r>
        <w:rPr>
          <w:rFonts w:ascii="Times New Roman;Times;Serif" w:hAnsi="Times New Roman;Times;Serif"/>
          <w:b w:val="false"/>
          <w:i w:val="false"/>
          <w:caps w:val="false"/>
          <w:smallCaps w:val="false"/>
          <w:sz w:val="20"/>
        </w:rPr>
        <w:t xml:space="preserve">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w:t>
      </w:r>
      <w:bookmarkStart w:id="668" w:name="xdx_905_eus-gaap--StockIssuedDuringPerio"/>
      <w:bookmarkEnd w:id="668"/>
      <w:r>
        <w:rPr>
          <w:rFonts w:ascii="Times New Roman;Times;Serif" w:hAnsi="Times New Roman;Times;Serif"/>
          <w:b w:val="false"/>
          <w:i w:val="false"/>
          <w:caps w:val="false"/>
          <w:smallCaps w:val="false"/>
          <w:sz w:val="20"/>
        </w:rPr>
        <w:t xml:space="preserve">11,111 options and </w:t>
      </w:r>
      <w:bookmarkStart w:id="669" w:name="xdx_90D_eus-gaap--ShareBasedCompensation"/>
      <w:bookmarkEnd w:id="669"/>
      <w:r>
        <w:rPr>
          <w:rFonts w:ascii="Times New Roman;Times;Serif" w:hAnsi="Times New Roman;Times;Serif"/>
          <w:b w:val="false"/>
          <w:i w:val="false"/>
          <w:caps w:val="false"/>
          <w:smallCaps w:val="false"/>
          <w:sz w:val="20"/>
        </w:rPr>
        <w:t>8,480 options expired.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w:t>
      </w:r>
      <w:bookmarkStart w:id="670" w:name="xdx_904_eus-gaap--GeneralAndAdministrati"/>
      <w:bookmarkEnd w:id="670"/>
      <w:r>
        <w:rPr>
          <w:rFonts w:ascii="Times New Roman;Times;Serif" w:hAnsi="Times New Roman;Times;Serif"/>
          <w:b w:val="false"/>
          <w:i w:val="false"/>
          <w:caps w:val="false"/>
          <w:smallCaps w:val="false"/>
          <w:sz w:val="20"/>
        </w:rPr>
        <w:t>116 of general and administrative expense for the prior year.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(the “Note”) with a board member in the amount of $</w:t>
      </w:r>
      <w:bookmarkStart w:id="671" w:name="xdx_90B_eus-gaap--ConvertibleNotesPayabl"/>
      <w:bookmarkEnd w:id="671"/>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672" w:name="xdx_907_eus-gaap--DebtInstrumentFeeAmoun"/>
      <w:bookmarkEnd w:id="672"/>
      <w:r>
        <w:rPr>
          <w:rFonts w:ascii="Times New Roman;Times;Serif" w:hAnsi="Times New Roman;Times;Serif"/>
          <w:b w:val="false"/>
          <w:i w:val="false"/>
          <w:caps w:val="false"/>
          <w:smallCaps w:val="false"/>
          <w:sz w:val="20"/>
        </w:rPr>
        <w:t>100 (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Company entered into a separation and release of claims agreement with its former Chief Legal Officer (“CLO”). As consideration for the CLO’s execution of the agreement, the Company agreed to pay the employee payments equivalent to $</w:t>
      </w:r>
      <w:bookmarkStart w:id="673" w:name="xdx_906_eus-gaap--OtherLiabilities_iI_pn"/>
      <w:bookmarkEnd w:id="673"/>
      <w:r>
        <w:rPr>
          <w:rFonts w:ascii="Times New Roman;Times;Serif" w:hAnsi="Times New Roman;Times;Serif"/>
          <w:b w:val="false"/>
          <w:i w:val="false"/>
          <w:caps w:val="false"/>
          <w:smallCaps w:val="false"/>
          <w:sz w:val="20"/>
        </w:rPr>
        <w:t>720 divided into 24 monthly payments commencing on June 1, 2023, and all outstanding equity based compensation awards to become fully vested and exercisable at an expense of $</w:t>
      </w:r>
      <w:bookmarkStart w:id="674" w:name="xdx_902_eus-gaap--EmployeeBenefitsAndSha"/>
      <w:bookmarkEnd w:id="674"/>
      <w:r>
        <w:rPr>
          <w:rFonts w:ascii="Times New Roman;Times;Serif" w:hAnsi="Times New Roman;Times;Serif"/>
          <w:b w:val="false"/>
          <w:i w:val="false"/>
          <w:caps w:val="false"/>
          <w:smallCaps w:val="false"/>
          <w:sz w:val="20"/>
        </w:rPr>
        <w:t>76. The CLO shall have 3 months from the termination date to exercise outstanding options. The three (3) month period ended on July 26, 2023 in which the options were not exercised and the options were forfeited as a result.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Company entered into a convertible promissory note (the “January Note”) with a board member in the amount of $</w:t>
      </w:r>
      <w:bookmarkStart w:id="675" w:name="xdx_909_eus-gaap--ConvertibleNotesPayabl"/>
      <w:bookmarkEnd w:id="675"/>
      <w:r>
        <w:rPr>
          <w:rFonts w:ascii="Times New Roman;Times;Serif" w:hAnsi="Times New Roman;Times;Serif"/>
          <w:b w:val="false"/>
          <w:i w:val="false"/>
          <w:caps w:val="false"/>
          <w:smallCaps w:val="false"/>
          <w:sz w:val="20"/>
        </w:rPr>
        <w:t>1,000, or the January Principal Amount. Upon execution of the January Note and funding of the original principal sum, a payment of $</w:t>
      </w:r>
      <w:bookmarkStart w:id="676" w:name="xdx_90B_eus-gaap--DebtInstrumentFeeAmoun"/>
      <w:bookmarkEnd w:id="676"/>
      <w:r>
        <w:rPr>
          <w:rFonts w:ascii="Times New Roman;Times;Serif" w:hAnsi="Times New Roman;Times;Serif"/>
          <w:b w:val="false"/>
          <w:i w:val="false"/>
          <w:caps w:val="false"/>
          <w:smallCaps w:val="false"/>
          <w:sz w:val="20"/>
        </w:rPr>
        <w:t>50 (the “January Loan Fee”) was fully earned as of the date of the January Note and was due and payable in full in cash on February 2, 2024. The Company paid the January Principal Amount and the January Loan Fee on February 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convertible promissory note (the “February Note”) with a board member in the amount of $</w:t>
      </w:r>
      <w:bookmarkStart w:id="677" w:name="xdx_908_eus-gaap--ConvertibleNotesPayabl"/>
      <w:bookmarkEnd w:id="677"/>
      <w:r>
        <w:rPr>
          <w:rFonts w:ascii="Times New Roman;Times;Serif" w:hAnsi="Times New Roman;Times;Serif"/>
          <w:b w:val="false"/>
          <w:i w:val="false"/>
          <w:caps w:val="false"/>
          <w:smallCaps w:val="false"/>
          <w:sz w:val="20"/>
        </w:rPr>
        <w:t>1,700, or the February Principal Amount. Upon execution of the February Note and funding of the original principal sum, a payment of $</w:t>
      </w:r>
      <w:bookmarkStart w:id="678" w:name="xdx_908_eus-gaap--DebtInstrumentFeeAmoun"/>
      <w:bookmarkEnd w:id="678"/>
      <w:r>
        <w:rPr>
          <w:rFonts w:ascii="Times New Roman;Times;Serif" w:hAnsi="Times New Roman;Times;Serif"/>
          <w:b w:val="false"/>
          <w:i w:val="false"/>
          <w:caps w:val="false"/>
          <w:smallCaps w:val="false"/>
          <w:sz w:val="20"/>
        </w:rPr>
        <w:t>85 (the “February Loan Fee”) was fully earned as of the date of the February Note and was due and payable in full in cash on March 1, 2024. The Company paid the February Principal Amount and the February Loan Fee on March 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w:t>
      </w:r>
      <w:bookmarkStart w:id="679" w:name="xdx_907_eus-gaap--StockIssuedDuringPerio"/>
      <w:bookmarkEnd w:id="679"/>
      <w:r>
        <w:rPr>
          <w:rFonts w:ascii="Times New Roman;Times;Serif" w:hAnsi="Times New Roman;Times;Serif"/>
          <w:b w:val="false"/>
          <w:i w:val="false"/>
          <w:caps w:val="false"/>
          <w:smallCaps w:val="false"/>
          <w:sz w:val="20"/>
        </w:rPr>
        <w:t>1,532 for the Chief Executive Officer, $</w:t>
      </w:r>
      <w:bookmarkStart w:id="680" w:name="xdx_90F_eus-gaap--StockIssuedDuringPerio"/>
      <w:bookmarkEnd w:id="680"/>
      <w:r>
        <w:rPr>
          <w:rFonts w:ascii="Times New Roman;Times;Serif" w:hAnsi="Times New Roman;Times;Serif"/>
          <w:b w:val="false"/>
          <w:i w:val="false"/>
          <w:caps w:val="false"/>
          <w:smallCaps w:val="false"/>
          <w:sz w:val="20"/>
        </w:rPr>
        <w:t>490 for the Chief Revenue Officer and $</w:t>
      </w:r>
      <w:bookmarkStart w:id="681" w:name="xdx_907_eus-gaap--StockIssuedDuringPerio"/>
      <w:bookmarkEnd w:id="681"/>
      <w:r>
        <w:rPr>
          <w:rFonts w:ascii="Times New Roman;Times;Serif" w:hAnsi="Times New Roman;Times;Serif"/>
          <w:b w:val="false"/>
          <w:i w:val="false"/>
          <w:caps w:val="false"/>
          <w:smallCaps w:val="false"/>
          <w:sz w:val="20"/>
        </w:rPr>
        <w:t>236 for the Chief Marketing Officer), subject to approval and such other terms and conditions imposed by the compensation committee of the board of directors.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682" w:name="xdx_80C_ecustom--WarrantLiabilitiesDiscl"/>
      <w:bookmarkEnd w:id="682"/>
      <w:r>
        <w:rPr>
          <w:rFonts w:ascii="Times New Roman;Times;Serif" w:hAnsi="Times New Roman;Times;Serif"/>
          <w:b/>
          <w:i w:val="false"/>
          <w:caps/>
          <w:sz w:val="20"/>
        </w:rPr>
        <w:t xml:space="preserve">Note 10 - </w:t>
      </w:r>
      <w:bookmarkStart w:id="683" w:name="xdx_827_z8LduYnUu0m4"/>
      <w:bookmarkEnd w:id="683"/>
      <w:r>
        <w:rPr>
          <w:rFonts w:ascii="Times New Roman;Times;Serif" w:hAnsi="Times New Roman;Times;Serif"/>
          <w:b/>
          <w:i w:val="false"/>
          <w:caps/>
          <w:sz w:val="20"/>
        </w:rPr>
        <w:t>WARRANTS</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w:t>
      </w:r>
      <w:bookmarkStart w:id="684" w:name="xdx_901_eus-gaap--ClassOfWarrantOrRightE"/>
      <w:bookmarkEnd w:id="684"/>
      <w:r>
        <w:rPr>
          <w:rFonts w:ascii="Times New Roman;Times;Serif" w:hAnsi="Times New Roman;Times;Serif"/>
          <w:b w:val="false"/>
          <w:i w:val="false"/>
          <w:caps w:val="false"/>
          <w:smallCaps w:val="false"/>
          <w:sz w:val="20"/>
        </w:rPr>
        <w:t>103.50 per share. No fractional shares will be issued upon exercise of the Public Warrants. The Company may elect to redeem the Public Warrants subject to certain conditions, in whole and not in part, at a price of $</w:t>
      </w:r>
      <w:bookmarkStart w:id="685" w:name="xdx_907_ecustom--ClassOfWarrantOrRightRe"/>
      <w:bookmarkEnd w:id="685"/>
      <w:r>
        <w:rPr>
          <w:rFonts w:ascii="Times New Roman;Times;Serif" w:hAnsi="Times New Roman;Times;Serif"/>
          <w:b w:val="false"/>
          <w:i w:val="false"/>
          <w:caps w:val="false"/>
          <w:smallCaps w:val="false"/>
          <w:sz w:val="20"/>
        </w:rPr>
        <w:t>0.09 per Public Warrant if (i) 30 days’ prior written notice of redemption is provided to the holders, and (ii) the last reported sale price of the Company’s common stock equals or exceeds $</w:t>
      </w:r>
      <w:bookmarkStart w:id="686" w:name="xdx_90E_eus-gaap--SharePrice_iI_pid_c202"/>
      <w:bookmarkEnd w:id="686"/>
      <w:r>
        <w:rPr>
          <w:rFonts w:ascii="Times New Roman;Times;Serif" w:hAnsi="Times New Roman;Times;Serif"/>
          <w:b w:val="false"/>
          <w:i w:val="false"/>
          <w:caps w:val="false"/>
          <w:smallCaps w:val="false"/>
          <w:sz w:val="20"/>
        </w:rPr>
        <w:t xml:space="preserve">144.00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w:t>
      </w:r>
      <w:bookmarkStart w:id="687" w:name="xdx_901_eus-gaap--ClassOfWarrantOrRightO"/>
      <w:bookmarkStart w:id="688" w:name="xdx_909_ecustom--ClassOfWarrantOrRightIs"/>
      <w:bookmarkEnd w:id="687"/>
      <w:bookmarkEnd w:id="688"/>
      <w:r>
        <w:rPr>
          <w:rFonts w:ascii="Times New Roman;Times;Serif" w:hAnsi="Times New Roman;Times;Serif"/>
          <w:b w:val="false"/>
          <w:i w:val="false"/>
          <w:caps w:val="false"/>
          <w:smallCaps w:val="false"/>
          <w:sz w:val="20"/>
        </w:rPr>
        <w:t>1,054,167 Public Warrants issued and outstanding. The Public Warrants are not precluded from equity classification, and are accounted for as such on the date of issuance, and each balance sheet date thereafter.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and 2023, there were </w:t>
      </w:r>
      <w:bookmarkStart w:id="689" w:name="xdx_903_eus-gaap--ShareBasedCompensation"/>
      <w:bookmarkStart w:id="690" w:name="xdx_901_eus-gaap--ShareBasedCompensation"/>
      <w:bookmarkStart w:id="691" w:name="xdx_905_eus-gaap--ShareBasedCompensation"/>
      <w:bookmarkStart w:id="692" w:name="xdx_908_eus-gaap--ShareBasedCompensation"/>
      <w:bookmarkEnd w:id="689"/>
      <w:bookmarkEnd w:id="690"/>
      <w:bookmarkEnd w:id="691"/>
      <w:bookmarkEnd w:id="692"/>
      <w:r>
        <w:rPr>
          <w:rFonts w:ascii="Times New Roman;Times;Serif" w:hAnsi="Times New Roman;Times;Serif"/>
          <w:b w:val="false"/>
          <w:i w:val="false"/>
          <w:caps w:val="false"/>
          <w:smallCaps w:val="false"/>
          <w:sz w:val="20"/>
        </w:rPr>
        <w:t>1,046,948 Public Warrants issued and outstanding.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w:t>
      </w:r>
      <w:bookmarkStart w:id="693" w:name="xdx_901_eus-gaap--ProceedsFromWarrantExe"/>
      <w:bookmarkEnd w:id="693"/>
      <w:r>
        <w:rPr>
          <w:rFonts w:ascii="Times New Roman;Times;Serif" w:hAnsi="Times New Roman;Times;Serif"/>
          <w:b w:val="false"/>
          <w:i w:val="false"/>
          <w:caps w:val="false"/>
          <w:smallCaps w:val="false"/>
          <w:sz w:val="20"/>
        </w:rPr>
        <w:t>no public warrants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received proceeds from public warrant exercises of $</w:t>
      </w:r>
      <w:bookmarkStart w:id="694" w:name="xdx_90F_eus-gaap--ProceedsFromWarrantExe"/>
      <w:bookmarkEnd w:id="694"/>
      <w:r>
        <w:rPr>
          <w:rFonts w:ascii="Times New Roman;Times;Serif" w:hAnsi="Times New Roman;Times;Serif"/>
          <w:b w:val="false"/>
          <w:i w:val="false"/>
          <w:caps w:val="false"/>
          <w:smallCaps w:val="false"/>
          <w:sz w:val="20"/>
        </w:rPr>
        <w:t xml:space="preserve">747 in exchange for </w:t>
      </w:r>
      <w:bookmarkStart w:id="695" w:name="xdx_901_ecustom--StockIssuedDuringPeriod"/>
      <w:bookmarkEnd w:id="695"/>
      <w:r>
        <w:rPr>
          <w:rFonts w:ascii="Times New Roman;Times;Serif" w:hAnsi="Times New Roman;Times;Serif"/>
          <w:b w:val="false"/>
          <w:i w:val="false"/>
          <w:caps w:val="false"/>
          <w:smallCaps w:val="false"/>
          <w:sz w:val="20"/>
        </w:rPr>
        <w:t>7,219 common shares.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(Underwriter and Investor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underwriting agreement as further described in Note 11 of the financial statements, (the “June 2023 Offering”) the Company issued (i) underwriters warrants to purchase up to an aggregate of </w:t>
      </w:r>
      <w:bookmarkStart w:id="696" w:name="xdx_90C_eus-gaap--ClassOfWarrantOrRightN"/>
      <w:bookmarkEnd w:id="696"/>
      <w:r>
        <w:rPr>
          <w:rFonts w:ascii="Times New Roman;Times;Serif" w:hAnsi="Times New Roman;Times;Serif"/>
          <w:b w:val="false"/>
          <w:i w:val="false"/>
          <w:caps w:val="false"/>
          <w:smallCaps w:val="false"/>
          <w:sz w:val="20"/>
        </w:rPr>
        <w:t>63,362 shares of Common Stock (the “Underwriters’ Warrants”) which are exercisable upon issuance and will expire on June 20, 2028. The initial exercise price of the Underwriters’ Warrants is $</w:t>
      </w:r>
      <w:bookmarkStart w:id="697" w:name="xdx_907_eus-gaap--ClassOfWarrantOrRightE"/>
      <w:bookmarkEnd w:id="697"/>
      <w:r>
        <w:rPr>
          <w:rFonts w:ascii="Times New Roman;Times;Serif" w:hAnsi="Times New Roman;Times;Serif"/>
          <w:b w:val="false"/>
          <w:i w:val="false"/>
          <w:caps w:val="false"/>
          <w:smallCaps w:val="false"/>
          <w:sz w:val="20"/>
        </w:rPr>
        <w:t xml:space="preserve">22.50 per share, which equals </w:t>
      </w:r>
      <w:bookmarkStart w:id="698" w:name="xdx_90D_ecustom--ClassOfWarrantOrRightEx"/>
      <w:bookmarkEnd w:id="698"/>
      <w:r>
        <w:rPr>
          <w:rFonts w:ascii="Times New Roman;Times;Serif" w:hAnsi="Times New Roman;Times;Serif"/>
          <w:b w:val="false"/>
          <w:i w:val="false"/>
          <w:caps w:val="false"/>
          <w:smallCaps w:val="false"/>
          <w:sz w:val="20"/>
        </w:rPr>
        <w:t xml:space="preserve">125% of the per share public offering price in the June 2023 Offering and (ii) warrants to purchase up to </w:t>
      </w:r>
      <w:bookmarkStart w:id="699" w:name="xdx_900_eus-gaap--ClassOfWarrantOrRightN"/>
      <w:bookmarkEnd w:id="699"/>
      <w:r>
        <w:rPr>
          <w:rFonts w:ascii="Times New Roman;Times;Serif" w:hAnsi="Times New Roman;Times;Serif"/>
          <w:b w:val="false"/>
          <w:i w:val="false"/>
          <w:caps w:val="false"/>
          <w:smallCaps w:val="false"/>
          <w:sz w:val="20"/>
        </w:rPr>
        <w:t>1,111,111 shares of Common Stock to the investors in the offering together with shares of Common Stock (the “Investor Warrants”), at the combined public offering price of $</w:t>
      </w:r>
      <w:bookmarkStart w:id="700" w:name="xdx_909_eus-gaap--SharesIssuedPricePerSh"/>
      <w:bookmarkEnd w:id="700"/>
      <w:r>
        <w:rPr>
          <w:rFonts w:ascii="Times New Roman;Times;Serif" w:hAnsi="Times New Roman;Times;Serif"/>
          <w:b w:val="false"/>
          <w:i w:val="false"/>
          <w:caps w:val="false"/>
          <w:smallCaps w:val="false"/>
          <w:sz w:val="20"/>
        </w:rPr>
        <w:t>18.00 per share of Common Stock and accompanying Investor Warrant, less underwriting discounts and commissions.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(Underwriter and Investor Warrants)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granted the underwriters a 45-day over-allotment option to purchase up to an additional </w:t>
      </w:r>
      <w:bookmarkStart w:id="701" w:name="xdx_903_eus-gaap--ShareBasedCompensation"/>
      <w:bookmarkEnd w:id="701"/>
      <w:r>
        <w:rPr>
          <w:rFonts w:ascii="Times New Roman;Times;Serif" w:hAnsi="Times New Roman;Times;Serif"/>
          <w:b w:val="false"/>
          <w:i w:val="false"/>
          <w:caps w:val="false"/>
          <w:smallCaps w:val="false"/>
          <w:sz w:val="20"/>
        </w:rPr>
        <w:t xml:space="preserve">166,667 shares of Common Stock and/or Investor Warrants to purchase up to </w:t>
      </w:r>
      <w:bookmarkStart w:id="702" w:name="xdx_90B_eus-gaap--ClassOfWarrantOrRightN"/>
      <w:bookmarkEnd w:id="702"/>
      <w:r>
        <w:rPr>
          <w:rFonts w:ascii="Times New Roman;Times;Serif" w:hAnsi="Times New Roman;Times;Serif"/>
          <w:b w:val="false"/>
          <w:i w:val="false"/>
          <w:caps w:val="false"/>
          <w:smallCaps w:val="false"/>
          <w:sz w:val="20"/>
        </w:rPr>
        <w:t xml:space="preserve">166,667 shares of Common Stock at the public offering price per security, less underwriting discounts and commissions. The underwriters exercised their over-allotment option to purchase an additional </w:t>
      </w:r>
      <w:bookmarkStart w:id="703" w:name="xdx_906_eus-gaap--ShareBasedCompensation"/>
      <w:bookmarkEnd w:id="703"/>
      <w:r>
        <w:rPr>
          <w:rFonts w:ascii="Times New Roman;Times;Serif" w:hAnsi="Times New Roman;Times;Serif"/>
          <w:b w:val="false"/>
          <w:i w:val="false"/>
          <w:caps w:val="false"/>
          <w:smallCaps w:val="false"/>
          <w:sz w:val="20"/>
        </w:rPr>
        <w:t xml:space="preserve">156,112 shares of Common Stock and Investor Warrants to purchase up to </w:t>
      </w:r>
      <w:bookmarkStart w:id="704" w:name="xdx_90A_eus-gaap--ClassOfWarrantOrRightN"/>
      <w:bookmarkEnd w:id="704"/>
      <w:r>
        <w:rPr>
          <w:rFonts w:ascii="Times New Roman;Times;Serif" w:hAnsi="Times New Roman;Times;Serif"/>
          <w:b w:val="false"/>
          <w:i w:val="false"/>
          <w:caps w:val="false"/>
          <w:smallCaps w:val="false"/>
          <w:sz w:val="20"/>
        </w:rPr>
        <w:t>156,112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705" w:name="xdx_89E_ecustom--ScheduleofUnderwriterWa"/>
      <w:bookmarkEnd w:id="705"/>
      <w:r>
        <w:rPr>
          <w:rFonts w:ascii="Times New Roman;Times;Serif" w:hAnsi="Times New Roman;Times;Serif"/>
          <w:b w:val="false"/>
          <w:i w:val="false"/>
          <w:caps w:val="false"/>
          <w:smallCaps w:val="false"/>
          <w:sz w:val="20"/>
        </w:rPr>
        <w:t>Underwriters’ Warrants:</w:t>
      </w:r>
    </w:p>
    <w:p>
      <w:pPr>
        <w:pStyle w:val="TextBody"/>
        <w:bidi w:val="0"/>
        <w:spacing w:before="0" w:after="0"/>
        <w:ind w:left="10" w:right="0" w:hanging="10"/>
        <w:jc w:val="both"/>
        <w:rPr>
          <w:caps w:val="false"/>
          <w:smallCaps w:val="false"/>
        </w:rPr>
      </w:pPr>
      <w:r>
        <w:rPr>
          <w:caps w:val="false"/>
          <w:smallCaps w:val="false"/>
        </w:rPr>
        <w:t> </w:t>
      </w:r>
      <w:bookmarkStart w:id="706" w:name="xdx_8BF_za26tVUIxZN3"/>
      <w:bookmarkEnd w:id="706"/>
      <w:r>
        <w:rPr>
          <w:rFonts w:ascii="Times New Roman;Times;Serif" w:hAnsi="Times New Roman;Times;Serif"/>
          <w:b w:val="false"/>
          <w:i w:val="false"/>
          <w:caps w:val="false"/>
          <w:smallCaps w:val="false"/>
          <w:sz w:val="20"/>
        </w:rPr>
        <w:t>SCHEDULE OF UNDERWRITER WARRANTS</w:t>
      </w:r>
    </w:p>
    <w:tbl>
      <w:tblPr>
        <w:tblW w:w="8034" w:type="dxa"/>
        <w:jc w:val="left"/>
        <w:tblInd w:w="0" w:type="dxa"/>
        <w:tblLayout w:type="fixed"/>
        <w:tblCellMar>
          <w:top w:w="0" w:type="dxa"/>
          <w:left w:w="0" w:type="dxa"/>
          <w:bottom w:w="0" w:type="dxa"/>
          <w:right w:w="0" w:type="dxa"/>
        </w:tblCellMar>
      </w:tblPr>
      <w:tblGrid>
        <w:gridCol w:w="5480"/>
        <w:gridCol w:w="60"/>
        <w:gridCol w:w="195"/>
        <w:gridCol w:w="2224"/>
        <w:gridCol w:w="75"/>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07" w:name="xdx_4B4_us-gaap--StatementClassOfStockAx"/>
            <w:bookmarkEnd w:id="707"/>
          </w:p>
        </w:tc>
        <w:tc>
          <w:tcPr>
            <w:tcW w:w="2419" w:type="dxa"/>
            <w:gridSpan w:val="2"/>
            <w:tcBorders>
              <w:bottom w:val="single" w:sz="8"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ind w:left="0" w:right="0" w:hanging="10"/>
              <w:jc w:val="left"/>
              <w:rPr/>
            </w:pPr>
            <w:r>
              <w:rPr/>
              <w:t> </w:t>
            </w:r>
            <w:bookmarkStart w:id="708" w:name="xdx_434_c20230101__20231231_eus-gaap--Cl"/>
            <w:bookmarkEnd w:id="708"/>
          </w:p>
        </w:tc>
      </w:tr>
      <w:tr>
        <w:trPr/>
        <w:tc>
          <w:tcPr>
            <w:tcW w:w="5480" w:type="dxa"/>
            <w:tcBorders/>
            <w:shd w:fill="CCEEFF" w:val="clear"/>
            <w:vAlign w:val="center"/>
          </w:tcPr>
          <w:p>
            <w:pPr>
              <w:pStyle w:val="TableContents"/>
              <w:bidi w:val="0"/>
              <w:spacing w:before="0" w:after="283"/>
              <w:jc w:val="both"/>
              <w:rPr/>
            </w:pPr>
            <w:r>
              <w:rPr/>
              <w:t>Underwriters’ Warrants Outstanding, January 1, 2023</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0"/>
              <w:jc w:val="left"/>
              <w:rPr/>
            </w:pPr>
            <w:r>
              <w:rPr/>
              <w:t> </w:t>
            </w:r>
            <w:bookmarkStart w:id="709" w:name="xdx_40E_ecustom--ClassOfWarrantOrRightIs"/>
            <w:bookmarkEnd w:id="709"/>
          </w:p>
        </w:tc>
      </w:tr>
      <w:tr>
        <w:trPr/>
        <w:tc>
          <w:tcPr>
            <w:tcW w:w="5480" w:type="dxa"/>
            <w:tcBorders/>
            <w:shd w:fill="FFFFFF" w:val="clear"/>
            <w:vAlign w:val="center"/>
          </w:tcPr>
          <w:p>
            <w:pPr>
              <w:pStyle w:val="TableContents"/>
              <w:bidi w:val="0"/>
              <w:spacing w:before="0" w:after="283"/>
              <w:jc w:val="both"/>
              <w:rPr/>
            </w:pPr>
            <w:r>
              <w:rPr/>
              <w:t>Underwriters’ Warrants issued</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224" w:type="dxa"/>
            <w:tcBorders/>
            <w:shd w:fill="FFFFFF" w:val="clear"/>
            <w:vAlign w:val="center"/>
          </w:tcPr>
          <w:p>
            <w:pPr>
              <w:pStyle w:val="TableContents"/>
              <w:bidi w:val="0"/>
              <w:spacing w:before="0" w:after="283"/>
              <w:jc w:val="right"/>
              <w:rPr/>
            </w:pPr>
            <w:r>
              <w:rPr/>
              <w:t>63,362</w:t>
            </w:r>
          </w:p>
        </w:tc>
        <w:tc>
          <w:tcPr>
            <w:tcW w:w="75" w:type="dxa"/>
            <w:tcBorders/>
            <w:shd w:fill="FFFFFF" w:val="clear"/>
            <w:vAlign w:val="center"/>
          </w:tcPr>
          <w:p>
            <w:pPr>
              <w:pStyle w:val="TableContents"/>
              <w:bidi w:val="0"/>
              <w:spacing w:before="0" w:after="283"/>
              <w:ind w:left="0" w:right="0" w:hanging="10"/>
              <w:jc w:val="left"/>
              <w:rPr/>
            </w:pPr>
            <w:r>
              <w:rPr/>
              <w:t> </w:t>
            </w:r>
            <w:bookmarkStart w:id="710" w:name="xdx_437_c20240101__20241231_eus-gaap--Cl"/>
            <w:bookmarkEnd w:id="710"/>
          </w:p>
        </w:tc>
      </w:tr>
      <w:tr>
        <w:trPr/>
        <w:tc>
          <w:tcPr>
            <w:tcW w:w="5480" w:type="dxa"/>
            <w:tcBorders/>
            <w:shd w:fill="CCEEFF" w:val="clear"/>
            <w:vAlign w:val="center"/>
          </w:tcPr>
          <w:p>
            <w:pPr>
              <w:pStyle w:val="TableContents"/>
              <w:bidi w:val="0"/>
              <w:spacing w:before="0" w:after="283"/>
              <w:jc w:val="both"/>
              <w:rPr/>
            </w:pPr>
            <w:r>
              <w:rPr/>
              <w:t>Underwriters’ Warrants Outstanding, December 31, 2023</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pPr>
            <w:r>
              <w:rPr/>
              <w:t>63,362</w:t>
            </w:r>
          </w:p>
        </w:tc>
        <w:tc>
          <w:tcPr>
            <w:tcW w:w="75" w:type="dxa"/>
            <w:tcBorders/>
            <w:shd w:fill="CCEEFF" w:val="clear"/>
            <w:vAlign w:val="center"/>
          </w:tcPr>
          <w:p>
            <w:pPr>
              <w:pStyle w:val="TableContents"/>
              <w:bidi w:val="0"/>
              <w:spacing w:before="0" w:after="283"/>
              <w:ind w:left="0" w:right="0" w:hanging="10"/>
              <w:jc w:val="left"/>
              <w:rPr/>
            </w:pPr>
            <w:r>
              <w:rPr/>
              <w:t> </w:t>
            </w:r>
            <w:bookmarkStart w:id="711" w:name="xdx_43D_c20240101__20241231_eus-gaap--Cl"/>
            <w:bookmarkEnd w:id="711"/>
          </w:p>
        </w:tc>
      </w:tr>
      <w:tr>
        <w:trPr/>
        <w:tc>
          <w:tcPr>
            <w:tcW w:w="5480" w:type="dxa"/>
            <w:tcBorders/>
            <w:shd w:fill="CCEEFF" w:val="clear"/>
            <w:vAlign w:val="center"/>
          </w:tcPr>
          <w:p>
            <w:pPr>
              <w:pStyle w:val="TableContents"/>
              <w:bidi w:val="0"/>
              <w:spacing w:before="0" w:after="283"/>
              <w:jc w:val="both"/>
              <w:rPr/>
            </w:pPr>
            <w:r>
              <w:rPr/>
              <w:t>Underwriters’ Warrants Outstanding, Beginning</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pPr>
            <w:r>
              <w:rPr/>
              <w:t>63,362</w:t>
            </w:r>
          </w:p>
        </w:tc>
        <w:tc>
          <w:tcPr>
            <w:tcW w:w="75" w:type="dxa"/>
            <w:tcBorders/>
            <w:shd w:fill="CCEEFF" w:val="clear"/>
            <w:vAlign w:val="center"/>
          </w:tcPr>
          <w:p>
            <w:pPr>
              <w:pStyle w:val="TableContents"/>
              <w:bidi w:val="0"/>
              <w:spacing w:before="0" w:after="283"/>
              <w:ind w:left="0" w:right="0" w:hanging="10"/>
              <w:jc w:val="left"/>
              <w:rPr/>
            </w:pPr>
            <w:r>
              <w:rPr/>
              <w:t> </w:t>
            </w:r>
            <w:bookmarkStart w:id="712" w:name="xdx_40B_ecustom--ClassOfWarrantOrRightIs"/>
            <w:bookmarkEnd w:id="712"/>
          </w:p>
        </w:tc>
      </w:tr>
      <w:tr>
        <w:trPr/>
        <w:tc>
          <w:tcPr>
            <w:tcW w:w="5480" w:type="dxa"/>
            <w:tcBorders/>
            <w:shd w:fill="FFFFFF" w:val="clear"/>
            <w:vAlign w:val="center"/>
          </w:tcPr>
          <w:p>
            <w:pPr>
              <w:pStyle w:val="TableContents"/>
              <w:bidi w:val="0"/>
              <w:spacing w:before="0" w:after="283"/>
              <w:jc w:val="both"/>
              <w:rPr/>
            </w:pPr>
            <w:r>
              <w:rPr/>
              <w:t>Underwriters’ Warrants issued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
              <w:jc w:val="left"/>
              <w:rPr/>
            </w:pPr>
            <w:r>
              <w:rPr/>
              <w:t> </w:t>
            </w:r>
            <w:bookmarkStart w:id="713" w:name="xdx_43B_c20240101__20241231_eus-gaap--Cl"/>
            <w:bookmarkEnd w:id="713"/>
          </w:p>
        </w:tc>
      </w:tr>
      <w:tr>
        <w:trPr/>
        <w:tc>
          <w:tcPr>
            <w:tcW w:w="5480" w:type="dxa"/>
            <w:tcBorders/>
            <w:shd w:fill="CCEEFF" w:val="clear"/>
            <w:vAlign w:val="center"/>
          </w:tcPr>
          <w:p>
            <w:pPr>
              <w:pStyle w:val="TableContents"/>
              <w:bidi w:val="0"/>
              <w:spacing w:before="0" w:after="283"/>
              <w:jc w:val="both"/>
              <w:rPr/>
            </w:pPr>
            <w:r>
              <w:rPr/>
              <w:t>Underwriters’ Warrants Outstanding,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double" w:sz="6" w:space="0" w:color="000000"/>
            </w:tcBorders>
            <w:shd w:fill="CCEEFF" w:val="clear"/>
            <w:tcMar>
              <w:bottom w:w="28" w:type="dxa"/>
            </w:tcMar>
            <w:vAlign w:val="center"/>
          </w:tcPr>
          <w:p>
            <w:pPr>
              <w:pStyle w:val="TableContents"/>
              <w:bidi w:val="0"/>
              <w:spacing w:before="0" w:after="283"/>
              <w:jc w:val="right"/>
              <w:rPr/>
            </w:pPr>
            <w:r>
              <w:rPr/>
              <w:t>63,362</w:t>
            </w:r>
          </w:p>
        </w:tc>
        <w:tc>
          <w:tcPr>
            <w:tcW w:w="75" w:type="dxa"/>
            <w:tcBorders/>
            <w:shd w:fill="CCEEFF" w:val="clear"/>
            <w:vAlign w:val="center"/>
          </w:tcPr>
          <w:p>
            <w:pPr>
              <w:pStyle w:val="TableContents"/>
              <w:bidi w:val="0"/>
              <w:spacing w:before="0" w:after="283"/>
              <w:ind w:left="0" w:right="0" w:hanging="10"/>
              <w:jc w:val="left"/>
              <w:rPr/>
            </w:pPr>
            <w:r>
              <w:rPr/>
              <w:t> </w:t>
            </w:r>
            <w:bookmarkStart w:id="714" w:name="xdx_432_c20240101__20241231_eus-gaap--Cl"/>
            <w:bookmarkEnd w:id="714"/>
          </w:p>
        </w:tc>
      </w:tr>
      <w:tr>
        <w:trPr/>
        <w:tc>
          <w:tcPr>
            <w:tcW w:w="5480" w:type="dxa"/>
            <w:tcBorders/>
            <w:shd w:fill="CCEEFF" w:val="clear"/>
            <w:vAlign w:val="center"/>
          </w:tcPr>
          <w:p>
            <w:pPr>
              <w:pStyle w:val="TableContents"/>
              <w:bidi w:val="0"/>
              <w:spacing w:before="0" w:after="283"/>
              <w:jc w:val="both"/>
              <w:rPr/>
            </w:pPr>
            <w:r>
              <w:rPr/>
              <w:t>Underwriters’ Warrants Outstanding, Ending</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double" w:sz="6" w:space="0" w:color="000000"/>
            </w:tcBorders>
            <w:shd w:fill="CCEEFF" w:val="clear"/>
            <w:tcMar>
              <w:bottom w:w="28" w:type="dxa"/>
            </w:tcMar>
            <w:vAlign w:val="center"/>
          </w:tcPr>
          <w:p>
            <w:pPr>
              <w:pStyle w:val="TableContents"/>
              <w:bidi w:val="0"/>
              <w:spacing w:before="0" w:after="283"/>
              <w:jc w:val="right"/>
              <w:rPr/>
            </w:pPr>
            <w:r>
              <w:rPr/>
              <w:t>63,362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715" w:name="xdx_8AA_zFezSU1OA895"/>
      <w:bookmarkEnd w:id="715"/>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Warrants classified as Liability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w:t>
      </w:r>
      <w:bookmarkStart w:id="716" w:name="xdx_90E_eus-gaap--ClassOfWarrantOrRightN"/>
      <w:bookmarkEnd w:id="716"/>
      <w:r>
        <w:rPr>
          <w:rFonts w:ascii="Times New Roman;Times;Serif" w:hAnsi="Times New Roman;Times;Serif"/>
          <w:b w:val="false"/>
          <w:i w:val="false"/>
          <w:caps w:val="false"/>
          <w:smallCaps w:val="false"/>
          <w:sz w:val="20"/>
        </w:rPr>
        <w:t xml:space="preserve">347,386 warrants on a cashless basis, with the Company agreeing to issue </w:t>
      </w:r>
      <w:bookmarkStart w:id="717" w:name="xdx_90C_eus-gaap--StockIssuedDuringPerio"/>
      <w:bookmarkEnd w:id="717"/>
      <w:r>
        <w:rPr>
          <w:rFonts w:ascii="Times New Roman;Times;Serif" w:hAnsi="Times New Roman;Times;Serif"/>
          <w:b w:val="false"/>
          <w:i w:val="false"/>
          <w:caps w:val="false"/>
          <w:smallCaps w:val="false"/>
          <w:sz w:val="20"/>
        </w:rPr>
        <w:t xml:space="preserve">122,222 shares of Common Stock in connection with such exercise. There were </w:t>
      </w:r>
      <w:bookmarkStart w:id="718" w:name="xdx_903_eus-gaap--ClassOfWarrantOrRightO"/>
      <w:bookmarkStart w:id="719" w:name="xdx_900_eus-gaap--ClassOfWarrantOrRightO"/>
      <w:bookmarkEnd w:id="718"/>
      <w:bookmarkEnd w:id="719"/>
      <w:r>
        <w:rPr>
          <w:rFonts w:ascii="Times New Roman;Times;Serif" w:hAnsi="Times New Roman;Times;Serif"/>
          <w:b w:val="false"/>
          <w:i w:val="false"/>
          <w:caps w:val="false"/>
          <w:smallCaps w:val="false"/>
          <w:sz w:val="20"/>
        </w:rPr>
        <w:t>166,821 private warrants outstanding as of December 31, 2024 and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10" w:right="0" w:hanging="10"/>
        <w:jc w:val="center"/>
        <w:rPr>
          <w:caps/>
        </w:rPr>
      </w:pPr>
      <w:r>
        <w:rPr>
          <w:caps/>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Private Placement Warrants (Continued)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on October 7, 2022, and as a required term and condition thereof, </w:t>
      </w:r>
      <w:bookmarkStart w:id="720" w:name="xdx_904_ecustom--ClassOfWarrantOrRightEx"/>
      <w:bookmarkEnd w:id="720"/>
      <w:r>
        <w:rPr>
          <w:rFonts w:ascii="Times New Roman;Times;Serif" w:hAnsi="Times New Roman;Times;Serif"/>
          <w:b w:val="false"/>
          <w:i w:val="false"/>
          <w:caps w:val="false"/>
          <w:smallCaps w:val="false"/>
          <w:sz w:val="20"/>
        </w:rPr>
        <w:t xml:space="preserve">the Company issued (i) the penny warrants to the Term Loan Lenders exercisable to purchase an aggregate of </w:t>
      </w:r>
      <w:bookmarkStart w:id="721" w:name="xdx_907_eus-gaap--ClassOfWarrantOrRightN"/>
      <w:bookmarkEnd w:id="721"/>
      <w:r>
        <w:rPr>
          <w:rFonts w:ascii="Times New Roman;Times;Serif" w:hAnsi="Times New Roman;Times;Serif"/>
          <w:b w:val="false"/>
          <w:i w:val="false"/>
          <w:caps w:val="false"/>
          <w:smallCaps w:val="false"/>
          <w:sz w:val="20"/>
        </w:rPr>
        <w:t>288,118 shares of Common Stock (the “Original Penny Warrants”) and (ii) the $</w:t>
      </w:r>
      <w:bookmarkStart w:id="722" w:name="xdx_903_eus-gaap--ClassOfWarrantOrRightE"/>
      <w:bookmarkEnd w:id="722"/>
      <w:r>
        <w:rPr>
          <w:rFonts w:ascii="Times New Roman;Times;Serif" w:hAnsi="Times New Roman;Times;Serif"/>
          <w:b w:val="false"/>
          <w:i w:val="false"/>
          <w:caps w:val="false"/>
          <w:smallCaps w:val="false"/>
          <w:sz w:val="20"/>
        </w:rPr>
        <w:t xml:space="preserve">90.00 warrants to issue warrants to the Term Loan Lenders exercisable to purchase an aggregate of </w:t>
      </w:r>
      <w:bookmarkStart w:id="723" w:name="xdx_90E_eus-gaap--ClassOfWarrantOrRightN"/>
      <w:bookmarkEnd w:id="723"/>
      <w:r>
        <w:rPr>
          <w:rFonts w:ascii="Times New Roman;Times;Serif" w:hAnsi="Times New Roman;Times;Serif"/>
          <w:b w:val="false"/>
          <w:i w:val="false"/>
          <w:caps w:val="false"/>
          <w:smallCaps w:val="false"/>
          <w:sz w:val="20"/>
        </w:rPr>
        <w:t>177,778 shares of Common Stock at $</w:t>
      </w:r>
      <w:bookmarkStart w:id="724" w:name="xdx_908_eus-gaap--SharePrice_iI_pid_c202"/>
      <w:bookmarkEnd w:id="724"/>
      <w:r>
        <w:rPr>
          <w:rFonts w:ascii="Times New Roman;Times;Serif" w:hAnsi="Times New Roman;Times;Serif"/>
          <w:b w:val="false"/>
          <w:i w:val="false"/>
          <w:caps w:val="false"/>
          <w:smallCaps w:val="false"/>
          <w:sz w:val="20"/>
        </w:rPr>
        <w:t>90 per share (the “$10 Warrants” and, together with the Original Penny Warrants, the “Term Loan Warrants”). The $</w:t>
      </w:r>
      <w:bookmarkStart w:id="725" w:name="xdx_906_eus-gaap--SharePrice_iI_pid_c202"/>
      <w:bookmarkEnd w:id="725"/>
      <w:r>
        <w:rPr>
          <w:rFonts w:ascii="Times New Roman;Times;Serif" w:hAnsi="Times New Roman;Times;Serif"/>
          <w:b w:val="false"/>
          <w:i w:val="false"/>
          <w:caps w:val="false"/>
          <w:smallCaps w:val="false"/>
          <w:sz w:val="20"/>
        </w:rPr>
        <w:t xml:space="preserve">10 Warrants were exercised on a cashless basis on October 10, 2022, with the Company issuing </w:t>
      </w:r>
      <w:bookmarkStart w:id="726" w:name="xdx_900_eus-gaap--ClassOfWarrantOrRightN"/>
      <w:bookmarkEnd w:id="726"/>
      <w:r>
        <w:rPr>
          <w:rFonts w:ascii="Times New Roman;Times;Serif" w:hAnsi="Times New Roman;Times;Serif"/>
          <w:b w:val="false"/>
          <w:i w:val="false"/>
          <w:caps w:val="false"/>
          <w:smallCaps w:val="false"/>
          <w:sz w:val="20"/>
        </w:rPr>
        <w:t xml:space="preserve">50,794 shares of Common Stock in connection with such exercise. During the year ended December 31, 2023, Original Penny Warrant holders exercised </w:t>
      </w:r>
      <w:bookmarkStart w:id="727" w:name="xdx_90B_eus-gaap--ClassOfWarrantOrRightN"/>
      <w:bookmarkEnd w:id="727"/>
      <w:r>
        <w:rPr>
          <w:rFonts w:ascii="Times New Roman;Times;Serif" w:hAnsi="Times New Roman;Times;Serif"/>
          <w:b w:val="false"/>
          <w:i w:val="false"/>
          <w:caps w:val="false"/>
          <w:smallCaps w:val="false"/>
          <w:sz w:val="20"/>
        </w:rPr>
        <w:t xml:space="preserve">222,223 warrants on a cashless basis, with the Company agreeing to issue </w:t>
      </w:r>
      <w:bookmarkStart w:id="728" w:name="xdx_903_eus-gaap--ClassOfWarrantOrRightN"/>
      <w:bookmarkEnd w:id="728"/>
      <w:r>
        <w:rPr>
          <w:rFonts w:ascii="Times New Roman;Times;Serif" w:hAnsi="Times New Roman;Times;Serif"/>
          <w:b w:val="false"/>
          <w:i w:val="false"/>
          <w:caps w:val="false"/>
          <w:smallCaps w:val="false"/>
          <w:sz w:val="20"/>
        </w:rPr>
        <w:t xml:space="preserve">221,814 shares of Common Stock in connection with such exercise. During the year ended December 31, 2023 the Company issued additional Original Penny Warrants to purchase </w:t>
      </w:r>
      <w:bookmarkStart w:id="729" w:name="xdx_90B_eus-gaap--ClassOfWarrantOrRightN"/>
      <w:bookmarkEnd w:id="729"/>
      <w:r>
        <w:rPr>
          <w:rFonts w:ascii="Times New Roman;Times;Serif" w:hAnsi="Times New Roman;Times;Serif"/>
          <w:b w:val="false"/>
          <w:i w:val="false"/>
          <w:caps w:val="false"/>
          <w:smallCaps w:val="false"/>
          <w:sz w:val="20"/>
        </w:rPr>
        <w:t xml:space="preserve">532 shares of Common Stock to the Term Loan Lenders in accordance with the anti-dilution provisions of the original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w:t>
      </w:r>
      <w:bookmarkStart w:id="730" w:name="xdx_903_eus-gaap--ClassOfWarrantOrRightN"/>
      <w:bookmarkEnd w:id="730"/>
      <w:r>
        <w:rPr>
          <w:rFonts w:ascii="Times New Roman;Times;Serif" w:hAnsi="Times New Roman;Times;Serif"/>
          <w:b w:val="false"/>
          <w:i w:val="false"/>
          <w:caps w:val="false"/>
          <w:smallCaps w:val="false"/>
          <w:sz w:val="20"/>
        </w:rPr>
        <w:t>142,964 shares of its Common Stock.</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the May 2024 Waiver in regards to its compliance with the Tests as of the last day of the quarter ended March 31, 2024. The May 2024 Waiver provided for a one-time issuance of the May 2024 Penny Warrants to purchase up to </w:t>
      </w:r>
      <w:bookmarkStart w:id="731" w:name="xdx_903_eus-gaap--ClassOfWarrantOrRightN"/>
      <w:bookmarkEnd w:id="731"/>
      <w:r>
        <w:rPr>
          <w:rFonts w:ascii="Times New Roman;Times;Serif" w:hAnsi="Times New Roman;Times;Serif"/>
          <w:b w:val="false"/>
          <w:i w:val="false"/>
          <w:caps w:val="false"/>
          <w:smallCaps w:val="false"/>
          <w:sz w:val="20"/>
        </w:rPr>
        <w:t>283,334 shares of the Company’s common stock, at an exercise price of $</w:t>
      </w:r>
      <w:bookmarkStart w:id="732" w:name="xdx_903_eus-gaap--ClassOfWarrantOrRightE"/>
      <w:bookmarkEnd w:id="732"/>
      <w:r>
        <w:rPr>
          <w:rFonts w:ascii="Times New Roman;Times;Serif" w:hAnsi="Times New Roman;Times;Serif"/>
          <w:b w:val="false"/>
          <w:i w:val="false"/>
          <w:caps w:val="false"/>
          <w:smallCaps w:val="false"/>
          <w:sz w:val="20"/>
        </w:rPr>
        <w:t xml:space="preserve">0.09 per share, in connection with the Term Loan Lenders’ agreement to waive the Tests under the Term Loan for the quarter ended March 31, 2024. The May 2024 Penny Warrants were immediately exercisable upon issuance and will expire </w:t>
      </w:r>
      <w:bookmarkStart w:id="733" w:name="xdx_90A_eus-gaap--WarrantsAndRightsOutst"/>
      <w:bookmarkEnd w:id="733"/>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w:t>
      </w:r>
      <w:bookmarkStart w:id="734" w:name="xdx_90F_eus-gaap--ClassOfWarrantOrRightN"/>
      <w:bookmarkEnd w:id="734"/>
      <w:r>
        <w:rPr>
          <w:rFonts w:ascii="Times New Roman;Times;Serif" w:hAnsi="Times New Roman;Times;Serif"/>
          <w:b w:val="false"/>
          <w:i w:val="false"/>
          <w:caps w:val="false"/>
          <w:smallCaps w:val="false"/>
          <w:sz w:val="20"/>
        </w:rPr>
        <w:t>233,334 shares of the Company’s common stock, at an exercise price of $</w:t>
      </w:r>
      <w:bookmarkStart w:id="735" w:name="xdx_90C_eus-gaap--ClassOfWarrantOrRightE"/>
      <w:bookmarkEnd w:id="735"/>
      <w:r>
        <w:rPr>
          <w:rFonts w:ascii="Times New Roman;Times;Serif" w:hAnsi="Times New Roman;Times;Serif"/>
          <w:b w:val="false"/>
          <w:i w:val="false"/>
          <w:caps w:val="false"/>
          <w:smallCaps w:val="false"/>
          <w:sz w:val="20"/>
        </w:rPr>
        <w:t xml:space="preserve">0.09 per share, in connection with the Term Loan Lenders’ agreement to waive the Tests under the Term Loan for the quarter ended June 30, 2024 and certain amendments to the Term Loan. The June 2024 Penny Warrants are immediately exercisable upon issuance and will expire </w:t>
      </w:r>
      <w:bookmarkStart w:id="736" w:name="xdx_900_eus-gaap--WarrantsAndRightsOutst"/>
      <w:bookmarkEnd w:id="736"/>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w:t>
      </w:r>
      <w:bookmarkStart w:id="737" w:name="xdx_90C_eus-gaap--ClassOfWarrantOrRightN"/>
      <w:bookmarkEnd w:id="737"/>
      <w:r>
        <w:rPr>
          <w:rFonts w:ascii="Times New Roman;Times;Serif" w:hAnsi="Times New Roman;Times;Serif"/>
          <w:b w:val="false"/>
          <w:i w:val="false"/>
          <w:caps w:val="false"/>
          <w:smallCaps w:val="false"/>
          <w:sz w:val="20"/>
        </w:rPr>
        <w:t>333,334 shares of the Company’s Common Stock, at an exercise price of $</w:t>
      </w:r>
      <w:bookmarkStart w:id="738" w:name="xdx_90E_eus-gaap--ClassOfWarrantOrRightE"/>
      <w:bookmarkEnd w:id="738"/>
      <w:r>
        <w:rPr>
          <w:rFonts w:ascii="Times New Roman;Times;Serif" w:hAnsi="Times New Roman;Times;Serif"/>
          <w:b w:val="false"/>
          <w:i w:val="false"/>
          <w:caps w:val="false"/>
          <w:smallCaps w:val="false"/>
          <w:sz w:val="20"/>
        </w:rPr>
        <w:t xml:space="preserve">0.09 per share, in connection with the Term Loan Lenders agreement to waive the Tests under the Term Loan for the quarter ended September 30, 2024 and to amend the Term Loan. The September 2024 Penny Warrants are immediately exercisable upon issuance and will expire </w:t>
      </w:r>
      <w:bookmarkStart w:id="739" w:name="xdx_905_eus-gaap--WarrantsAndRightsOutst"/>
      <w:bookmarkEnd w:id="739"/>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2024, the Company entered into the Fourth Amendment to the Term Loan with the Term Loan Lenders in regards to its compliance with the Tests for the quarter ended December 31, 2024. The Fourth Amendment provided for a one-time issuance the December 2024 Penny Warrants to purchase up to </w:t>
      </w:r>
      <w:bookmarkStart w:id="740" w:name="xdx_90D_eus-gaap--ClassOfWarrantOrRightN"/>
      <w:bookmarkEnd w:id="740"/>
      <w:r>
        <w:rPr>
          <w:rFonts w:ascii="Times New Roman;Times;Serif" w:hAnsi="Times New Roman;Times;Serif"/>
          <w:b w:val="false"/>
          <w:i w:val="false"/>
          <w:caps w:val="false"/>
          <w:smallCaps w:val="false"/>
          <w:sz w:val="20"/>
        </w:rPr>
        <w:t>350,000 shares of the Company’s Common Stock, at an exercise price of $</w:t>
      </w:r>
      <w:bookmarkStart w:id="741" w:name="xdx_904_eus-gaap--ClassOfWarrantOrRightE"/>
      <w:bookmarkEnd w:id="741"/>
      <w:r>
        <w:rPr>
          <w:rFonts w:ascii="Times New Roman;Times;Serif" w:hAnsi="Times New Roman;Times;Serif"/>
          <w:b w:val="false"/>
          <w:i w:val="false"/>
          <w:caps w:val="false"/>
          <w:smallCaps w:val="false"/>
          <w:sz w:val="20"/>
        </w:rPr>
        <w:t xml:space="preserve">0.01 per share, in connection with the Term Loan Lenders agreement to waive the Tests under the Term Loan for the quarter ended December 31, 2024 and to amend the Term Loan. During the year ended December 31, 2024 the Company issued additional Original Penny Warrants to purchase </w:t>
      </w:r>
      <w:bookmarkStart w:id="742" w:name="xdx_904_eus-gaap--ClassOfWarrantOrRightN"/>
      <w:bookmarkEnd w:id="742"/>
      <w:r>
        <w:rPr>
          <w:rFonts w:ascii="Times New Roman;Times;Serif" w:hAnsi="Times New Roman;Times;Serif"/>
          <w:b w:val="false"/>
          <w:i w:val="false"/>
          <w:caps w:val="false"/>
          <w:smallCaps w:val="false"/>
          <w:sz w:val="20"/>
        </w:rPr>
        <w:t>2,754 shares of Common Stock to the Term Loan Lenders in accordance with the anti-dilution provisions of the original penny warrants with respect to certain sales made by the Company under the ChEF Equity Facility. The December 2024 Penny Warrants will be exercisable at such time that the Company obtain the Warrant Issuance Shareholder Approval (as defined below) and will expire ten years from the date of issuance. The May 2024 Penny Warrants, the June 2024 Penny Warrants, the September 2024 Penny Warrants and the December 2024 Penny Warrants were valued utilizing a Black-Scholes model with the following assumptions:</w:t>
      </w:r>
    </w:p>
    <w:p>
      <w:pPr>
        <w:pStyle w:val="TextBody"/>
        <w:bidi w:val="0"/>
        <w:spacing w:before="0" w:after="0"/>
        <w:ind w:left="10" w:right="0" w:hanging="10"/>
        <w:jc w:val="both"/>
        <w:rPr>
          <w:caps w:val="false"/>
          <w:smallCaps w:val="false"/>
        </w:rPr>
      </w:pPr>
      <w:bookmarkStart w:id="743" w:name="xdx_89E_ecustom--ScheduleOfShareBasedPay"/>
      <w:bookmarkEnd w:id="743"/>
      <w:r>
        <w:rPr>
          <w:caps w:val="false"/>
          <w:smallCaps w:val="false"/>
        </w:rPr>
        <w:t> </w:t>
      </w:r>
      <w:bookmarkStart w:id="744" w:name="xdx_861_zHh2ied1g9P"/>
      <w:bookmarkEnd w:id="744"/>
      <w:r>
        <w:rPr>
          <w:rFonts w:ascii="Times New Roman;Times;Serif" w:hAnsi="Times New Roman;Times;Serif"/>
          <w:b w:val="false"/>
          <w:i w:val="false"/>
          <w:caps w:val="false"/>
          <w:smallCaps w:val="false"/>
          <w:sz w:val="20"/>
        </w:rPr>
        <w:t>SCHEDULE OF PENNY WARRANTS</w:t>
      </w:r>
    </w:p>
    <w:tbl>
      <w:tblPr>
        <w:tblW w:w="10205" w:type="dxa"/>
        <w:jc w:val="left"/>
        <w:tblInd w:w="0" w:type="dxa"/>
        <w:tblLayout w:type="fixed"/>
        <w:tblCellMar>
          <w:top w:w="0" w:type="dxa"/>
          <w:left w:w="0" w:type="dxa"/>
          <w:bottom w:w="0" w:type="dxa"/>
          <w:right w:w="0" w:type="dxa"/>
        </w:tblCellMar>
      </w:tblPr>
      <w:tblGrid>
        <w:gridCol w:w="1142"/>
        <w:gridCol w:w="60"/>
        <w:gridCol w:w="300"/>
        <w:gridCol w:w="1489"/>
        <w:gridCol w:w="215"/>
        <w:gridCol w:w="60"/>
        <w:gridCol w:w="300"/>
        <w:gridCol w:w="1489"/>
        <w:gridCol w:w="215"/>
        <w:gridCol w:w="60"/>
        <w:gridCol w:w="529"/>
        <w:gridCol w:w="1669"/>
        <w:gridCol w:w="215"/>
        <w:gridCol w:w="60"/>
        <w:gridCol w:w="522"/>
        <w:gridCol w:w="1646"/>
        <w:gridCol w:w="234"/>
      </w:tblGrid>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pPr>
            <w:r>
              <w:rPr/>
              <w:t>May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pPr>
            <w:r>
              <w:rPr/>
              <w:t>June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2"/>
            <w:tcBorders>
              <w:bottom w:val="single" w:sz="8" w:space="0" w:color="000000"/>
            </w:tcBorders>
            <w:tcMar>
              <w:bottom w:w="28" w:type="dxa"/>
            </w:tcMar>
            <w:vAlign w:val="center"/>
          </w:tcPr>
          <w:p>
            <w:pPr>
              <w:pStyle w:val="TableContents"/>
              <w:bidi w:val="0"/>
              <w:spacing w:before="0" w:after="283"/>
              <w:jc w:val="center"/>
              <w:rPr/>
            </w:pPr>
            <w:r>
              <w:rPr/>
              <w:t>September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8" w:type="dxa"/>
            <w:gridSpan w:val="2"/>
            <w:tcBorders>
              <w:bottom w:val="single" w:sz="8" w:space="0" w:color="000000"/>
            </w:tcBorders>
            <w:tcMar>
              <w:bottom w:w="28" w:type="dxa"/>
            </w:tcMar>
            <w:vAlign w:val="center"/>
          </w:tcPr>
          <w:p>
            <w:pPr>
              <w:pStyle w:val="TableContents"/>
              <w:bidi w:val="0"/>
              <w:spacing w:before="0" w:after="283"/>
              <w:jc w:val="center"/>
              <w:rPr/>
            </w:pPr>
            <w:r>
              <w:rPr/>
              <w:t>December 2024 penny warrants</w:t>
            </w:r>
          </w:p>
        </w:tc>
        <w:tc>
          <w:tcPr>
            <w:tcW w:w="234" w:type="dxa"/>
            <w:tcBorders/>
            <w:vAlign w:val="center"/>
          </w:tcPr>
          <w:p>
            <w:pPr>
              <w:pStyle w:val="TableContents"/>
              <w:bidi w:val="0"/>
              <w:spacing w:before="0" w:after="283"/>
              <w:ind w:left="0" w:right="0" w:hanging="10"/>
              <w:jc w:val="left"/>
              <w:rPr/>
            </w:pPr>
            <w:r>
              <w:rPr/>
              <w:t> </w:t>
            </w:r>
          </w:p>
        </w:tc>
      </w:tr>
      <w:tr>
        <w:trPr/>
        <w:tc>
          <w:tcPr>
            <w:tcW w:w="1142" w:type="dxa"/>
            <w:tcBorders/>
            <w:shd w:fill="CCEEFF" w:val="clear"/>
            <w:vAlign w:val="center"/>
          </w:tcPr>
          <w:p>
            <w:pPr>
              <w:pStyle w:val="TableContents"/>
              <w:bidi w:val="0"/>
              <w:spacing w:before="0" w:after="283"/>
              <w:jc w:val="both"/>
              <w:rPr/>
            </w:pPr>
            <w:r>
              <w:rPr/>
              <w:t>Stock price</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bookmarkStart w:id="745" w:name="xdx_98A_eus-gaap--SharePrice_iI_pid_c202"/>
            <w:bookmarkEnd w:id="745"/>
          </w:p>
        </w:tc>
        <w:tc>
          <w:tcPr>
            <w:tcW w:w="1489" w:type="dxa"/>
            <w:tcBorders/>
            <w:shd w:fill="CCEEFF" w:val="clear"/>
            <w:vAlign w:val="center"/>
          </w:tcPr>
          <w:p>
            <w:pPr>
              <w:pStyle w:val="TableContents"/>
              <w:bidi w:val="0"/>
              <w:spacing w:before="0" w:after="283"/>
              <w:jc w:val="right"/>
              <w:rPr/>
            </w:pPr>
            <w:r>
              <w:rPr/>
              <w:t>10.71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bookmarkStart w:id="746" w:name="xdx_984_eus-gaap--SharePrice_iI_pid_c202"/>
            <w:bookmarkEnd w:id="746"/>
          </w:p>
        </w:tc>
        <w:tc>
          <w:tcPr>
            <w:tcW w:w="1489" w:type="dxa"/>
            <w:tcBorders/>
            <w:shd w:fill="CCEEFF" w:val="clear"/>
            <w:vAlign w:val="center"/>
          </w:tcPr>
          <w:p>
            <w:pPr>
              <w:pStyle w:val="TableContents"/>
              <w:bidi w:val="0"/>
              <w:spacing w:before="0" w:after="283"/>
              <w:jc w:val="right"/>
              <w:rPr/>
            </w:pPr>
            <w:r>
              <w:rPr/>
              <w:t>7.65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w:t>
            </w:r>
            <w:bookmarkStart w:id="747" w:name="xdx_989_eus-gaap--SharePrice_iI_pid_c202"/>
            <w:bookmarkEnd w:id="747"/>
          </w:p>
        </w:tc>
        <w:tc>
          <w:tcPr>
            <w:tcW w:w="1669" w:type="dxa"/>
            <w:tcBorders/>
            <w:shd w:fill="CCEEFF" w:val="clear"/>
            <w:vAlign w:val="center"/>
          </w:tcPr>
          <w:p>
            <w:pPr>
              <w:pStyle w:val="TableContents"/>
              <w:bidi w:val="0"/>
              <w:spacing w:before="0" w:after="283"/>
              <w:jc w:val="right"/>
              <w:rPr/>
            </w:pPr>
            <w:r>
              <w:rPr/>
              <w:t>4.77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w:t>
            </w:r>
            <w:bookmarkStart w:id="748" w:name="xdx_98F_eus-gaap--SharePrice_iI_pid_c202"/>
            <w:bookmarkEnd w:id="748"/>
          </w:p>
        </w:tc>
        <w:tc>
          <w:tcPr>
            <w:tcW w:w="1646" w:type="dxa"/>
            <w:tcBorders/>
            <w:shd w:fill="CCEEFF" w:val="clear"/>
            <w:vAlign w:val="center"/>
          </w:tcPr>
          <w:p>
            <w:pPr>
              <w:pStyle w:val="TableContents"/>
              <w:bidi w:val="0"/>
              <w:spacing w:before="0" w:after="283"/>
              <w:jc w:val="right"/>
              <w:rPr/>
            </w:pPr>
            <w:r>
              <w:rPr/>
              <w:t>2.78</w:t>
            </w:r>
          </w:p>
        </w:tc>
        <w:tc>
          <w:tcPr>
            <w:tcW w:w="234" w:type="dxa"/>
            <w:tcBorders/>
            <w:shd w:fill="CCEEFF" w:val="clear"/>
            <w:vAlign w:val="center"/>
          </w:tcPr>
          <w:p>
            <w:pPr>
              <w:pStyle w:val="TableContents"/>
              <w:bidi w:val="0"/>
              <w:spacing w:before="0" w:after="283"/>
              <w:ind w:left="0" w:right="0" w:hanging="10"/>
              <w:jc w:val="left"/>
              <w:rPr/>
            </w:pPr>
            <w:r>
              <w:rPr/>
              <w:t> </w:t>
            </w:r>
          </w:p>
        </w:tc>
      </w:tr>
      <w:tr>
        <w:trPr/>
        <w:tc>
          <w:tcPr>
            <w:tcW w:w="1142" w:type="dxa"/>
            <w:tcBorders/>
            <w:shd w:fill="FFFFFF" w:val="clear"/>
            <w:vAlign w:val="center"/>
          </w:tcPr>
          <w:p>
            <w:pPr>
              <w:pStyle w:val="TableContents"/>
              <w:bidi w:val="0"/>
              <w:spacing w:before="0" w:after="283"/>
              <w:jc w:val="both"/>
              <w:rPr/>
            </w:pPr>
            <w:r>
              <w:rPr/>
              <w:t>Strike price</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w:t>
            </w:r>
            <w:bookmarkStart w:id="749" w:name="xdx_988_eus-gaap--ShareBasedCompensation"/>
            <w:bookmarkEnd w:id="749"/>
          </w:p>
        </w:tc>
        <w:tc>
          <w:tcPr>
            <w:tcW w:w="1489"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w:t>
            </w:r>
            <w:bookmarkStart w:id="750" w:name="xdx_980_eus-gaap--ShareBasedCompensation"/>
            <w:bookmarkEnd w:id="750"/>
          </w:p>
        </w:tc>
        <w:tc>
          <w:tcPr>
            <w:tcW w:w="1489"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w:t>
            </w:r>
            <w:bookmarkStart w:id="751" w:name="xdx_980_eus-gaap--ShareBasedCompensation"/>
            <w:bookmarkEnd w:id="751"/>
          </w:p>
        </w:tc>
        <w:tc>
          <w:tcPr>
            <w:tcW w:w="1669"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w:t>
            </w:r>
            <w:bookmarkStart w:id="752" w:name="xdx_987_eus-gaap--ShareBasedCompensation"/>
            <w:bookmarkEnd w:id="752"/>
          </w:p>
        </w:tc>
        <w:tc>
          <w:tcPr>
            <w:tcW w:w="1646" w:type="dxa"/>
            <w:tcBorders/>
            <w:shd w:fill="FFFFFF" w:val="clear"/>
            <w:vAlign w:val="center"/>
          </w:tcPr>
          <w:p>
            <w:pPr>
              <w:pStyle w:val="TableContents"/>
              <w:bidi w:val="0"/>
              <w:spacing w:before="0" w:after="283"/>
              <w:jc w:val="right"/>
              <w:rPr/>
            </w:pPr>
            <w:r>
              <w:rPr/>
              <w:t>0.01</w:t>
            </w:r>
          </w:p>
        </w:tc>
        <w:tc>
          <w:tcPr>
            <w:tcW w:w="234" w:type="dxa"/>
            <w:tcBorders/>
            <w:shd w:fill="FFFFFF" w:val="clear"/>
            <w:vAlign w:val="center"/>
          </w:tcPr>
          <w:p>
            <w:pPr>
              <w:pStyle w:val="TableContents"/>
              <w:bidi w:val="0"/>
              <w:spacing w:before="0" w:after="283"/>
              <w:ind w:left="0" w:right="0" w:hanging="10"/>
              <w:jc w:val="left"/>
              <w:rPr/>
            </w:pPr>
            <w:r>
              <w:rPr/>
              <w:t> </w:t>
            </w:r>
          </w:p>
        </w:tc>
      </w:tr>
      <w:tr>
        <w:trPr/>
        <w:tc>
          <w:tcPr>
            <w:tcW w:w="1142" w:type="dxa"/>
            <w:tcBorders/>
            <w:shd w:fill="CCEEFF" w:val="clear"/>
            <w:vAlign w:val="center"/>
          </w:tcPr>
          <w:p>
            <w:pPr>
              <w:pStyle w:val="TableContents"/>
              <w:bidi w:val="0"/>
              <w:spacing w:before="0" w:after="283"/>
              <w:jc w:val="both"/>
              <w:rPr/>
            </w:pPr>
            <w:r>
              <w:rPr/>
              <w:t>Term</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bookmarkStart w:id="753" w:name="xdx_90D_eus-gaap--SharebasedCompensation"/>
            <w:bookmarkEnd w:id="753"/>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bookmarkStart w:id="754" w:name="xdx_902_eus-gaap--SharebasedCompensation"/>
            <w:bookmarkEnd w:id="754"/>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rFonts w:ascii="Times New Roman;Times;Serif" w:hAnsi="Times New Roman;Times;Serif"/>
                <w:sz w:val="20"/>
              </w:rPr>
            </w:pPr>
            <w:bookmarkStart w:id="755" w:name="xdx_906_eus-gaap--SharebasedCompensation"/>
            <w:bookmarkEnd w:id="755"/>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rFonts w:ascii="Times New Roman;Times;Serif" w:hAnsi="Times New Roman;Times;Serif"/>
                <w:sz w:val="20"/>
              </w:rPr>
            </w:pPr>
            <w:bookmarkStart w:id="756" w:name="xdx_90E_eus-gaap--SharebasedCompensation"/>
            <w:bookmarkEnd w:id="756"/>
            <w:r>
              <w:rPr>
                <w:rFonts w:ascii="Times New Roman;Times;Serif" w:hAnsi="Times New Roman;Times;Serif"/>
                <w:sz w:val="20"/>
              </w:rPr>
              <w:t>10 years</w:t>
            </w:r>
          </w:p>
        </w:tc>
        <w:tc>
          <w:tcPr>
            <w:tcW w:w="234" w:type="dxa"/>
            <w:tcBorders/>
            <w:shd w:fill="CCEEFF" w:val="clear"/>
            <w:vAlign w:val="center"/>
          </w:tcPr>
          <w:p>
            <w:pPr>
              <w:pStyle w:val="TableContents"/>
              <w:bidi w:val="0"/>
              <w:spacing w:before="0" w:after="283"/>
              <w:ind w:left="0" w:right="0" w:hanging="10"/>
              <w:jc w:val="left"/>
              <w:rPr/>
            </w:pPr>
            <w:r>
              <w:rPr/>
              <w:t> </w:t>
            </w:r>
          </w:p>
        </w:tc>
      </w:tr>
      <w:tr>
        <w:trPr/>
        <w:tc>
          <w:tcPr>
            <w:tcW w:w="1142" w:type="dxa"/>
            <w:tcBorders/>
            <w:shd w:fill="FFFFFF" w:val="clear"/>
            <w:vAlign w:val="center"/>
          </w:tcPr>
          <w:p>
            <w:pPr>
              <w:pStyle w:val="TableContents"/>
              <w:bidi w:val="0"/>
              <w:spacing w:before="0" w:after="283"/>
              <w:jc w:val="both"/>
              <w:rPr/>
            </w:pPr>
            <w:r>
              <w:rPr/>
              <w:t>Volatility</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bookmarkStart w:id="757" w:name="xdx_98C_eus-gaap--ShareBasedCompensation"/>
            <w:bookmarkEnd w:id="757"/>
          </w:p>
        </w:tc>
        <w:tc>
          <w:tcPr>
            <w:tcW w:w="1489" w:type="dxa"/>
            <w:tcBorders/>
            <w:shd w:fill="FFFFFF" w:val="clear"/>
            <w:vAlign w:val="center"/>
          </w:tcPr>
          <w:p>
            <w:pPr>
              <w:pStyle w:val="TableContents"/>
              <w:bidi w:val="0"/>
              <w:spacing w:before="0" w:after="283"/>
              <w:jc w:val="right"/>
              <w:rPr/>
            </w:pPr>
            <w:r>
              <w:rPr/>
              <w:t>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bookmarkStart w:id="758" w:name="xdx_982_eus-gaap--ShareBasedCompensation"/>
            <w:bookmarkEnd w:id="758"/>
          </w:p>
        </w:tc>
        <w:tc>
          <w:tcPr>
            <w:tcW w:w="1489" w:type="dxa"/>
            <w:tcBorders/>
            <w:shd w:fill="FFFFFF" w:val="clear"/>
            <w:vAlign w:val="center"/>
          </w:tcPr>
          <w:p>
            <w:pPr>
              <w:pStyle w:val="TableContents"/>
              <w:bidi w:val="0"/>
              <w:spacing w:before="0" w:after="283"/>
              <w:jc w:val="right"/>
              <w:rPr/>
            </w:pPr>
            <w:r>
              <w:rPr/>
              <w:t>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bookmarkStart w:id="759" w:name="xdx_980_eus-gaap--ShareBasedCompensation"/>
            <w:bookmarkEnd w:id="759"/>
          </w:p>
        </w:tc>
        <w:tc>
          <w:tcPr>
            <w:tcW w:w="1669" w:type="dxa"/>
            <w:tcBorders/>
            <w:shd w:fill="FFFFFF" w:val="clear"/>
            <w:vAlign w:val="center"/>
          </w:tcPr>
          <w:p>
            <w:pPr>
              <w:pStyle w:val="TableContents"/>
              <w:bidi w:val="0"/>
              <w:spacing w:before="0" w:after="283"/>
              <w:jc w:val="right"/>
              <w:rPr/>
            </w:pPr>
            <w:r>
              <w:rPr/>
              <w:t>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bookmarkStart w:id="760" w:name="xdx_98C_eus-gaap--ShareBasedCompensation"/>
            <w:bookmarkEnd w:id="760"/>
          </w:p>
        </w:tc>
        <w:tc>
          <w:tcPr>
            <w:tcW w:w="1646" w:type="dxa"/>
            <w:tcBorders/>
            <w:shd w:fill="FFFFFF" w:val="clear"/>
            <w:vAlign w:val="center"/>
          </w:tcPr>
          <w:p>
            <w:pPr>
              <w:pStyle w:val="TableContents"/>
              <w:bidi w:val="0"/>
              <w:spacing w:before="0" w:after="283"/>
              <w:jc w:val="right"/>
              <w:rPr/>
            </w:pPr>
            <w:r>
              <w:rPr/>
              <w:t>90</w:t>
            </w:r>
          </w:p>
        </w:tc>
        <w:tc>
          <w:tcPr>
            <w:tcW w:w="234" w:type="dxa"/>
            <w:tcBorders/>
            <w:shd w:fill="FFFFFF" w:val="clear"/>
            <w:vAlign w:val="center"/>
          </w:tcPr>
          <w:p>
            <w:pPr>
              <w:pStyle w:val="TableContents"/>
              <w:bidi w:val="0"/>
              <w:spacing w:before="0" w:after="283"/>
              <w:ind w:left="0" w:right="0" w:hanging="10"/>
              <w:jc w:val="left"/>
              <w:rPr/>
            </w:pPr>
            <w:r>
              <w:rPr/>
              <w:t>%</w:t>
            </w:r>
          </w:p>
        </w:tc>
      </w:tr>
      <w:tr>
        <w:trPr/>
        <w:tc>
          <w:tcPr>
            <w:tcW w:w="1142" w:type="dxa"/>
            <w:tcBorders/>
            <w:shd w:fill="CCEEFF" w:val="clear"/>
            <w:vAlign w:val="center"/>
          </w:tcPr>
          <w:p>
            <w:pPr>
              <w:pStyle w:val="TableContents"/>
              <w:bidi w:val="0"/>
              <w:spacing w:before="0" w:after="283"/>
              <w:jc w:val="both"/>
              <w:rPr/>
            </w:pPr>
            <w:r>
              <w:rPr/>
              <w:t>Risk-free rate</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bookmarkStart w:id="761" w:name="xdx_98D_eus-gaap--ShareBasedCompensation"/>
            <w:bookmarkEnd w:id="761"/>
          </w:p>
        </w:tc>
        <w:tc>
          <w:tcPr>
            <w:tcW w:w="1489" w:type="dxa"/>
            <w:tcBorders/>
            <w:shd w:fill="CCEEFF" w:val="clear"/>
            <w:vAlign w:val="center"/>
          </w:tcPr>
          <w:p>
            <w:pPr>
              <w:pStyle w:val="TableContents"/>
              <w:bidi w:val="0"/>
              <w:spacing w:before="0" w:after="283"/>
              <w:jc w:val="right"/>
              <w:rPr/>
            </w:pPr>
            <w:r>
              <w:rPr/>
              <w:t>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bookmarkStart w:id="762" w:name="xdx_98D_eus-gaap--ShareBasedCompensation"/>
            <w:bookmarkEnd w:id="762"/>
          </w:p>
        </w:tc>
        <w:tc>
          <w:tcPr>
            <w:tcW w:w="1489"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bookmarkStart w:id="763" w:name="xdx_987_eus-gaap--ShareBasedCompensation"/>
            <w:bookmarkEnd w:id="763"/>
          </w:p>
        </w:tc>
        <w:tc>
          <w:tcPr>
            <w:tcW w:w="1669"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bookmarkStart w:id="764" w:name="xdx_981_eus-gaap--ShareBasedCompensation"/>
            <w:bookmarkEnd w:id="764"/>
          </w:p>
        </w:tc>
        <w:tc>
          <w:tcPr>
            <w:tcW w:w="1646" w:type="dxa"/>
            <w:tcBorders/>
            <w:shd w:fill="CCEEFF" w:val="clear"/>
            <w:vAlign w:val="center"/>
          </w:tcPr>
          <w:p>
            <w:pPr>
              <w:pStyle w:val="TableContents"/>
              <w:bidi w:val="0"/>
              <w:spacing w:before="0" w:after="283"/>
              <w:jc w:val="right"/>
              <w:rPr/>
            </w:pPr>
            <w:r>
              <w:rPr/>
              <w:t>4.6</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65" w:name="xdx_8A1_z8LE37QjIzm9"/>
      <w:bookmarkEnd w:id="765"/>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766" w:name="xdx_896_ecustom--ScheduleOfShareBasedPay"/>
      <w:bookmarkEnd w:id="766"/>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767" w:name="xdx_8B9_ziBLJvrH3TOa"/>
      <w:bookmarkEnd w:id="767"/>
      <w:r>
        <w:rPr>
          <w:rFonts w:ascii="Times New Roman;Times;Serif" w:hAnsi="Times New Roman;Times;Serif"/>
          <w:b w:val="false"/>
          <w:i w:val="false"/>
          <w:caps w:val="false"/>
          <w:smallCaps w:val="false"/>
          <w:sz w:val="20"/>
        </w:rPr>
        <w:t>SCHEDULE FAIR VALUE WARRANTS </w:t>
      </w:r>
    </w:p>
    <w:tbl>
      <w:tblPr>
        <w:tblW w:w="6355" w:type="dxa"/>
        <w:jc w:val="left"/>
        <w:tblInd w:w="0" w:type="dxa"/>
        <w:tblLayout w:type="fixed"/>
        <w:tblCellMar>
          <w:top w:w="0" w:type="dxa"/>
          <w:left w:w="0" w:type="dxa"/>
          <w:bottom w:w="0" w:type="dxa"/>
          <w:right w:w="0" w:type="dxa"/>
        </w:tblCellMar>
      </w:tblPr>
      <w:tblGrid>
        <w:gridCol w:w="2000"/>
        <w:gridCol w:w="60"/>
        <w:gridCol w:w="379"/>
        <w:gridCol w:w="1516"/>
        <w:gridCol w:w="215"/>
        <w:gridCol w:w="60"/>
        <w:gridCol w:w="379"/>
        <w:gridCol w:w="1516"/>
        <w:gridCol w:w="230"/>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2023</w:t>
            </w:r>
          </w:p>
        </w:tc>
        <w:tc>
          <w:tcPr>
            <w:tcW w:w="230" w:type="dxa"/>
            <w:tcBorders/>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768" w:name="xdx_98F_eus-gaap--SharePrice_iI_pid_c202"/>
            <w:bookmarkEnd w:id="768"/>
          </w:p>
        </w:tc>
        <w:tc>
          <w:tcPr>
            <w:tcW w:w="1516" w:type="dxa"/>
            <w:tcBorders/>
            <w:shd w:fill="CCEEFF" w:val="clear"/>
            <w:vAlign w:val="center"/>
          </w:tcPr>
          <w:p>
            <w:pPr>
              <w:pStyle w:val="TableContents"/>
              <w:bidi w:val="0"/>
              <w:spacing w:before="0" w:after="283"/>
              <w:jc w:val="right"/>
              <w:rPr/>
            </w:pPr>
            <w:r>
              <w:rPr/>
              <w:t>2.78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769" w:name="xdx_987_eus-gaap--SharePrice_iI_pid_c202"/>
            <w:bookmarkEnd w:id="769"/>
          </w:p>
        </w:tc>
        <w:tc>
          <w:tcPr>
            <w:tcW w:w="1516" w:type="dxa"/>
            <w:tcBorders/>
            <w:shd w:fill="CCEEFF" w:val="clear"/>
            <w:vAlign w:val="center"/>
          </w:tcPr>
          <w:p>
            <w:pPr>
              <w:pStyle w:val="TableContents"/>
              <w:bidi w:val="0"/>
              <w:spacing w:before="0" w:after="283"/>
              <w:jc w:val="right"/>
              <w:rPr/>
            </w:pPr>
            <w:r>
              <w:rPr/>
              <w:t>4.86</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2000" w:type="dxa"/>
            <w:tcBorders/>
            <w:shd w:fill="FFFFFF" w:val="clear"/>
            <w:vAlign w:val="center"/>
          </w:tcPr>
          <w:p>
            <w:pPr>
              <w:pStyle w:val="TableContents"/>
              <w:bidi w:val="0"/>
              <w:spacing w:before="0" w:after="283"/>
              <w:jc w:val="both"/>
              <w:rPr/>
            </w:pPr>
            <w:r>
              <w:rPr/>
              <w:t>Exercise price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70" w:name="xdx_988_eus-gaap--ShareBasedCompensation"/>
            <w:bookmarkEnd w:id="770"/>
          </w:p>
        </w:tc>
        <w:tc>
          <w:tcPr>
            <w:tcW w:w="1516"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71" w:name="xdx_983_eus-gaap--ShareBasedCompensation"/>
            <w:bookmarkEnd w:id="771"/>
          </w:p>
        </w:tc>
        <w:tc>
          <w:tcPr>
            <w:tcW w:w="1516" w:type="dxa"/>
            <w:tcBorders/>
            <w:shd w:fill="FFFFFF" w:val="clear"/>
            <w:vAlign w:val="center"/>
          </w:tcPr>
          <w:p>
            <w:pPr>
              <w:pStyle w:val="TableContents"/>
              <w:bidi w:val="0"/>
              <w:spacing w:before="0" w:after="283"/>
              <w:jc w:val="right"/>
              <w:rPr/>
            </w:pPr>
            <w:r>
              <w:rPr/>
              <w:t>0.09</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Dividend yield</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bookmarkStart w:id="772" w:name="xdx_901_eus-gaap--ShareBasedCompensation"/>
            <w:bookmarkEnd w:id="772"/>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bookmarkStart w:id="773" w:name="xdx_901_eus-gaap--ShareBasedCompensation"/>
            <w:bookmarkEnd w:id="773"/>
            <w:r>
              <w:rPr/>
              <w:t>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2000" w:type="dxa"/>
            <w:tcBorders/>
            <w:shd w:fill="FFFFFF" w:val="clear"/>
            <w:vAlign w:val="center"/>
          </w:tcPr>
          <w:p>
            <w:pPr>
              <w:pStyle w:val="TableContents"/>
              <w:bidi w:val="0"/>
              <w:spacing w:before="0" w:after="283"/>
              <w:jc w:val="both"/>
              <w:rPr/>
            </w:pPr>
            <w:r>
              <w:rPr/>
              <w:t>Term</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774" w:name="xdx_90A_eus-gaap--SharebasedCompensation"/>
            <w:bookmarkEnd w:id="774"/>
            <w:r>
              <w:rPr/>
              <w:t>7.77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775" w:name="xdx_905_eus-gaap--SharebasedCompensation"/>
            <w:bookmarkEnd w:id="775"/>
            <w:r>
              <w:rPr/>
              <w:t>10</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Volatility</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76" w:name="xdx_98C_eus-gaap--ShareBasedCompensation"/>
            <w:bookmarkEnd w:id="776"/>
          </w:p>
        </w:tc>
        <w:tc>
          <w:tcPr>
            <w:tcW w:w="1516" w:type="dxa"/>
            <w:tcBorders/>
            <w:shd w:fill="CCEEFF" w:val="clear"/>
            <w:vAlign w:val="center"/>
          </w:tcPr>
          <w:p>
            <w:pPr>
              <w:pStyle w:val="TableContents"/>
              <w:bidi w:val="0"/>
              <w:spacing w:before="0" w:after="283"/>
              <w:jc w:val="right"/>
              <w:rPr/>
            </w:pPr>
            <w:r>
              <w:rPr/>
              <w:t>94.00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77" w:name="xdx_98B_eus-gaap--ShareBasedCompensation"/>
            <w:bookmarkEnd w:id="777"/>
          </w:p>
        </w:tc>
        <w:tc>
          <w:tcPr>
            <w:tcW w:w="1516" w:type="dxa"/>
            <w:tcBorders/>
            <w:shd w:fill="CCEEFF" w:val="clear"/>
            <w:vAlign w:val="center"/>
          </w:tcPr>
          <w:p>
            <w:pPr>
              <w:pStyle w:val="TableContents"/>
              <w:bidi w:val="0"/>
              <w:spacing w:before="0" w:after="283"/>
              <w:jc w:val="right"/>
              <w:rPr/>
            </w:pPr>
            <w:r>
              <w:rPr/>
              <w:t>96.00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2000" w:type="dxa"/>
            <w:tcBorders/>
            <w:shd w:fill="FFFFFF" w:val="clear"/>
            <w:vAlign w:val="center"/>
          </w:tcPr>
          <w:p>
            <w:pPr>
              <w:pStyle w:val="TableContents"/>
              <w:bidi w:val="0"/>
              <w:spacing w:before="0" w:after="283"/>
              <w:jc w:val="both"/>
              <w:rPr/>
            </w:pPr>
            <w:r>
              <w:rPr/>
              <w:t>Risk-free rate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78" w:name="xdx_980_eus-gaap--ShareBasedCompensation"/>
            <w:bookmarkEnd w:id="778"/>
          </w:p>
        </w:tc>
        <w:tc>
          <w:tcPr>
            <w:tcW w:w="1516" w:type="dxa"/>
            <w:tcBorders/>
            <w:shd w:fill="FFFFFF" w:val="clear"/>
            <w:vAlign w:val="center"/>
          </w:tcPr>
          <w:p>
            <w:pPr>
              <w:pStyle w:val="TableContents"/>
              <w:bidi w:val="0"/>
              <w:spacing w:before="0" w:after="283"/>
              <w:jc w:val="right"/>
              <w:rPr/>
            </w:pPr>
            <w:r>
              <w:rPr/>
              <w:t>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79" w:name="xdx_980_eus-gaap--ShareBasedCompensation"/>
            <w:bookmarkEnd w:id="779"/>
          </w:p>
        </w:tc>
        <w:tc>
          <w:tcPr>
            <w:tcW w:w="1516"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ind w:left="0" w:right="0" w:hanging="10"/>
              <w:jc w:val="left"/>
              <w:rPr/>
            </w:pPr>
            <w:r>
              <w:rPr/>
              <w:t>%</w:t>
            </w:r>
          </w:p>
        </w:tc>
      </w:tr>
      <w:tr>
        <w:trPr/>
        <w:tc>
          <w:tcPr>
            <w:tcW w:w="2000" w:type="dxa"/>
            <w:tcBorders/>
            <w:shd w:fill="CCEEFF" w:val="clear"/>
            <w:vAlign w:val="center"/>
          </w:tcPr>
          <w:p>
            <w:pPr>
              <w:pStyle w:val="TableContents"/>
              <w:bidi w:val="0"/>
              <w:spacing w:before="0" w:after="283"/>
              <w:jc w:val="both"/>
              <w:rPr/>
            </w:pPr>
            <w:r>
              <w:rPr/>
              <w:t>Fair value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780" w:name="xdx_983_ecustom--FairValueOfWarrant_iI_p"/>
            <w:bookmarkEnd w:id="780"/>
          </w:p>
        </w:tc>
        <w:tc>
          <w:tcPr>
            <w:tcW w:w="1516" w:type="dxa"/>
            <w:tcBorders/>
            <w:shd w:fill="CCEEFF" w:val="clear"/>
            <w:vAlign w:val="center"/>
          </w:tcPr>
          <w:p>
            <w:pPr>
              <w:pStyle w:val="TableContents"/>
              <w:bidi w:val="0"/>
              <w:spacing w:before="0" w:after="283"/>
              <w:jc w:val="right"/>
              <w:rPr/>
            </w:pPr>
            <w:r>
              <w:rPr/>
              <w:t>2.74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781" w:name="xdx_980_ecustom--FairValueOfWarrant_iI_p"/>
            <w:bookmarkEnd w:id="781"/>
          </w:p>
        </w:tc>
        <w:tc>
          <w:tcPr>
            <w:tcW w:w="1516" w:type="dxa"/>
            <w:tcBorders/>
            <w:shd w:fill="CCEEFF" w:val="clear"/>
            <w:vAlign w:val="center"/>
          </w:tcPr>
          <w:p>
            <w:pPr>
              <w:pStyle w:val="TableContents"/>
              <w:bidi w:val="0"/>
              <w:spacing w:before="0" w:after="283"/>
              <w:jc w:val="right"/>
              <w:rPr/>
            </w:pPr>
            <w:r>
              <w:rPr/>
              <w:t>4.86</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Investor Warrants issued in the June 2023 Offering:</w:t>
      </w:r>
    </w:p>
    <w:p>
      <w:pPr>
        <w:pStyle w:val="TextBody"/>
        <w:bidi w:val="0"/>
        <w:spacing w:before="0" w:after="0"/>
        <w:ind w:left="10" w:right="0" w:hanging="10"/>
        <w:jc w:val="both"/>
        <w:rPr>
          <w:caps w:val="false"/>
          <w:smallCaps w:val="false"/>
        </w:rPr>
      </w:pPr>
      <w:r>
        <w:rPr>
          <w:caps w:val="false"/>
          <w:smallCaps w:val="false"/>
        </w:rPr>
        <w:t> </w:t>
      </w:r>
    </w:p>
    <w:tbl>
      <w:tblPr>
        <w:tblW w:w="6354" w:type="dxa"/>
        <w:jc w:val="left"/>
        <w:tblInd w:w="0" w:type="dxa"/>
        <w:tblLayout w:type="fixed"/>
        <w:tblCellMar>
          <w:top w:w="0" w:type="dxa"/>
          <w:left w:w="0" w:type="dxa"/>
          <w:bottom w:w="0" w:type="dxa"/>
          <w:right w:w="0" w:type="dxa"/>
        </w:tblCellMar>
      </w:tblPr>
      <w:tblGrid>
        <w:gridCol w:w="2000"/>
        <w:gridCol w:w="60"/>
        <w:gridCol w:w="379"/>
        <w:gridCol w:w="1516"/>
        <w:gridCol w:w="215"/>
        <w:gridCol w:w="60"/>
        <w:gridCol w:w="321"/>
        <w:gridCol w:w="1573"/>
        <w:gridCol w:w="230"/>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2023</w:t>
            </w:r>
          </w:p>
        </w:tc>
        <w:tc>
          <w:tcPr>
            <w:tcW w:w="230" w:type="dxa"/>
            <w:tcBorders/>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782" w:name="xdx_989_eus-gaap--SharePrice_iI_pid_c202"/>
            <w:bookmarkEnd w:id="782"/>
          </w:p>
        </w:tc>
        <w:tc>
          <w:tcPr>
            <w:tcW w:w="1516" w:type="dxa"/>
            <w:tcBorders/>
            <w:shd w:fill="CCEEFF" w:val="clear"/>
            <w:vAlign w:val="center"/>
          </w:tcPr>
          <w:p>
            <w:pPr>
              <w:pStyle w:val="TableContents"/>
              <w:bidi w:val="0"/>
              <w:spacing w:before="0" w:after="283"/>
              <w:jc w:val="right"/>
              <w:rPr/>
            </w:pPr>
            <w:r>
              <w:rPr/>
              <w:t>2.78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bookmarkStart w:id="783" w:name="xdx_988_eus-gaap--SharePrice_iI_pid_c202"/>
            <w:bookmarkEnd w:id="783"/>
          </w:p>
        </w:tc>
        <w:tc>
          <w:tcPr>
            <w:tcW w:w="1573" w:type="dxa"/>
            <w:tcBorders/>
            <w:shd w:fill="CCEEFF" w:val="clear"/>
            <w:vAlign w:val="center"/>
          </w:tcPr>
          <w:p>
            <w:pPr>
              <w:pStyle w:val="TableContents"/>
              <w:bidi w:val="0"/>
              <w:spacing w:before="0" w:after="283"/>
              <w:jc w:val="right"/>
              <w:rPr/>
            </w:pPr>
            <w:r>
              <w:rPr/>
              <w:t>4.86</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2000" w:type="dxa"/>
            <w:tcBorders/>
            <w:shd w:fill="FFFFFF" w:val="clear"/>
            <w:vAlign w:val="center"/>
          </w:tcPr>
          <w:p>
            <w:pPr>
              <w:pStyle w:val="TableContents"/>
              <w:bidi w:val="0"/>
              <w:spacing w:before="0" w:after="283"/>
              <w:jc w:val="both"/>
              <w:rPr/>
            </w:pPr>
            <w:r>
              <w:rPr/>
              <w:t>Exercise price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w:t>
            </w:r>
            <w:bookmarkStart w:id="784" w:name="xdx_986_eus-gaap--ShareBasedCompensation"/>
            <w:bookmarkEnd w:id="784"/>
          </w:p>
        </w:tc>
        <w:tc>
          <w:tcPr>
            <w:tcW w:w="1516" w:type="dxa"/>
            <w:tcBorders/>
            <w:shd w:fill="FFFFFF" w:val="clear"/>
            <w:vAlign w:val="center"/>
          </w:tcPr>
          <w:p>
            <w:pPr>
              <w:pStyle w:val="TableContents"/>
              <w:bidi w:val="0"/>
              <w:spacing w:before="0" w:after="283"/>
              <w:jc w:val="right"/>
              <w:rPr/>
            </w:pPr>
            <w:r>
              <w:rPr/>
              <w:t>18.00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w:t>
            </w:r>
            <w:bookmarkStart w:id="785" w:name="xdx_98B_eus-gaap--ShareBasedCompensation"/>
            <w:bookmarkEnd w:id="785"/>
          </w:p>
        </w:tc>
        <w:tc>
          <w:tcPr>
            <w:tcW w:w="1573" w:type="dxa"/>
            <w:tcBorders/>
            <w:shd w:fill="FFFFFF" w:val="clear"/>
            <w:vAlign w:val="center"/>
          </w:tcPr>
          <w:p>
            <w:pPr>
              <w:pStyle w:val="TableContents"/>
              <w:bidi w:val="0"/>
              <w:spacing w:before="0" w:after="283"/>
              <w:jc w:val="right"/>
              <w:rPr/>
            </w:pPr>
            <w:r>
              <w:rPr/>
              <w:t>18.00</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Dividend yield</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bookmarkStart w:id="786" w:name="xdx_90C_eus-gaap--ShareBasedCompensation"/>
            <w:bookmarkEnd w:id="786"/>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bookmarkStart w:id="787" w:name="xdx_902_eus-gaap--ShareBasedCompensation"/>
            <w:bookmarkEnd w:id="787"/>
            <w:r>
              <w:rPr/>
              <w:t>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2000" w:type="dxa"/>
            <w:tcBorders/>
            <w:shd w:fill="FFFFFF" w:val="clear"/>
            <w:vAlign w:val="center"/>
          </w:tcPr>
          <w:p>
            <w:pPr>
              <w:pStyle w:val="TableContents"/>
              <w:bidi w:val="0"/>
              <w:spacing w:before="0" w:after="283"/>
              <w:jc w:val="both"/>
              <w:rPr/>
            </w:pPr>
            <w:r>
              <w:rPr/>
              <w:t>Term</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788" w:name="xdx_90F_eus-gaap--SharebasedCompensation"/>
            <w:bookmarkEnd w:id="788"/>
            <w:r>
              <w:rPr/>
              <w:t>3.47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573" w:type="dxa"/>
            <w:tcBorders/>
            <w:shd w:fill="FFFFFF" w:val="clear"/>
            <w:vAlign w:val="center"/>
          </w:tcPr>
          <w:p>
            <w:pPr>
              <w:pStyle w:val="TableContents"/>
              <w:bidi w:val="0"/>
              <w:spacing w:before="0" w:after="283"/>
              <w:jc w:val="right"/>
              <w:rPr/>
            </w:pPr>
            <w:bookmarkStart w:id="789" w:name="xdx_903_eus-gaap--SharebasedCompensation"/>
            <w:bookmarkEnd w:id="789"/>
            <w:r>
              <w:rPr/>
              <w:t>4.48</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Volatility</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90" w:name="xdx_989_eus-gaap--ShareBasedCompensation"/>
            <w:bookmarkEnd w:id="790"/>
          </w:p>
        </w:tc>
        <w:tc>
          <w:tcPr>
            <w:tcW w:w="1516" w:type="dxa"/>
            <w:tcBorders/>
            <w:shd w:fill="CCEEFF" w:val="clear"/>
            <w:vAlign w:val="center"/>
          </w:tcPr>
          <w:p>
            <w:pPr>
              <w:pStyle w:val="TableContents"/>
              <w:bidi w:val="0"/>
              <w:spacing w:before="0" w:after="283"/>
              <w:jc w:val="right"/>
              <w:rPr/>
            </w:pPr>
            <w:r>
              <w:rPr/>
              <w:t>105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bookmarkStart w:id="791" w:name="xdx_98E_eus-gaap--ShareBasedCompensation"/>
            <w:bookmarkEnd w:id="791"/>
          </w:p>
        </w:tc>
        <w:tc>
          <w:tcPr>
            <w:tcW w:w="1573" w:type="dxa"/>
            <w:tcBorders/>
            <w:shd w:fill="CCEEFF" w:val="clear"/>
            <w:vAlign w:val="center"/>
          </w:tcPr>
          <w:p>
            <w:pPr>
              <w:pStyle w:val="TableContents"/>
              <w:bidi w:val="0"/>
              <w:spacing w:before="0" w:after="283"/>
              <w:jc w:val="right"/>
              <w:rPr/>
            </w:pPr>
            <w:r>
              <w:rPr/>
              <w:t>106.00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2000" w:type="dxa"/>
            <w:tcBorders/>
            <w:shd w:fill="FFFFFF" w:val="clear"/>
            <w:vAlign w:val="center"/>
          </w:tcPr>
          <w:p>
            <w:pPr>
              <w:pStyle w:val="TableContents"/>
              <w:bidi w:val="0"/>
              <w:spacing w:before="0" w:after="283"/>
              <w:jc w:val="both"/>
              <w:rPr/>
            </w:pPr>
            <w:r>
              <w:rPr/>
              <w:t>Risk-free rate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92" w:name="xdx_98F_eus-gaap--ShareBasedCompensation"/>
            <w:bookmarkEnd w:id="792"/>
          </w:p>
        </w:tc>
        <w:tc>
          <w:tcPr>
            <w:tcW w:w="1516" w:type="dxa"/>
            <w:tcBorders/>
            <w:shd w:fill="FFFFFF" w:val="clear"/>
            <w:vAlign w:val="center"/>
          </w:tcPr>
          <w:p>
            <w:pPr>
              <w:pStyle w:val="TableContents"/>
              <w:bidi w:val="0"/>
              <w:spacing w:before="0" w:after="283"/>
              <w:jc w:val="right"/>
              <w:rPr/>
            </w:pPr>
            <w:r>
              <w:rPr/>
              <w:t>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bookmarkStart w:id="793" w:name="xdx_982_eus-gaap--ShareBasedCompensation"/>
            <w:bookmarkEnd w:id="793"/>
          </w:p>
        </w:tc>
        <w:tc>
          <w:tcPr>
            <w:tcW w:w="1573"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ind w:left="0" w:right="0" w:hanging="10"/>
              <w:jc w:val="left"/>
              <w:rPr/>
            </w:pPr>
            <w:r>
              <w:rPr/>
              <w:t>%</w:t>
            </w:r>
          </w:p>
        </w:tc>
      </w:tr>
      <w:tr>
        <w:trPr/>
        <w:tc>
          <w:tcPr>
            <w:tcW w:w="2000" w:type="dxa"/>
            <w:tcBorders/>
            <w:shd w:fill="CCEEFF" w:val="clear"/>
            <w:vAlign w:val="center"/>
          </w:tcPr>
          <w:p>
            <w:pPr>
              <w:pStyle w:val="TableContents"/>
              <w:bidi w:val="0"/>
              <w:spacing w:before="0" w:after="283"/>
              <w:jc w:val="both"/>
              <w:rPr/>
            </w:pPr>
            <w:r>
              <w:rPr/>
              <w:t>Fair value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794" w:name="xdx_98E_ecustom--FairValueOfWarrant_iI_p"/>
            <w:bookmarkEnd w:id="794"/>
          </w:p>
        </w:tc>
        <w:tc>
          <w:tcPr>
            <w:tcW w:w="1516" w:type="dxa"/>
            <w:tcBorders/>
            <w:shd w:fill="CCEEFF" w:val="clear"/>
            <w:vAlign w:val="center"/>
          </w:tcPr>
          <w:p>
            <w:pPr>
              <w:pStyle w:val="TableContents"/>
              <w:bidi w:val="0"/>
              <w:spacing w:before="0" w:after="283"/>
              <w:jc w:val="right"/>
              <w:rPr/>
            </w:pPr>
            <w:r>
              <w:rPr/>
              <w:t>1.01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bookmarkStart w:id="795" w:name="xdx_981_ecustom--FairValueOfWarrant_iI_p"/>
            <w:bookmarkEnd w:id="795"/>
          </w:p>
        </w:tc>
        <w:tc>
          <w:tcPr>
            <w:tcW w:w="1573" w:type="dxa"/>
            <w:tcBorders/>
            <w:shd w:fill="CCEEFF" w:val="clear"/>
            <w:vAlign w:val="center"/>
          </w:tcPr>
          <w:p>
            <w:pPr>
              <w:pStyle w:val="TableContents"/>
              <w:bidi w:val="0"/>
              <w:spacing w:before="0" w:after="283"/>
              <w:jc w:val="right"/>
              <w:rPr/>
            </w:pPr>
            <w:r>
              <w:rPr/>
              <w:t>2.79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796" w:name="xdx_8AF_zvyi5iwc3H8h"/>
      <w:bookmarkEnd w:id="79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Company’s warrants from January 1, 2024 to December 31, 2024 and January 1, 2023 to December 31, 2023:</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797" w:name="xdx_892_eus-gaap--ScheduleOfShareBasedCo"/>
      <w:bookmarkEnd w:id="797"/>
      <w:r>
        <w:rPr>
          <w:rFonts w:ascii="Times New Roman;Times;Serif" w:hAnsi="Times New Roman;Times;Serif"/>
          <w:b w:val="false"/>
          <w:i w:val="false"/>
          <w:caps w:val="false"/>
          <w:smallCaps w:val="false"/>
          <w:sz w:val="20"/>
        </w:rPr>
        <w:t>Common Stock Warrants: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798" w:name="xdx_8B8_ztT0bJSORJlj"/>
      <w:bookmarkEnd w:id="798"/>
      <w:r>
        <w:rPr>
          <w:rFonts w:ascii="Times New Roman;Times;Serif" w:hAnsi="Times New Roman;Times;Serif"/>
          <w:b w:val="false"/>
          <w:i w:val="false"/>
          <w:caps w:val="false"/>
          <w:smallCaps w:val="false"/>
          <w:sz w:val="20"/>
        </w:rPr>
        <w:t>SCHEDULE OF ROLL FORWARD IN WARRANTS </w:t>
      </w:r>
    </w:p>
    <w:tbl>
      <w:tblPr>
        <w:tblW w:w="8894" w:type="dxa"/>
        <w:jc w:val="left"/>
        <w:tblInd w:w="0" w:type="dxa"/>
        <w:tblLayout w:type="fixed"/>
        <w:tblCellMar>
          <w:top w:w="0" w:type="dxa"/>
          <w:left w:w="0" w:type="dxa"/>
          <w:bottom w:w="0" w:type="dxa"/>
          <w:right w:w="0" w:type="dxa"/>
        </w:tblCellMar>
      </w:tblPr>
      <w:tblGrid>
        <w:gridCol w:w="4100"/>
        <w:gridCol w:w="60"/>
        <w:gridCol w:w="60"/>
        <w:gridCol w:w="875"/>
        <w:gridCol w:w="95"/>
        <w:gridCol w:w="60"/>
        <w:gridCol w:w="60"/>
        <w:gridCol w:w="980"/>
        <w:gridCol w:w="95"/>
        <w:gridCol w:w="60"/>
        <w:gridCol w:w="66"/>
        <w:gridCol w:w="1078"/>
        <w:gridCol w:w="95"/>
        <w:gridCol w:w="60"/>
        <w:gridCol w:w="60"/>
        <w:gridCol w:w="980"/>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99" w:name="xdx_4B6_us-gaap--StatementEquityComponen"/>
            <w:bookmarkEnd w:id="799"/>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Private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0" w:name="xdx_4B1_us-gaap--StatementEquityComponen"/>
            <w:bookmarkEnd w:id="800"/>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Public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1" w:name="xdx_4BB_us-gaap--StatementEquityComponen"/>
            <w:bookmarkEnd w:id="801"/>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Term Loan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2" w:name="xdx_4BB_us-gaap--StatementEquityComponen"/>
            <w:bookmarkEnd w:id="802"/>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Investor </w:t>
              <w:br/>
              <w:t>Warrants</w:t>
            </w:r>
          </w:p>
        </w:tc>
        <w:tc>
          <w:tcPr>
            <w:tcW w:w="110" w:type="dxa"/>
            <w:tcBorders/>
            <w:vAlign w:val="center"/>
          </w:tcPr>
          <w:p>
            <w:pPr>
              <w:pStyle w:val="TableContents"/>
              <w:bidi w:val="0"/>
              <w:spacing w:before="0" w:after="283"/>
              <w:ind w:left="0" w:right="0" w:hanging="10"/>
              <w:jc w:val="left"/>
              <w:rPr/>
            </w:pPr>
            <w:r>
              <w:rPr/>
              <w:t> </w:t>
            </w:r>
            <w:bookmarkStart w:id="803" w:name="xdx_432_c20240101__20241231_eus-gaap--Cl"/>
            <w:bookmarkEnd w:id="803"/>
          </w:p>
        </w:tc>
      </w:tr>
      <w:tr>
        <w:trPr/>
        <w:tc>
          <w:tcPr>
            <w:tcW w:w="4100" w:type="dxa"/>
            <w:tcBorders/>
            <w:shd w:fill="CCEEFF" w:val="clear"/>
            <w:vAlign w:val="center"/>
          </w:tcPr>
          <w:p>
            <w:pPr>
              <w:pStyle w:val="TableContents"/>
              <w:bidi w:val="0"/>
              <w:spacing w:before="0" w:after="283"/>
              <w:jc w:val="both"/>
              <w:rPr/>
            </w:pPr>
            <w:r>
              <w:rPr/>
              <w:t>Warrants Outstanding,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166,821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209,391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1,236,878</w:t>
            </w:r>
          </w:p>
        </w:tc>
        <w:tc>
          <w:tcPr>
            <w:tcW w:w="110" w:type="dxa"/>
            <w:tcBorders/>
            <w:shd w:fill="CCEEFF" w:val="clear"/>
            <w:vAlign w:val="center"/>
          </w:tcPr>
          <w:p>
            <w:pPr>
              <w:pStyle w:val="TableContents"/>
              <w:bidi w:val="0"/>
              <w:spacing w:before="0" w:after="283"/>
              <w:ind w:left="0" w:right="0" w:hanging="10"/>
              <w:jc w:val="left"/>
              <w:rPr/>
            </w:pPr>
            <w:r>
              <w:rPr/>
              <w:t> </w:t>
            </w:r>
            <w:bookmarkStart w:id="804" w:name="xdx_404_eus-gaap--ShareBasedCompensation"/>
            <w:bookmarkEnd w:id="804"/>
          </w:p>
        </w:tc>
      </w:tr>
      <w:tr>
        <w:trPr/>
        <w:tc>
          <w:tcPr>
            <w:tcW w:w="410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bookmarkStart w:id="805" w:name="xdx_40B_ecustom--ClassOfWarrantOrRightIs"/>
            <w:bookmarkEnd w:id="805"/>
          </w:p>
        </w:tc>
      </w:tr>
      <w:tr>
        <w:trPr/>
        <w:tc>
          <w:tcPr>
            <w:tcW w:w="4100"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1,202,756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bookmarkStart w:id="806" w:name="xdx_432_c20240101__20241231_eus-gaap--Cl"/>
            <w:bookmarkEnd w:id="806"/>
          </w:p>
        </w:tc>
      </w:tr>
      <w:tr>
        <w:trPr/>
        <w:tc>
          <w:tcPr>
            <w:tcW w:w="4100" w:type="dxa"/>
            <w:tcBorders/>
            <w:shd w:fill="FFFFFF" w:val="clear"/>
            <w:vAlign w:val="center"/>
          </w:tcPr>
          <w:p>
            <w:pPr>
              <w:pStyle w:val="TableContents"/>
              <w:bidi w:val="0"/>
              <w:spacing w:before="0" w:after="283"/>
              <w:jc w:val="both"/>
              <w:rPr/>
            </w:pPr>
            <w:r>
              <w:rPr/>
              <w:t>Warrants Outstanding,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166,821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1,046,948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pPr>
            <w:r>
              <w:rPr/>
              <w:t>1,412,147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1,236,878</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1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807" w:name="xdx_438_c20230101__20231231_eus-gaap--Cl"/>
            <w:bookmarkEnd w:id="807"/>
          </w:p>
        </w:tc>
      </w:tr>
      <w:tr>
        <w:trPr/>
        <w:tc>
          <w:tcPr>
            <w:tcW w:w="4100" w:type="dxa"/>
            <w:tcBorders/>
            <w:shd w:fill="FFFFFF" w:val="clear"/>
            <w:vAlign w:val="center"/>
          </w:tcPr>
          <w:p>
            <w:pPr>
              <w:pStyle w:val="TableContents"/>
              <w:bidi w:val="0"/>
              <w:spacing w:before="0" w:after="283"/>
              <w:jc w:val="both"/>
              <w:rPr/>
            </w:pPr>
            <w:r>
              <w:rPr/>
              <w:t>Warrants Outstanding, January 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514,207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288,118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bookmarkStart w:id="808" w:name="xdx_432_c20230101__20231231_eus-gaap--Cl"/>
            <w:bookmarkEnd w:id="808"/>
          </w:p>
        </w:tc>
      </w:tr>
      <w:tr>
        <w:trPr/>
        <w:tc>
          <w:tcPr>
            <w:tcW w:w="4100" w:type="dxa"/>
            <w:tcBorders/>
            <w:shd w:fill="FFFFFF" w:val="clear"/>
            <w:vAlign w:val="center"/>
          </w:tcPr>
          <w:p>
            <w:pPr>
              <w:pStyle w:val="TableContents"/>
              <w:bidi w:val="0"/>
              <w:spacing w:before="0" w:after="283"/>
              <w:jc w:val="both"/>
              <w:rPr/>
            </w:pPr>
            <w:r>
              <w:rPr/>
              <w:t>Warrants Outstanding, Beginning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514,207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288,118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bookmarkStart w:id="809" w:name="xdx_404_eus-gaap--ShareBasedCompensation"/>
            <w:bookmarkEnd w:id="809"/>
          </w:p>
        </w:tc>
      </w:tr>
      <w:tr>
        <w:trPr/>
        <w:tc>
          <w:tcPr>
            <w:tcW w:w="410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(347,386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(222,223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(30,345</w:t>
            </w:r>
          </w:p>
        </w:tc>
        <w:tc>
          <w:tcPr>
            <w:tcW w:w="110" w:type="dxa"/>
            <w:tcBorders/>
            <w:shd w:fill="CCEEFF" w:val="clear"/>
            <w:vAlign w:val="center"/>
          </w:tcPr>
          <w:p>
            <w:pPr>
              <w:pStyle w:val="TableContents"/>
              <w:bidi w:val="0"/>
              <w:spacing w:before="0" w:after="283"/>
              <w:ind w:left="0" w:right="0" w:hanging="10"/>
              <w:jc w:val="left"/>
              <w:rPr/>
            </w:pPr>
            <w:r>
              <w:rPr/>
              <w:t>)</w:t>
            </w:r>
            <w:bookmarkStart w:id="810" w:name="xdx_40B_ecustom--ClassOfWarrantOrRightIs"/>
            <w:bookmarkEnd w:id="810"/>
          </w:p>
        </w:tc>
      </w:tr>
      <w:tr>
        <w:trPr/>
        <w:tc>
          <w:tcPr>
            <w:tcW w:w="4100"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143,496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1,267,223</w:t>
            </w:r>
          </w:p>
        </w:tc>
        <w:tc>
          <w:tcPr>
            <w:tcW w:w="110" w:type="dxa"/>
            <w:tcBorders/>
            <w:shd w:fill="FFFFFF" w:val="clear"/>
            <w:vAlign w:val="center"/>
          </w:tcPr>
          <w:p>
            <w:pPr>
              <w:pStyle w:val="TableContents"/>
              <w:bidi w:val="0"/>
              <w:spacing w:before="0" w:after="283"/>
              <w:ind w:left="0" w:right="0" w:hanging="10"/>
              <w:jc w:val="left"/>
              <w:rPr/>
            </w:pPr>
            <w:r>
              <w:rPr/>
              <w:t> </w:t>
            </w:r>
            <w:bookmarkStart w:id="811" w:name="xdx_43F_c20230101__20231231_eus-gaap--Cl"/>
            <w:bookmarkEnd w:id="811"/>
          </w:p>
        </w:tc>
      </w:tr>
      <w:tr>
        <w:trPr/>
        <w:tc>
          <w:tcPr>
            <w:tcW w:w="4100" w:type="dxa"/>
            <w:tcBorders/>
            <w:shd w:fill="CCEEFF" w:val="clear"/>
            <w:vAlign w:val="center"/>
          </w:tcPr>
          <w:p>
            <w:pPr>
              <w:pStyle w:val="TableContents"/>
              <w:bidi w:val="0"/>
              <w:spacing w:before="0" w:after="283"/>
              <w:jc w:val="both"/>
              <w:rPr/>
            </w:pPr>
            <w:r>
              <w:rPr/>
              <w:t>Warrants Outstanding,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166,821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1,046,948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209,391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1,236,878</w:t>
            </w:r>
          </w:p>
        </w:tc>
        <w:tc>
          <w:tcPr>
            <w:tcW w:w="110" w:type="dxa"/>
            <w:tcBorders/>
            <w:shd w:fill="CCEEFF" w:val="clear"/>
            <w:vAlign w:val="center"/>
          </w:tcPr>
          <w:p>
            <w:pPr>
              <w:pStyle w:val="TableContents"/>
              <w:bidi w:val="0"/>
              <w:spacing w:before="0" w:after="283"/>
              <w:ind w:left="0" w:right="0" w:hanging="10"/>
              <w:jc w:val="left"/>
              <w:rPr/>
            </w:pPr>
            <w:r>
              <w:rPr/>
              <w:t> </w:t>
            </w:r>
            <w:bookmarkStart w:id="812" w:name="xdx_43C_c20230101__20231231_eus-gaap--Cl"/>
            <w:bookmarkEnd w:id="812"/>
          </w:p>
        </w:tc>
      </w:tr>
      <w:tr>
        <w:trPr/>
        <w:tc>
          <w:tcPr>
            <w:tcW w:w="4100" w:type="dxa"/>
            <w:tcBorders/>
            <w:shd w:fill="CCEEFF" w:val="clear"/>
            <w:vAlign w:val="center"/>
          </w:tcPr>
          <w:p>
            <w:pPr>
              <w:pStyle w:val="TableContents"/>
              <w:bidi w:val="0"/>
              <w:spacing w:before="0" w:after="283"/>
              <w:jc w:val="both"/>
              <w:rPr/>
            </w:pPr>
            <w:r>
              <w:rPr/>
              <w:t>Warrants Outstanding, Ending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166,821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1,046,948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209,391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1,236,878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3" w:name="xdx_8A6_zEPd2Esd3iBh"/>
      <w:bookmarkEnd w:id="813"/>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Warrants classified as Liability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 forward of the aggregate fair values of the Company’s warrant liabilities for which fair value is determined by Level 2 Inputs. The only class of warrants that were determined to be Level 2 were the term loan and June offering investor warrants. 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814" w:name="xdx_8B3_zabNVm1hPKB6"/>
      <w:bookmarkStart w:id="815" w:name="xdx_899_eus-gaap--FairValueLiabilitiesMe"/>
      <w:bookmarkEnd w:id="814"/>
      <w:bookmarkEnd w:id="815"/>
      <w:r>
        <w:rPr>
          <w:rFonts w:ascii="Times New Roman;Times;Serif" w:hAnsi="Times New Roman;Times;Serif"/>
          <w:b w:val="false"/>
          <w:i w:val="false"/>
          <w:caps w:val="false"/>
          <w:smallCaps w:val="false"/>
          <w:sz w:val="20"/>
        </w:rPr>
        <w:t>SCHEDULE OF ROLL FORWARD OF AGGREGATE FAIR VALUES OF WARRANT LIABILITIES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816" w:name="xdx_4B1_us-gaap--StatementEquityComponen"/>
            <w:bookmarkEnd w:id="816"/>
          </w:p>
        </w:tc>
        <w:tc>
          <w:tcPr>
            <w:tcW w:w="1639" w:type="dxa"/>
            <w:gridSpan w:val="2"/>
            <w:tcBorders>
              <w:bottom w:val="single" w:sz="8" w:space="0" w:color="000000"/>
            </w:tcBorders>
            <w:tcMar>
              <w:bottom w:w="28" w:type="dxa"/>
            </w:tcMar>
            <w:vAlign w:val="center"/>
          </w:tcPr>
          <w:p>
            <w:pPr>
              <w:pStyle w:val="TableContents"/>
              <w:bidi w:val="0"/>
              <w:spacing w:before="0" w:after="283"/>
              <w:jc w:val="center"/>
              <w:rPr/>
            </w:pPr>
            <w:r>
              <w:rPr/>
              <w:t>Warrant Liability</w:t>
            </w:r>
          </w:p>
        </w:tc>
        <w:tc>
          <w:tcPr>
            <w:tcW w:w="110" w:type="dxa"/>
            <w:tcBorders/>
            <w:vAlign w:val="center"/>
          </w:tcPr>
          <w:p>
            <w:pPr>
              <w:pStyle w:val="TableContents"/>
              <w:bidi w:val="0"/>
              <w:spacing w:before="0" w:after="283"/>
              <w:ind w:left="0" w:right="0" w:hanging="10"/>
              <w:jc w:val="left"/>
              <w:rPr/>
            </w:pPr>
            <w:r>
              <w:rPr/>
              <w:t> </w:t>
            </w:r>
            <w:bookmarkStart w:id="817" w:name="xdx_43F_c20240101__20241231_eus-gaap--Fa"/>
            <w:bookmarkEnd w:id="817"/>
          </w:p>
        </w:tc>
      </w:tr>
      <w:tr>
        <w:trPr/>
        <w:tc>
          <w:tcPr>
            <w:tcW w:w="3080" w:type="dxa"/>
            <w:tcBorders/>
            <w:shd w:fill="CCEEFF" w:val="clear"/>
            <w:vAlign w:val="center"/>
          </w:tcPr>
          <w:p>
            <w:pPr>
              <w:pStyle w:val="TableContents"/>
              <w:bidi w:val="0"/>
              <w:spacing w:before="0" w:after="283"/>
              <w:jc w:val="both"/>
              <w:rPr/>
            </w:pPr>
            <w:r>
              <w:rPr/>
              <w:t>Balances, January 1, 2024</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4,448</w:t>
            </w:r>
          </w:p>
        </w:tc>
        <w:tc>
          <w:tcPr>
            <w:tcW w:w="110" w:type="dxa"/>
            <w:tcBorders/>
            <w:shd w:fill="CCEEFF" w:val="clear"/>
            <w:vAlign w:val="center"/>
          </w:tcPr>
          <w:p>
            <w:pPr>
              <w:pStyle w:val="TableContents"/>
              <w:bidi w:val="0"/>
              <w:spacing w:before="0" w:after="283"/>
              <w:ind w:left="0" w:right="0" w:hanging="10"/>
              <w:jc w:val="left"/>
              <w:rPr/>
            </w:pPr>
            <w:r>
              <w:rPr/>
              <w:t> </w:t>
            </w:r>
            <w:bookmarkStart w:id="818" w:name="xdx_400_eus-gaap--FairValueMeasurementWi"/>
            <w:bookmarkEnd w:id="818"/>
          </w:p>
        </w:tc>
      </w:tr>
      <w:tr>
        <w:trPr/>
        <w:tc>
          <w:tcPr>
            <w:tcW w:w="3080" w:type="dxa"/>
            <w:tcBorders/>
            <w:shd w:fill="FFFFFF" w:val="clear"/>
            <w:vAlign w:val="center"/>
          </w:tcPr>
          <w:p>
            <w:pPr>
              <w:pStyle w:val="TableContents"/>
              <w:bidi w:val="0"/>
              <w:spacing w:before="0" w:after="283"/>
              <w:jc w:val="both"/>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7,354</w:t>
            </w:r>
          </w:p>
        </w:tc>
        <w:tc>
          <w:tcPr>
            <w:tcW w:w="110" w:type="dxa"/>
            <w:tcBorders/>
            <w:shd w:fill="FFFFFF" w:val="clear"/>
            <w:vAlign w:val="center"/>
          </w:tcPr>
          <w:p>
            <w:pPr>
              <w:pStyle w:val="TableContents"/>
              <w:bidi w:val="0"/>
              <w:spacing w:before="0" w:after="283"/>
              <w:ind w:left="0" w:right="0" w:hanging="10"/>
              <w:jc w:val="left"/>
              <w:rPr/>
            </w:pPr>
            <w:r>
              <w:rPr/>
              <w:t> </w:t>
            </w:r>
            <w:bookmarkStart w:id="819" w:name="xdx_404_ecustom--FairValueMeasurementWit"/>
            <w:bookmarkEnd w:id="819"/>
          </w:p>
        </w:tc>
      </w:tr>
      <w:tr>
        <w:trPr/>
        <w:tc>
          <w:tcPr>
            <w:tcW w:w="308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bookmarkStart w:id="820" w:name="xdx_405_eus-gaap--FairValueMeasurementWi"/>
            <w:bookmarkEnd w:id="820"/>
          </w:p>
        </w:tc>
      </w:tr>
      <w:tr>
        <w:trPr/>
        <w:tc>
          <w:tcPr>
            <w:tcW w:w="3080" w:type="dxa"/>
            <w:tcBorders/>
            <w:shd w:fill="FFFFFF" w:val="clear"/>
            <w:vAlign w:val="center"/>
          </w:tcPr>
          <w:p>
            <w:pPr>
              <w:pStyle w:val="TableContents"/>
              <w:bidi w:val="0"/>
              <w:spacing w:before="0" w:after="283"/>
              <w:jc w:val="both"/>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pPr>
            <w:r>
              <w:rPr/>
              <w:t>(6,669</w:t>
            </w:r>
          </w:p>
        </w:tc>
        <w:tc>
          <w:tcPr>
            <w:tcW w:w="110" w:type="dxa"/>
            <w:tcBorders/>
            <w:shd w:fill="FFFFFF" w:val="clear"/>
            <w:vAlign w:val="center"/>
          </w:tcPr>
          <w:p>
            <w:pPr>
              <w:pStyle w:val="TableContents"/>
              <w:bidi w:val="0"/>
              <w:spacing w:before="0" w:after="283"/>
              <w:ind w:left="0" w:right="0" w:hanging="10"/>
              <w:jc w:val="left"/>
              <w:rPr/>
            </w:pPr>
            <w:r>
              <w:rPr/>
              <w:t>)</w:t>
            </w:r>
            <w:bookmarkStart w:id="821" w:name="xdx_43B_c20240101__20241231_eus-gaap--Fa"/>
            <w:bookmarkEnd w:id="821"/>
          </w:p>
        </w:tc>
      </w:tr>
      <w:tr>
        <w:trPr/>
        <w:tc>
          <w:tcPr>
            <w:tcW w:w="3080" w:type="dxa"/>
            <w:tcBorders/>
            <w:shd w:fill="CCEEFF" w:val="clear"/>
            <w:vAlign w:val="center"/>
          </w:tcPr>
          <w:p>
            <w:pPr>
              <w:pStyle w:val="TableContents"/>
              <w:bidi w:val="0"/>
              <w:spacing w:before="0" w:after="283"/>
              <w:jc w:val="both"/>
              <w:rPr/>
            </w:pPr>
            <w:r>
              <w:rPr/>
              <w:t>Balances, December 31, 2024</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pPr>
            <w:r>
              <w:rPr/>
              <w:t>5,133</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bookmarkStart w:id="822" w:name="xdx_438_c20230101__20231231_eus-gaap--Fa"/>
            <w:bookmarkEnd w:id="822"/>
          </w:p>
        </w:tc>
      </w:tr>
      <w:tr>
        <w:trPr/>
        <w:tc>
          <w:tcPr>
            <w:tcW w:w="3080"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30,841</w:t>
            </w:r>
          </w:p>
        </w:tc>
        <w:tc>
          <w:tcPr>
            <w:tcW w:w="110" w:type="dxa"/>
            <w:tcBorders/>
            <w:shd w:fill="CCEEFF" w:val="clear"/>
            <w:vAlign w:val="center"/>
          </w:tcPr>
          <w:p>
            <w:pPr>
              <w:pStyle w:val="TableContents"/>
              <w:bidi w:val="0"/>
              <w:spacing w:before="0" w:after="283"/>
              <w:ind w:left="0" w:right="0" w:hanging="10"/>
              <w:jc w:val="left"/>
              <w:rPr/>
            </w:pPr>
            <w:r>
              <w:rPr/>
              <w:t> </w:t>
            </w:r>
            <w:bookmarkStart w:id="823" w:name="xdx_43A_c20230101__20231231_eus-gaap--Fa"/>
            <w:bookmarkEnd w:id="823"/>
          </w:p>
        </w:tc>
      </w:tr>
      <w:tr>
        <w:trPr/>
        <w:tc>
          <w:tcPr>
            <w:tcW w:w="3080" w:type="dxa"/>
            <w:tcBorders/>
            <w:shd w:fill="CCEEFF" w:val="clear"/>
            <w:vAlign w:val="center"/>
          </w:tcPr>
          <w:p>
            <w:pPr>
              <w:pStyle w:val="TableContents"/>
              <w:bidi w:val="0"/>
              <w:spacing w:before="0" w:after="283"/>
              <w:jc w:val="both"/>
              <w:rPr/>
            </w:pPr>
            <w:r>
              <w:rPr/>
              <w:t>Warrant Liability, Balances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30,841</w:t>
            </w:r>
          </w:p>
        </w:tc>
        <w:tc>
          <w:tcPr>
            <w:tcW w:w="110" w:type="dxa"/>
            <w:tcBorders/>
            <w:shd w:fill="CCEEFF" w:val="clear"/>
            <w:vAlign w:val="center"/>
          </w:tcPr>
          <w:p>
            <w:pPr>
              <w:pStyle w:val="TableContents"/>
              <w:bidi w:val="0"/>
              <w:spacing w:before="0" w:after="283"/>
              <w:ind w:left="0" w:right="0" w:hanging="10"/>
              <w:jc w:val="left"/>
              <w:rPr/>
            </w:pPr>
            <w:r>
              <w:rPr/>
              <w:t> </w:t>
            </w:r>
            <w:bookmarkStart w:id="824" w:name="xdx_40C_eus-gaap--FairValueMeasurementWi"/>
            <w:bookmarkEnd w:id="824"/>
          </w:p>
        </w:tc>
      </w:tr>
      <w:tr>
        <w:trPr/>
        <w:tc>
          <w:tcPr>
            <w:tcW w:w="3080" w:type="dxa"/>
            <w:tcBorders/>
            <w:shd w:fill="FFFFFF" w:val="clear"/>
            <w:vAlign w:val="center"/>
          </w:tcPr>
          <w:p>
            <w:pPr>
              <w:pStyle w:val="TableContents"/>
              <w:bidi w:val="0"/>
              <w:spacing w:before="0" w:after="283"/>
              <w:jc w:val="both"/>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14,460</w:t>
            </w:r>
          </w:p>
        </w:tc>
        <w:tc>
          <w:tcPr>
            <w:tcW w:w="110" w:type="dxa"/>
            <w:tcBorders/>
            <w:shd w:fill="FFFFFF" w:val="clear"/>
            <w:vAlign w:val="center"/>
          </w:tcPr>
          <w:p>
            <w:pPr>
              <w:pStyle w:val="TableContents"/>
              <w:bidi w:val="0"/>
              <w:spacing w:before="0" w:after="283"/>
              <w:ind w:left="0" w:right="0" w:hanging="10"/>
              <w:jc w:val="left"/>
              <w:rPr/>
            </w:pPr>
            <w:r>
              <w:rPr/>
              <w:t> </w:t>
            </w:r>
            <w:bookmarkStart w:id="825" w:name="xdx_401_ecustom--FairValueMeasurementWit"/>
            <w:bookmarkEnd w:id="825"/>
          </w:p>
        </w:tc>
      </w:tr>
      <w:tr>
        <w:trPr/>
        <w:tc>
          <w:tcPr>
            <w:tcW w:w="308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(11,901</w:t>
            </w:r>
          </w:p>
        </w:tc>
        <w:tc>
          <w:tcPr>
            <w:tcW w:w="110" w:type="dxa"/>
            <w:tcBorders/>
            <w:shd w:fill="CCEEFF" w:val="clear"/>
            <w:vAlign w:val="center"/>
          </w:tcPr>
          <w:p>
            <w:pPr>
              <w:pStyle w:val="TableContents"/>
              <w:bidi w:val="0"/>
              <w:spacing w:before="0" w:after="283"/>
              <w:ind w:left="0" w:right="0" w:hanging="10"/>
              <w:jc w:val="left"/>
              <w:rPr/>
            </w:pPr>
            <w:r>
              <w:rPr/>
              <w:t>)</w:t>
            </w:r>
            <w:bookmarkStart w:id="826" w:name="xdx_40B_eus-gaap--FairValueMeasurementWi"/>
            <w:bookmarkEnd w:id="826"/>
          </w:p>
        </w:tc>
      </w:tr>
      <w:tr>
        <w:trPr/>
        <w:tc>
          <w:tcPr>
            <w:tcW w:w="3080" w:type="dxa"/>
            <w:tcBorders/>
            <w:shd w:fill="FFFFFF" w:val="clear"/>
            <w:vAlign w:val="center"/>
          </w:tcPr>
          <w:p>
            <w:pPr>
              <w:pStyle w:val="TableContents"/>
              <w:bidi w:val="0"/>
              <w:spacing w:before="0" w:after="283"/>
              <w:jc w:val="both"/>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pPr>
            <w:r>
              <w:rPr/>
              <w:t>(28,952</w:t>
            </w:r>
          </w:p>
        </w:tc>
        <w:tc>
          <w:tcPr>
            <w:tcW w:w="110" w:type="dxa"/>
            <w:tcBorders/>
            <w:shd w:fill="FFFFFF" w:val="clear"/>
            <w:vAlign w:val="center"/>
          </w:tcPr>
          <w:p>
            <w:pPr>
              <w:pStyle w:val="TableContents"/>
              <w:bidi w:val="0"/>
              <w:spacing w:before="0" w:after="283"/>
              <w:ind w:left="0" w:right="0" w:hanging="10"/>
              <w:jc w:val="left"/>
              <w:rPr/>
            </w:pPr>
            <w:r>
              <w:rPr/>
              <w:t>)</w:t>
            </w:r>
            <w:bookmarkStart w:id="827" w:name="xdx_436_c20230101__20231231_eus-gaap--Fa"/>
            <w:bookmarkEnd w:id="827"/>
          </w:p>
        </w:tc>
      </w:tr>
      <w:tr>
        <w:trPr/>
        <w:tc>
          <w:tcPr>
            <w:tcW w:w="3080" w:type="dxa"/>
            <w:tcBorders/>
            <w:shd w:fill="CCEEFF" w:val="clear"/>
            <w:vAlign w:val="center"/>
          </w:tcPr>
          <w:p>
            <w:pPr>
              <w:pStyle w:val="TableContents"/>
              <w:bidi w:val="0"/>
              <w:spacing w:before="0" w:after="283"/>
              <w:jc w:val="both"/>
              <w:rPr/>
            </w:pPr>
            <w:r>
              <w:rPr/>
              <w:t>Balances, December 31, 2023</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4,448</w:t>
            </w:r>
          </w:p>
        </w:tc>
        <w:tc>
          <w:tcPr>
            <w:tcW w:w="110" w:type="dxa"/>
            <w:tcBorders/>
            <w:shd w:fill="CCEEFF" w:val="clear"/>
            <w:vAlign w:val="center"/>
          </w:tcPr>
          <w:p>
            <w:pPr>
              <w:pStyle w:val="TableContents"/>
              <w:bidi w:val="0"/>
              <w:spacing w:before="0" w:after="283"/>
              <w:ind w:left="0" w:right="0" w:hanging="10"/>
              <w:jc w:val="left"/>
              <w:rPr/>
            </w:pPr>
            <w:r>
              <w:rPr/>
              <w:t> </w:t>
            </w:r>
            <w:bookmarkStart w:id="828" w:name="xdx_433_c20230101__20231231_eus-gaap--Fa"/>
            <w:bookmarkEnd w:id="828"/>
          </w:p>
        </w:tc>
      </w:tr>
      <w:tr>
        <w:trPr/>
        <w:tc>
          <w:tcPr>
            <w:tcW w:w="3080" w:type="dxa"/>
            <w:tcBorders/>
            <w:shd w:fill="CCEEFF" w:val="clear"/>
            <w:vAlign w:val="center"/>
          </w:tcPr>
          <w:p>
            <w:pPr>
              <w:pStyle w:val="TableContents"/>
              <w:bidi w:val="0"/>
              <w:spacing w:before="0" w:after="283"/>
              <w:jc w:val="both"/>
              <w:rPr/>
            </w:pPr>
            <w:r>
              <w:rPr/>
              <w:t>Warrant Liability, Balance</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4,448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rPr>
      </w:pPr>
      <w:bookmarkStart w:id="829" w:name="xdx_8AF_zoFhZK5lQ7y"/>
      <w:bookmarkEnd w:id="829"/>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bookmarkStart w:id="830" w:name="xdx_800_eus-gaap--StockholdersEquityNote"/>
      <w:bookmarkEnd w:id="830"/>
      <w:r>
        <w:rPr>
          <w:rFonts w:ascii="Times New Roman;Times;Serif" w:hAnsi="Times New Roman;Times;Serif"/>
          <w:b/>
          <w:i w:val="false"/>
          <w:caps/>
          <w:sz w:val="20"/>
        </w:rPr>
        <w:t xml:space="preserve">Note 11 - </w:t>
      </w:r>
      <w:bookmarkStart w:id="831" w:name="xdx_820_z2HC1vHZcGXl"/>
      <w:bookmarkEnd w:id="831"/>
      <w:r>
        <w:rPr>
          <w:rFonts w:ascii="Times New Roman;Times;Serif" w:hAnsi="Times New Roman;Times;Serif"/>
          <w:b/>
          <w:i w:val="false"/>
          <w:caps/>
          <w:sz w:val="20"/>
        </w:rPr>
        <w:t>COMMON STOCK</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w:t>
      </w:r>
      <w:bookmarkStart w:id="832" w:name="xdx_90E_eus-gaap--CommonStockSharesAutho"/>
      <w:bookmarkEnd w:id="832"/>
      <w:r>
        <w:rPr>
          <w:rFonts w:ascii="Times New Roman;Times;Serif" w:hAnsi="Times New Roman;Times;Serif"/>
          <w:b w:val="false"/>
          <w:i w:val="false"/>
          <w:caps w:val="false"/>
          <w:smallCaps w:val="false"/>
          <w:sz w:val="20"/>
        </w:rPr>
        <w:t>250,000,000 shares of common stock with $</w:t>
      </w:r>
      <w:bookmarkStart w:id="833" w:name="xdx_904_eus-gaap--CommonStockParOrStated"/>
      <w:bookmarkEnd w:id="833"/>
      <w:r>
        <w:rPr>
          <w:rFonts w:ascii="Times New Roman;Times;Serif" w:hAnsi="Times New Roman;Times;Serif"/>
          <w:b w:val="false"/>
          <w:i w:val="false"/>
          <w:caps w:val="false"/>
          <w:smallCaps w:val="false"/>
          <w:sz w:val="20"/>
        </w:rPr>
        <w:t xml:space="preserve">0.0001 par value. Common stockholders are entitled to dividends if and when declared by the Board of Directors subject to the rights of the preferred stockholders. As of December 31, 2024 and 2023, there were </w:t>
      </w:r>
      <w:bookmarkStart w:id="834" w:name="xdx_906_eus-gaap--CommonStockSharesOutst"/>
      <w:bookmarkStart w:id="835" w:name="xdx_90F_eus-gaap--CommonStockSharesIssue"/>
      <w:bookmarkEnd w:id="834"/>
      <w:bookmarkEnd w:id="835"/>
      <w:r>
        <w:rPr>
          <w:rFonts w:ascii="Times New Roman;Times;Serif" w:hAnsi="Times New Roman;Times;Serif"/>
          <w:b w:val="false"/>
          <w:i w:val="false"/>
          <w:caps w:val="false"/>
          <w:smallCaps w:val="false"/>
          <w:sz w:val="20"/>
        </w:rPr>
        <w:t xml:space="preserve">7,232,650 and </w:t>
      </w:r>
      <w:bookmarkStart w:id="836" w:name="xdx_900_eus-gaap--CommonStockSharesOutst"/>
      <w:bookmarkStart w:id="837" w:name="xdx_90D_eus-gaap--CommonStockSharesIssue"/>
      <w:bookmarkEnd w:id="836"/>
      <w:bookmarkEnd w:id="837"/>
      <w:r>
        <w:rPr>
          <w:rFonts w:ascii="Times New Roman;Times;Serif" w:hAnsi="Times New Roman;Times;Serif"/>
          <w:b w:val="false"/>
          <w:i w:val="false"/>
          <w:caps w:val="false"/>
          <w:smallCaps w:val="false"/>
          <w:sz w:val="20"/>
        </w:rPr>
        <w:t>6,695,587 shares issued and outstanding. No dividends on common stock had been declared by the Company.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838" w:name="xdx_89B_ecustom--SummaryOfReservedShares"/>
      <w:bookmarkEnd w:id="838"/>
      <w:r>
        <w:rPr>
          <w:rFonts w:ascii="Times New Roman;Times;Serif" w:hAnsi="Times New Roman;Times;Serif"/>
          <w:b w:val="false"/>
          <w:i w:val="false"/>
          <w:caps w:val="false"/>
          <w:smallCaps w:val="false"/>
          <w:sz w:val="20"/>
        </w:rPr>
        <w:t>For the years ended December 31, 2024 and 2023, the Company had reserved shares of common stock for issuance as follows: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839" w:name="xdx_8BF_z8tl4SAyGZ5f"/>
      <w:bookmarkEnd w:id="839"/>
      <w:r>
        <w:rPr>
          <w:rFonts w:ascii="Times New Roman;Times;Serif" w:hAnsi="Times New Roman;Times;Serif"/>
          <w:b w:val="false"/>
          <w:i w:val="false"/>
          <w:caps w:val="false"/>
          <w:smallCaps w:val="false"/>
          <w:sz w:val="20"/>
        </w:rPr>
        <w:t>SUMMARY OF RESERVED SHARES OF COMMON STOCK FOR ISSUANCE </w:t>
      </w:r>
    </w:p>
    <w:tbl>
      <w:tblPr>
        <w:tblW w:w="6448" w:type="dxa"/>
        <w:jc w:val="left"/>
        <w:tblInd w:w="0" w:type="dxa"/>
        <w:tblLayout w:type="fixed"/>
        <w:tblCellMar>
          <w:top w:w="0" w:type="dxa"/>
          <w:left w:w="0" w:type="dxa"/>
          <w:bottom w:w="0" w:type="dxa"/>
          <w:right w:w="0" w:type="dxa"/>
        </w:tblCellMar>
      </w:tblPr>
      <w:tblGrid>
        <w:gridCol w:w="3365"/>
        <w:gridCol w:w="60"/>
        <w:gridCol w:w="73"/>
        <w:gridCol w:w="1341"/>
        <w:gridCol w:w="60"/>
        <w:gridCol w:w="60"/>
        <w:gridCol w:w="73"/>
        <w:gridCol w:w="1341"/>
        <w:gridCol w:w="75"/>
      </w:tblGrid>
      <w:tr>
        <w:trPr/>
        <w:tc>
          <w:tcPr>
            <w:tcW w:w="33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840" w:name="xdx_498_20241231_zRIt4ORUxkU1"/>
            <w:bookmarkEnd w:id="840"/>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31,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1" w:name="xdx_495_20231231_zD5KQMZ3Fcf2"/>
            <w:bookmarkEnd w:id="841"/>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31, </w:t>
              <w:br/>
              <w:t>2023</w:t>
            </w:r>
          </w:p>
        </w:tc>
        <w:tc>
          <w:tcPr>
            <w:tcW w:w="75" w:type="dxa"/>
            <w:tcBorders/>
            <w:vAlign w:val="center"/>
          </w:tcPr>
          <w:p>
            <w:pPr>
              <w:pStyle w:val="TableContents"/>
              <w:bidi w:val="0"/>
              <w:spacing w:before="0" w:after="283"/>
              <w:ind w:left="0" w:right="0" w:hanging="10"/>
              <w:jc w:val="left"/>
              <w:rPr/>
            </w:pPr>
            <w:r>
              <w:rPr/>
              <w:t> </w:t>
            </w:r>
            <w:bookmarkStart w:id="842" w:name="xdx_403_eus-gaap--ShareBasedCompensation"/>
            <w:bookmarkEnd w:id="842"/>
          </w:p>
        </w:tc>
      </w:tr>
      <w:tr>
        <w:trPr/>
        <w:tc>
          <w:tcPr>
            <w:tcW w:w="3365" w:type="dxa"/>
            <w:tcBorders/>
            <w:shd w:fill="CCEEFF" w:val="clear"/>
            <w:vAlign w:val="center"/>
          </w:tcPr>
          <w:p>
            <w:pPr>
              <w:pStyle w:val="TableContents"/>
              <w:bidi w:val="0"/>
              <w:spacing w:before="0" w:after="283"/>
              <w:jc w:val="both"/>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168,809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262,720</w:t>
            </w:r>
          </w:p>
        </w:tc>
        <w:tc>
          <w:tcPr>
            <w:tcW w:w="75" w:type="dxa"/>
            <w:tcBorders/>
            <w:shd w:fill="CCEEFF" w:val="clear"/>
            <w:vAlign w:val="center"/>
          </w:tcPr>
          <w:p>
            <w:pPr>
              <w:pStyle w:val="TableContents"/>
              <w:bidi w:val="0"/>
              <w:spacing w:before="0" w:after="283"/>
              <w:ind w:left="0" w:right="0" w:hanging="10"/>
              <w:jc w:val="left"/>
              <w:rPr/>
            </w:pPr>
            <w:r>
              <w:rPr/>
              <w:t> </w:t>
            </w:r>
            <w:bookmarkStart w:id="843" w:name="xdx_40F_eus-gaap--CommonStockSharesOutst"/>
            <w:bookmarkEnd w:id="843"/>
          </w:p>
        </w:tc>
      </w:tr>
      <w:tr>
        <w:trPr/>
        <w:tc>
          <w:tcPr>
            <w:tcW w:w="3365" w:type="dxa"/>
            <w:tcBorders/>
            <w:shd w:fill="FFFFFF" w:val="clear"/>
            <w:vAlign w:val="center"/>
          </w:tcPr>
          <w:p>
            <w:pPr>
              <w:pStyle w:val="TableContents"/>
              <w:bidi w:val="0"/>
              <w:spacing w:before="0" w:after="283"/>
              <w:jc w:val="both"/>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7,232,650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6,695,587</w:t>
            </w:r>
          </w:p>
        </w:tc>
        <w:tc>
          <w:tcPr>
            <w:tcW w:w="75" w:type="dxa"/>
            <w:tcBorders/>
            <w:shd w:fill="FFFFFF" w:val="clear"/>
            <w:vAlign w:val="center"/>
          </w:tcPr>
          <w:p>
            <w:pPr>
              <w:pStyle w:val="TableContents"/>
              <w:bidi w:val="0"/>
              <w:spacing w:before="0" w:after="283"/>
              <w:ind w:left="0" w:right="0" w:hanging="10"/>
              <w:jc w:val="left"/>
              <w:rPr/>
            </w:pPr>
            <w:r>
              <w:rPr/>
              <w:t> </w:t>
            </w:r>
            <w:bookmarkStart w:id="844" w:name="xdx_406_eus-gaap--ClassOfWarrantOrRightO"/>
            <w:bookmarkEnd w:id="844"/>
          </w:p>
        </w:tc>
      </w:tr>
      <w:tr>
        <w:trPr/>
        <w:tc>
          <w:tcPr>
            <w:tcW w:w="3365" w:type="dxa"/>
            <w:tcBorders/>
            <w:shd w:fill="CCEEFF" w:val="clear"/>
            <w:vAlign w:val="center"/>
          </w:tcPr>
          <w:p>
            <w:pPr>
              <w:pStyle w:val="TableContents"/>
              <w:bidi w:val="0"/>
              <w:spacing w:before="0" w:after="283"/>
              <w:jc w:val="both"/>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3,926,156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2,723,397</w:t>
            </w:r>
          </w:p>
        </w:tc>
        <w:tc>
          <w:tcPr>
            <w:tcW w:w="75" w:type="dxa"/>
            <w:tcBorders/>
            <w:shd w:fill="CCEEFF" w:val="clear"/>
            <w:vAlign w:val="center"/>
          </w:tcPr>
          <w:p>
            <w:pPr>
              <w:pStyle w:val="TableContents"/>
              <w:bidi w:val="0"/>
              <w:spacing w:before="0" w:after="283"/>
              <w:ind w:left="0" w:right="0" w:hanging="10"/>
              <w:jc w:val="left"/>
              <w:rPr/>
            </w:pPr>
            <w:r>
              <w:rPr/>
              <w:t> </w:t>
            </w:r>
            <w:bookmarkStart w:id="845" w:name="xdx_403_ecustom--EarnoutShares_iI_pid_zn"/>
            <w:bookmarkEnd w:id="845"/>
          </w:p>
        </w:tc>
      </w:tr>
      <w:tr>
        <w:trPr/>
        <w:tc>
          <w:tcPr>
            <w:tcW w:w="3365" w:type="dxa"/>
            <w:tcBorders/>
            <w:shd w:fill="FFFFFF" w:val="clear"/>
            <w:vAlign w:val="center"/>
          </w:tcPr>
          <w:p>
            <w:pPr>
              <w:pStyle w:val="TableContents"/>
              <w:bidi w:val="0"/>
              <w:spacing w:before="0" w:after="283"/>
              <w:jc w:val="both"/>
              <w:rPr/>
            </w:pPr>
            <w:r>
              <w:rPr/>
              <w:t>Earnout shares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2,777,778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4,444,444</w:t>
            </w:r>
          </w:p>
        </w:tc>
        <w:tc>
          <w:tcPr>
            <w:tcW w:w="75" w:type="dxa"/>
            <w:tcBorders/>
            <w:shd w:fill="FFFFFF" w:val="clear"/>
            <w:vAlign w:val="center"/>
          </w:tcPr>
          <w:p>
            <w:pPr>
              <w:pStyle w:val="TableContents"/>
              <w:bidi w:val="0"/>
              <w:spacing w:before="0" w:after="283"/>
              <w:ind w:left="0" w:right="0" w:hanging="10"/>
              <w:jc w:val="left"/>
              <w:rPr/>
            </w:pPr>
            <w:r>
              <w:rPr/>
              <w:t> </w:t>
            </w:r>
            <w:bookmarkStart w:id="846" w:name="xdx_40D_eus-gaap--ShareBasedCompensation"/>
            <w:bookmarkEnd w:id="846"/>
          </w:p>
        </w:tc>
      </w:tr>
      <w:tr>
        <w:trPr/>
        <w:tc>
          <w:tcPr>
            <w:tcW w:w="3365" w:type="dxa"/>
            <w:tcBorders/>
            <w:shd w:fill="CCEEFF" w:val="clear"/>
            <w:vAlign w:val="center"/>
          </w:tcPr>
          <w:p>
            <w:pPr>
              <w:pStyle w:val="TableContents"/>
              <w:bidi w:val="0"/>
              <w:spacing w:before="0" w:after="283"/>
              <w:jc w:val="both"/>
              <w:rPr/>
            </w:pPr>
            <w:r>
              <w:rPr/>
              <w:t>Shares available for future issuance</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pPr>
            <w:r>
              <w:rPr/>
              <w:t>854,412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pPr>
            <w:r>
              <w:rPr/>
              <w:t>496,587</w:t>
            </w:r>
          </w:p>
        </w:tc>
        <w:tc>
          <w:tcPr>
            <w:tcW w:w="75" w:type="dxa"/>
            <w:tcBorders/>
            <w:shd w:fill="CCEEFF" w:val="clear"/>
            <w:vAlign w:val="center"/>
          </w:tcPr>
          <w:p>
            <w:pPr>
              <w:pStyle w:val="TableContents"/>
              <w:bidi w:val="0"/>
              <w:spacing w:before="0" w:after="283"/>
              <w:ind w:left="0" w:right="0" w:hanging="10"/>
              <w:jc w:val="left"/>
              <w:rPr/>
            </w:pPr>
            <w:r>
              <w:rPr/>
              <w:t> </w:t>
            </w:r>
            <w:bookmarkStart w:id="847" w:name="xdx_407_eus-gaap--CommonStockCapitalShar"/>
            <w:bookmarkEnd w:id="847"/>
          </w:p>
        </w:tc>
      </w:tr>
      <w:tr>
        <w:trPr/>
        <w:tc>
          <w:tcPr>
            <w:tcW w:w="336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pPr>
            <w:r>
              <w:rPr/>
              <w:t>14,959,805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pPr>
            <w:r>
              <w:rPr/>
              <w:t>14,622,735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848" w:name="xdx_8A4_znHEyDuiRrv8"/>
      <w:bookmarkEnd w:id="848"/>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w:t>
      </w:r>
      <w:bookmarkStart w:id="849" w:name="xdx_903_ecustom--PlanOfMergerMaximumAggr"/>
      <w:bookmarkEnd w:id="849"/>
      <w:r>
        <w:rPr>
          <w:rFonts w:ascii="Times New Roman;Times;Serif" w:hAnsi="Times New Roman;Times;Serif"/>
          <w:b w:val="false"/>
          <w:i w:val="false"/>
          <w:caps w:val="false"/>
          <w:smallCaps w:val="false"/>
          <w:sz w:val="20"/>
        </w:rPr>
        <w:t xml:space="preserve">150 million, pursuant to the terms of the Purchase Agreement (the “ChEF Equity Facility”). In addition, the Company appointed LifeSci Capital, LLC as “qualified independent underwriter” with respect to the transactions contemplated by the Purchase Agreement. On May 20, 2024, the Company entered into an amendment to the Original Purchase Agreement (the “A&amp;R Purchase Agreement”, together with the Original Purchase Agreement, the “Purchase Agreement”) with CCM LLC to update the volume weighted average price purchase mechanics of the equity facility to permit Intraday VWAP Purchases (as defined in the A&amp;R Purchase Agreement). Under the terms of the Purchase Agreement with CCM LLC, during the years ended December 31, 2024 and 2023, the Company issued </w:t>
      </w:r>
      <w:bookmarkStart w:id="850" w:name="xdx_908_eus-gaap--StockIssuedDuringPerio"/>
      <w:bookmarkEnd w:id="850"/>
      <w:r>
        <w:rPr>
          <w:rFonts w:ascii="Times New Roman;Times;Serif" w:hAnsi="Times New Roman;Times;Serif"/>
          <w:b w:val="false"/>
          <w:i w:val="false"/>
          <w:caps w:val="false"/>
          <w:smallCaps w:val="false"/>
          <w:sz w:val="20"/>
        </w:rPr>
        <w:t xml:space="preserve">350,423 and </w:t>
      </w:r>
      <w:bookmarkStart w:id="851" w:name="xdx_90E_eus-gaap--StockIssuedDuringPerio"/>
      <w:bookmarkEnd w:id="851"/>
      <w:r>
        <w:rPr>
          <w:rFonts w:ascii="Times New Roman;Times;Serif" w:hAnsi="Times New Roman;Times;Serif"/>
          <w:b w:val="false"/>
          <w:i w:val="false"/>
          <w:caps w:val="false"/>
          <w:smallCaps w:val="false"/>
          <w:sz w:val="20"/>
        </w:rPr>
        <w:t>65,389 shares, respectively, for aggregate net proceeds to the Company of $</w:t>
      </w:r>
      <w:bookmarkStart w:id="852" w:name="xdx_904_eus-gaap--StockIssuedDuringPerio"/>
      <w:bookmarkEnd w:id="852"/>
      <w:r>
        <w:rPr>
          <w:rFonts w:ascii="Times New Roman;Times;Serif" w:hAnsi="Times New Roman;Times;Serif"/>
          <w:b w:val="false"/>
          <w:i w:val="false"/>
          <w:caps w:val="false"/>
          <w:smallCaps w:val="false"/>
          <w:sz w:val="20"/>
        </w:rPr>
        <w:t>2,025 and $</w:t>
      </w:r>
      <w:bookmarkStart w:id="853" w:name="xdx_907_eus-gaap--StockIssuedDuringPerio"/>
      <w:bookmarkEnd w:id="853"/>
      <w:r>
        <w:rPr>
          <w:rFonts w:ascii="Times New Roman;Times;Serif" w:hAnsi="Times New Roman;Times;Serif"/>
          <w:b w:val="false"/>
          <w:i w:val="false"/>
          <w:caps w:val="false"/>
          <w:smallCaps w:val="false"/>
          <w:sz w:val="20"/>
        </w:rPr>
        <w:t>1,273,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June 2023 Offering, the Company sold an aggregate of (i) </w:t>
      </w:r>
      <w:bookmarkStart w:id="854" w:name="xdx_90A_eus-gaap--StockIssuedDuringPerio"/>
      <w:bookmarkEnd w:id="854"/>
      <w:r>
        <w:rPr>
          <w:rFonts w:ascii="Times New Roman;Times;Serif" w:hAnsi="Times New Roman;Times;Serif"/>
          <w:b w:val="false"/>
          <w:i w:val="false"/>
          <w:caps w:val="false"/>
          <w:smallCaps w:val="false"/>
          <w:sz w:val="20"/>
        </w:rPr>
        <w:t xml:space="preserve">1,111,111 shares of its Common Stock and, (ii) accompanying Investor Warrants to purchase up to </w:t>
      </w:r>
      <w:bookmarkStart w:id="855" w:name="xdx_909_eus-gaap--StockIssuedDuringPerio"/>
      <w:bookmarkEnd w:id="855"/>
      <w:r>
        <w:rPr>
          <w:rFonts w:ascii="Times New Roman;Times;Serif" w:hAnsi="Times New Roman;Times;Serif"/>
          <w:b w:val="false"/>
          <w:i w:val="false"/>
          <w:caps w:val="false"/>
          <w:smallCaps w:val="false"/>
          <w:sz w:val="20"/>
        </w:rPr>
        <w:t>1,111,111 shares of Common Stock, at the combined public offering price of $</w:t>
      </w:r>
      <w:bookmarkStart w:id="856" w:name="xdx_909_eus-gaap--SharesIssuedPricePerSh"/>
      <w:bookmarkEnd w:id="856"/>
      <w:r>
        <w:rPr>
          <w:rFonts w:ascii="Times New Roman;Times;Serif" w:hAnsi="Times New Roman;Times;Serif"/>
          <w:b w:val="false"/>
          <w:i w:val="false"/>
          <w:caps w:val="false"/>
          <w:smallCaps w:val="false"/>
          <w:sz w:val="20"/>
        </w:rPr>
        <w:t>18.00 per share and accompanying Investor Warrant, less underwriting discounts and commissions, and (iii) the Underwriters’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June 2023 Offering, have an exercise price of $</w:t>
      </w:r>
      <w:bookmarkStart w:id="857" w:name="xdx_900_eus-gaap--ClassOfWarrantOrRightE"/>
      <w:bookmarkEnd w:id="857"/>
      <w:r>
        <w:rPr>
          <w:rFonts w:ascii="Times New Roman;Times;Serif" w:hAnsi="Times New Roman;Times;Serif"/>
          <w:b w:val="false"/>
          <w:i w:val="false"/>
          <w:caps w:val="false"/>
          <w:smallCaps w:val="false"/>
          <w:sz w:val="20"/>
        </w:rPr>
        <w:t>18.00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w:t>
      </w:r>
      <w:bookmarkStart w:id="858" w:name="xdx_909_eus-gaap--ClassOfWarrantOrRightE"/>
      <w:bookmarkEnd w:id="858"/>
      <w:r>
        <w:rPr>
          <w:rFonts w:ascii="Times New Roman;Times;Serif" w:hAnsi="Times New Roman;Times;Serif"/>
          <w:b w:val="false"/>
          <w:i w:val="false"/>
          <w:caps w:val="false"/>
          <w:smallCaps w:val="false"/>
          <w:sz w:val="20"/>
        </w:rPr>
        <w:t xml:space="preserve">22.50 per share and will expire on </w:t>
      </w:r>
      <w:bookmarkStart w:id="859" w:name="xdx_90C_eus-gaap--ClassOfWarrantOrRighst"/>
      <w:bookmarkEnd w:id="859"/>
      <w:r>
        <w:rPr>
          <w:rFonts w:ascii="Times New Roman;Times;Serif" w:hAnsi="Times New Roman;Times;Serif"/>
          <w:b w:val="false"/>
          <w:i w:val="false"/>
          <w:caps w:val="false"/>
          <w:smallCaps w:val="false"/>
          <w:sz w:val="20"/>
        </w:rPr>
        <w:t>June 20, 2028.</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11 - Common Stock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the underwriters a 45-day over-allotment option to purchase up to an additional </w:t>
      </w:r>
      <w:bookmarkStart w:id="860" w:name="xdx_909_eus-gaap--StockIssuedDuringPerio"/>
      <w:bookmarkEnd w:id="860"/>
      <w:r>
        <w:rPr>
          <w:rFonts w:ascii="Times New Roman;Times;Serif" w:hAnsi="Times New Roman;Times;Serif"/>
          <w:b w:val="false"/>
          <w:i w:val="false"/>
          <w:caps w:val="false"/>
          <w:smallCaps w:val="false"/>
          <w:sz w:val="20"/>
        </w:rPr>
        <w:t xml:space="preserve">166,667 shares of Common Stock and/or Warrants to purchase up to an aggregate of </w:t>
      </w:r>
      <w:bookmarkStart w:id="861" w:name="xdx_907_eus-gaap--StockIssuedDuringPerio"/>
      <w:bookmarkEnd w:id="861"/>
      <w:r>
        <w:rPr>
          <w:rFonts w:ascii="Times New Roman;Times;Serif" w:hAnsi="Times New Roman;Times;Serif"/>
          <w:b w:val="false"/>
          <w:i w:val="false"/>
          <w:caps w:val="false"/>
          <w:smallCaps w:val="false"/>
          <w:sz w:val="20"/>
        </w:rPr>
        <w:t xml:space="preserve">166,667 shares of Common Stock at the public offering price per security, less underwriting discounts and commissions, of which the underwriters exercised for </w:t>
      </w:r>
      <w:bookmarkStart w:id="862" w:name="xdx_909_ecustom--UnderwritersExercised_p"/>
      <w:bookmarkEnd w:id="862"/>
      <w:r>
        <w:rPr>
          <w:rFonts w:ascii="Times New Roman;Times;Serif" w:hAnsi="Times New Roman;Times;Serif"/>
          <w:b w:val="false"/>
          <w:i w:val="false"/>
          <w:caps w:val="false"/>
          <w:smallCaps w:val="false"/>
          <w:sz w:val="20"/>
        </w:rPr>
        <w:t xml:space="preserve">156,112 shares of Common Stock and Investor Warrants to purchase up to </w:t>
      </w:r>
      <w:bookmarkStart w:id="863" w:name="xdx_906_eus-gaap--StockIssuedDuringPerio"/>
      <w:bookmarkEnd w:id="863"/>
      <w:r>
        <w:rPr>
          <w:rFonts w:ascii="Times New Roman;Times;Serif" w:hAnsi="Times New Roman;Times;Serif"/>
          <w:b w:val="false"/>
          <w:i w:val="false"/>
          <w:caps w:val="false"/>
          <w:smallCaps w:val="false"/>
          <w:sz w:val="20"/>
        </w:rPr>
        <w:t>156,112 shares of Common Stock and the remaining was not exercised within the 45-day window.</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gross proceeds of $</w:t>
      </w:r>
      <w:bookmarkStart w:id="864" w:name="xdx_90B_eus-gaap--ProceedsFromOtherEquit"/>
      <w:bookmarkEnd w:id="864"/>
      <w:r>
        <w:rPr>
          <w:rFonts w:ascii="Times New Roman;Times;Serif" w:hAnsi="Times New Roman;Times;Serif"/>
          <w:b w:val="false"/>
          <w:i w:val="false"/>
          <w:caps w:val="false"/>
          <w:smallCaps w:val="false"/>
          <w:sz w:val="20"/>
        </w:rPr>
        <w:t>22,810 and incurred $</w:t>
      </w:r>
      <w:bookmarkStart w:id="865" w:name="xdx_908_eus-gaap--PaymentOfFinancingAndS"/>
      <w:bookmarkEnd w:id="865"/>
      <w:r>
        <w:rPr>
          <w:rFonts w:ascii="Times New Roman;Times;Serif" w:hAnsi="Times New Roman;Times;Serif"/>
          <w:b w:val="false"/>
          <w:i w:val="false"/>
          <w:caps w:val="false"/>
          <w:smallCaps w:val="false"/>
          <w:sz w:val="20"/>
        </w:rPr>
        <w:t>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w:t>
      </w:r>
      <w:bookmarkStart w:id="866" w:name="xdx_900_eus-gaap--AdjustmentsToAdditiona"/>
      <w:bookmarkEnd w:id="866"/>
      <w:r>
        <w:rPr>
          <w:rFonts w:ascii="Times New Roman;Times;Serif" w:hAnsi="Times New Roman;Times;Serif"/>
          <w:b w:val="false"/>
          <w:i w:val="false"/>
          <w:caps w:val="false"/>
          <w:smallCaps w:val="false"/>
          <w:sz w:val="20"/>
        </w:rPr>
        <w:t>1,169 was accounted for as a reduction of additional-paid-in-capital and $</w:t>
      </w:r>
      <w:bookmarkStart w:id="867" w:name="xdx_907_eus-gaap--GeneralAndAdministrati"/>
      <w:bookmarkEnd w:id="867"/>
      <w:r>
        <w:rPr>
          <w:rFonts w:ascii="Times New Roman;Times;Serif" w:hAnsi="Times New Roman;Times;Serif"/>
          <w:b w:val="false"/>
          <w:i w:val="false"/>
          <w:caps w:val="false"/>
          <w:smallCaps w:val="false"/>
          <w:sz w:val="20"/>
        </w:rPr>
        <w:t>904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w:t>
      </w:r>
      <w:bookmarkStart w:id="868" w:name="xdx_907_eus-gaap--LiabilitiesFairValueDi"/>
      <w:bookmarkEnd w:id="868"/>
      <w:r>
        <w:rPr>
          <w:rFonts w:ascii="Times New Roman;Times;Serif" w:hAnsi="Times New Roman;Times;Serif"/>
          <w:b w:val="false"/>
          <w:i w:val="false"/>
          <w:caps w:val="false"/>
          <w:smallCaps w:val="false"/>
          <w:sz w:val="20"/>
        </w:rPr>
        <w:t>13,762 on issuance and are being fair valued at each reporting period.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 and Recasting of Per-Share Amounts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Dragonfly Energy Holdings Corp. (the “Company”) filed a Certificate of Amendment to the Company’s Articles of Incorporation with the Secretary of State of the State of Nevada (the “Certificate of Amendment”) to be effected at 6:00 a.m. Eastern Time on November 22, 2024, a one-for-nine reverse stock split (the “Reverse Stock Split”) of the Company’s issued and outstanding shares of common stock, par value $</w:t>
      </w:r>
      <w:bookmarkStart w:id="869" w:name="xdx_905_eus-gaap--CommonStockParOrStated"/>
      <w:bookmarkEnd w:id="869"/>
      <w:r>
        <w:rPr>
          <w:rFonts w:ascii="Times New Roman;Times;Serif" w:hAnsi="Times New Roman;Times;Serif"/>
          <w:b w:val="false"/>
          <w:i w:val="false"/>
          <w:caps w:val="false"/>
          <w:smallCaps w:val="false"/>
          <w:sz w:val="20"/>
        </w:rPr>
        <w:t xml:space="preserve">0.0001 per share (the “Common Stock”). Pursuant to the Certificate of Amendment, effective as of 6:00 a.m., Eastern Time on August 30, 2023, every 9 shares of Common Stock issued and outstanding, including shares of Common Stock held by the Company as treasury shares, were automatically combined into one share of Common Stock. The number of authorized shares of Common Stock remained the same at </w:t>
      </w:r>
      <w:bookmarkStart w:id="870" w:name="xdx_90F_eus-gaap--CommonStockSharesAutho"/>
      <w:bookmarkEnd w:id="870"/>
      <w:r>
        <w:rPr>
          <w:rFonts w:ascii="Times New Roman;Times;Serif" w:hAnsi="Times New Roman;Times;Serif"/>
          <w:b w:val="false"/>
          <w:i w:val="false"/>
          <w:caps w:val="false"/>
          <w:smallCaps w:val="false"/>
          <w:sz w:val="20"/>
        </w:rPr>
        <w:t>250,000,000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Common Stock began trading on a split-adjusted basis at market open on November 22, 2024. The $</w:t>
      </w:r>
      <w:bookmarkStart w:id="871" w:name="xdx_905_eus-gaap--CommonStockParOrStated"/>
      <w:bookmarkEnd w:id="871"/>
      <w:r>
        <w:rPr>
          <w:rFonts w:ascii="Times New Roman;Times;Serif" w:hAnsi="Times New Roman;Times;Serif"/>
          <w:b w:val="false"/>
          <w:i w:val="false"/>
          <w:caps w:val="false"/>
          <w:smallCaps w:val="false"/>
          <w:sz w:val="20"/>
        </w:rPr>
        <w:t>0.0001 par value per share of Common Stock and any other rights associated the Common Stock were not affected by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stock option awards and per share amounts in the accompanying Consolidated Financial Statements and related Notes have been retrospectively restated to reflect the effect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outstanding were not affected by the reverse stock split and as such, those shares have not been adjusted in the accompanying Consolidated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bookmarkStart w:id="872" w:name="xdx_800_eus-gaap--DisclosureOfCompensati"/>
      <w:bookmarkEnd w:id="872"/>
      <w:r>
        <w:rPr>
          <w:rFonts w:ascii="Times New Roman;Times;Serif" w:hAnsi="Times New Roman;Times;Serif"/>
          <w:b/>
          <w:i w:val="false"/>
          <w:caps/>
          <w:sz w:val="20"/>
        </w:rPr>
        <w:t xml:space="preserve">Note 12 - </w:t>
      </w:r>
      <w:bookmarkStart w:id="873" w:name="xdx_82D_z6kOT3nnpJR7"/>
      <w:bookmarkEnd w:id="873"/>
      <w:r>
        <w:rPr>
          <w:rFonts w:ascii="Times New Roman;Times;Serif" w:hAnsi="Times New Roman;Times;Serif"/>
          <w:b/>
          <w:i w:val="false"/>
          <w:caps/>
          <w:sz w:val="20"/>
        </w:rPr>
        <w:t>STOCK-BASED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of 2021, the Board of Directors approved the 2021 Stock Incentive Plan (the “2021 Plan” and, together with the 2019 Plan, the “Prior Plans”) with a term of </w:t>
      </w:r>
      <w:bookmarkStart w:id="874" w:name="xdx_90C_eus-gaap--SharebasedCompensation"/>
      <w:bookmarkEnd w:id="874"/>
      <w:r>
        <w:rPr>
          <w:rFonts w:ascii="Times New Roman;Times;Serif" w:hAnsi="Times New Roman;Times;Serif"/>
          <w:b w:val="false"/>
          <w:i w:val="false"/>
          <w:caps w:val="false"/>
          <w:smallCaps w:val="false"/>
          <w:sz w:val="20"/>
        </w:rPr>
        <w:t xml:space="preserve">ten years. The Plan was administered by the Board of Directors, which was authorized to grant, at its discretion, awards to employees, directors, and consultants. The maximum number of common shares reserved for grants of awards under the Plan was </w:t>
      </w:r>
      <w:bookmarkStart w:id="875" w:name="xdx_900_eus-gaap--ShareBasedCompensation"/>
      <w:bookmarkEnd w:id="875"/>
      <w:r>
        <w:rPr>
          <w:rFonts w:ascii="Times New Roman;Times;Serif" w:hAnsi="Times New Roman;Times;Serif"/>
          <w:b w:val="false"/>
          <w:i w:val="false"/>
          <w:caps w:val="false"/>
          <w:smallCaps w:val="false"/>
          <w:sz w:val="20"/>
        </w:rPr>
        <w:t xml:space="preserve">1,000,000 shares which was amended and increased to </w:t>
      </w:r>
      <w:bookmarkStart w:id="876" w:name="xdx_90F_eus-gaap--ShareBasedCompensation"/>
      <w:bookmarkEnd w:id="876"/>
      <w:r>
        <w:rPr>
          <w:rFonts w:ascii="Times New Roman;Times;Serif" w:hAnsi="Times New Roman;Times;Serif"/>
          <w:b w:val="false"/>
          <w:i w:val="false"/>
          <w:caps w:val="false"/>
          <w:smallCaps w:val="false"/>
          <w:sz w:val="20"/>
        </w:rPr>
        <w:t>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shareholders and board members approved the Dragonfly Energy Holdings 2022 Equity Incentive Plan (the “2022 Plan”). A total of </w:t>
      </w:r>
      <w:bookmarkStart w:id="877" w:name="xdx_907_eus-gaap--CommonStockCapitalShar"/>
      <w:bookmarkEnd w:id="877"/>
      <w:r>
        <w:rPr>
          <w:rFonts w:ascii="Times New Roman;Times;Serif" w:hAnsi="Times New Roman;Times;Serif"/>
          <w:b w:val="false"/>
          <w:i w:val="false"/>
          <w:caps w:val="false"/>
          <w:smallCaps w:val="false"/>
          <w:sz w:val="20"/>
        </w:rPr>
        <w:t>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w:t>
      </w:r>
      <w:bookmarkStart w:id="878" w:name="xdx_902_eus-gaap--StockIssuedDuringPerio"/>
      <w:bookmarkEnd w:id="878"/>
      <w:r>
        <w:rPr>
          <w:rFonts w:ascii="Times New Roman;Times;Serif" w:hAnsi="Times New Roman;Times;Serif"/>
          <w:b w:val="false"/>
          <w:i w:val="false"/>
          <w:caps w:val="false"/>
          <w:smallCaps w:val="false"/>
          <w:sz w:val="20"/>
        </w:rPr>
        <w:t xml:space="preserve">273,822 shares of the Company’s common stock were initially available for issuance under the ESPP. The share limit will automatically increase on the first trading day in January of each year by an amount equal to lesser of (1) </w:t>
      </w:r>
      <w:bookmarkStart w:id="879" w:name="xdx_900_ecustom--OutstandingSharesPercen"/>
      <w:bookmarkEnd w:id="879"/>
      <w:r>
        <w:rPr>
          <w:rFonts w:ascii="Times New Roman;Times;Serif" w:hAnsi="Times New Roman;Times;Serif"/>
          <w:b w:val="false"/>
          <w:i w:val="false"/>
          <w:caps w:val="false"/>
          <w:smallCaps w:val="false"/>
          <w:sz w:val="20"/>
        </w:rPr>
        <w:t xml:space="preserve">1% of the total number of outstanding shares of the Company’s common stock on December 31 in the prior year, (2) </w:t>
      </w:r>
      <w:bookmarkStart w:id="880" w:name="xdx_90D_eus-gaap--StockIssuedDuringPerio"/>
      <w:bookmarkEnd w:id="880"/>
      <w:r>
        <w:rPr>
          <w:rFonts w:ascii="Times New Roman;Times;Serif" w:hAnsi="Times New Roman;Times;Serif"/>
          <w:b w:val="false"/>
          <w:i w:val="false"/>
          <w:caps w:val="false"/>
          <w:smallCaps w:val="false"/>
          <w:sz w:val="20"/>
        </w:rPr>
        <w:t>166,667 shares, or (3) such number as determined by the Company’s board of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881" w:name="xdx_89A_eus-gaap--ScheduleOfShareBasedCo"/>
      <w:bookmarkEnd w:id="881"/>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882" w:name="xdx_8B5_zu8q6X8qDvfk"/>
      <w:bookmarkEnd w:id="882"/>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299"/>
        <w:gridCol w:w="60"/>
        <w:gridCol w:w="61"/>
        <w:gridCol w:w="891"/>
        <w:gridCol w:w="95"/>
        <w:gridCol w:w="60"/>
        <w:gridCol w:w="391"/>
        <w:gridCol w:w="1565"/>
        <w:gridCol w:w="60"/>
        <w:gridCol w:w="60"/>
        <w:gridCol w:w="406"/>
        <w:gridCol w:w="1624"/>
        <w:gridCol w:w="60"/>
        <w:gridCol w:w="60"/>
        <w:gridCol w:w="260"/>
        <w:gridCol w:w="1912"/>
        <w:gridCol w:w="60"/>
        <w:gridCol w:w="60"/>
        <w:gridCol w:w="194"/>
        <w:gridCol w:w="948"/>
        <w:gridCol w:w="79"/>
      </w:tblGrid>
      <w:tr>
        <w:trPr/>
        <w:tc>
          <w:tcPr>
            <w:tcW w:w="12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center"/>
          </w:tcPr>
          <w:p>
            <w:pPr>
              <w:pStyle w:val="TableContents"/>
              <w:bidi w:val="0"/>
              <w:spacing w:before="0" w:after="283"/>
              <w:jc w:val="center"/>
              <w:rPr/>
            </w:pPr>
            <w:r>
              <w:rPr/>
              <w:t>Weighted-Average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pPr>
            <w:r>
              <w:rPr/>
              <w:t>Weighted-Average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2" w:type="dxa"/>
            <w:gridSpan w:val="2"/>
            <w:tcBorders>
              <w:bottom w:val="single" w:sz="8" w:space="0" w:color="000000"/>
            </w:tcBorders>
            <w:tcMar>
              <w:bottom w:w="28" w:type="dxa"/>
            </w:tcMar>
            <w:vAlign w:val="center"/>
          </w:tcPr>
          <w:p>
            <w:pPr>
              <w:pStyle w:val="TableContents"/>
              <w:bidi w:val="0"/>
              <w:spacing w:before="0" w:after="283"/>
              <w:jc w:val="center"/>
              <w:rPr/>
            </w:pPr>
            <w:r>
              <w:rPr/>
              <w:t>Weighted-Average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pPr>
            <w:r>
              <w:rPr/>
              <w:t>Aggregate intrinsic value</w:t>
            </w:r>
          </w:p>
        </w:tc>
        <w:tc>
          <w:tcPr>
            <w:tcW w:w="79" w:type="dxa"/>
            <w:tcBorders/>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883" w:name="xdx_982_eus-gaap--ShareBasedCompensation"/>
            <w:bookmarkEnd w:id="883"/>
          </w:p>
        </w:tc>
        <w:tc>
          <w:tcPr>
            <w:tcW w:w="891" w:type="dxa"/>
            <w:tcBorders/>
            <w:shd w:fill="CCEEFF" w:val="clear"/>
            <w:vAlign w:val="center"/>
          </w:tcPr>
          <w:p>
            <w:pPr>
              <w:pStyle w:val="TableContents"/>
              <w:bidi w:val="0"/>
              <w:spacing w:before="0" w:after="283"/>
              <w:jc w:val="right"/>
              <w:rPr/>
            </w:pPr>
            <w:r>
              <w:rPr/>
              <w:t>404,773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bookmarkStart w:id="884" w:name="xdx_989_eus-gaap--ShareBasedCompensation"/>
            <w:bookmarkEnd w:id="884"/>
          </w:p>
        </w:tc>
        <w:tc>
          <w:tcPr>
            <w:tcW w:w="1565" w:type="dxa"/>
            <w:tcBorders/>
            <w:shd w:fill="CCEEFF" w:val="clear"/>
            <w:vAlign w:val="center"/>
          </w:tcPr>
          <w:p>
            <w:pPr>
              <w:pStyle w:val="TableContents"/>
              <w:bidi w:val="0"/>
              <w:spacing w:before="0" w:after="283"/>
              <w:jc w:val="right"/>
              <w:rPr/>
            </w:pPr>
            <w:r>
              <w:rPr/>
              <w:t>18.18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bookmarkStart w:id="885" w:name="xdx_988_eus-gaap--SharebasedCompensation"/>
            <w:bookmarkEnd w:id="885"/>
          </w:p>
        </w:tc>
        <w:tc>
          <w:tcPr>
            <w:tcW w:w="1624" w:type="dxa"/>
            <w:tcBorders/>
            <w:shd w:fill="CCEEFF" w:val="clear"/>
            <w:vAlign w:val="center"/>
          </w:tcPr>
          <w:p>
            <w:pPr>
              <w:pStyle w:val="TableContents"/>
              <w:bidi w:val="0"/>
              <w:spacing w:before="0" w:after="283"/>
              <w:jc w:val="right"/>
              <w:rPr/>
            </w:pPr>
            <w:r>
              <w:rPr/>
              <w:t>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bookmarkStart w:id="886" w:name="xdx_904_eus-gaap--SharebasedCompensation"/>
            <w:bookmarkEnd w:id="886"/>
            <w:r>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bookmarkStart w:id="887" w:name="xdx_984_eus-gaap--ShareBasedCompensation"/>
            <w:bookmarkEnd w:id="887"/>
          </w:p>
        </w:tc>
        <w:tc>
          <w:tcPr>
            <w:tcW w:w="948" w:type="dxa"/>
            <w:tcBorders/>
            <w:shd w:fill="CCEEFF" w:val="clear"/>
            <w:vAlign w:val="center"/>
          </w:tcPr>
          <w:p>
            <w:pPr>
              <w:pStyle w:val="TableContents"/>
              <w:bidi w:val="0"/>
              <w:spacing w:before="0" w:after="283"/>
              <w:jc w:val="right"/>
              <w:rPr/>
            </w:pPr>
            <w:r>
              <w:rPr/>
              <w:t>35,898</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888" w:name="xdx_981_eus-gaap--ShareBasedCompensation"/>
            <w:bookmarkEnd w:id="888"/>
          </w:p>
        </w:tc>
        <w:tc>
          <w:tcPr>
            <w:tcW w:w="891" w:type="dxa"/>
            <w:tcBorders/>
            <w:shd w:fill="FFFFFF" w:val="clear"/>
            <w:vAlign w:val="center"/>
          </w:tcPr>
          <w:p>
            <w:pPr>
              <w:pStyle w:val="TableContents"/>
              <w:bidi w:val="0"/>
              <w:spacing w:before="0" w:after="283"/>
              <w:jc w:val="right"/>
              <w:rPr/>
            </w:pPr>
            <w:r>
              <w:rPr/>
              <w:t>15,956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bookmarkStart w:id="889" w:name="xdx_98B_eus-gaap--ShareBasedCompensation"/>
            <w:bookmarkEnd w:id="889"/>
          </w:p>
        </w:tc>
        <w:tc>
          <w:tcPr>
            <w:tcW w:w="1565" w:type="dxa"/>
            <w:tcBorders/>
            <w:shd w:fill="FFFFFF" w:val="clear"/>
            <w:vAlign w:val="center"/>
          </w:tcPr>
          <w:p>
            <w:pPr>
              <w:pStyle w:val="TableContents"/>
              <w:bidi w:val="0"/>
              <w:spacing w:before="0" w:after="283"/>
              <w:jc w:val="right"/>
              <w:rPr/>
            </w:pPr>
            <w:r>
              <w:rPr/>
              <w:t>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bookmarkStart w:id="890" w:name="xdx_982_eus-gaap--ShareBasedCompensation"/>
            <w:bookmarkEnd w:id="890"/>
          </w:p>
        </w:tc>
        <w:tc>
          <w:tcPr>
            <w:tcW w:w="1624" w:type="dxa"/>
            <w:tcBorders/>
            <w:shd w:fill="FFFFFF" w:val="clear"/>
            <w:vAlign w:val="center"/>
          </w:tcPr>
          <w:p>
            <w:pPr>
              <w:pStyle w:val="TableContents"/>
              <w:bidi w:val="0"/>
              <w:spacing w:before="0" w:after="283"/>
              <w:jc w:val="right"/>
              <w:rPr/>
            </w:pPr>
            <w:r>
              <w:rPr/>
              <w:t>34.38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bookmarkStart w:id="891" w:name="xdx_984_eus-gaap--ShareBasedCompensation"/>
            <w:bookmarkEnd w:id="891"/>
          </w:p>
        </w:tc>
        <w:tc>
          <w:tcPr>
            <w:tcW w:w="948" w:type="dxa"/>
            <w:tcBorders/>
            <w:shd w:fill="FFFFFF" w:val="clear"/>
            <w:vAlign w:val="center"/>
          </w:tcPr>
          <w:p>
            <w:pPr>
              <w:pStyle w:val="TableContents"/>
              <w:bidi w:val="0"/>
              <w:spacing w:before="0" w:after="283"/>
              <w:jc w:val="right"/>
              <w:rPr/>
            </w:pPr>
            <w:r>
              <w:rPr/>
              <w:t>632</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892" w:name="xdx_98D_eus-gaap--ShareBasedCompensation"/>
            <w:bookmarkEnd w:id="892"/>
          </w:p>
        </w:tc>
        <w:tc>
          <w:tcPr>
            <w:tcW w:w="891" w:type="dxa"/>
            <w:tcBorders/>
            <w:shd w:fill="CCEEFF" w:val="clear"/>
            <w:vAlign w:val="center"/>
          </w:tcPr>
          <w:p>
            <w:pPr>
              <w:pStyle w:val="TableContents"/>
              <w:bidi w:val="0"/>
              <w:spacing w:before="0" w:after="283"/>
              <w:jc w:val="right"/>
              <w:rPr/>
            </w:pPr>
            <w:r>
              <w:rPr/>
              <w:t>(56,013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893" w:name="xdx_98B_eus-gaap--ShareBasedCompensation"/>
            <w:bookmarkEnd w:id="893"/>
          </w:p>
        </w:tc>
        <w:tc>
          <w:tcPr>
            <w:tcW w:w="1565" w:type="dxa"/>
            <w:tcBorders/>
            <w:shd w:fill="CCEEFF" w:val="clear"/>
            <w:vAlign w:val="center"/>
          </w:tcPr>
          <w:p>
            <w:pPr>
              <w:pStyle w:val="TableContents"/>
              <w:bidi w:val="0"/>
              <w:spacing w:before="0" w:after="283"/>
              <w:jc w:val="right"/>
              <w:rPr/>
            </w:pPr>
            <w:r>
              <w:rPr/>
              <w:t>26.55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bookmarkStart w:id="894" w:name="xdx_984_eus-gaap--SharebasedCompensation"/>
            <w:bookmarkEnd w:id="894"/>
          </w:p>
        </w:tc>
        <w:tc>
          <w:tcPr>
            <w:tcW w:w="1624" w:type="dxa"/>
            <w:tcBorders/>
            <w:shd w:fill="CCEEFF" w:val="clear"/>
            <w:vAlign w:val="center"/>
          </w:tcPr>
          <w:p>
            <w:pPr>
              <w:pStyle w:val="TableContents"/>
              <w:bidi w:val="0"/>
              <w:spacing w:before="0" w:after="283"/>
              <w:jc w:val="right"/>
              <w:rPr/>
            </w:pPr>
            <w:r>
              <w:rPr/>
              <w:t>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bookmarkStart w:id="895" w:name="xdx_983_ecustom--ShareBasedCompensationA"/>
            <w:bookmarkEnd w:id="895"/>
          </w:p>
        </w:tc>
        <w:tc>
          <w:tcPr>
            <w:tcW w:w="948" w:type="dxa"/>
            <w:tcBorders/>
            <w:shd w:fill="CCEEFF" w:val="clear"/>
            <w:vAlign w:val="center"/>
          </w:tcPr>
          <w:p>
            <w:pPr>
              <w:pStyle w:val="TableContents"/>
              <w:bidi w:val="0"/>
              <w:spacing w:before="0" w:after="283"/>
              <w:jc w:val="right"/>
              <w:rPr/>
            </w:pPr>
            <w:r>
              <w:rPr/>
              <w:t>439</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6" w:name="xdx_980_eus-gaap--StockIssuedDuringPerio"/>
            <w:bookmarkEnd w:id="896"/>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pPr>
            <w:r>
              <w:rPr/>
              <w:t>(101,996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7" w:name="xdx_984_eus-gaap--ShareBasedCompensation"/>
            <w:bookmarkEnd w:id="897"/>
          </w:p>
        </w:tc>
        <w:tc>
          <w:tcPr>
            <w:tcW w:w="1565" w:type="dxa"/>
            <w:tcBorders>
              <w:bottom w:val="single" w:sz="8" w:space="0" w:color="000000"/>
            </w:tcBorders>
            <w:shd w:fill="FFFFFF" w:val="clear"/>
            <w:tcMar>
              <w:bottom w:w="28" w:type="dxa"/>
            </w:tcMar>
            <w:vAlign w:val="center"/>
          </w:tcPr>
          <w:p>
            <w:pPr>
              <w:pStyle w:val="TableContents"/>
              <w:bidi w:val="0"/>
              <w:spacing w:before="0" w:after="283"/>
              <w:jc w:val="right"/>
              <w:rPr/>
            </w:pPr>
            <w:r>
              <w:rPr/>
              <w:t>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8" w:name="xdx_98C_eus-gaap--SharebasedCompensation"/>
            <w:bookmarkEnd w:id="898"/>
          </w:p>
        </w:tc>
        <w:tc>
          <w:tcPr>
            <w:tcW w:w="1624"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9" w:name="xdx_98A_eus-gaap--ShareBasedCompensation"/>
            <w:bookmarkEnd w:id="899"/>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pPr>
            <w:r>
              <w:rPr/>
              <w:t>585</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Balances, December 31, 2023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00" w:name="xdx_98C_eus-gaap--ShareBasedCompensation"/>
            <w:bookmarkEnd w:id="900"/>
          </w:p>
        </w:tc>
        <w:tc>
          <w:tcPr>
            <w:tcW w:w="891" w:type="dxa"/>
            <w:tcBorders/>
            <w:shd w:fill="CCEEFF" w:val="clear"/>
            <w:vAlign w:val="center"/>
          </w:tcPr>
          <w:p>
            <w:pPr>
              <w:pStyle w:val="TableContents"/>
              <w:bidi w:val="0"/>
              <w:spacing w:before="0" w:after="283"/>
              <w:jc w:val="right"/>
              <w:rPr/>
            </w:pPr>
            <w:r>
              <w:rPr/>
              <w:t>262,720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bookmarkStart w:id="901" w:name="xdx_985_eus-gaap--ShareBasedCompensation"/>
            <w:bookmarkEnd w:id="901"/>
          </w:p>
        </w:tc>
        <w:tc>
          <w:tcPr>
            <w:tcW w:w="1565" w:type="dxa"/>
            <w:tcBorders/>
            <w:shd w:fill="CCEEFF" w:val="clear"/>
            <w:vAlign w:val="center"/>
          </w:tcPr>
          <w:p>
            <w:pPr>
              <w:pStyle w:val="TableContents"/>
              <w:bidi w:val="0"/>
              <w:spacing w:before="0" w:after="283"/>
              <w:jc w:val="right"/>
              <w:rPr/>
            </w:pPr>
            <w:r>
              <w:rPr/>
              <w:t>24.21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bookmarkStart w:id="902" w:name="xdx_984_eus-gaap--SharebasedCompensation"/>
            <w:bookmarkEnd w:id="902"/>
          </w:p>
        </w:tc>
        <w:tc>
          <w:tcPr>
            <w:tcW w:w="1624" w:type="dxa"/>
            <w:tcBorders/>
            <w:shd w:fill="CCEEFF" w:val="cle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bookmarkStart w:id="903" w:name="xdx_905_eus-gaap--SharebasedCompensation"/>
            <w:bookmarkEnd w:id="903"/>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bookmarkStart w:id="904" w:name="xdx_982_eus-gaap--ShareBasedCompensation"/>
            <w:bookmarkEnd w:id="904"/>
          </w:p>
        </w:tc>
        <w:tc>
          <w:tcPr>
            <w:tcW w:w="948" w:type="dxa"/>
            <w:tcBorders/>
            <w:shd w:fill="CCEEFF" w:val="clear"/>
            <w:vAlign w:val="center"/>
          </w:tcPr>
          <w:p>
            <w:pPr>
              <w:pStyle w:val="TableContents"/>
              <w:bidi w:val="0"/>
              <w:spacing w:before="0" w:after="283"/>
              <w:jc w:val="right"/>
              <w:rPr/>
            </w:pPr>
            <w:r>
              <w:rPr/>
              <w:t>60</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Balances, January 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05" w:name="xdx_985_eus-gaap--ShareBasedCompensation"/>
            <w:bookmarkEnd w:id="905"/>
          </w:p>
        </w:tc>
        <w:tc>
          <w:tcPr>
            <w:tcW w:w="891" w:type="dxa"/>
            <w:tcBorders/>
            <w:shd w:fill="CCEEFF" w:val="clear"/>
            <w:vAlign w:val="center"/>
          </w:tcPr>
          <w:p>
            <w:pPr>
              <w:pStyle w:val="TableContents"/>
              <w:bidi w:val="0"/>
              <w:spacing w:before="0" w:after="283"/>
              <w:jc w:val="right"/>
              <w:rPr/>
            </w:pPr>
            <w:r>
              <w:rPr/>
              <w:t>262,720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bookmarkStart w:id="906" w:name="xdx_985_eus-gaap--ShareBasedCompensation"/>
            <w:bookmarkEnd w:id="906"/>
          </w:p>
        </w:tc>
        <w:tc>
          <w:tcPr>
            <w:tcW w:w="1565" w:type="dxa"/>
            <w:tcBorders/>
            <w:shd w:fill="CCEEFF" w:val="clear"/>
            <w:vAlign w:val="center"/>
          </w:tcPr>
          <w:p>
            <w:pPr>
              <w:pStyle w:val="TableContents"/>
              <w:bidi w:val="0"/>
              <w:spacing w:before="0" w:after="283"/>
              <w:jc w:val="right"/>
              <w:rPr/>
            </w:pPr>
            <w:r>
              <w:rPr/>
              <w:t>24.21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bookmarkStart w:id="907" w:name="xdx_982_eus-gaap--SharebasedCompensation"/>
            <w:bookmarkEnd w:id="907"/>
          </w:p>
        </w:tc>
        <w:tc>
          <w:tcPr>
            <w:tcW w:w="1624" w:type="dxa"/>
            <w:tcBorders/>
            <w:shd w:fill="CCEEFF" w:val="cle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bookmarkStart w:id="908" w:name="xdx_905_eus-gaap--SharebasedCompensation"/>
            <w:bookmarkEnd w:id="908"/>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bookmarkStart w:id="909" w:name="xdx_983_eus-gaap--ShareBasedCompensation"/>
            <w:bookmarkEnd w:id="909"/>
          </w:p>
        </w:tc>
        <w:tc>
          <w:tcPr>
            <w:tcW w:w="948" w:type="dxa"/>
            <w:tcBorders/>
            <w:shd w:fill="CCEEFF" w:val="clear"/>
            <w:vAlign w:val="center"/>
          </w:tcPr>
          <w:p>
            <w:pPr>
              <w:pStyle w:val="TableContents"/>
              <w:bidi w:val="0"/>
              <w:spacing w:before="0" w:after="283"/>
              <w:jc w:val="right"/>
              <w:rPr/>
            </w:pPr>
            <w:r>
              <w:rPr/>
              <w:t>60</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10" w:name="xdx_98A_eus-gaap--ShareBasedCompensation"/>
            <w:bookmarkEnd w:id="910"/>
          </w:p>
        </w:tc>
        <w:tc>
          <w:tcPr>
            <w:tcW w:w="8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bookmarkStart w:id="911" w:name="xdx_982_eus-gaap--ShareBasedCompensation"/>
            <w:bookmarkEnd w:id="911"/>
          </w:p>
        </w:tc>
        <w:tc>
          <w:tcPr>
            <w:tcW w:w="15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bookmarkStart w:id="912" w:name="xdx_982_eus-gaap--ShareBasedCompensation"/>
            <w:bookmarkEnd w:id="912"/>
          </w:p>
        </w:tc>
        <w:tc>
          <w:tcPr>
            <w:tcW w:w="16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bookmarkStart w:id="913" w:name="xdx_987_eus-gaap--ShareBasedCompensation"/>
            <w:bookmarkEnd w:id="913"/>
          </w:p>
        </w:tc>
        <w:tc>
          <w:tcPr>
            <w:tcW w:w="94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14" w:name="xdx_982_eus-gaap--ShareBasedCompensation"/>
            <w:bookmarkEnd w:id="914"/>
          </w:p>
        </w:tc>
        <w:tc>
          <w:tcPr>
            <w:tcW w:w="891" w:type="dxa"/>
            <w:tcBorders/>
            <w:shd w:fill="CCEEFF" w:val="clear"/>
            <w:vAlign w:val="center"/>
          </w:tcPr>
          <w:p>
            <w:pPr>
              <w:pStyle w:val="TableContents"/>
              <w:bidi w:val="0"/>
              <w:spacing w:before="0" w:after="283"/>
              <w:jc w:val="right"/>
              <w:rPr/>
            </w:pPr>
            <w:r>
              <w:rPr/>
              <w:t>(27,029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915" w:name="xdx_985_eus-gaap--ShareBasedCompensation"/>
            <w:bookmarkEnd w:id="915"/>
          </w:p>
        </w:tc>
        <w:tc>
          <w:tcPr>
            <w:tcW w:w="1565" w:type="dxa"/>
            <w:tcBorders/>
            <w:shd w:fill="CCEEFF" w:val="clear"/>
            <w:vAlign w:val="center"/>
          </w:tcPr>
          <w:p>
            <w:pPr>
              <w:pStyle w:val="TableContents"/>
              <w:bidi w:val="0"/>
              <w:spacing w:before="0" w:after="283"/>
              <w:jc w:val="right"/>
              <w:rPr/>
            </w:pPr>
            <w:r>
              <w:rPr/>
              <w:t>26.53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bookmarkStart w:id="916" w:name="xdx_984_eus-gaap--SharebasedCompensation"/>
            <w:bookmarkEnd w:id="916"/>
          </w:p>
        </w:tc>
        <w:tc>
          <w:tcPr>
            <w:tcW w:w="1624" w:type="dxa"/>
            <w:tcBorders/>
            <w:shd w:fill="CCEEFF" w:val="clear"/>
            <w:vAlign w:val="center"/>
          </w:tcPr>
          <w:p>
            <w:pPr>
              <w:pStyle w:val="TableContents"/>
              <w:bidi w:val="0"/>
              <w:spacing w:before="0" w:after="283"/>
              <w:jc w:val="right"/>
              <w:rPr/>
            </w:pPr>
            <w:r>
              <w:rPr/>
              <w:t>26.53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bookmarkStart w:id="917" w:name="xdx_982_ecustom--ShareBasedCompensationA"/>
            <w:bookmarkEnd w:id="917"/>
          </w:p>
        </w:tc>
        <w:tc>
          <w:tcPr>
            <w:tcW w:w="948" w:type="dxa"/>
            <w:tcBorders/>
            <w:shd w:fill="CCEEFF" w:val="clear"/>
            <w:vAlign w:val="center"/>
          </w:tcPr>
          <w:p>
            <w:pPr>
              <w:pStyle w:val="TableContents"/>
              <w:bidi w:val="0"/>
              <w:spacing w:before="0" w:after="283"/>
              <w:jc w:val="right"/>
              <w:rPr/>
            </w:pPr>
            <w:r>
              <w:rPr/>
              <w:t>4</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Options expired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18" w:name="xdx_987_ecustom--ShareBasedCompensationA"/>
            <w:bookmarkEnd w:id="918"/>
          </w:p>
        </w:tc>
        <w:tc>
          <w:tcPr>
            <w:tcW w:w="891" w:type="dxa"/>
            <w:tcBorders/>
            <w:shd w:fill="FFFFFF" w:val="clear"/>
            <w:vAlign w:val="center"/>
          </w:tcPr>
          <w:p>
            <w:pPr>
              <w:pStyle w:val="TableContents"/>
              <w:bidi w:val="0"/>
              <w:spacing w:before="0" w:after="283"/>
              <w:jc w:val="right"/>
              <w:rPr/>
            </w:pPr>
            <w:r>
              <w:rPr/>
              <w:t>(65,660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bookmarkStart w:id="919" w:name="xdx_98E_eus-gaap--ShareBasedCompensation"/>
            <w:bookmarkEnd w:id="919"/>
          </w:p>
        </w:tc>
        <w:tc>
          <w:tcPr>
            <w:tcW w:w="1565" w:type="dxa"/>
            <w:tcBorders/>
            <w:shd w:fill="FFFFFF" w:val="clear"/>
            <w:vAlign w:val="center"/>
          </w:tcPr>
          <w:p>
            <w:pPr>
              <w:pStyle w:val="TableContents"/>
              <w:bidi w:val="0"/>
              <w:spacing w:before="0" w:after="283"/>
              <w:jc w:val="right"/>
              <w:rPr/>
            </w:pPr>
            <w:r>
              <w:rPr/>
              <w:t>18.93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bookmarkStart w:id="920" w:name="xdx_98D_ecustom--SharebasedCompensationA"/>
            <w:bookmarkEnd w:id="920"/>
          </w:p>
        </w:tc>
        <w:tc>
          <w:tcPr>
            <w:tcW w:w="1624" w:type="dxa"/>
            <w:tcBorders/>
            <w:shd w:fill="FFFFFF" w:val="clear"/>
            <w:vAlign w:val="center"/>
          </w:tcPr>
          <w:p>
            <w:pPr>
              <w:pStyle w:val="TableContents"/>
              <w:bidi w:val="0"/>
              <w:spacing w:before="0" w:after="283"/>
              <w:jc w:val="right"/>
              <w:rPr/>
            </w:pPr>
            <w:r>
              <w:rPr/>
              <w:t>18.93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bookmarkStart w:id="921" w:name="xdx_98E_ecustom--ShareBasedCompensationA"/>
            <w:bookmarkEnd w:id="921"/>
          </w:p>
        </w:tc>
        <w:tc>
          <w:tcPr>
            <w:tcW w:w="948" w:type="dxa"/>
            <w:tcBorders/>
            <w:shd w:fill="FFFFFF" w:val="clear"/>
            <w:vAlign w:val="center"/>
          </w:tcPr>
          <w:p>
            <w:pPr>
              <w:pStyle w:val="TableContents"/>
              <w:bidi w:val="0"/>
              <w:spacing w:before="0" w:after="283"/>
              <w:jc w:val="right"/>
              <w:rPr/>
            </w:pPr>
            <w:r>
              <w:rPr/>
              <w:t>492</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2" w:name="xdx_983_eus-gaap--StockIssuedDuringPerio"/>
            <w:bookmarkEnd w:id="922"/>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pPr>
            <w:r>
              <w:rPr/>
              <w:t>(1,222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3" w:name="xdx_98F_eus-gaap--ShareBasedCompensation"/>
            <w:bookmarkEnd w:id="923"/>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4" w:name="xdx_983_eus-gaap--SharebasedCompensation"/>
            <w:bookmarkEnd w:id="924"/>
          </w:p>
        </w:tc>
        <w:tc>
          <w:tcPr>
            <w:tcW w:w="1624" w:type="dxa"/>
            <w:tcBorders>
              <w:bottom w:val="single" w:sz="8" w:space="0" w:color="000000"/>
            </w:tcBorders>
            <w:shd w:fill="CCEEFF" w:val="clear"/>
            <w:tcMar>
              <w:bottom w:w="28" w:type="dxa"/>
            </w:tcMar>
            <w:vAlign w:val="center"/>
          </w:tcPr>
          <w:p>
            <w:pPr>
              <w:pStyle w:val="TableContents"/>
              <w:bidi w:val="0"/>
              <w:spacing w:before="0" w:after="283"/>
              <w:jc w:val="right"/>
              <w:rPr/>
            </w:pPr>
            <w:r>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5" w:name="xdx_986_eus-gaap--ShareBasedCompensation"/>
            <w:bookmarkEnd w:id="925"/>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Balances, December 31, 2024</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6" w:name="xdx_983_eus-gaap--ShareBasedCompensation"/>
            <w:bookmarkEnd w:id="926"/>
          </w:p>
        </w:tc>
        <w:tc>
          <w:tcPr>
            <w:tcW w:w="891" w:type="dxa"/>
            <w:tcBorders>
              <w:bottom w:val="double" w:sz="6" w:space="0" w:color="000000"/>
            </w:tcBorders>
            <w:shd w:fill="FFFFFF" w:val="clear"/>
            <w:tcMar>
              <w:bottom w:w="28" w:type="dxa"/>
            </w:tcMar>
            <w:vAlign w:val="center"/>
          </w:tcPr>
          <w:p>
            <w:pPr>
              <w:pStyle w:val="TableContents"/>
              <w:bidi w:val="0"/>
              <w:spacing w:before="0" w:after="283"/>
              <w:jc w:val="right"/>
              <w:rPr/>
            </w:pPr>
            <w:r>
              <w:rPr/>
              <w:t>168,809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27" w:name="xdx_98A_eus-gaap--ShareBasedCompensation"/>
            <w:bookmarkEnd w:id="927"/>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28" w:name="xdx_98C_eus-gaap--SharebasedCompensation"/>
            <w:bookmarkEnd w:id="928"/>
          </w:p>
        </w:tc>
        <w:tc>
          <w:tcPr>
            <w:tcW w:w="1624" w:type="dxa"/>
            <w:tcBorders>
              <w:bottom w:val="double" w:sz="6" w:space="0" w:color="000000"/>
            </w:tcBorders>
            <w:shd w:fill="FFFFFF" w:val="clear"/>
            <w:tcMar>
              <w:bottom w:w="28" w:type="dxa"/>
            </w:tcMar>
            <w:vAlign w:val="center"/>
          </w:tcPr>
          <w:p>
            <w:pPr>
              <w:pStyle w:val="TableContents"/>
              <w:bidi w:val="0"/>
              <w:spacing w:before="0" w:after="283"/>
              <w:jc w:val="right"/>
              <w:rPr/>
            </w:pPr>
            <w:r>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1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29" w:name="xdx_909_eus-gaap--SharebasedCompensation"/>
            <w:bookmarkEnd w:id="929"/>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30" w:name="xdx_984_eus-gaap--ShareBasedCompensation"/>
            <w:bookmarkEnd w:id="930"/>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At December 31, 2024</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Vested and Exercisable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31" w:name="xdx_987_eus-gaap--ShareBasedCompensation"/>
            <w:bookmarkEnd w:id="931"/>
          </w:p>
        </w:tc>
        <w:tc>
          <w:tcPr>
            <w:tcW w:w="891" w:type="dxa"/>
            <w:tcBorders/>
            <w:shd w:fill="CCEEFF" w:val="clear"/>
            <w:vAlign w:val="center"/>
          </w:tcPr>
          <w:p>
            <w:pPr>
              <w:pStyle w:val="TableContents"/>
              <w:bidi w:val="0"/>
              <w:spacing w:before="0" w:after="283"/>
              <w:jc w:val="right"/>
              <w:rPr/>
            </w:pPr>
            <w:r>
              <w:rPr/>
              <w:t>146,613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bookmarkStart w:id="932" w:name="xdx_986_eus-gaap--ShareBasedCompensation"/>
            <w:bookmarkEnd w:id="932"/>
          </w:p>
        </w:tc>
        <w:tc>
          <w:tcPr>
            <w:tcW w:w="1565" w:type="dxa"/>
            <w:tcBorders/>
            <w:shd w:fill="CCEEFF" w:val="clear"/>
            <w:vAlign w:val="center"/>
          </w:tcPr>
          <w:p>
            <w:pPr>
              <w:pStyle w:val="TableContents"/>
              <w:bidi w:val="0"/>
              <w:spacing w:before="0" w:after="283"/>
              <w:jc w:val="right"/>
              <w:rPr/>
            </w:pPr>
            <w:r>
              <w:rPr/>
              <w:t>24.79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bookmarkStart w:id="933" w:name="xdx_904_eus-gaap--SharebasedCompensation"/>
            <w:bookmarkEnd w:id="933"/>
            <w:r>
              <w:rPr/>
              <w:t>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bookmarkStart w:id="934" w:name="xdx_983_eus-gaap--ShareBasedCompensation"/>
            <w:bookmarkEnd w:id="934"/>
          </w:p>
        </w:tc>
        <w:tc>
          <w:tcPr>
            <w:tcW w:w="948"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Vested and expected to vest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35" w:name="xdx_980_eus-gaap--ShareBasedCompensation"/>
            <w:bookmarkEnd w:id="935"/>
          </w:p>
        </w:tc>
        <w:tc>
          <w:tcPr>
            <w:tcW w:w="891" w:type="dxa"/>
            <w:tcBorders/>
            <w:shd w:fill="FFFFFF" w:val="clear"/>
            <w:vAlign w:val="center"/>
          </w:tcPr>
          <w:p>
            <w:pPr>
              <w:pStyle w:val="TableContents"/>
              <w:bidi w:val="0"/>
              <w:spacing w:before="0" w:after="283"/>
              <w:jc w:val="right"/>
              <w:rPr/>
            </w:pPr>
            <w:r>
              <w:rPr/>
              <w:t>168,809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bookmarkStart w:id="936" w:name="xdx_98D_eus-gaap--ShareBasedCompensation"/>
            <w:bookmarkEnd w:id="936"/>
          </w:p>
        </w:tc>
        <w:tc>
          <w:tcPr>
            <w:tcW w:w="1565" w:type="dxa"/>
            <w:tcBorders/>
            <w:shd w:fill="FFFFFF" w:val="clear"/>
            <w:vAlign w:val="center"/>
          </w:tcPr>
          <w:p>
            <w:pPr>
              <w:pStyle w:val="TableContents"/>
              <w:bidi w:val="0"/>
              <w:spacing w:before="0" w:after="283"/>
              <w:jc w:val="right"/>
              <w:rPr/>
            </w:pPr>
            <w:r>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bookmarkStart w:id="937" w:name="xdx_900_eus-gaap--SharebasedCompensation"/>
            <w:bookmarkEnd w:id="937"/>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bookmarkStart w:id="938" w:name="xdx_987_eus-gaap--ShareBasedCompensation"/>
            <w:bookmarkEnd w:id="938"/>
          </w:p>
        </w:tc>
        <w:tc>
          <w:tcPr>
            <w:tcW w:w="94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939" w:name="xdx_8A7_zbgQODxw4DLa"/>
      <w:bookmarkEnd w:id="9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issued </w:t>
      </w:r>
      <w:bookmarkStart w:id="940" w:name="xdx_901_ecustom--StockIssuedDuringPeriod"/>
      <w:bookmarkEnd w:id="940"/>
      <w:r>
        <w:rPr>
          <w:rFonts w:ascii="Times New Roman;Times;Serif" w:hAnsi="Times New Roman;Times;Serif"/>
          <w:b w:val="false"/>
          <w:i w:val="false"/>
          <w:caps w:val="false"/>
          <w:smallCaps w:val="false"/>
          <w:sz w:val="20"/>
        </w:rPr>
        <w:t>1,240 shares as a result of exercised stock options upon the receipt of proceeds of approximately $</w:t>
      </w:r>
      <w:bookmarkStart w:id="941" w:name="xdx_908_eus-gaap--StockIssuedDuringPerio"/>
      <w:bookmarkEnd w:id="941"/>
      <w:r>
        <w:rPr>
          <w:rFonts w:ascii="Times New Roman;Times;Serif" w:hAnsi="Times New Roman;Times;Serif"/>
          <w:b w:val="false"/>
          <w:i w:val="false"/>
          <w:caps w:val="false"/>
          <w:smallCaps w:val="false"/>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942" w:name="xdx_904_eus-gaap--ShareBasedCompensation"/>
      <w:bookmarkEnd w:id="942"/>
      <w:r>
        <w:rPr>
          <w:rFonts w:ascii="Times New Roman;Times;Serif" w:hAnsi="Times New Roman;Times;Serif"/>
          <w:b w:val="false"/>
          <w:i w:val="false"/>
          <w:caps w:val="false"/>
          <w:smallCaps w:val="false"/>
          <w:sz w:val="20"/>
        </w:rPr>
        <w:t>1,020 and $</w:t>
      </w:r>
      <w:bookmarkStart w:id="943" w:name="xdx_904_eus-gaap--ShareBasedCompensation"/>
      <w:bookmarkEnd w:id="943"/>
      <w:r>
        <w:rPr>
          <w:rFonts w:ascii="Times New Roman;Times;Serif" w:hAnsi="Times New Roman;Times;Serif"/>
          <w:b w:val="false"/>
          <w:i w:val="false"/>
          <w:caps w:val="false"/>
          <w:smallCaps w:val="false"/>
          <w:sz w:val="20"/>
        </w:rPr>
        <w:t>6,710 was recognized in the Company’s consolidated statements of operations for the years ended December 31, 2024 and 2023,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944" w:name="xdx_90A_eus-gaap--ShareBasedCompensation"/>
      <w:bookmarkEnd w:id="944"/>
      <w:r>
        <w:rPr>
          <w:rFonts w:ascii="Times New Roman;Times;Serif" w:hAnsi="Times New Roman;Times;Serif"/>
          <w:b w:val="false"/>
          <w:i w:val="false"/>
          <w:caps w:val="false"/>
          <w:smallCaps w:val="false"/>
          <w:sz w:val="20"/>
        </w:rPr>
        <w:t>1,020 of share-based compensation incurred during the year ended December 31, 2024, $</w:t>
      </w:r>
      <w:bookmarkStart w:id="945" w:name="xdx_90E_eus-gaap--ShareBasedCompensation"/>
      <w:bookmarkEnd w:id="945"/>
      <w:r>
        <w:rPr>
          <w:rFonts w:ascii="Times New Roman;Times;Serif" w:hAnsi="Times New Roman;Times;Serif"/>
          <w:b w:val="false"/>
          <w:i w:val="false"/>
          <w:caps w:val="false"/>
          <w:smallCaps w:val="false"/>
          <w:sz w:val="20"/>
        </w:rPr>
        <w:t>100 is allocated to cost of goods sold, $</w:t>
      </w:r>
      <w:bookmarkStart w:id="946" w:name="xdx_907_eus-gaap--ShareBasedCompensation"/>
      <w:bookmarkEnd w:id="946"/>
      <w:r>
        <w:rPr>
          <w:rFonts w:ascii="Times New Roman;Times;Serif" w:hAnsi="Times New Roman;Times;Serif"/>
          <w:b w:val="false"/>
          <w:i w:val="false"/>
          <w:caps w:val="false"/>
          <w:smallCaps w:val="false"/>
          <w:sz w:val="20"/>
        </w:rPr>
        <w:t>168 to research and development, $</w:t>
      </w:r>
      <w:bookmarkStart w:id="947" w:name="xdx_908_eus-gaap--ShareBasedCompensation"/>
      <w:bookmarkEnd w:id="947"/>
      <w:r>
        <w:rPr>
          <w:rFonts w:ascii="Times New Roman;Times;Serif" w:hAnsi="Times New Roman;Times;Serif"/>
          <w:b w:val="false"/>
          <w:i w:val="false"/>
          <w:caps w:val="false"/>
          <w:smallCaps w:val="false"/>
          <w:sz w:val="20"/>
        </w:rPr>
        <w:t>265 to selling and marketing, and $</w:t>
      </w:r>
      <w:bookmarkStart w:id="948" w:name="xdx_908_eus-gaap--ShareBasedCompensation"/>
      <w:bookmarkEnd w:id="948"/>
      <w:r>
        <w:rPr>
          <w:rFonts w:ascii="Times New Roman;Times;Serif" w:hAnsi="Times New Roman;Times;Serif"/>
          <w:b w:val="false"/>
          <w:i w:val="false"/>
          <w:caps w:val="false"/>
          <w:smallCaps w:val="false"/>
          <w:sz w:val="20"/>
        </w:rPr>
        <w:t>488 to general and administrative expenses. Of the $</w:t>
      </w:r>
      <w:bookmarkStart w:id="949" w:name="xdx_90E_eus-gaap--ShareBasedCompensation"/>
      <w:bookmarkEnd w:id="949"/>
      <w:r>
        <w:rPr>
          <w:rFonts w:ascii="Times New Roman;Times;Serif" w:hAnsi="Times New Roman;Times;Serif"/>
          <w:b w:val="false"/>
          <w:i w:val="false"/>
          <w:caps w:val="false"/>
          <w:smallCaps w:val="false"/>
          <w:sz w:val="20"/>
        </w:rPr>
        <w:t>6,710 of share-based compensation incurred during the year ended December 31, 2023, $</w:t>
      </w:r>
      <w:bookmarkStart w:id="950" w:name="xdx_90B_eus-gaap--ShareBasedCompensation"/>
      <w:bookmarkEnd w:id="950"/>
      <w:r>
        <w:rPr>
          <w:rFonts w:ascii="Times New Roman;Times;Serif" w:hAnsi="Times New Roman;Times;Serif"/>
          <w:b w:val="false"/>
          <w:i w:val="false"/>
          <w:caps w:val="false"/>
          <w:smallCaps w:val="false"/>
          <w:sz w:val="20"/>
        </w:rPr>
        <w:t>133 is allocated to cost of goods sold, $</w:t>
      </w:r>
      <w:bookmarkStart w:id="951" w:name="xdx_904_eus-gaap--ShareBasedCompensation"/>
      <w:bookmarkEnd w:id="951"/>
      <w:r>
        <w:rPr>
          <w:rFonts w:ascii="Times New Roman;Times;Serif" w:hAnsi="Times New Roman;Times;Serif"/>
          <w:b w:val="false"/>
          <w:i w:val="false"/>
          <w:caps w:val="false"/>
          <w:smallCaps w:val="false"/>
          <w:sz w:val="20"/>
        </w:rPr>
        <w:t>116 to research and development, $</w:t>
      </w:r>
      <w:bookmarkStart w:id="952" w:name="xdx_906_eus-gaap--ShareBasedCompensation"/>
      <w:bookmarkEnd w:id="952"/>
      <w:r>
        <w:rPr>
          <w:rFonts w:ascii="Times New Roman;Times;Serif" w:hAnsi="Times New Roman;Times;Serif"/>
          <w:b w:val="false"/>
          <w:i w:val="false"/>
          <w:caps w:val="false"/>
          <w:smallCaps w:val="false"/>
          <w:sz w:val="20"/>
        </w:rPr>
        <w:t>1,097 to selling and marketing, and $</w:t>
      </w:r>
      <w:bookmarkStart w:id="953" w:name="xdx_90D_eus-gaap--ShareBasedCompensation"/>
      <w:bookmarkEnd w:id="953"/>
      <w:r>
        <w:rPr>
          <w:rFonts w:ascii="Times New Roman;Times;Serif" w:hAnsi="Times New Roman;Times;Serif"/>
          <w:b w:val="false"/>
          <w:i w:val="false"/>
          <w:caps w:val="false"/>
          <w:smallCaps w:val="false"/>
          <w:sz w:val="20"/>
        </w:rPr>
        <w:t>5,364 to general and administrative expenses.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954" w:name="xdx_8B3_zOwGxAsuxYFe"/>
      <w:bookmarkStart w:id="955" w:name="xdx_89A_eus-gaap--ScheduleOfShareBasedPa"/>
      <w:bookmarkEnd w:id="954"/>
      <w:bookmarkEnd w:id="955"/>
      <w:r>
        <w:rPr>
          <w:rFonts w:ascii="Times New Roman;Times;Serif" w:hAnsi="Times New Roman;Times;Serif"/>
          <w:b w:val="false"/>
          <w:i w:val="false"/>
          <w:caps w:val="false"/>
          <w:smallCaps w:val="false"/>
          <w:sz w:val="20"/>
        </w:rPr>
        <w:t>SCHEDULE OF VALUATION ASSUMPTIONS OF OPTIONS</w:t>
      </w:r>
    </w:p>
    <w:tbl>
      <w:tblPr>
        <w:tblW w:w="6070" w:type="dxa"/>
        <w:jc w:val="left"/>
        <w:tblInd w:w="0" w:type="dxa"/>
        <w:tblLayout w:type="fixed"/>
        <w:tblCellMar>
          <w:top w:w="0" w:type="dxa"/>
          <w:left w:w="0" w:type="dxa"/>
          <w:bottom w:w="0" w:type="dxa"/>
          <w:right w:w="0" w:type="dxa"/>
        </w:tblCellMar>
      </w:tblPr>
      <w:tblGrid>
        <w:gridCol w:w="4460"/>
        <w:gridCol w:w="60"/>
        <w:gridCol w:w="109"/>
        <w:gridCol w:w="391"/>
        <w:gridCol w:w="60"/>
        <w:gridCol w:w="60"/>
        <w:gridCol w:w="140"/>
        <w:gridCol w:w="560"/>
        <w:gridCol w:w="230"/>
      </w:tblGrid>
      <w:tr>
        <w:trPr/>
        <w:tc>
          <w:tcPr>
            <w:tcW w:w="44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230" w:type="dxa"/>
            <w:tcBorders/>
            <w:vAlign w:val="center"/>
          </w:tcPr>
          <w:p>
            <w:pPr>
              <w:pStyle w:val="TableContents"/>
              <w:bidi w:val="0"/>
              <w:spacing w:before="0" w:after="283"/>
              <w:ind w:left="0" w:right="0" w:hanging="10"/>
              <w:jc w:val="left"/>
              <w:rPr/>
            </w:pPr>
            <w:r>
              <w:rPr/>
              <w:t> </w:t>
            </w:r>
          </w:p>
        </w:tc>
      </w:tr>
      <w:tr>
        <w:trPr/>
        <w:tc>
          <w:tcPr>
            <w:tcW w:w="4460" w:type="dxa"/>
            <w:tcBorders/>
            <w:shd w:fill="CCEEFF" w:val="clear"/>
            <w:vAlign w:val="center"/>
          </w:tcPr>
          <w:p>
            <w:pPr>
              <w:pStyle w:val="TableContents"/>
              <w:bidi w:val="0"/>
              <w:spacing w:before="0" w:after="283"/>
              <w:jc w:val="both"/>
              <w:rPr/>
            </w:pPr>
            <w:r>
              <w:rPr/>
              <w:t>Weighted 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56" w:name="xdx_985_eus-gaap--ShareBasedCompensation"/>
            <w:bookmarkEnd w:id="956"/>
          </w:p>
        </w:tc>
        <w:tc>
          <w:tcPr>
            <w:tcW w:w="560" w:type="dxa"/>
            <w:tcBorders/>
            <w:shd w:fill="CCEEFF" w:val="clear"/>
            <w:vAlign w:val="center"/>
          </w:tcPr>
          <w:p>
            <w:pPr>
              <w:pStyle w:val="TableContents"/>
              <w:bidi w:val="0"/>
              <w:spacing w:before="0" w:after="283"/>
              <w:jc w:val="right"/>
              <w:rPr/>
            </w:pPr>
            <w:r>
              <w:rPr/>
              <w:t>34.38</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4460" w:type="dxa"/>
            <w:tcBorders/>
            <w:shd w:fill="FFFFFF" w:val="clear"/>
            <w:vAlign w:val="center"/>
          </w:tcPr>
          <w:p>
            <w:pPr>
              <w:pStyle w:val="TableContents"/>
              <w:bidi w:val="0"/>
              <w:spacing w:before="0" w:after="283"/>
              <w:jc w:val="both"/>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57" w:name="xdx_984_eus-gaap--ShareBasedCompensation"/>
            <w:bookmarkEnd w:id="957"/>
          </w:p>
        </w:tc>
        <w:tc>
          <w:tcPr>
            <w:tcW w:w="560" w:type="dxa"/>
            <w:tcBorders/>
            <w:shd w:fill="FFFFFF" w:val="clear"/>
            <w:vAlign w:val="center"/>
          </w:tcPr>
          <w:p>
            <w:pPr>
              <w:pStyle w:val="TableContents"/>
              <w:bidi w:val="0"/>
              <w:spacing w:before="0" w:after="283"/>
              <w:jc w:val="right"/>
              <w:rPr/>
            </w:pPr>
            <w:r>
              <w:rPr/>
              <w:t>4.20</w:t>
            </w:r>
          </w:p>
        </w:tc>
        <w:tc>
          <w:tcPr>
            <w:tcW w:w="230" w:type="dxa"/>
            <w:tcBorders/>
            <w:shd w:fill="FFFFFF" w:val="clear"/>
            <w:vAlign w:val="center"/>
          </w:tcPr>
          <w:p>
            <w:pPr>
              <w:pStyle w:val="TableContents"/>
              <w:bidi w:val="0"/>
              <w:spacing w:before="0" w:after="283"/>
              <w:ind w:left="0" w:right="0" w:hanging="10"/>
              <w:jc w:val="left"/>
              <w:rPr/>
            </w:pPr>
            <w:r>
              <w:rPr/>
              <w:t>%</w:t>
            </w:r>
          </w:p>
        </w:tc>
      </w:tr>
      <w:tr>
        <w:trPr/>
        <w:tc>
          <w:tcPr>
            <w:tcW w:w="4460" w:type="dxa"/>
            <w:tcBorders/>
            <w:shd w:fill="CCEEFF" w:val="clear"/>
            <w:vAlign w:val="center"/>
          </w:tcPr>
          <w:p>
            <w:pPr>
              <w:pStyle w:val="TableContents"/>
              <w:bidi w:val="0"/>
              <w:spacing w:before="0" w:after="283"/>
              <w:jc w:val="both"/>
              <w:rPr/>
            </w:pPr>
            <w:r>
              <w:rPr/>
              <w:t>Volatility</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58" w:name="xdx_98C_eus-gaap--ShareBasedCompensation"/>
            <w:bookmarkEnd w:id="958"/>
          </w:p>
        </w:tc>
        <w:tc>
          <w:tcPr>
            <w:tcW w:w="560" w:type="dxa"/>
            <w:tcBorders/>
            <w:shd w:fill="CCEEFF" w:val="clear"/>
            <w:vAlign w:val="center"/>
          </w:tcPr>
          <w:p>
            <w:pPr>
              <w:pStyle w:val="TableContents"/>
              <w:bidi w:val="0"/>
              <w:spacing w:before="0" w:after="283"/>
              <w:jc w:val="right"/>
              <w:rPr/>
            </w:pPr>
            <w:r>
              <w:rPr/>
              <w:t>45.0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4460" w:type="dxa"/>
            <w:tcBorders/>
            <w:shd w:fill="FFFFFF" w:val="clear"/>
            <w:vAlign w:val="center"/>
          </w:tcPr>
          <w:p>
            <w:pPr>
              <w:pStyle w:val="TableContents"/>
              <w:bidi w:val="0"/>
              <w:spacing w:before="0" w:after="283"/>
              <w:jc w:val="both"/>
              <w:rPr/>
            </w:pPr>
            <w:r>
              <w:rPr/>
              <w:t>Expected life (years)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959" w:name="xdx_90E_eus-gaap--SharebasedCompensation"/>
            <w:bookmarkEnd w:id="959"/>
            <w:r>
              <w:rPr/>
              <w:t>6.45</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4460" w:type="dxa"/>
            <w:tcBorders/>
            <w:shd w:fill="CCEEFF" w:val="clear"/>
            <w:vAlign w:val="center"/>
          </w:tcPr>
          <w:p>
            <w:pPr>
              <w:pStyle w:val="TableContents"/>
              <w:bidi w:val="0"/>
              <w:spacing w:before="0" w:after="283"/>
              <w:jc w:val="both"/>
              <w:rPr/>
            </w:pPr>
            <w:r>
              <w:rPr/>
              <w:t>Dividend yield</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60" w:name="xdx_982_eus-gaap--ShareBasedCompensation"/>
            <w:bookmarkEnd w:id="960"/>
          </w:p>
        </w:tc>
        <w:tc>
          <w:tcPr>
            <w:tcW w:w="560" w:type="dxa"/>
            <w:tcBorders/>
            <w:shd w:fill="CCEEFF" w:val="clear"/>
            <w:vAlign w:val="center"/>
          </w:tcPr>
          <w:p>
            <w:pPr>
              <w:pStyle w:val="TableContents"/>
              <w:bidi w:val="0"/>
              <w:spacing w:before="0" w:after="283"/>
              <w:jc w:val="right"/>
              <w:rPr/>
            </w:pPr>
            <w:r>
              <w:rPr/>
              <w:t>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bookmarkStart w:id="961" w:name="xdx_8A6_ze3ukgAVISUj"/>
      <w:bookmarkEnd w:id="961"/>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10, 2023, the Company granted </w:t>
      </w:r>
      <w:bookmarkStart w:id="962" w:name="xdx_90D_eus-gaap--ShareBasedCompensation"/>
      <w:bookmarkEnd w:id="962"/>
      <w:r>
        <w:rPr>
          <w:rFonts w:ascii="Times New Roman;Times;Serif" w:hAnsi="Times New Roman;Times;Serif"/>
          <w:b w:val="false"/>
          <w:i w:val="false"/>
          <w:caps w:val="false"/>
          <w:smallCaps w:val="false"/>
          <w:sz w:val="20"/>
        </w:rPr>
        <w:t>51,333 restricted stock units under the 2022 Plan which vested in full immediately upon grant. The fair value of the restricted stock units on the date of grant was $</w:t>
      </w:r>
      <w:bookmarkStart w:id="963" w:name="xdx_907_eus-gaap--StockIssuedDuringPerio"/>
      <w:bookmarkEnd w:id="963"/>
      <w:r>
        <w:rPr>
          <w:rFonts w:ascii="Times New Roman;Times;Serif" w:hAnsi="Times New Roman;Times;Serif"/>
          <w:b w:val="false"/>
          <w:i w:val="false"/>
          <w:caps w:val="false"/>
          <w:smallCaps w:val="false"/>
          <w:sz w:val="20"/>
        </w:rPr>
        <w:t xml:space="preserve">3,464 and was recorded as compensation expense during the year ended December 31, 2023. The Company granted an additional </w:t>
      </w:r>
      <w:bookmarkStart w:id="964" w:name="xdx_90D_ecustom--ShareBasedCompensationA"/>
      <w:bookmarkEnd w:id="964"/>
      <w:r>
        <w:rPr>
          <w:rFonts w:ascii="Times New Roman;Times;Serif" w:hAnsi="Times New Roman;Times;Serif"/>
          <w:b w:val="false"/>
          <w:i w:val="false"/>
          <w:caps w:val="false"/>
          <w:smallCaps w:val="false"/>
          <w:sz w:val="20"/>
        </w:rPr>
        <w:t xml:space="preserve">5,224 restricted stock units. The fair value of the </w:t>
      </w:r>
      <w:bookmarkStart w:id="965" w:name="xdx_905_ecustom--FairValueOfRestrictedSt"/>
      <w:bookmarkEnd w:id="965"/>
      <w:r>
        <w:rPr>
          <w:rFonts w:ascii="Times New Roman;Times;Serif" w:hAnsi="Times New Roman;Times;Serif"/>
          <w:b w:val="false"/>
          <w:i w:val="false"/>
          <w:caps w:val="false"/>
          <w:smallCaps w:val="false"/>
          <w:sz w:val="20"/>
        </w:rPr>
        <w:t>5,224 unvested restricted stock units was $</w:t>
      </w:r>
      <w:bookmarkStart w:id="966" w:name="xdx_901_ecustom--FairValueOfRestrictedSt"/>
      <w:bookmarkEnd w:id="966"/>
      <w:r>
        <w:rPr>
          <w:rFonts w:ascii="Times New Roman;Times;Serif" w:hAnsi="Times New Roman;Times;Serif"/>
          <w:b w:val="false"/>
          <w:i w:val="false"/>
          <w:caps w:val="false"/>
          <w:smallCaps w:val="false"/>
          <w:sz w:val="20"/>
        </w:rPr>
        <w:t>126 and an expense of $</w:t>
      </w:r>
      <w:bookmarkStart w:id="967" w:name="xdx_90F_ecustom--FairValueOfUnvestedRest"/>
      <w:bookmarkEnd w:id="967"/>
      <w:r>
        <w:rPr>
          <w:rFonts w:ascii="Times New Roman;Times;Serif" w:hAnsi="Times New Roman;Times;Serif"/>
          <w:b w:val="false"/>
          <w:i w:val="false"/>
          <w:caps w:val="false"/>
          <w:smallCaps w:val="false"/>
          <w:sz w:val="20"/>
        </w:rPr>
        <w:t>22 was recorded during the year ended December 31, 2023.</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5, 2024, the Company granted </w:t>
      </w:r>
      <w:bookmarkStart w:id="968" w:name="xdx_90D_eus-gaap--ShareBasedCompensation"/>
      <w:bookmarkEnd w:id="968"/>
      <w:r>
        <w:rPr>
          <w:rFonts w:ascii="Times New Roman;Times;Serif" w:hAnsi="Times New Roman;Times;Serif"/>
          <w:b w:val="false"/>
          <w:i w:val="false"/>
          <w:caps w:val="false"/>
          <w:smallCaps w:val="false"/>
          <w:sz w:val="20"/>
        </w:rPr>
        <w:t xml:space="preserve">24,447 restricted stock units of which </w:t>
      </w:r>
      <w:bookmarkStart w:id="969" w:name="xdx_90B_eus-gaap--ShareBasedCompensation"/>
      <w:bookmarkEnd w:id="969"/>
      <w:r>
        <w:rPr>
          <w:rFonts w:ascii="Times New Roman;Times;Serif" w:hAnsi="Times New Roman;Times;Serif"/>
          <w:b w:val="false"/>
          <w:i w:val="false"/>
          <w:caps w:val="false"/>
          <w:smallCaps w:val="false"/>
          <w:sz w:val="20"/>
        </w:rPr>
        <w:t xml:space="preserve">11,111 vested immediately. The fair value of the </w:t>
      </w:r>
      <w:bookmarkStart w:id="970" w:name="xdx_90E_eus-gaap--ShareBasedCompensation"/>
      <w:bookmarkEnd w:id="970"/>
      <w:r>
        <w:rPr>
          <w:rFonts w:ascii="Times New Roman;Times;Serif" w:hAnsi="Times New Roman;Times;Serif"/>
          <w:b w:val="false"/>
          <w:i w:val="false"/>
          <w:caps w:val="false"/>
          <w:smallCaps w:val="false"/>
          <w:sz w:val="20"/>
        </w:rPr>
        <w:t>24,447 restricted stock units was $</w:t>
      </w:r>
      <w:bookmarkStart w:id="971" w:name="xdx_905_eus-gaap--StockIssuedDuringPerio"/>
      <w:bookmarkEnd w:id="971"/>
      <w:r>
        <w:rPr>
          <w:rFonts w:ascii="Times New Roman;Times;Serif" w:hAnsi="Times New Roman;Times;Serif"/>
          <w:b w:val="false"/>
          <w:i w:val="false"/>
          <w:caps w:val="false"/>
          <w:smallCaps w:val="false"/>
          <w:sz w:val="20"/>
        </w:rPr>
        <w:t>95 and an expense of $</w:t>
      </w:r>
      <w:bookmarkStart w:id="972" w:name="xdx_90F_eus-gaap--AllocatedShareBasedCom"/>
      <w:bookmarkEnd w:id="972"/>
      <w:r>
        <w:rPr>
          <w:rFonts w:ascii="Times New Roman;Times;Serif" w:hAnsi="Times New Roman;Times;Serif"/>
          <w:b w:val="false"/>
          <w:i w:val="false"/>
          <w:caps w:val="false"/>
          <w:smallCaps w:val="false"/>
          <w:sz w:val="20"/>
        </w:rPr>
        <w:t>53 was recorded as compensation expense during the year ended December 31, 2024,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issued a total of </w:t>
      </w:r>
      <w:bookmarkStart w:id="973" w:name="xdx_90B_eus-gaap--ShareBasedCompensation"/>
      <w:bookmarkEnd w:id="973"/>
      <w:r>
        <w:rPr>
          <w:rFonts w:ascii="Times New Roman;Times;Serif" w:hAnsi="Times New Roman;Times;Serif"/>
          <w:b w:val="false"/>
          <w:i w:val="false"/>
          <w:caps w:val="false"/>
          <w:smallCaps w:val="false"/>
          <w:sz w:val="20"/>
        </w:rPr>
        <w:t xml:space="preserve">92,923 RSUs to the following employees: (i) </w:t>
      </w:r>
      <w:bookmarkStart w:id="974" w:name="xdx_905_eus-gaap--ShareBasedCompensation"/>
      <w:bookmarkEnd w:id="974"/>
      <w:r>
        <w:rPr>
          <w:rFonts w:ascii="Times New Roman;Times;Serif" w:hAnsi="Times New Roman;Times;Serif"/>
          <w:b w:val="false"/>
          <w:i w:val="false"/>
          <w:caps w:val="false"/>
          <w:smallCaps w:val="false"/>
          <w:sz w:val="20"/>
        </w:rPr>
        <w:t xml:space="preserve">63,045 RSUs to the Chief Executive Officer; (ii) </w:t>
      </w:r>
      <w:bookmarkStart w:id="975" w:name="xdx_90D_eus-gaap--ShareBasedCompensation"/>
      <w:bookmarkEnd w:id="975"/>
      <w:r>
        <w:rPr>
          <w:rFonts w:ascii="Times New Roman;Times;Serif" w:hAnsi="Times New Roman;Times;Serif"/>
          <w:b w:val="false"/>
          <w:i w:val="false"/>
          <w:caps w:val="false"/>
          <w:smallCaps w:val="false"/>
          <w:sz w:val="20"/>
        </w:rPr>
        <w:t xml:space="preserve">20,165 RSUs to the Chief Revenue Officer; and (iii) </w:t>
      </w:r>
      <w:bookmarkStart w:id="976" w:name="xdx_90E_eus-gaap--ShareBasedCompensation"/>
      <w:bookmarkEnd w:id="976"/>
      <w:r>
        <w:rPr>
          <w:rFonts w:ascii="Times New Roman;Times;Serif" w:hAnsi="Times New Roman;Times;Serif"/>
          <w:b w:val="false"/>
          <w:i w:val="false"/>
          <w:caps w:val="false"/>
          <w:smallCaps w:val="false"/>
          <w:sz w:val="20"/>
        </w:rPr>
        <w:t xml:space="preserve">9,712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977" w:name="xdx_905_eus-gaap--ShareBasedCompensation"/>
      <w:bookmarkEnd w:id="977"/>
      <w:r>
        <w:rPr>
          <w:rFonts w:ascii="Times New Roman;Times;Serif" w:hAnsi="Times New Roman;Times;Serif"/>
          <w:b w:val="false"/>
          <w:i w:val="false"/>
          <w:caps w:val="false"/>
          <w:smallCaps w:val="false"/>
          <w:sz w:val="20"/>
        </w:rPr>
        <w:t>92,923 RSUs was $</w:t>
      </w:r>
      <w:bookmarkStart w:id="978" w:name="xdx_902_eus-gaap--StockIssuedDuringPerio"/>
      <w:bookmarkEnd w:id="978"/>
      <w:r>
        <w:rPr>
          <w:rFonts w:ascii="Times New Roman;Times;Serif" w:hAnsi="Times New Roman;Times;Serif"/>
          <w:b w:val="false"/>
          <w:i w:val="false"/>
          <w:caps w:val="false"/>
          <w:smallCaps w:val="false"/>
          <w:sz w:val="20"/>
        </w:rPr>
        <w:t>376 and an expense of $</w:t>
      </w:r>
      <w:bookmarkStart w:id="979" w:name="xdx_90B_eus-gaap--AllocatedShareBasedCom"/>
      <w:bookmarkEnd w:id="979"/>
      <w:r>
        <w:rPr>
          <w:rFonts w:ascii="Times New Roman;Times;Serif" w:hAnsi="Times New Roman;Times;Serif"/>
          <w:b w:val="false"/>
          <w:i w:val="false"/>
          <w:caps w:val="false"/>
          <w:smallCaps w:val="false"/>
          <w:sz w:val="20"/>
        </w:rPr>
        <w:t>91 was recorded during the year ended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board of directors authorized the issuance of </w:t>
      </w:r>
      <w:bookmarkStart w:id="980" w:name="xdx_901_eus-gaap--ShareBasedCompensation"/>
      <w:bookmarkEnd w:id="980"/>
      <w:r>
        <w:rPr>
          <w:rFonts w:ascii="Times New Roman;Times;Serif" w:hAnsi="Times New Roman;Times;Serif"/>
          <w:b w:val="false"/>
          <w:i w:val="false"/>
          <w:caps w:val="false"/>
          <w:smallCaps w:val="false"/>
          <w:sz w:val="20"/>
        </w:rPr>
        <w:t xml:space="preserve">24,692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 The fair value of the </w:t>
      </w:r>
      <w:bookmarkStart w:id="981" w:name="xdx_90A_eus-gaap--ShareBasedCompensation"/>
      <w:bookmarkEnd w:id="981"/>
      <w:r>
        <w:rPr>
          <w:rFonts w:ascii="Times New Roman;Times;Serif" w:hAnsi="Times New Roman;Times;Serif"/>
          <w:b w:val="false"/>
          <w:i w:val="false"/>
          <w:caps w:val="false"/>
          <w:smallCaps w:val="false"/>
          <w:sz w:val="20"/>
        </w:rPr>
        <w:t>148,152 RSUs issued to directors in total was $</w:t>
      </w:r>
      <w:bookmarkStart w:id="982" w:name="xdx_908_eus-gaap--StockIssuedDuringPerio"/>
      <w:bookmarkEnd w:id="982"/>
      <w:r>
        <w:rPr>
          <w:rFonts w:ascii="Times New Roman;Times;Serif" w:hAnsi="Times New Roman;Times;Serif"/>
          <w:b w:val="false"/>
          <w:i w:val="false"/>
          <w:caps w:val="false"/>
          <w:smallCaps w:val="false"/>
          <w:sz w:val="20"/>
        </w:rPr>
        <w:t>600 and an expense of $</w:t>
      </w:r>
      <w:bookmarkStart w:id="983" w:name="xdx_90A_eus-gaap--AllocatedShareBasedCom"/>
      <w:bookmarkEnd w:id="983"/>
      <w:r>
        <w:rPr>
          <w:rFonts w:ascii="Times New Roman;Times;Serif" w:hAnsi="Times New Roman;Times;Serif"/>
          <w:b w:val="false"/>
          <w:i w:val="false"/>
          <w:caps w:val="false"/>
          <w:smallCaps w:val="false"/>
          <w:sz w:val="20"/>
        </w:rPr>
        <w:t>145 was recorded during the year ended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24, 2024, the Company granted </w:t>
      </w:r>
      <w:bookmarkStart w:id="984" w:name="xdx_902_eus-gaap--ShareBasedCompensation"/>
      <w:bookmarkEnd w:id="984"/>
      <w:r>
        <w:rPr>
          <w:rFonts w:ascii="Times New Roman;Times;Serif" w:hAnsi="Times New Roman;Times;Serif"/>
          <w:b w:val="false"/>
          <w:i w:val="false"/>
          <w:caps w:val="false"/>
          <w:smallCaps w:val="false"/>
          <w:sz w:val="20"/>
        </w:rPr>
        <w:t xml:space="preserve">2,417 restricted stock units. The fair value of the </w:t>
      </w:r>
      <w:bookmarkStart w:id="985" w:name="xdx_90F_eus-gaap--ShareBasedCompensation"/>
      <w:bookmarkEnd w:id="985"/>
      <w:r>
        <w:rPr>
          <w:rFonts w:ascii="Times New Roman;Times;Serif" w:hAnsi="Times New Roman;Times;Serif"/>
          <w:b w:val="false"/>
          <w:i w:val="false"/>
          <w:caps w:val="false"/>
          <w:smallCaps w:val="false"/>
          <w:sz w:val="20"/>
        </w:rPr>
        <w:t>2,417 RSUs was $</w:t>
      </w:r>
      <w:bookmarkStart w:id="986" w:name="xdx_90F_eus-gaap--StockIssuedDuringPerio"/>
      <w:bookmarkEnd w:id="986"/>
      <w:r>
        <w:rPr>
          <w:rFonts w:ascii="Times New Roman;Times;Serif" w:hAnsi="Times New Roman;Times;Serif"/>
          <w:b w:val="false"/>
          <w:i w:val="false"/>
          <w:caps w:val="false"/>
          <w:smallCaps w:val="false"/>
          <w:sz w:val="20"/>
        </w:rPr>
        <w:t>19 and an expense of $</w:t>
      </w:r>
      <w:bookmarkStart w:id="987" w:name="xdx_909_eus-gaap--AllocatedShareBasedCom"/>
      <w:bookmarkEnd w:id="987"/>
      <w:r>
        <w:rPr>
          <w:rFonts w:ascii="Times New Roman;Times;Serif" w:hAnsi="Times New Roman;Times;Serif"/>
          <w:b w:val="false"/>
          <w:i w:val="false"/>
          <w:caps w:val="false"/>
          <w:smallCaps w:val="false"/>
          <w:sz w:val="20"/>
        </w:rPr>
        <w:t>2 was recorded as compensation expense during the year ended December 31, 2024.</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restricted stock unit awards, the Board also approved the following cash awards to the above referenced employees: (i) $</w:t>
      </w:r>
      <w:bookmarkStart w:id="988" w:name="xdx_904_eus-gaap--PaymentOfFinancingAndS"/>
      <w:bookmarkEnd w:id="988"/>
      <w:r>
        <w:rPr>
          <w:rFonts w:ascii="Times New Roman;Times;Serif" w:hAnsi="Times New Roman;Times;Serif"/>
          <w:b w:val="false"/>
          <w:i w:val="false"/>
          <w:caps w:val="false"/>
          <w:smallCaps w:val="false"/>
          <w:sz w:val="20"/>
        </w:rPr>
        <w:t>511 to the Chief Executive Officer; (ii) $</w:t>
      </w:r>
      <w:bookmarkStart w:id="989" w:name="xdx_907_eus-gaap--PaymentOfFinancingAndS"/>
      <w:bookmarkEnd w:id="989"/>
      <w:r>
        <w:rPr>
          <w:rFonts w:ascii="Times New Roman;Times;Serif" w:hAnsi="Times New Roman;Times;Serif"/>
          <w:b w:val="false"/>
          <w:i w:val="false"/>
          <w:caps w:val="false"/>
          <w:smallCaps w:val="false"/>
          <w:sz w:val="20"/>
        </w:rPr>
        <w:t>163 to the Chief Revenue Officer; and (iii) $</w:t>
      </w:r>
      <w:bookmarkStart w:id="990" w:name="xdx_905_eus-gaap--PaymentOfFinancingAndS"/>
      <w:bookmarkEnd w:id="990"/>
      <w:r>
        <w:rPr>
          <w:rFonts w:ascii="Times New Roman;Times;Serif" w:hAnsi="Times New Roman;Times;Serif"/>
          <w:b w:val="false"/>
          <w:i w:val="false"/>
          <w:caps w:val="false"/>
          <w:smallCaps w:val="false"/>
          <w:sz w:val="20"/>
        </w:rPr>
        <w:t>79 to the Chief Marketing Officer. Each of the approved cash awards will not be paid out to the employees until the Company has achieved a minimum cash balance of $</w:t>
      </w:r>
      <w:bookmarkStart w:id="991" w:name="xdx_907_eus-gaap--Cash_iI_c20240624__us-"/>
      <w:bookmarkEnd w:id="991"/>
      <w:r>
        <w:rPr>
          <w:rFonts w:ascii="Times New Roman;Times;Serif" w:hAnsi="Times New Roman;Times;Serif"/>
          <w:b w:val="false"/>
          <w:i w:val="false"/>
          <w:caps w:val="false"/>
          <w:smallCaps w:val="false"/>
          <w:sz w:val="20"/>
        </w:rPr>
        <w:t>30,000, and are subject to each employee’s continued employment on the date of payment.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2024, the Company issued a total of </w:t>
      </w:r>
      <w:bookmarkStart w:id="992" w:name="xdx_90E_eus-gaap--ShareBasedCompensation"/>
      <w:bookmarkEnd w:id="992"/>
      <w:r>
        <w:rPr>
          <w:rFonts w:ascii="Times New Roman;Times;Serif" w:hAnsi="Times New Roman;Times;Serif"/>
          <w:b w:val="false"/>
          <w:i w:val="false"/>
          <w:caps w:val="false"/>
          <w:smallCaps w:val="false"/>
          <w:sz w:val="20"/>
        </w:rPr>
        <w:t xml:space="preserve">81,710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993" w:name="xdx_908_eus-gaap--ShareBasedCompensation"/>
      <w:bookmarkEnd w:id="993"/>
      <w:r>
        <w:rPr>
          <w:rFonts w:ascii="Times New Roman;Times;Serif" w:hAnsi="Times New Roman;Times;Serif"/>
          <w:b w:val="false"/>
          <w:i w:val="false"/>
          <w:caps w:val="false"/>
          <w:smallCaps w:val="false"/>
          <w:sz w:val="20"/>
        </w:rPr>
        <w:t>81,710 RSUs was $</w:t>
      </w:r>
      <w:bookmarkStart w:id="994" w:name="xdx_902_eus-gaap--StockIssuedDuringPerio"/>
      <w:bookmarkEnd w:id="994"/>
      <w:r>
        <w:rPr>
          <w:rFonts w:ascii="Times New Roman;Times;Serif" w:hAnsi="Times New Roman;Times;Serif"/>
          <w:b w:val="false"/>
          <w:i w:val="false"/>
          <w:caps w:val="false"/>
          <w:smallCaps w:val="false"/>
          <w:sz w:val="20"/>
        </w:rPr>
        <w:t>448 and an expense of $</w:t>
      </w:r>
      <w:bookmarkStart w:id="995" w:name="xdx_902_eus-gaap--AllocatedShareBasedCom"/>
      <w:bookmarkEnd w:id="995"/>
      <w:r>
        <w:rPr>
          <w:rFonts w:ascii="Times New Roman;Times;Serif" w:hAnsi="Times New Roman;Times;Serif"/>
          <w:b w:val="false"/>
          <w:i w:val="false"/>
          <w:caps w:val="false"/>
          <w:smallCaps w:val="false"/>
          <w:sz w:val="20"/>
        </w:rPr>
        <w:t>52 was recorded as compensation expense during the year ended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a total of </w:t>
      </w:r>
      <w:bookmarkStart w:id="996" w:name="xdx_90C_eus-gaap--ShareBasedCompensation"/>
      <w:bookmarkEnd w:id="996"/>
      <w:r>
        <w:rPr>
          <w:rFonts w:ascii="Times New Roman;Times;Serif" w:hAnsi="Times New Roman;Times;Serif"/>
          <w:b w:val="false"/>
          <w:i w:val="false"/>
          <w:caps w:val="false"/>
          <w:smallCaps w:val="false"/>
          <w:sz w:val="20"/>
        </w:rPr>
        <w:t xml:space="preserve">2,223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997" w:name="xdx_90B_eus-gaap--ShareBasedCompensation"/>
      <w:bookmarkEnd w:id="997"/>
      <w:r>
        <w:rPr>
          <w:rFonts w:ascii="Times New Roman;Times;Serif" w:hAnsi="Times New Roman;Times;Serif"/>
          <w:b w:val="false"/>
          <w:i w:val="false"/>
          <w:caps w:val="false"/>
          <w:smallCaps w:val="false"/>
          <w:sz w:val="20"/>
        </w:rPr>
        <w:t>2,223 RSUs was $</w:t>
      </w:r>
      <w:bookmarkStart w:id="998" w:name="xdx_903_eus-gaap--StockIssuedDuringPerio"/>
      <w:bookmarkEnd w:id="998"/>
      <w:r>
        <w:rPr>
          <w:rFonts w:ascii="Times New Roman;Times;Serif" w:hAnsi="Times New Roman;Times;Serif"/>
          <w:b w:val="false"/>
          <w:i w:val="false"/>
          <w:caps w:val="false"/>
          <w:smallCaps w:val="false"/>
          <w:sz w:val="20"/>
        </w:rPr>
        <w:t xml:space="preserve">12 and </w:t>
      </w:r>
      <w:bookmarkStart w:id="999" w:name="xdx_90F_eus-gaap--AllocatedShareBasedCom"/>
      <w:bookmarkEnd w:id="999"/>
      <w:r>
        <w:rPr>
          <w:rFonts w:ascii="Times New Roman;Times;Serif" w:hAnsi="Times New Roman;Times;Serif"/>
          <w:b w:val="false"/>
          <w:i w:val="false"/>
          <w:caps w:val="false"/>
          <w:smallCaps w:val="false"/>
          <w:sz w:val="20"/>
        </w:rPr>
        <w:t>no expense was recorded as compensation expense during the year ended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issued</w:t>
      </w:r>
      <w:bookmarkStart w:id="1000" w:name="xdx_907_eus-gaap--StockIssuedDuringPerio"/>
      <w:bookmarkEnd w:id="1000"/>
      <w:r>
        <w:rPr>
          <w:rFonts w:ascii="Times New Roman;Times;Serif" w:hAnsi="Times New Roman;Times;Serif"/>
          <w:b w:val="false"/>
          <w:i w:val="false"/>
          <w:caps w:val="false"/>
          <w:smallCaps w:val="false"/>
          <w:sz w:val="20"/>
        </w:rPr>
        <w:t xml:space="preserve"> 863 shares in exchange for </w:t>
      </w:r>
      <w:bookmarkStart w:id="1001" w:name="xdx_901_eus-gaap--SharebasedCompensation"/>
      <w:bookmarkEnd w:id="1001"/>
      <w:r>
        <w:rPr>
          <w:rFonts w:ascii="Times New Roman;Times;Serif" w:hAnsi="Times New Roman;Times;Serif"/>
          <w:b w:val="false"/>
          <w:i w:val="false"/>
          <w:caps w:val="false"/>
          <w:smallCaps w:val="false"/>
          <w:sz w:val="20"/>
        </w:rPr>
        <w:t>1,103 vested restricted stock units less shares deducted to cover taxes.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1002" w:name="xdx_89C_eus-gaap--ScheduleOfUnvestedRest"/>
      <w:bookmarkEnd w:id="1002"/>
      <w:r>
        <w:rPr>
          <w:rFonts w:ascii="Times New Roman;Times;Serif" w:hAnsi="Times New Roman;Times;Serif"/>
          <w:b w:val="false"/>
          <w:i w:val="false"/>
          <w:caps w:val="false"/>
          <w:smallCaps w:val="false"/>
          <w:sz w:val="20"/>
        </w:rPr>
        <w:t>The following table presents the restricted stock units activity for the years ended December 31, 2024 and 2023:</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1003" w:name="xdx_8BD_zwMWJxqttyXj"/>
      <w:bookmarkEnd w:id="1003"/>
      <w:r>
        <w:rPr>
          <w:rFonts w:ascii="Times New Roman;Times;Serif" w:hAnsi="Times New Roman;Times;Serif"/>
          <w:b w:val="false"/>
          <w:i w:val="false"/>
          <w:caps w:val="false"/>
          <w:smallCaps w:val="false"/>
          <w:sz w:val="20"/>
        </w:rPr>
        <w:t>SCHEDULE OF RESTRICTED STOCK UNITS ACTIVITY </w:t>
      </w:r>
    </w:p>
    <w:tbl>
      <w:tblPr>
        <w:tblW w:w="8598" w:type="dxa"/>
        <w:jc w:val="left"/>
        <w:tblInd w:w="0" w:type="dxa"/>
        <w:tblLayout w:type="fixed"/>
        <w:tblCellMar>
          <w:top w:w="0" w:type="dxa"/>
          <w:left w:w="0" w:type="dxa"/>
          <w:bottom w:w="0" w:type="dxa"/>
          <w:right w:w="0" w:type="dxa"/>
        </w:tblCellMar>
      </w:tblPr>
      <w:tblGrid>
        <w:gridCol w:w="3575"/>
        <w:gridCol w:w="60"/>
        <w:gridCol w:w="77"/>
        <w:gridCol w:w="1037"/>
        <w:gridCol w:w="95"/>
        <w:gridCol w:w="60"/>
        <w:gridCol w:w="616"/>
        <w:gridCol w:w="3003"/>
        <w:gridCol w:w="75"/>
      </w:tblGrid>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9" w:type="dxa"/>
            <w:gridSpan w:val="2"/>
            <w:tcBorders>
              <w:bottom w:val="single" w:sz="8" w:space="0" w:color="000000"/>
            </w:tcBorders>
            <w:tcMar>
              <w:bottom w:w="28" w:type="dxa"/>
            </w:tcMar>
            <w:vAlign w:val="center"/>
          </w:tcPr>
          <w:p>
            <w:pPr>
              <w:pStyle w:val="TableContents"/>
              <w:bidi w:val="0"/>
              <w:spacing w:before="0" w:after="283"/>
              <w:jc w:val="center"/>
              <w:rPr/>
            </w:pPr>
            <w:r>
              <w:rPr/>
              <w:t>Weighted-Average Fair Market Value</w:t>
            </w:r>
          </w:p>
        </w:tc>
        <w:tc>
          <w:tcPr>
            <w:tcW w:w="75" w:type="dxa"/>
            <w:tcBorders/>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Unvested shares, January 1, 2023</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1004" w:name="xdx_989_eus-gaap--ShareBasedCompensation"/>
            <w:bookmarkEnd w:id="1004"/>
          </w:p>
        </w:tc>
        <w:tc>
          <w:tcPr>
            <w:tcW w:w="1037"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w:t>
            </w:r>
            <w:bookmarkStart w:id="1005" w:name="xdx_983_eus-gaap--ShareBasedCompensation"/>
            <w:bookmarkEnd w:id="1005"/>
          </w:p>
        </w:tc>
        <w:tc>
          <w:tcPr>
            <w:tcW w:w="3003" w:type="dxa"/>
            <w:tcBorders/>
            <w:shd w:fill="CCEEFF" w:val="clear"/>
            <w:vAlign w:val="center"/>
          </w:tcPr>
          <w:p>
            <w:pPr>
              <w:pStyle w:val="TableContents"/>
              <w:bidi w:val="0"/>
              <w:spacing w:before="0" w:after="283"/>
              <w:jc w:val="right"/>
              <w:rPr/>
            </w:pPr>
            <w:r>
              <w:rPr/>
              <w:t>126.00</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1006" w:name="xdx_988_eus-gaap--ShareBasedCompensation"/>
            <w:bookmarkEnd w:id="1006"/>
          </w:p>
        </w:tc>
        <w:tc>
          <w:tcPr>
            <w:tcW w:w="1037" w:type="dxa"/>
            <w:tcBorders/>
            <w:shd w:fill="FFFFFF" w:val="clear"/>
            <w:vAlign w:val="center"/>
          </w:tcPr>
          <w:p>
            <w:pPr>
              <w:pStyle w:val="TableContents"/>
              <w:bidi w:val="0"/>
              <w:spacing w:before="0" w:after="283"/>
              <w:jc w:val="right"/>
              <w:rPr/>
            </w:pPr>
            <w:r>
              <w:rPr/>
              <w:t>56,557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bookmarkStart w:id="1007" w:name="xdx_986_eus-gaap--ShareBasedCompensation"/>
            <w:bookmarkEnd w:id="1007"/>
          </w:p>
        </w:tc>
        <w:tc>
          <w:tcPr>
            <w:tcW w:w="3003" w:type="dxa"/>
            <w:tcBorders/>
            <w:shd w:fill="FFFFFF" w:val="clear"/>
            <w:vAlign w:val="center"/>
          </w:tcPr>
          <w:p>
            <w:pPr>
              <w:pStyle w:val="TableContents"/>
              <w:bidi w:val="0"/>
              <w:spacing w:before="0" w:after="283"/>
              <w:jc w:val="right"/>
              <w:rPr/>
            </w:pPr>
            <w:r>
              <w:rPr/>
              <w:t>63.54</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1008" w:name="xdx_98B_eus-gaap--ShareBasedCompensation"/>
            <w:bookmarkEnd w:id="1008"/>
          </w:p>
        </w:tc>
        <w:tc>
          <w:tcPr>
            <w:tcW w:w="1037" w:type="dxa"/>
            <w:tcBorders/>
            <w:shd w:fill="FFFFFF" w:val="clear"/>
            <w:vAlign w:val="center"/>
          </w:tcPr>
          <w:p>
            <w:pPr>
              <w:pStyle w:val="TableContents"/>
              <w:bidi w:val="0"/>
              <w:spacing w:before="0" w:after="283"/>
              <w:jc w:val="right"/>
              <w:rPr/>
            </w:pPr>
            <w:r>
              <w:rPr/>
              <w:t>(9,727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bookmarkStart w:id="1009" w:name="xdx_98B_eus-gaap--ShareBasedCompensation"/>
            <w:bookmarkEnd w:id="1009"/>
          </w:p>
        </w:tc>
        <w:tc>
          <w:tcPr>
            <w:tcW w:w="3003" w:type="dxa"/>
            <w:tcBorders/>
            <w:shd w:fill="FFFFFF" w:val="clear"/>
            <w:vAlign w:val="center"/>
          </w:tcPr>
          <w:p>
            <w:pPr>
              <w:pStyle w:val="TableContents"/>
              <w:bidi w:val="0"/>
              <w:spacing w:before="0" w:after="283"/>
              <w:jc w:val="right"/>
              <w:rPr/>
            </w:pPr>
            <w:r>
              <w:rPr/>
              <w:t>7.51</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1010" w:name="xdx_982_ecustom--ShareBasedCompensationA"/>
            <w:bookmarkEnd w:id="1010"/>
          </w:p>
        </w:tc>
        <w:tc>
          <w:tcPr>
            <w:tcW w:w="1037" w:type="dxa"/>
            <w:tcBorders/>
            <w:shd w:fill="CCEEFF" w:val="clear"/>
            <w:vAlign w:val="center"/>
          </w:tcPr>
          <w:p>
            <w:pPr>
              <w:pStyle w:val="TableContents"/>
              <w:bidi w:val="0"/>
              <w:spacing w:before="0" w:after="283"/>
              <w:jc w:val="right"/>
              <w:rPr/>
            </w:pPr>
            <w:r>
              <w:rPr/>
              <w:t>(1,103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bookmarkStart w:id="1011" w:name="xdx_981_ecustom--ShareBasedCompensationA"/>
            <w:bookmarkEnd w:id="1011"/>
          </w:p>
        </w:tc>
        <w:tc>
          <w:tcPr>
            <w:tcW w:w="3003" w:type="dxa"/>
            <w:tcBorders/>
            <w:shd w:fill="CCEEFF" w:val="clear"/>
            <w:vAlign w:val="center"/>
          </w:tcPr>
          <w:p>
            <w:pPr>
              <w:pStyle w:val="TableContents"/>
              <w:bidi w:val="0"/>
              <w:spacing w:before="0" w:after="283"/>
              <w:jc w:val="right"/>
              <w:rPr/>
            </w:pPr>
            <w:r>
              <w:rPr/>
              <w:t>32.79</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12" w:name="xdx_988_eus-gaap--ShareBasedCompensation"/>
            <w:bookmarkEnd w:id="1012"/>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(71,333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13" w:name="xdx_989_eus-gaap--ShareBasedCompensation"/>
            <w:bookmarkEnd w:id="1013"/>
          </w:p>
        </w:tc>
        <w:tc>
          <w:tcPr>
            <w:tcW w:w="3003" w:type="dxa"/>
            <w:tcBorders>
              <w:bottom w:val="single" w:sz="8" w:space="0" w:color="000000"/>
            </w:tcBorders>
            <w:shd w:fill="CCEEFF" w:val="clear"/>
            <w:tcMar>
              <w:bottom w:w="28" w:type="dxa"/>
            </w:tcMar>
            <w:vAlign w:val="center"/>
          </w:tcPr>
          <w:p>
            <w:pPr>
              <w:pStyle w:val="TableContents"/>
              <w:bidi w:val="0"/>
              <w:spacing w:before="0" w:after="283"/>
              <w:jc w:val="right"/>
              <w:rPr/>
            </w:pPr>
            <w:r>
              <w:rPr/>
              <w:t>83.88</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Unvested shares, December 31, 2023</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14" w:name="xdx_983_eus-gaap--ShareBasedCompensation"/>
            <w:bookmarkEnd w:id="1014"/>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5,224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15" w:name="xdx_98E_eus-gaap--ShareBasedCompensation"/>
            <w:bookmarkEnd w:id="1015"/>
          </w:p>
        </w:tc>
        <w:tc>
          <w:tcPr>
            <w:tcW w:w="3003" w:type="dxa"/>
            <w:tcBorders>
              <w:bottom w:val="double" w:sz="6" w:space="0" w:color="000000"/>
            </w:tcBorders>
            <w:shd w:fill="FFFFFF" w:val="clear"/>
            <w:tcMar>
              <w:bottom w:w="28" w:type="dxa"/>
            </w:tcMar>
            <w:vAlign w:val="center"/>
          </w:tcPr>
          <w:p>
            <w:pPr>
              <w:pStyle w:val="TableContents"/>
              <w:bidi w:val="0"/>
              <w:spacing w:before="0" w:after="283"/>
              <w:jc w:val="right"/>
              <w:rPr/>
            </w:pPr>
            <w:r>
              <w:rPr/>
              <w:t>24.21</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300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Unvested shares, January 1, 2024</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1016" w:name="xdx_98E_eus-gaap--ShareBasedCompensation"/>
            <w:bookmarkEnd w:id="1016"/>
          </w:p>
        </w:tc>
        <w:tc>
          <w:tcPr>
            <w:tcW w:w="1037" w:type="dxa"/>
            <w:tcBorders/>
            <w:shd w:fill="FFFFFF" w:val="clear"/>
            <w:vAlign w:val="center"/>
          </w:tcPr>
          <w:p>
            <w:pPr>
              <w:pStyle w:val="TableContents"/>
              <w:bidi w:val="0"/>
              <w:spacing w:before="0" w:after="283"/>
              <w:jc w:val="right"/>
              <w:rPr/>
            </w:pPr>
            <w:r>
              <w:rPr/>
              <w:t>5,224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w:t>
            </w:r>
            <w:bookmarkStart w:id="1017" w:name="xdx_983_eus-gaap--ShareBasedCompensation"/>
            <w:bookmarkEnd w:id="1017"/>
          </w:p>
        </w:tc>
        <w:tc>
          <w:tcPr>
            <w:tcW w:w="3003" w:type="dxa"/>
            <w:tcBorders/>
            <w:shd w:fill="FFFFFF" w:val="clear"/>
            <w:vAlign w:val="center"/>
          </w:tcPr>
          <w:p>
            <w:pPr>
              <w:pStyle w:val="TableContents"/>
              <w:bidi w:val="0"/>
              <w:spacing w:before="0" w:after="283"/>
              <w:jc w:val="right"/>
              <w:rPr/>
            </w:pPr>
            <w:r>
              <w:rPr/>
              <w:t>24.21</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Granted and unvested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1018" w:name="xdx_986_eus-gaap--ShareBasedCompensation"/>
            <w:bookmarkEnd w:id="1018"/>
          </w:p>
        </w:tc>
        <w:tc>
          <w:tcPr>
            <w:tcW w:w="1037" w:type="dxa"/>
            <w:tcBorders/>
            <w:shd w:fill="CCEEFF" w:val="clear"/>
            <w:vAlign w:val="center"/>
          </w:tcPr>
          <w:p>
            <w:pPr>
              <w:pStyle w:val="TableContents"/>
              <w:bidi w:val="0"/>
              <w:spacing w:before="0" w:after="283"/>
              <w:jc w:val="right"/>
              <w:rPr/>
            </w:pPr>
            <w:r>
              <w:rPr/>
              <w:t>351,872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bookmarkStart w:id="1019" w:name="xdx_985_eus-gaap--ShareBasedCompensation"/>
            <w:bookmarkEnd w:id="1019"/>
          </w:p>
        </w:tc>
        <w:tc>
          <w:tcPr>
            <w:tcW w:w="3003" w:type="dxa"/>
            <w:tcBorders/>
            <w:shd w:fill="CCEEFF" w:val="clear"/>
            <w:vAlign w:val="center"/>
          </w:tcPr>
          <w:p>
            <w:pPr>
              <w:pStyle w:val="TableContents"/>
              <w:bidi w:val="0"/>
              <w:spacing w:before="0" w:after="283"/>
              <w:jc w:val="right"/>
              <w:rPr/>
            </w:pPr>
            <w:r>
              <w:rPr/>
              <w:t>4.41</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1020" w:name="xdx_98A_eus-gaap--ShareBasedCompensation"/>
            <w:bookmarkEnd w:id="1020"/>
          </w:p>
        </w:tc>
        <w:tc>
          <w:tcPr>
            <w:tcW w:w="1037" w:type="dxa"/>
            <w:tcBorders/>
            <w:shd w:fill="FFFFFF" w:val="clear"/>
            <w:vAlign w:val="center"/>
          </w:tcPr>
          <w:p>
            <w:pPr>
              <w:pStyle w:val="TableContents"/>
              <w:bidi w:val="0"/>
              <w:spacing w:before="0" w:after="283"/>
              <w:jc w:val="right"/>
              <w:rPr/>
            </w:pPr>
            <w:r>
              <w:rPr/>
              <w:t>(9,727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bookmarkStart w:id="1021" w:name="xdx_981_eus-gaap--ShareBasedCompensation"/>
            <w:bookmarkEnd w:id="1021"/>
          </w:p>
        </w:tc>
        <w:tc>
          <w:tcPr>
            <w:tcW w:w="3003" w:type="dxa"/>
            <w:tcBorders/>
            <w:shd w:fill="FFFFFF" w:val="clear"/>
            <w:vAlign w:val="center"/>
          </w:tcPr>
          <w:p>
            <w:pPr>
              <w:pStyle w:val="TableContents"/>
              <w:bidi w:val="0"/>
              <w:spacing w:before="0" w:after="283"/>
              <w:jc w:val="right"/>
              <w:rPr/>
            </w:pPr>
            <w:r>
              <w:rPr/>
              <w:t>7.51</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1022" w:name="xdx_98F_ecustom--ShareBasedCompensationA"/>
            <w:bookmarkEnd w:id="1022"/>
          </w:p>
        </w:tc>
        <w:tc>
          <w:tcPr>
            <w:tcW w:w="1037" w:type="dxa"/>
            <w:tcBorders/>
            <w:shd w:fill="CCEEFF" w:val="clear"/>
            <w:vAlign w:val="center"/>
          </w:tcPr>
          <w:p>
            <w:pPr>
              <w:pStyle w:val="TableContents"/>
              <w:bidi w:val="0"/>
              <w:spacing w:before="0" w:after="283"/>
              <w:jc w:val="right"/>
              <w:rPr/>
            </w:pPr>
            <w:r>
              <w:rPr/>
              <w:t>(1,103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bookmarkStart w:id="1023" w:name="xdx_98C_ecustom--ShareBasedCompensationA"/>
            <w:bookmarkEnd w:id="1023"/>
          </w:p>
        </w:tc>
        <w:tc>
          <w:tcPr>
            <w:tcW w:w="3003" w:type="dxa"/>
            <w:tcBorders/>
            <w:shd w:fill="CCEEFF" w:val="clear"/>
            <w:vAlign w:val="center"/>
          </w:tcPr>
          <w:p>
            <w:pPr>
              <w:pStyle w:val="TableContents"/>
              <w:bidi w:val="0"/>
              <w:spacing w:before="0" w:after="283"/>
              <w:jc w:val="right"/>
              <w:rPr/>
            </w:pPr>
            <w:r>
              <w:rPr/>
              <w:t>32.79</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Vested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24" w:name="xdx_983_eus-gaap--ShareBasedCompensation"/>
            <w:bookmarkEnd w:id="1024"/>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(11,515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25" w:name="xdx_980_eus-gaap--ShareBasedCompensation"/>
            <w:bookmarkEnd w:id="1025"/>
          </w:p>
        </w:tc>
        <w:tc>
          <w:tcPr>
            <w:tcW w:w="3003" w:type="dxa"/>
            <w:tcBorders>
              <w:bottom w:val="single" w:sz="8" w:space="0" w:color="000000"/>
            </w:tcBorders>
            <w:shd w:fill="FFFFFF" w:val="clear"/>
            <w:tcMar>
              <w:bottom w:w="28" w:type="dxa"/>
            </w:tcMar>
            <w:vAlign w:val="center"/>
          </w:tcPr>
          <w:p>
            <w:pPr>
              <w:pStyle w:val="TableContents"/>
              <w:bidi w:val="0"/>
              <w:spacing w:before="0" w:after="283"/>
              <w:jc w:val="right"/>
              <w:rPr/>
            </w:pPr>
            <w:r>
              <w:rPr/>
              <w:t>4.18</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Unvested shares, December 31, 2024</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26" w:name="xdx_985_eus-gaap--ShareBasedCompensation"/>
            <w:bookmarkEnd w:id="1026"/>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334,751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27" w:name="xdx_982_eus-gaap--ShareBasedCompensation"/>
            <w:bookmarkEnd w:id="1027"/>
          </w:p>
        </w:tc>
        <w:tc>
          <w:tcPr>
            <w:tcW w:w="3003" w:type="dxa"/>
            <w:tcBorders>
              <w:bottom w:val="double" w:sz="6" w:space="0" w:color="000000"/>
            </w:tcBorders>
            <w:shd w:fill="CCEEFF" w:val="clear"/>
            <w:tcMar>
              <w:bottom w:w="28" w:type="dxa"/>
            </w:tcM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1028" w:name="xdx_8A0_zxrkfZwPRWkg"/>
      <w:bookmarkEnd w:id="1028"/>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and 2023 there were </w:t>
      </w:r>
      <w:bookmarkStart w:id="1029" w:name="xdx_907_eus-gaap--ClassOfWarrantOrRightU"/>
      <w:bookmarkEnd w:id="1029"/>
      <w:r>
        <w:rPr>
          <w:rFonts w:ascii="Times New Roman;Times;Serif" w:hAnsi="Times New Roman;Times;Serif"/>
          <w:b w:val="false"/>
          <w:i w:val="false"/>
          <w:caps w:val="false"/>
          <w:smallCaps w:val="false"/>
          <w:sz w:val="20"/>
        </w:rPr>
        <w:t xml:space="preserve">854,412 and </w:t>
      </w:r>
      <w:bookmarkStart w:id="1030" w:name="xdx_907_eus-gaap--ClassOfWarrantOrRightU"/>
      <w:bookmarkEnd w:id="1030"/>
      <w:r>
        <w:rPr>
          <w:rFonts w:ascii="Times New Roman;Times;Serif" w:hAnsi="Times New Roman;Times;Serif"/>
          <w:b w:val="false"/>
          <w:i w:val="false"/>
          <w:caps w:val="false"/>
          <w:smallCaps w:val="false"/>
          <w:sz w:val="20"/>
        </w:rPr>
        <w:t>496,587 shares, respectively, of unissued authorized and available for future awards under the 2022 Equity Incentive Plan and Employee Stock Purchase Plan.</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Corporation, Inc. Employee Stock Purchase Plan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 On April 24, 2024, the Company issued </w:t>
      </w:r>
      <w:bookmarkStart w:id="1031" w:name="xdx_905_eus-gaap--StockIssuedDuringPerio"/>
      <w:bookmarkEnd w:id="1031"/>
      <w:r>
        <w:rPr>
          <w:rFonts w:ascii="Times New Roman;Times;Serif" w:hAnsi="Times New Roman;Times;Serif"/>
          <w:b w:val="false"/>
          <w:i w:val="false"/>
          <w:caps w:val="false"/>
          <w:smallCaps w:val="false"/>
          <w:sz w:val="20"/>
        </w:rPr>
        <w:t>27,197 common shares in connection with its Employee Stock Purchase Plan for a total consideration of approximately $</w:t>
      </w:r>
      <w:bookmarkStart w:id="1032" w:name="xdx_907_eus-gaap--StockIssuedDuringPerio"/>
      <w:bookmarkEnd w:id="1032"/>
      <w:r>
        <w:rPr>
          <w:rFonts w:ascii="Times New Roman;Times;Serif" w:hAnsi="Times New Roman;Times;Serif"/>
          <w:b w:val="false"/>
          <w:i w:val="false"/>
          <w:caps w:val="false"/>
          <w:smallCaps w:val="false"/>
          <w:sz w:val="20"/>
        </w:rPr>
        <w:t xml:space="preserve">112. The ESPP allows employees to purchase shares at a </w:t>
      </w:r>
      <w:bookmarkStart w:id="1033" w:name="xdx_904_ecustom--EmployeePurchaseSharesP"/>
      <w:bookmarkEnd w:id="1033"/>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2023, and April 1, 2024, respectively. The discount resulted in an exercise price of $</w:t>
      </w:r>
      <w:bookmarkStart w:id="1034" w:name="xdx_901_eus-gaap--ClassOfWarrantOrRightE"/>
      <w:bookmarkEnd w:id="1034"/>
      <w:r>
        <w:rPr>
          <w:rFonts w:ascii="Times New Roman;Times;Serif" w:hAnsi="Times New Roman;Times;Serif"/>
          <w:b w:val="false"/>
          <w:i w:val="false"/>
          <w:caps w:val="false"/>
          <w:smallCaps w:val="false"/>
          <w:sz w:val="20"/>
        </w:rPr>
        <w:t>4.14 per share.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2024, the Company commenced a second offering under the Employee Stock Purchase Plan (ESPP), which ran through September 30, 2024, with the same terms as the first offering. As of September 30, 2024, the Company had issued </w:t>
      </w:r>
      <w:bookmarkStart w:id="1035" w:name="xdx_908_eus-gaap--StockIssuedDuringPerio"/>
      <w:bookmarkEnd w:id="1035"/>
      <w:r>
        <w:rPr>
          <w:rFonts w:ascii="Times New Roman;Times;Serif" w:hAnsi="Times New Roman;Times;Serif"/>
          <w:b w:val="false"/>
          <w:i w:val="false"/>
          <w:caps w:val="false"/>
          <w:smallCaps w:val="false"/>
          <w:sz w:val="20"/>
        </w:rPr>
        <w:t>33,950 common shares in connection with its Employee Stock Purchase Plan for a total consideration of approximately $</w:t>
      </w:r>
      <w:bookmarkStart w:id="1036" w:name="xdx_90E_eus-gaap--StockIssuedDuringPerio"/>
      <w:bookmarkEnd w:id="1036"/>
      <w:r>
        <w:rPr>
          <w:rFonts w:ascii="Times New Roman;Times;Serif" w:hAnsi="Times New Roman;Times;Serif"/>
          <w:b w:val="false"/>
          <w:i w:val="false"/>
          <w:caps w:val="false"/>
          <w:smallCaps w:val="false"/>
          <w:sz w:val="20"/>
        </w:rPr>
        <w:t xml:space="preserve">135. The ESPP allows employees to purchase shares at a </w:t>
      </w:r>
      <w:bookmarkStart w:id="1037" w:name="xdx_904_ecustom--EmployeePurchaseSharesP"/>
      <w:bookmarkEnd w:id="1037"/>
      <w:r>
        <w:rPr>
          <w:rFonts w:ascii="Times New Roman;Times;Serif" w:hAnsi="Times New Roman;Times;Serif"/>
          <w:b w:val="false"/>
          <w:i w:val="false"/>
          <w:caps w:val="false"/>
          <w:smallCaps w:val="false"/>
          <w:sz w:val="20"/>
        </w:rPr>
        <w:t>15% discount to the lesser of the stock price at the beginning or the end of the offering period, which was April 1, 2024, and September 30, 2024, respectively. The discount resulted in an exercise price of $</w:t>
      </w:r>
      <w:bookmarkStart w:id="1038" w:name="xdx_90E_eus-gaap--ClassOfWarrantOrRightE"/>
      <w:bookmarkEnd w:id="1038"/>
      <w:r>
        <w:rPr>
          <w:rFonts w:ascii="Times New Roman;Times;Serif" w:hAnsi="Times New Roman;Times;Serif"/>
          <w:b w:val="false"/>
          <w:i w:val="false"/>
          <w:caps w:val="false"/>
          <w:smallCaps w:val="false"/>
          <w:sz w:val="20"/>
        </w:rPr>
        <w:t>3.99 per share.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1039" w:name="xdx_800_eus-gaap--SupplierFinanceProgram"/>
      <w:bookmarkEnd w:id="1039"/>
      <w:r>
        <w:rPr>
          <w:rFonts w:ascii="Times New Roman;Times;Serif" w:hAnsi="Times New Roman;Times;Serif"/>
          <w:b/>
          <w:i w:val="false"/>
          <w:caps/>
          <w:sz w:val="20"/>
        </w:rPr>
        <w:t xml:space="preserve">Note 13 - </w:t>
      </w:r>
      <w:bookmarkStart w:id="1040" w:name="xdx_824_z1DIn8MeS3dk"/>
      <w:bookmarkEnd w:id="1040"/>
      <w:r>
        <w:rPr>
          <w:rFonts w:ascii="Times New Roman;Times;Serif" w:hAnsi="Times New Roman;Times;Serif"/>
          <w:b/>
          <w:i w:val="false"/>
          <w:caps/>
          <w:sz w:val="20"/>
        </w:rPr>
        <w:t>SUPPLIER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bookmarkStart w:id="1041" w:name="xdx_804_eus-gaap--IncomeTaxDisclosureTex"/>
      <w:bookmarkEnd w:id="1041"/>
      <w:r>
        <w:rPr>
          <w:rFonts w:ascii="Times New Roman;Times;Serif" w:hAnsi="Times New Roman;Times;Serif"/>
          <w:b/>
          <w:i w:val="false"/>
          <w:caps/>
          <w:sz w:val="20"/>
        </w:rPr>
        <w:t xml:space="preserve">Note 14 - </w:t>
      </w:r>
      <w:bookmarkStart w:id="1042" w:name="xdx_821_zIHHJr2Dwi4e"/>
      <w:bookmarkEnd w:id="1042"/>
      <w:r>
        <w:rPr>
          <w:rFonts w:ascii="Times New Roman;Times;Serif" w:hAnsi="Times New Roman;Times;Serif"/>
          <w:b/>
          <w:i w:val="false"/>
          <w:caps/>
          <w:sz w:val="20"/>
        </w:rPr>
        <w:t>INCOME TAXES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1043" w:name="xdx_89C_eus-gaap--ScheduleOfComponentsOf"/>
      <w:bookmarkEnd w:id="1043"/>
      <w:r>
        <w:rPr>
          <w:rFonts w:ascii="Times New Roman;Times;Serif" w:hAnsi="Times New Roman;Times;Serif"/>
          <w:b w:val="false"/>
          <w:i w:val="false"/>
          <w:caps w:val="false"/>
          <w:smallCaps w:val="false"/>
          <w:sz w:val="20"/>
        </w:rPr>
        <w:t>The income tax expense consists of the following items: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1044" w:name="xdx_8BB_zsexOslw4efj"/>
      <w:bookmarkEnd w:id="1044"/>
      <w:r>
        <w:rPr>
          <w:rFonts w:ascii="Times New Roman;Times;Serif" w:hAnsi="Times New Roman;Times;Serif"/>
          <w:b w:val="false"/>
          <w:i w:val="false"/>
          <w:caps w:val="false"/>
          <w:smallCaps w:val="false"/>
          <w:sz w:val="20"/>
        </w:rPr>
        <w:t>SCHEDULE OF INCOME TAX EXPENSE </w:t>
      </w:r>
    </w:p>
    <w:tbl>
      <w:tblPr>
        <w:tblW w:w="3110" w:type="dxa"/>
        <w:jc w:val="left"/>
        <w:tblInd w:w="0" w:type="dxa"/>
        <w:tblLayout w:type="fixed"/>
        <w:tblCellMar>
          <w:top w:w="0" w:type="dxa"/>
          <w:left w:w="0" w:type="dxa"/>
          <w:bottom w:w="0" w:type="dxa"/>
          <w:right w:w="0" w:type="dxa"/>
        </w:tblCellMar>
      </w:tblPr>
      <w:tblGrid>
        <w:gridCol w:w="1820"/>
        <w:gridCol w:w="60"/>
        <w:gridCol w:w="297"/>
        <w:gridCol w:w="203"/>
        <w:gridCol w:w="60"/>
        <w:gridCol w:w="60"/>
        <w:gridCol w:w="147"/>
        <w:gridCol w:w="353"/>
        <w:gridCol w:w="110"/>
      </w:tblGrid>
      <w:tr>
        <w:trPr/>
        <w:tc>
          <w:tcPr>
            <w:tcW w:w="18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045" w:name="xdx_493_20240101__20241231_zC7nTqjmfeJ1"/>
            <w:bookmarkEnd w:id="1045"/>
          </w:p>
        </w:tc>
        <w:tc>
          <w:tcPr>
            <w:tcW w:w="50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6" w:name="xdx_498_20230101__20231231_zilwvdisXm13"/>
            <w:bookmarkEnd w:id="1046"/>
          </w:p>
        </w:tc>
        <w:tc>
          <w:tcPr>
            <w:tcW w:w="50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bookmarkStart w:id="1047" w:name="xdx_406_eus-gaap--CurrentFederalTaxExpen"/>
            <w:bookmarkEnd w:id="1047"/>
          </w:p>
        </w:tc>
      </w:tr>
      <w:tr>
        <w:trPr/>
        <w:tc>
          <w:tcPr>
            <w:tcW w:w="1820" w:type="dxa"/>
            <w:tcBorders/>
            <w:shd w:fill="CCEEFF" w:val="clear"/>
            <w:vAlign w:val="center"/>
          </w:tcPr>
          <w:p>
            <w:pPr>
              <w:pStyle w:val="TableContents"/>
              <w:bidi w:val="0"/>
              <w:spacing w:before="0" w:after="283"/>
              <w:jc w:val="both"/>
              <w:rPr/>
            </w:pPr>
            <w:r>
              <w:rPr/>
              <w:t>Current – Federal</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ind w:left="0" w:right="0" w:hanging="10"/>
              <w:jc w:val="left"/>
              <w:rPr/>
            </w:pPr>
            <w:r>
              <w:rPr/>
              <w:t>)</w:t>
            </w:r>
            <w:bookmarkStart w:id="1048" w:name="xdx_40D_eus-gaap--CurrentStateAndLocalTa"/>
            <w:bookmarkEnd w:id="1048"/>
          </w:p>
        </w:tc>
      </w:tr>
      <w:tr>
        <w:trPr/>
        <w:tc>
          <w:tcPr>
            <w:tcW w:w="1820" w:type="dxa"/>
            <w:tcBorders/>
            <w:shd w:fill="FFFFFF" w:val="clear"/>
            <w:vAlign w:val="center"/>
          </w:tcPr>
          <w:p>
            <w:pPr>
              <w:pStyle w:val="TableContents"/>
              <w:bidi w:val="0"/>
              <w:spacing w:before="0" w:after="283"/>
              <w:jc w:val="both"/>
              <w:rPr/>
            </w:pPr>
            <w:r>
              <w:rPr/>
              <w:t>Current – State</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ind w:left="0" w:right="0" w:hanging="10"/>
              <w:jc w:val="left"/>
              <w:rPr/>
            </w:pPr>
            <w:r>
              <w:rPr/>
              <w:t> </w:t>
            </w:r>
            <w:bookmarkStart w:id="1049" w:name="xdx_40D_eus-gaap--DeferredFederalIncomeT"/>
            <w:bookmarkEnd w:id="1049"/>
          </w:p>
        </w:tc>
      </w:tr>
      <w:tr>
        <w:trPr/>
        <w:tc>
          <w:tcPr>
            <w:tcW w:w="1820" w:type="dxa"/>
            <w:tcBorders/>
            <w:shd w:fill="CCEEFF" w:val="clear"/>
            <w:vAlign w:val="center"/>
          </w:tcPr>
          <w:p>
            <w:pPr>
              <w:pStyle w:val="TableContents"/>
              <w:bidi w:val="0"/>
              <w:spacing w:before="0" w:after="283"/>
              <w:jc w:val="both"/>
              <w:rPr/>
            </w:pPr>
            <w:r>
              <w:rPr/>
              <w:t>Deferred – Federal</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bookmarkStart w:id="1050" w:name="xdx_408_eus-gaap--DeferredStateAndLocalI"/>
            <w:bookmarkEnd w:id="1050"/>
          </w:p>
        </w:tc>
      </w:tr>
      <w:tr>
        <w:trPr/>
        <w:tc>
          <w:tcPr>
            <w:tcW w:w="1820" w:type="dxa"/>
            <w:tcBorders/>
            <w:shd w:fill="FFFFFF" w:val="clear"/>
            <w:vAlign w:val="center"/>
          </w:tcPr>
          <w:p>
            <w:pPr>
              <w:pStyle w:val="TableContents"/>
              <w:bidi w:val="0"/>
              <w:spacing w:before="0" w:after="283"/>
              <w:jc w:val="both"/>
              <w:rPr/>
            </w:pPr>
            <w:r>
              <w:rPr/>
              <w:t>Deferred – State</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bookmarkStart w:id="1051" w:name="xdx_406_eus-gaap--IncomeTaxExpenseBenefi"/>
            <w:bookmarkEnd w:id="1051"/>
          </w:p>
        </w:tc>
      </w:tr>
      <w:tr>
        <w:trPr/>
        <w:tc>
          <w:tcPr>
            <w:tcW w:w="1820" w:type="dxa"/>
            <w:tcBorders/>
            <w:shd w:fill="CCEEFF" w:val="clear"/>
            <w:vAlign w:val="center"/>
          </w:tcPr>
          <w:p>
            <w:pPr>
              <w:pStyle w:val="TableContents"/>
              <w:bidi w:val="0"/>
              <w:spacing w:before="0" w:after="283"/>
              <w:jc w:val="both"/>
              <w:rPr/>
            </w:pPr>
            <w:r>
              <w:rPr/>
              <w:t>Total tax expense</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bookmarkStart w:id="1052" w:name="xdx_8A5_z7jwfhML7tO5"/>
      <w:bookmarkEnd w:id="1052"/>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1053" w:name="xdx_89D_eus-gaap--ScheduleOfDeferredTaxA"/>
      <w:bookmarkEnd w:id="1053"/>
      <w:r>
        <w:rPr>
          <w:rFonts w:ascii="Times New Roman;Times;Serif" w:hAnsi="Times New Roman;Times;Serif"/>
          <w:b w:val="false"/>
          <w:i w:val="false"/>
          <w:caps w:val="false"/>
          <w:smallCaps w:val="false"/>
          <w:sz w:val="20"/>
        </w:rPr>
        <w:t>Components of deferred tax assets (liabilities) are as follows:</w:t>
      </w:r>
    </w:p>
    <w:p>
      <w:pPr>
        <w:pStyle w:val="TextBody"/>
        <w:bidi w:val="0"/>
        <w:spacing w:before="0" w:after="0"/>
        <w:ind w:left="10" w:right="0" w:hanging="10"/>
        <w:jc w:val="both"/>
        <w:rPr>
          <w:caps w:val="false"/>
          <w:smallCaps w:val="false"/>
        </w:rPr>
      </w:pPr>
      <w:r>
        <w:rPr>
          <w:caps w:val="false"/>
          <w:smallCaps w:val="false"/>
        </w:rPr>
        <w:t> </w:t>
      </w:r>
      <w:bookmarkStart w:id="1054" w:name="xdx_8B4_zU4vAvLPv7Cj"/>
      <w:bookmarkEnd w:id="1054"/>
      <w:r>
        <w:rPr>
          <w:rFonts w:ascii="Times New Roman;Times;Serif" w:hAnsi="Times New Roman;Times;Serif"/>
          <w:b w:val="false"/>
          <w:i w:val="false"/>
          <w:caps w:val="false"/>
          <w:smallCaps w:val="false"/>
          <w:sz w:val="20"/>
        </w:rPr>
        <w:t>SCHEDULE OF COMPONENTS OF DEFERRED TAX ASSETS (LIABILITIES)</w:t>
      </w:r>
    </w:p>
    <w:tbl>
      <w:tblPr>
        <w:tblW w:w="5285" w:type="dxa"/>
        <w:jc w:val="left"/>
        <w:tblInd w:w="0" w:type="dxa"/>
        <w:tblLayout w:type="fixed"/>
        <w:tblCellMar>
          <w:top w:w="0" w:type="dxa"/>
          <w:left w:w="0" w:type="dxa"/>
          <w:bottom w:w="0" w:type="dxa"/>
          <w:right w:w="0" w:type="dxa"/>
        </w:tblCellMar>
      </w:tblPr>
      <w:tblGrid>
        <w:gridCol w:w="3170"/>
        <w:gridCol w:w="60"/>
        <w:gridCol w:w="140"/>
        <w:gridCol w:w="755"/>
        <w:gridCol w:w="95"/>
        <w:gridCol w:w="60"/>
        <w:gridCol w:w="140"/>
        <w:gridCol w:w="755"/>
        <w:gridCol w:w="110"/>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055" w:name="xdx_490_20241231_zr3SAE38Wjnf"/>
            <w:bookmarkEnd w:id="1055"/>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6" w:name="xdx_49D_20231231_zrneVfuliYrk"/>
            <w:bookmarkEnd w:id="1056"/>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bookmarkStart w:id="1057" w:name="xdx_40E_eus-gaap--DeferredTaxAssetsGross"/>
            <w:bookmarkEnd w:id="1057"/>
          </w:p>
        </w:tc>
      </w:tr>
      <w:tr>
        <w:trPr/>
        <w:tc>
          <w:tcPr>
            <w:tcW w:w="3170" w:type="dxa"/>
            <w:tcBorders/>
            <w:shd w:fill="CCEEFF" w:val="clear"/>
            <w:vAlign w:val="center"/>
          </w:tcPr>
          <w:p>
            <w:pPr>
              <w:pStyle w:val="TableContents"/>
              <w:bidi w:val="0"/>
              <w:spacing w:before="0" w:after="283"/>
              <w:jc w:val="both"/>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bookmarkStart w:id="1058" w:name="xdx_401_ecustom--DeferredTaxAssetsStartU"/>
            <w:bookmarkEnd w:id="1058"/>
          </w:p>
        </w:tc>
      </w:tr>
      <w:tr>
        <w:trPr/>
        <w:tc>
          <w:tcPr>
            <w:tcW w:w="3170" w:type="dxa"/>
            <w:tcBorders/>
            <w:shd w:fill="FFFFFF" w:val="clear"/>
            <w:vAlign w:val="center"/>
          </w:tcPr>
          <w:p>
            <w:pPr>
              <w:pStyle w:val="TableContents"/>
              <w:bidi w:val="0"/>
              <w:spacing w:before="0" w:after="283"/>
              <w:jc w:val="both"/>
              <w:rPr/>
            </w:pPr>
            <w:r>
              <w:rPr/>
              <w:t>Start up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850</w:t>
            </w:r>
          </w:p>
        </w:tc>
        <w:tc>
          <w:tcPr>
            <w:tcW w:w="110" w:type="dxa"/>
            <w:tcBorders/>
            <w:shd w:fill="FFFFFF" w:val="clear"/>
            <w:vAlign w:val="center"/>
          </w:tcPr>
          <w:p>
            <w:pPr>
              <w:pStyle w:val="TableContents"/>
              <w:bidi w:val="0"/>
              <w:spacing w:before="0" w:after="283"/>
              <w:ind w:left="0" w:right="0" w:hanging="10"/>
              <w:jc w:val="left"/>
              <w:rPr/>
            </w:pPr>
            <w:r>
              <w:rPr/>
              <w:t> </w:t>
            </w:r>
            <w:bookmarkStart w:id="1059" w:name="xdx_40A_ecustom--DeferredTaxAssetsLiabil"/>
            <w:bookmarkEnd w:id="1059"/>
          </w:p>
        </w:tc>
      </w:tr>
      <w:tr>
        <w:trPr/>
        <w:tc>
          <w:tcPr>
            <w:tcW w:w="3170" w:type="dxa"/>
            <w:tcBorders/>
            <w:shd w:fill="CCEEFF" w:val="clear"/>
            <w:vAlign w:val="center"/>
          </w:tcPr>
          <w:p>
            <w:pPr>
              <w:pStyle w:val="TableContents"/>
              <w:bidi w:val="0"/>
              <w:spacing w:before="0" w:after="283"/>
              <w:jc w:val="both"/>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w:t>
            </w:r>
          </w:p>
        </w:tc>
        <w:tc>
          <w:tcPr>
            <w:tcW w:w="110" w:type="dxa"/>
            <w:tcBorders/>
            <w:shd w:fill="CCEEFF" w:val="clear"/>
            <w:vAlign w:val="center"/>
          </w:tcPr>
          <w:p>
            <w:pPr>
              <w:pStyle w:val="TableContents"/>
              <w:bidi w:val="0"/>
              <w:spacing w:before="0" w:after="283"/>
              <w:ind w:left="0" w:right="0" w:hanging="10"/>
              <w:jc w:val="left"/>
              <w:rPr/>
            </w:pPr>
            <w:r>
              <w:rPr/>
              <w:t> </w:t>
            </w:r>
            <w:bookmarkStart w:id="1060" w:name="xdx_407_eus-gaap--DeferredTaxAssetsTaxDe"/>
            <w:bookmarkEnd w:id="1060"/>
          </w:p>
        </w:tc>
      </w:tr>
      <w:tr>
        <w:trPr/>
        <w:tc>
          <w:tcPr>
            <w:tcW w:w="3170" w:type="dxa"/>
            <w:tcBorders/>
            <w:shd w:fill="FFFFFF" w:val="clear"/>
            <w:vAlign w:val="center"/>
          </w:tcPr>
          <w:p>
            <w:pPr>
              <w:pStyle w:val="TableContents"/>
              <w:bidi w:val="0"/>
              <w:spacing w:before="0" w:after="283"/>
              <w:jc w:val="both"/>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1,305</w:t>
            </w:r>
          </w:p>
        </w:tc>
        <w:tc>
          <w:tcPr>
            <w:tcW w:w="110" w:type="dxa"/>
            <w:tcBorders/>
            <w:shd w:fill="FFFFFF" w:val="clear"/>
            <w:vAlign w:val="center"/>
          </w:tcPr>
          <w:p>
            <w:pPr>
              <w:pStyle w:val="TableContents"/>
              <w:bidi w:val="0"/>
              <w:spacing w:before="0" w:after="283"/>
              <w:ind w:left="0" w:right="0" w:hanging="10"/>
              <w:jc w:val="left"/>
              <w:rPr/>
            </w:pPr>
            <w:r>
              <w:rPr/>
              <w:t> </w:t>
            </w:r>
            <w:bookmarkStart w:id="1061" w:name="xdx_40F_eus-gaap--DeferredTaxAssetsTaxDe"/>
            <w:bookmarkEnd w:id="1061"/>
          </w:p>
        </w:tc>
      </w:tr>
      <w:tr>
        <w:trPr/>
        <w:tc>
          <w:tcPr>
            <w:tcW w:w="3170"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1,179</w:t>
            </w:r>
          </w:p>
        </w:tc>
        <w:tc>
          <w:tcPr>
            <w:tcW w:w="110" w:type="dxa"/>
            <w:tcBorders/>
            <w:shd w:fill="CCEEFF" w:val="clear"/>
            <w:vAlign w:val="center"/>
          </w:tcPr>
          <w:p>
            <w:pPr>
              <w:pStyle w:val="TableContents"/>
              <w:bidi w:val="0"/>
              <w:spacing w:before="0" w:after="283"/>
              <w:ind w:left="0" w:right="0" w:hanging="10"/>
              <w:jc w:val="left"/>
              <w:rPr/>
            </w:pPr>
            <w:r>
              <w:rPr/>
              <w:t> </w:t>
            </w:r>
            <w:bookmarkStart w:id="1062" w:name="xdx_40E_eus-gaap--DeferredTaxAssetsTaxDe"/>
            <w:bookmarkEnd w:id="1062"/>
          </w:p>
        </w:tc>
      </w:tr>
      <w:tr>
        <w:trPr/>
        <w:tc>
          <w:tcPr>
            <w:tcW w:w="3170" w:type="dxa"/>
            <w:tcBorders/>
            <w:shd w:fill="FFFFFF" w:val="clear"/>
            <w:vAlign w:val="center"/>
          </w:tcPr>
          <w:p>
            <w:pPr>
              <w:pStyle w:val="TableContents"/>
              <w:bidi w:val="0"/>
              <w:spacing w:before="0" w:after="283"/>
              <w:jc w:val="both"/>
              <w:rPr/>
            </w:pPr>
            <w:r>
              <w:rPr/>
              <w:t>Allowance for bad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ind w:left="0" w:right="0" w:hanging="10"/>
              <w:jc w:val="left"/>
              <w:rPr/>
            </w:pPr>
            <w:r>
              <w:rPr/>
              <w:t> </w:t>
            </w:r>
            <w:bookmarkStart w:id="1063" w:name="xdx_408_eus-gaap--DeferredTaxAssetsInPro"/>
            <w:bookmarkEnd w:id="1063"/>
          </w:p>
        </w:tc>
      </w:tr>
      <w:tr>
        <w:trPr/>
        <w:tc>
          <w:tcPr>
            <w:tcW w:w="3170" w:type="dxa"/>
            <w:tcBorders/>
            <w:shd w:fill="CCEEFF" w:val="clear"/>
            <w:vAlign w:val="center"/>
          </w:tcPr>
          <w:p>
            <w:pPr>
              <w:pStyle w:val="TableContents"/>
              <w:bidi w:val="0"/>
              <w:spacing w:before="0" w:after="283"/>
              <w:jc w:val="both"/>
              <w:rPr/>
            </w:pPr>
            <w:r>
              <w:rPr/>
              <w:t>Research and development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847</w:t>
            </w:r>
          </w:p>
        </w:tc>
        <w:tc>
          <w:tcPr>
            <w:tcW w:w="110" w:type="dxa"/>
            <w:tcBorders/>
            <w:shd w:fill="CCEEFF" w:val="clear"/>
            <w:vAlign w:val="center"/>
          </w:tcPr>
          <w:p>
            <w:pPr>
              <w:pStyle w:val="TableContents"/>
              <w:bidi w:val="0"/>
              <w:spacing w:before="0" w:after="283"/>
              <w:ind w:left="0" w:right="0" w:hanging="10"/>
              <w:jc w:val="left"/>
              <w:rPr/>
            </w:pPr>
            <w:r>
              <w:rPr/>
              <w:t> </w:t>
            </w:r>
            <w:bookmarkStart w:id="1064" w:name="xdx_406_eus-gaap--DeferredTaxAssetsGoodw"/>
            <w:bookmarkEnd w:id="1064"/>
          </w:p>
        </w:tc>
      </w:tr>
      <w:tr>
        <w:trPr/>
        <w:tc>
          <w:tcPr>
            <w:tcW w:w="3170" w:type="dxa"/>
            <w:tcBorders/>
            <w:shd w:fill="FFFFFF" w:val="clear"/>
            <w:vAlign w:val="center"/>
          </w:tcPr>
          <w:p>
            <w:pPr>
              <w:pStyle w:val="TableContents"/>
              <w:bidi w:val="0"/>
              <w:spacing w:before="0" w:after="283"/>
              <w:jc w:val="both"/>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1,657</w:t>
            </w:r>
          </w:p>
        </w:tc>
        <w:tc>
          <w:tcPr>
            <w:tcW w:w="110" w:type="dxa"/>
            <w:tcBorders/>
            <w:shd w:fill="FFFFFF" w:val="clear"/>
            <w:vAlign w:val="center"/>
          </w:tcPr>
          <w:p>
            <w:pPr>
              <w:pStyle w:val="TableContents"/>
              <w:bidi w:val="0"/>
              <w:spacing w:before="0" w:after="283"/>
              <w:ind w:left="0" w:right="0" w:hanging="10"/>
              <w:jc w:val="left"/>
              <w:rPr/>
            </w:pPr>
            <w:r>
              <w:rPr/>
              <w:t> </w:t>
            </w:r>
            <w:bookmarkStart w:id="1065" w:name="xdx_40E_ecustom--DeferredTaxAssetsIntere"/>
            <w:bookmarkEnd w:id="1065"/>
          </w:p>
        </w:tc>
      </w:tr>
      <w:tr>
        <w:trPr/>
        <w:tc>
          <w:tcPr>
            <w:tcW w:w="3170"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4,907</w:t>
            </w:r>
          </w:p>
        </w:tc>
        <w:tc>
          <w:tcPr>
            <w:tcW w:w="110" w:type="dxa"/>
            <w:tcBorders/>
            <w:shd w:fill="CCEEFF" w:val="clear"/>
            <w:vAlign w:val="center"/>
          </w:tcPr>
          <w:p>
            <w:pPr>
              <w:pStyle w:val="TableContents"/>
              <w:bidi w:val="0"/>
              <w:spacing w:before="0" w:after="283"/>
              <w:ind w:left="0" w:right="0" w:hanging="10"/>
              <w:jc w:val="left"/>
              <w:rPr/>
            </w:pPr>
            <w:r>
              <w:rPr/>
              <w:t> </w:t>
            </w:r>
            <w:bookmarkStart w:id="1066" w:name="xdx_402_ecustom--DeferredTaxAssetsPrepai"/>
            <w:bookmarkEnd w:id="1066"/>
          </w:p>
        </w:tc>
      </w:tr>
      <w:tr>
        <w:trPr/>
        <w:tc>
          <w:tcPr>
            <w:tcW w:w="3170" w:type="dxa"/>
            <w:tcBorders/>
            <w:shd w:fill="FFFFFF" w:val="clear"/>
            <w:vAlign w:val="center"/>
          </w:tcPr>
          <w:p>
            <w:pPr>
              <w:pStyle w:val="TableContents"/>
              <w:bidi w:val="0"/>
              <w:spacing w:before="0" w:after="283"/>
              <w:jc w:val="both"/>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512</w:t>
            </w:r>
          </w:p>
        </w:tc>
        <w:tc>
          <w:tcPr>
            <w:tcW w:w="110" w:type="dxa"/>
            <w:tcBorders/>
            <w:shd w:fill="FFFFFF" w:val="clear"/>
            <w:vAlign w:val="center"/>
          </w:tcPr>
          <w:p>
            <w:pPr>
              <w:pStyle w:val="TableContents"/>
              <w:bidi w:val="0"/>
              <w:spacing w:before="0" w:after="283"/>
              <w:ind w:left="0" w:right="0" w:hanging="10"/>
              <w:jc w:val="left"/>
              <w:rPr/>
            </w:pPr>
            <w:r>
              <w:rPr/>
              <w:t> </w:t>
            </w:r>
            <w:bookmarkStart w:id="1067" w:name="xdx_407_eus-gaap--DeferredTaxAssetsTaxDe"/>
            <w:bookmarkEnd w:id="1067"/>
          </w:p>
        </w:tc>
      </w:tr>
      <w:tr>
        <w:trPr/>
        <w:tc>
          <w:tcPr>
            <w:tcW w:w="3170" w:type="dxa"/>
            <w:tcBorders/>
            <w:shd w:fill="CCEEFF" w:val="clear"/>
            <w:vAlign w:val="center"/>
          </w:tcPr>
          <w:p>
            <w:pPr>
              <w:pStyle w:val="TableContents"/>
              <w:bidi w:val="0"/>
              <w:spacing w:before="0" w:after="283"/>
              <w:jc w:val="both"/>
              <w:rPr/>
            </w:pPr>
            <w:r>
              <w:rPr/>
              <w:t>Settlement accrual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bookmarkStart w:id="1068" w:name="xdx_40B_eus-gaap--DeferredTaxAssetsOpera"/>
            <w:bookmarkEnd w:id="1068"/>
          </w:p>
        </w:tc>
      </w:tr>
      <w:tr>
        <w:trPr/>
        <w:tc>
          <w:tcPr>
            <w:tcW w:w="3170" w:type="dxa"/>
            <w:tcBorders/>
            <w:shd w:fill="FFFFFF" w:val="clear"/>
            <w:vAlign w:val="center"/>
          </w:tcPr>
          <w:p>
            <w:pPr>
              <w:pStyle w:val="TableContents"/>
              <w:bidi w:val="0"/>
              <w:spacing w:before="0" w:after="283"/>
              <w:jc w:val="both"/>
              <w:rPr/>
            </w:pPr>
            <w:r>
              <w:rPr/>
              <w:t>Net 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7,891</w:t>
            </w:r>
          </w:p>
        </w:tc>
        <w:tc>
          <w:tcPr>
            <w:tcW w:w="110" w:type="dxa"/>
            <w:tcBorders/>
            <w:shd w:fill="FFFFFF" w:val="clear"/>
            <w:vAlign w:val="center"/>
          </w:tcPr>
          <w:p>
            <w:pPr>
              <w:pStyle w:val="TableContents"/>
              <w:bidi w:val="0"/>
              <w:spacing w:before="0" w:after="283"/>
              <w:ind w:left="0" w:right="0" w:hanging="10"/>
              <w:jc w:val="left"/>
              <w:rPr/>
            </w:pPr>
            <w:r>
              <w:rPr/>
              <w:t> </w:t>
            </w:r>
            <w:bookmarkStart w:id="1069" w:name="xdx_40F_eus-gaap--DeferredTaxAssetsInven"/>
            <w:bookmarkEnd w:id="1069"/>
          </w:p>
        </w:tc>
      </w:tr>
      <w:tr>
        <w:trPr/>
        <w:tc>
          <w:tcPr>
            <w:tcW w:w="3170" w:type="dxa"/>
            <w:tcBorders/>
            <w:shd w:fill="CCEEFF" w:val="clear"/>
            <w:vAlign w:val="center"/>
          </w:tcPr>
          <w:p>
            <w:pPr>
              <w:pStyle w:val="TableContents"/>
              <w:bidi w:val="0"/>
              <w:spacing w:before="0" w:after="283"/>
              <w:jc w:val="both"/>
              <w:rPr/>
            </w:pPr>
            <w:r>
              <w:rPr/>
              <w:t>Inventory (Sec. 263A)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360</w:t>
            </w:r>
          </w:p>
        </w:tc>
        <w:tc>
          <w:tcPr>
            <w:tcW w:w="110" w:type="dxa"/>
            <w:tcBorders/>
            <w:shd w:fill="CCEEFF" w:val="clear"/>
            <w:vAlign w:val="center"/>
          </w:tcPr>
          <w:p>
            <w:pPr>
              <w:pStyle w:val="TableContents"/>
              <w:bidi w:val="0"/>
              <w:spacing w:before="0" w:after="283"/>
              <w:ind w:left="0" w:right="0" w:hanging="10"/>
              <w:jc w:val="left"/>
              <w:rPr/>
            </w:pPr>
            <w:r>
              <w:rPr/>
              <w:t> </w:t>
            </w:r>
            <w:bookmarkStart w:id="1070" w:name="xdx_40E_eus-gaap--DeferredTaxAssetsGross"/>
            <w:bookmarkEnd w:id="1070"/>
          </w:p>
        </w:tc>
      </w:tr>
      <w:tr>
        <w:trPr/>
        <w:tc>
          <w:tcPr>
            <w:tcW w:w="3170" w:type="dxa"/>
            <w:tcBorders/>
            <w:shd w:fill="FFFFFF" w:val="clear"/>
            <w:vAlign w:val="center"/>
          </w:tcPr>
          <w:p>
            <w:pPr>
              <w:pStyle w:val="TableContents"/>
              <w:bidi w:val="0"/>
              <w:spacing w:before="0" w:after="283"/>
              <w:jc w:val="both"/>
              <w:rPr/>
            </w:pPr>
            <w:r>
              <w:rPr/>
              <w:t>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33,982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20,374</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bookmarkStart w:id="1071" w:name="xdx_40A_ecustom--DeferredTaxLiabilitiesR"/>
            <w:bookmarkEnd w:id="1071"/>
          </w:p>
        </w:tc>
      </w:tr>
      <w:tr>
        <w:trPr/>
        <w:tc>
          <w:tcPr>
            <w:tcW w:w="3170" w:type="dxa"/>
            <w:tcBorders/>
            <w:shd w:fill="CCEEFF" w:val="clear"/>
            <w:vAlign w:val="center"/>
          </w:tcPr>
          <w:p>
            <w:pPr>
              <w:pStyle w:val="TableContents"/>
              <w:bidi w:val="0"/>
              <w:spacing w:before="0" w:after="283"/>
              <w:jc w:val="both"/>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ind w:left="0" w:right="0" w:hanging="10"/>
              <w:jc w:val="left"/>
              <w:rPr/>
            </w:pPr>
            <w:r>
              <w:rPr/>
              <w:t> </w:t>
            </w:r>
            <w:bookmarkStart w:id="1072" w:name="xdx_403_eus-gaap--DeferredTaxLiabilities"/>
            <w:bookmarkEnd w:id="1072"/>
          </w:p>
        </w:tc>
      </w:tr>
      <w:tr>
        <w:trPr/>
        <w:tc>
          <w:tcPr>
            <w:tcW w:w="3170" w:type="dxa"/>
            <w:tcBorders/>
            <w:shd w:fill="FFFFFF" w:val="clear"/>
            <w:vAlign w:val="center"/>
          </w:tcPr>
          <w:p>
            <w:pPr>
              <w:pStyle w:val="TableContents"/>
              <w:bidi w:val="0"/>
              <w:spacing w:before="0" w:after="283"/>
              <w:jc w:val="both"/>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bookmarkStart w:id="1073" w:name="xdx_403_eus-gaap--DeferredIncomeTaxLiabi"/>
            <w:bookmarkEnd w:id="1073"/>
          </w:p>
        </w:tc>
      </w:tr>
      <w:tr>
        <w:trPr/>
        <w:tc>
          <w:tcPr>
            <w:tcW w:w="3170" w:type="dxa"/>
            <w:tcBorders/>
            <w:shd w:fill="CCEEFF" w:val="clear"/>
            <w:vAlign w:val="center"/>
          </w:tcPr>
          <w:p>
            <w:pPr>
              <w:pStyle w:val="TableContents"/>
              <w:bidi w:val="0"/>
              <w:spacing w:before="0" w:after="283"/>
              <w:jc w:val="both"/>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ind w:left="0" w:right="0" w:hanging="10"/>
              <w:jc w:val="left"/>
              <w:rPr/>
            </w:pPr>
            <w:r>
              <w:rPr/>
              <w:t> </w:t>
            </w:r>
            <w:bookmarkStart w:id="1074" w:name="xdx_401_ecustom--DeferredTaxAssets_iI_pn"/>
            <w:bookmarkEnd w:id="1074"/>
          </w:p>
        </w:tc>
      </w:tr>
      <w:tr>
        <w:trPr/>
        <w:tc>
          <w:tcPr>
            <w:tcW w:w="3170" w:type="dxa"/>
            <w:tcBorders/>
            <w:shd w:fill="FFFFFF" w:val="clear"/>
            <w:vAlign w:val="center"/>
          </w:tcPr>
          <w:p>
            <w:pPr>
              <w:pStyle w:val="TableContents"/>
              <w:bidi w:val="0"/>
              <w:spacing w:before="0" w:after="283"/>
              <w:jc w:val="both"/>
              <w:rPr/>
            </w:pPr>
            <w:r>
              <w:rPr/>
              <w:t>Net deferred tax asset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19,617</w:t>
            </w:r>
          </w:p>
        </w:tc>
        <w:tc>
          <w:tcPr>
            <w:tcW w:w="110" w:type="dxa"/>
            <w:tcBorders/>
            <w:shd w:fill="FFFFFF" w:val="clear"/>
            <w:vAlign w:val="center"/>
          </w:tcPr>
          <w:p>
            <w:pPr>
              <w:pStyle w:val="TableContents"/>
              <w:bidi w:val="0"/>
              <w:spacing w:before="0" w:after="283"/>
              <w:ind w:left="0" w:right="0" w:hanging="10"/>
              <w:jc w:val="left"/>
              <w:rPr/>
            </w:pPr>
            <w:r>
              <w:rPr/>
              <w:t> </w:t>
            </w:r>
            <w:bookmarkStart w:id="1075" w:name="xdx_404_eus-gaap--DeferredTaxAssetsValua"/>
            <w:bookmarkEnd w:id="1075"/>
          </w:p>
        </w:tc>
      </w:tr>
      <w:tr>
        <w:trPr/>
        <w:tc>
          <w:tcPr>
            <w:tcW w:w="3170" w:type="dxa"/>
            <w:tcBorders/>
            <w:shd w:fill="CCEEFF" w:val="clear"/>
            <w:vAlign w:val="center"/>
          </w:tcPr>
          <w:p>
            <w:pPr>
              <w:pStyle w:val="TableContents"/>
              <w:bidi w:val="0"/>
              <w:spacing w:before="0" w:after="283"/>
              <w:jc w:val="both"/>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(29,449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(19,617</w:t>
            </w:r>
          </w:p>
        </w:tc>
        <w:tc>
          <w:tcPr>
            <w:tcW w:w="110" w:type="dxa"/>
            <w:tcBorders/>
            <w:shd w:fill="CCEEFF" w:val="clear"/>
            <w:vAlign w:val="center"/>
          </w:tcPr>
          <w:p>
            <w:pPr>
              <w:pStyle w:val="TableContents"/>
              <w:bidi w:val="0"/>
              <w:spacing w:before="0" w:after="283"/>
              <w:ind w:left="0" w:right="0" w:hanging="10"/>
              <w:jc w:val="left"/>
              <w:rPr/>
            </w:pPr>
            <w:r>
              <w:rPr/>
              <w:t>)</w:t>
            </w:r>
            <w:bookmarkStart w:id="1076" w:name="xdx_40D_eus-gaap--DeferredTaxAssetsLiabi"/>
            <w:bookmarkEnd w:id="1076"/>
          </w:p>
        </w:tc>
      </w:tr>
      <w:tr>
        <w:trPr/>
        <w:tc>
          <w:tcPr>
            <w:tcW w:w="3170" w:type="dxa"/>
            <w:tcBorders/>
            <w:shd w:fill="FFFFFF" w:val="clear"/>
            <w:vAlign w:val="center"/>
          </w:tcPr>
          <w:p>
            <w:pPr>
              <w:pStyle w:val="TableContents"/>
              <w:bidi w:val="0"/>
              <w:spacing w:before="0" w:after="283"/>
              <w:jc w:val="both"/>
              <w:rPr/>
            </w:pPr>
            <w:r>
              <w:rPr/>
              <w:t>Net 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rPr>
      </w:pPr>
      <w:bookmarkStart w:id="1077" w:name="xdx_8A6_zwG6b5az9ALa"/>
      <w:bookmarkEnd w:id="1077"/>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14 - Income Taxes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1078" w:name="xdx_897_eus-gaap--ScheduleOfEffectiveInc"/>
      <w:bookmarkEnd w:id="1078"/>
      <w:r>
        <w:rPr>
          <w:rFonts w:ascii="Times New Roman;Times;Serif" w:hAnsi="Times New Roman;Times;Serif"/>
          <w:b w:val="false"/>
          <w:i w:val="false"/>
          <w:caps w:val="false"/>
          <w:smallCaps w:val="false"/>
          <w:sz w:val="20"/>
        </w:rPr>
        <w:t>Reconciliation between the effective tax rate on income from continuing operations and the statutory rate for the year ending December 31, 2024 and 2023, is as follows: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1079" w:name="xdx_8BE_zjE738Qrojb6"/>
      <w:bookmarkEnd w:id="1079"/>
      <w:r>
        <w:rPr>
          <w:rFonts w:ascii="Times New Roman;Times;Serif" w:hAnsi="Times New Roman;Times;Serif"/>
          <w:b w:val="false"/>
          <w:i w:val="false"/>
          <w:caps w:val="false"/>
          <w:smallCaps w:val="false"/>
          <w:sz w:val="20"/>
        </w:rPr>
        <w:t>SCHEDULE OF RECONCILIATION BETWEEN THE EFFECTIVE TAX RATE ON INCOME FROM CONTINUING OPERATIONS AND THE STATUTORY RATE </w:t>
      </w:r>
    </w:p>
    <w:tbl>
      <w:tblPr>
        <w:tblW w:w="8540" w:type="dxa"/>
        <w:jc w:val="left"/>
        <w:tblInd w:w="0" w:type="dxa"/>
        <w:tblLayout w:type="fixed"/>
        <w:tblCellMar>
          <w:top w:w="0" w:type="dxa"/>
          <w:left w:w="0" w:type="dxa"/>
          <w:bottom w:w="0" w:type="dxa"/>
          <w:right w:w="0" w:type="dxa"/>
        </w:tblCellMar>
      </w:tblPr>
      <w:tblGrid>
        <w:gridCol w:w="3890"/>
        <w:gridCol w:w="60"/>
        <w:gridCol w:w="140"/>
        <w:gridCol w:w="635"/>
        <w:gridCol w:w="95"/>
        <w:gridCol w:w="60"/>
        <w:gridCol w:w="91"/>
        <w:gridCol w:w="964"/>
        <w:gridCol w:w="290"/>
        <w:gridCol w:w="60"/>
        <w:gridCol w:w="60"/>
        <w:gridCol w:w="680"/>
        <w:gridCol w:w="95"/>
        <w:gridCol w:w="60"/>
        <w:gridCol w:w="91"/>
        <w:gridCol w:w="964"/>
        <w:gridCol w:w="30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5" w:type="dxa"/>
            <w:gridSpan w:val="6"/>
            <w:tcBorders>
              <w:bottom w:val="single" w:sz="8" w:space="0" w:color="000000"/>
            </w:tcBorders>
            <w:tcMar>
              <w:bottom w:w="28" w:type="dxa"/>
            </w:tcMar>
            <w:vAlign w:val="center"/>
          </w:tcPr>
          <w:p>
            <w:pPr>
              <w:pStyle w:val="TableContents"/>
              <w:bidi w:val="0"/>
              <w:spacing w:before="0" w:after="283"/>
              <w:jc w:val="center"/>
              <w:rPr/>
            </w:pPr>
            <w:r>
              <w:rPr/>
              <w:t>2024</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pPr>
            <w:r>
              <w:rPr/>
              <w:t>2023</w:t>
            </w:r>
          </w:p>
        </w:tc>
        <w:tc>
          <w:tcPr>
            <w:tcW w:w="305" w:type="dxa"/>
            <w:tcBorders/>
            <w:vAlign w:val="center"/>
          </w:tcPr>
          <w:p>
            <w:pPr>
              <w:pStyle w:val="TableContents"/>
              <w:bidi w:val="0"/>
              <w:spacing w:before="0" w:after="283"/>
              <w:jc w:val="center"/>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pPr>
            <w:r>
              <w:rPr/>
              <w:t>Tax</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t>Percentage</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Tax</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t>Percentage</w:t>
            </w:r>
          </w:p>
        </w:tc>
        <w:tc>
          <w:tcPr>
            <w:tcW w:w="305" w:type="dxa"/>
            <w:tcBorders/>
            <w:vAlign w:val="center"/>
          </w:tcPr>
          <w:p>
            <w:pPr>
              <w:pStyle w:val="TableContents"/>
              <w:bidi w:val="0"/>
              <w:spacing w:before="0" w:after="283"/>
              <w:ind w:left="0" w:right="0" w:hanging="10"/>
              <w:jc w:val="center"/>
              <w:rPr/>
            </w:pPr>
            <w:r>
              <w:rPr/>
              <w:t> </w:t>
            </w:r>
          </w:p>
        </w:tc>
      </w:tr>
      <w:tr>
        <w:trPr/>
        <w:tc>
          <w:tcPr>
            <w:tcW w:w="3890" w:type="dxa"/>
            <w:tcBorders/>
            <w:shd w:fill="CCEEFF" w:val="clear"/>
            <w:vAlign w:val="center"/>
          </w:tcPr>
          <w:p>
            <w:pPr>
              <w:pStyle w:val="TableContents"/>
              <w:bidi w:val="0"/>
              <w:spacing w:before="0" w:after="283"/>
              <w:jc w:val="both"/>
              <w:rPr/>
            </w:pPr>
            <w:r>
              <w:rPr/>
              <w:t>Book 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80" w:name="xdx_98B_eus-gaap--IncomeTaxReconciliatio"/>
            <w:bookmarkEnd w:id="1080"/>
          </w:p>
        </w:tc>
        <w:tc>
          <w:tcPr>
            <w:tcW w:w="635" w:type="dxa"/>
            <w:tcBorders/>
            <w:shd w:fill="CCEEFF" w:val="clear"/>
            <w:vAlign w:val="center"/>
          </w:tcPr>
          <w:p>
            <w:pPr>
              <w:pStyle w:val="TableContents"/>
              <w:bidi w:val="0"/>
              <w:spacing w:before="0" w:after="283"/>
              <w:jc w:val="right"/>
              <w:rPr/>
            </w:pPr>
            <w:r>
              <w:rPr/>
              <w:t>(8,529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081" w:name="xdx_98B_eus-gaap--EffectiveIncomeTaxRate"/>
            <w:bookmarkEnd w:id="1081"/>
          </w:p>
        </w:tc>
        <w:tc>
          <w:tcPr>
            <w:tcW w:w="964" w:type="dxa"/>
            <w:tcBorders/>
            <w:shd w:fill="CCEEFF" w:val="clear"/>
            <w:vAlign w:val="center"/>
          </w:tcPr>
          <w:p>
            <w:pPr>
              <w:pStyle w:val="TableContents"/>
              <w:bidi w:val="0"/>
              <w:spacing w:before="0" w:after="283"/>
              <w:jc w:val="right"/>
              <w:rPr/>
            </w:pPr>
            <w:r>
              <w:rPr/>
              <w:t>21.00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2" w:name="xdx_987_eus-gaap--IncomeTaxReconciliatio"/>
            <w:bookmarkEnd w:id="1082"/>
          </w:p>
        </w:tc>
        <w:tc>
          <w:tcPr>
            <w:tcW w:w="680" w:type="dxa"/>
            <w:tcBorders/>
            <w:shd w:fill="CCEEFF" w:val="clear"/>
            <w:vAlign w:val="center"/>
          </w:tcPr>
          <w:p>
            <w:pPr>
              <w:pStyle w:val="TableContents"/>
              <w:bidi w:val="0"/>
              <w:spacing w:before="0" w:after="283"/>
              <w:jc w:val="right"/>
              <w:rPr/>
            </w:pPr>
            <w:r>
              <w:rPr/>
              <w:t>(2,902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083" w:name="xdx_988_eus-gaap--EffectiveIncomeTaxRate"/>
            <w:bookmarkEnd w:id="1083"/>
          </w:p>
        </w:tc>
        <w:tc>
          <w:tcPr>
            <w:tcW w:w="964"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ind w:left="0" w:right="0" w:hanging="10"/>
              <w:jc w:val="left"/>
              <w:rPr/>
            </w:pPr>
            <w:r>
              <w:rPr/>
              <w:t> </w:t>
            </w:r>
          </w:p>
        </w:tc>
      </w:tr>
      <w:tr>
        <w:trPr/>
        <w:tc>
          <w:tcPr>
            <w:tcW w:w="38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0"/>
              <w:jc w:val="left"/>
              <w:rPr/>
            </w:pPr>
            <w:r>
              <w:rPr/>
              <w:t> </w:t>
            </w:r>
          </w:p>
        </w:tc>
      </w:tr>
      <w:tr>
        <w:trPr/>
        <w:tc>
          <w:tcPr>
            <w:tcW w:w="3890" w:type="dxa"/>
            <w:tcBorders/>
            <w:shd w:fill="FFFFFF" w:val="clear"/>
            <w:vAlign w:val="center"/>
          </w:tcPr>
          <w:p>
            <w:pPr>
              <w:pStyle w:val="TableContents"/>
              <w:bidi w:val="0"/>
              <w:spacing w:before="0" w:after="283"/>
              <w:jc w:val="both"/>
              <w:rPr/>
            </w:pPr>
            <w:r>
              <w:rPr/>
              <w:t>Permanent differences (other than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84" w:name="xdx_98D_ecustom--EffectiveIncomeTaxRateR"/>
            <w:bookmarkEnd w:id="1084"/>
          </w:p>
        </w:tc>
        <w:tc>
          <w:tcPr>
            <w:tcW w:w="635" w:type="dxa"/>
            <w:tcBorders/>
            <w:shd w:fill="FFFFFF" w:val="clear"/>
            <w:vAlign w:val="center"/>
          </w:tcPr>
          <w:p>
            <w:pPr>
              <w:pStyle w:val="TableContents"/>
              <w:bidi w:val="0"/>
              <w:spacing w:before="0" w:after="283"/>
              <w:jc w:val="right"/>
              <w:rPr/>
            </w:pPr>
            <w:r>
              <w:rPr/>
              <w:t>(259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085" w:name="xdx_982_ecustom--EffectiveIncomeTaxRateR"/>
            <w:bookmarkEnd w:id="1085"/>
          </w:p>
        </w:tc>
        <w:tc>
          <w:tcPr>
            <w:tcW w:w="964" w:type="dxa"/>
            <w:tcBorders/>
            <w:shd w:fill="FFFFFF" w:val="clear"/>
            <w:vAlign w:val="center"/>
          </w:tcPr>
          <w:p>
            <w:pPr>
              <w:pStyle w:val="TableContents"/>
              <w:bidi w:val="0"/>
              <w:spacing w:before="0" w:after="283"/>
              <w:jc w:val="right"/>
              <w:rPr/>
            </w:pPr>
            <w:r>
              <w:rPr/>
              <w:t>0.64</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6" w:name="xdx_982_ecustom--EffectiveIncomeTaxRateR"/>
            <w:bookmarkEnd w:id="1086"/>
          </w:p>
        </w:tc>
        <w:tc>
          <w:tcPr>
            <w:tcW w:w="680" w:type="dxa"/>
            <w:tcBorders/>
            <w:shd w:fill="FFFFFF" w:val="clear"/>
            <w:vAlign w:val="center"/>
          </w:tcPr>
          <w:p>
            <w:pPr>
              <w:pStyle w:val="TableContents"/>
              <w:bidi w:val="0"/>
              <w:spacing w:before="0" w:after="283"/>
              <w:jc w:val="right"/>
              <w:rPr/>
            </w:pPr>
            <w:r>
              <w:rPr/>
              <w:t>(6,089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087" w:name="xdx_98A_ecustom--EffectiveIncomeTaxRateR"/>
            <w:bookmarkEnd w:id="1087"/>
          </w:p>
        </w:tc>
        <w:tc>
          <w:tcPr>
            <w:tcW w:w="964" w:type="dxa"/>
            <w:tcBorders/>
            <w:shd w:fill="FFFFFF" w:val="clear"/>
            <w:vAlign w:val="center"/>
          </w:tcPr>
          <w:p>
            <w:pPr>
              <w:pStyle w:val="TableContents"/>
              <w:bidi w:val="0"/>
              <w:spacing w:before="0" w:after="283"/>
              <w:jc w:val="right"/>
              <w:rPr/>
            </w:pPr>
            <w:r>
              <w:rPr/>
              <w:t>44.07</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State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88" w:name="xdx_98A_eus-gaap--IncomeTaxReconciliatio"/>
            <w:bookmarkEnd w:id="1088"/>
          </w:p>
        </w:tc>
        <w:tc>
          <w:tcPr>
            <w:tcW w:w="635" w:type="dxa"/>
            <w:tcBorders/>
            <w:shd w:fill="CCEEFF" w:val="clear"/>
            <w:vAlign w:val="center"/>
          </w:tcPr>
          <w:p>
            <w:pPr>
              <w:pStyle w:val="TableContents"/>
              <w:bidi w:val="0"/>
              <w:spacing w:before="0" w:after="283"/>
              <w:jc w:val="right"/>
              <w:rPr/>
            </w:pPr>
            <w:r>
              <w:rPr/>
              <w:t>(1,110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089" w:name="xdx_98B_eus-gaap--EffectiveIncomeTaxRate"/>
            <w:bookmarkEnd w:id="1089"/>
          </w:p>
        </w:tc>
        <w:tc>
          <w:tcPr>
            <w:tcW w:w="964" w:type="dxa"/>
            <w:tcBorders/>
            <w:shd w:fill="CCEEFF" w:val="clear"/>
            <w:vAlign w:val="center"/>
          </w:tcPr>
          <w:p>
            <w:pPr>
              <w:pStyle w:val="TableContents"/>
              <w:bidi w:val="0"/>
              <w:spacing w:before="0" w:after="283"/>
              <w:jc w:val="right"/>
              <w:rPr/>
            </w:pPr>
            <w:r>
              <w:rPr/>
              <w:t>2.73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0" w:name="xdx_98A_eus-gaap--IncomeTaxReconciliatio"/>
            <w:bookmarkEnd w:id="1090"/>
          </w:p>
        </w:tc>
        <w:tc>
          <w:tcPr>
            <w:tcW w:w="680" w:type="dxa"/>
            <w:tcBorders/>
            <w:shd w:fill="CCEEFF" w:val="clear"/>
            <w:vAlign w:val="center"/>
          </w:tcPr>
          <w:p>
            <w:pPr>
              <w:pStyle w:val="TableContents"/>
              <w:bidi w:val="0"/>
              <w:spacing w:before="0" w:after="283"/>
              <w:jc w:val="right"/>
              <w:rPr/>
            </w:pPr>
            <w:r>
              <w:rPr/>
              <w:t>(1,233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091" w:name="xdx_980_eus-gaap--EffectiveIncomeTaxRate"/>
            <w:bookmarkEnd w:id="1091"/>
          </w:p>
        </w:tc>
        <w:tc>
          <w:tcPr>
            <w:tcW w:w="964" w:type="dxa"/>
            <w:tcBorders/>
            <w:shd w:fill="CCEEFF" w:val="clear"/>
            <w:vAlign w:val="center"/>
          </w:tcPr>
          <w:p>
            <w:pPr>
              <w:pStyle w:val="TableContents"/>
              <w:bidi w:val="0"/>
              <w:spacing w:before="0" w:after="283"/>
              <w:jc w:val="right"/>
              <w:rPr/>
            </w:pPr>
            <w:r>
              <w:rPr/>
              <w:t>8.92</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Deferred true-up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92" w:name="xdx_988_ecustom--EffectiveIncomeTaxRateR"/>
            <w:bookmarkEnd w:id="1092"/>
          </w:p>
        </w:tc>
        <w:tc>
          <w:tcPr>
            <w:tcW w:w="635" w:type="dxa"/>
            <w:tcBorders/>
            <w:shd w:fill="FFFFFF" w:val="clear"/>
            <w:vAlign w:val="center"/>
          </w:tcPr>
          <w:p>
            <w:pPr>
              <w:pStyle w:val="TableContents"/>
              <w:bidi w:val="0"/>
              <w:spacing w:before="0" w:after="283"/>
              <w:jc w:val="right"/>
              <w:rPr/>
            </w:pPr>
            <w:r>
              <w:rPr/>
              <w:t>(142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093" w:name="xdx_984_ecustom--EffectiveIncomeTaxRateR"/>
            <w:bookmarkEnd w:id="1093"/>
          </w:p>
        </w:tc>
        <w:tc>
          <w:tcPr>
            <w:tcW w:w="964" w:type="dxa"/>
            <w:tcBorders/>
            <w:shd w:fill="FFFFFF" w:val="clear"/>
            <w:vAlign w:val="center"/>
          </w:tcPr>
          <w:p>
            <w:pPr>
              <w:pStyle w:val="TableContents"/>
              <w:bidi w:val="0"/>
              <w:spacing w:before="0" w:after="283"/>
              <w:jc w:val="right"/>
              <w:rPr/>
            </w:pPr>
            <w:r>
              <w:rPr/>
              <w:t>0.35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94" w:name="xdx_98E_ecustom--EffectiveIncomeTaxRateR"/>
            <w:bookmarkEnd w:id="1094"/>
          </w:p>
        </w:tc>
        <w:tc>
          <w:tcPr>
            <w:tcW w:w="680" w:type="dxa"/>
            <w:tcBorders/>
            <w:shd w:fill="FFFFFF" w:val="clear"/>
            <w:vAlign w:val="center"/>
          </w:tcPr>
          <w:p>
            <w:pPr>
              <w:pStyle w:val="TableContents"/>
              <w:bidi w:val="0"/>
              <w:spacing w:before="0" w:after="283"/>
              <w:jc w:val="right"/>
              <w:rPr/>
            </w:pPr>
            <w:r>
              <w:rPr/>
              <w:t>(1,617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095" w:name="xdx_98A_ecustom--EffectiveIncomeTaxRateR"/>
            <w:bookmarkEnd w:id="1095"/>
          </w:p>
        </w:tc>
        <w:tc>
          <w:tcPr>
            <w:tcW w:w="964" w:type="dxa"/>
            <w:tcBorders/>
            <w:shd w:fill="FFFFFF" w:val="clear"/>
            <w:vAlign w:val="center"/>
          </w:tcPr>
          <w:p>
            <w:pPr>
              <w:pStyle w:val="TableContents"/>
              <w:bidi w:val="0"/>
              <w:spacing w:before="0" w:after="283"/>
              <w:jc w:val="right"/>
              <w:rPr/>
            </w:pPr>
            <w:r>
              <w:rPr/>
              <w:t>11.71</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96" w:name="xdx_98F_ecustom--EffectiveIncomeTaxRateR"/>
            <w:bookmarkEnd w:id="1096"/>
          </w:p>
        </w:tc>
        <w:tc>
          <w:tcPr>
            <w:tcW w:w="635"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097" w:name="xdx_986_ecustom--EffectiveIncomeTaxRateR"/>
            <w:bookmarkEnd w:id="1097"/>
          </w:p>
        </w:tc>
        <w:tc>
          <w:tcPr>
            <w:tcW w:w="964" w:type="dxa"/>
            <w:tcBorders/>
            <w:shd w:fill="CCEEFF" w:val="clear"/>
            <w:vAlign w:val="center"/>
          </w:tcPr>
          <w:p>
            <w:pPr>
              <w:pStyle w:val="TableContents"/>
              <w:bidi w:val="0"/>
              <w:spacing w:before="0" w:after="283"/>
              <w:jc w:val="right"/>
              <w:rPr/>
            </w:pPr>
            <w:r>
              <w:rPr/>
              <w:t>0.07</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8" w:name="xdx_981_ecustom--EffectiveIncomeTaxRateR"/>
            <w:bookmarkEnd w:id="1098"/>
          </w:p>
        </w:tc>
        <w:tc>
          <w:tcPr>
            <w:tcW w:w="680" w:type="dxa"/>
            <w:tcBorders/>
            <w:shd w:fill="CCEEFF" w:val="clear"/>
            <w:vAlign w:val="center"/>
          </w:tcPr>
          <w:p>
            <w:pPr>
              <w:pStyle w:val="TableContents"/>
              <w:bidi w:val="0"/>
              <w:spacing w:before="0" w:after="283"/>
              <w:jc w:val="right"/>
              <w:rPr/>
            </w:pPr>
            <w:r>
              <w:rPr/>
              <w:t>(647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099" w:name="xdx_984_ecustom--EffectiveIncomeTaxRateR"/>
            <w:bookmarkEnd w:id="1099"/>
          </w:p>
        </w:tc>
        <w:tc>
          <w:tcPr>
            <w:tcW w:w="964" w:type="dxa"/>
            <w:tcBorders/>
            <w:shd w:fill="CCEEFF" w:val="clear"/>
            <w:vAlign w:val="center"/>
          </w:tcPr>
          <w:p>
            <w:pPr>
              <w:pStyle w:val="TableContents"/>
              <w:bidi w:val="0"/>
              <w:spacing w:before="0" w:after="283"/>
              <w:jc w:val="right"/>
              <w:rPr/>
            </w:pPr>
            <w:r>
              <w:rPr/>
              <w:t>4.68</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Research and development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00" w:name="xdx_98A_ecustom--EffectiveIncomeTaxRateR"/>
            <w:bookmarkEnd w:id="1100"/>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101" w:name="xdx_98D_ecustom--EffectiveIncomeTaxRateR"/>
            <w:bookmarkEnd w:id="1101"/>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02" w:name="xdx_98D_ecustom--EffectiveIncomeTaxRateR"/>
            <w:bookmarkEnd w:id="1102"/>
          </w:p>
        </w:tc>
        <w:tc>
          <w:tcPr>
            <w:tcW w:w="680"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103" w:name="xdx_98B_ecustom--EffectiveIncomeTaxRateR"/>
            <w:bookmarkEnd w:id="1103"/>
          </w:p>
        </w:tc>
        <w:tc>
          <w:tcPr>
            <w:tcW w:w="964" w:type="dxa"/>
            <w:tcBorders/>
            <w:shd w:fill="FFFFFF" w:val="clear"/>
            <w:vAlign w:val="center"/>
          </w:tcPr>
          <w:p>
            <w:pPr>
              <w:pStyle w:val="TableContents"/>
              <w:bidi w:val="0"/>
              <w:spacing w:before="0" w:after="283"/>
              <w:jc w:val="right"/>
              <w:rPr/>
            </w:pPr>
            <w:r>
              <w:rPr/>
              <w:t>2.17</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Uncertain tax positions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104" w:name="xdx_98E_ecustom--EffectiveIncomeTaxRateR"/>
            <w:bookmarkEnd w:id="1104"/>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105" w:name="xdx_98B_ecustom--EffectiveIncomeTaxRateR"/>
            <w:bookmarkEnd w:id="1105"/>
          </w:p>
        </w:tc>
        <w:tc>
          <w:tcPr>
            <w:tcW w:w="964" w:type="dxa"/>
            <w:tcBorders/>
            <w:shd w:fill="CCEEFF" w:val="clear"/>
            <w:vAlign w:val="center"/>
          </w:tcPr>
          <w:p>
            <w:pPr>
              <w:pStyle w:val="TableContents"/>
              <w:bidi w:val="0"/>
              <w:spacing w:before="0" w:after="283"/>
              <w:jc w:val="right"/>
              <w:rPr/>
            </w:pPr>
            <w:r>
              <w:rPr/>
              <w:t>0.09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06" w:name="xdx_98B_ecustom--EffectiveIncomeTaxRateR"/>
            <w:bookmarkEnd w:id="1106"/>
          </w:p>
        </w:tc>
        <w:tc>
          <w:tcPr>
            <w:tcW w:w="680"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107" w:name="xdx_980_ecustom--EffectiveIncomeTaxRateR"/>
            <w:bookmarkEnd w:id="1107"/>
          </w:p>
        </w:tc>
        <w:tc>
          <w:tcPr>
            <w:tcW w:w="964" w:type="dxa"/>
            <w:tcBorders/>
            <w:shd w:fill="CCEEFF" w:val="clear"/>
            <w:vAlign w:val="center"/>
          </w:tcPr>
          <w:p>
            <w:pPr>
              <w:pStyle w:val="TableContents"/>
              <w:bidi w:val="0"/>
              <w:spacing w:before="0" w:after="283"/>
              <w:jc w:val="right"/>
              <w:rPr/>
            </w:pPr>
            <w:r>
              <w:rPr/>
              <w:t>(0.96</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08" w:name="xdx_980_eus-gaap--IncomeTaxReconciliatio"/>
            <w:bookmarkEnd w:id="1108"/>
          </w:p>
        </w:tc>
        <w:tc>
          <w:tcPr>
            <w:tcW w:w="635"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109" w:name="xdx_981_eus-gaap--EffectiveIncomeTaxRate"/>
            <w:bookmarkEnd w:id="1109"/>
          </w:p>
        </w:tc>
        <w:tc>
          <w:tcPr>
            <w:tcW w:w="964" w:type="dxa"/>
            <w:tcBorders/>
            <w:shd w:fill="FFFFFF" w:val="clear"/>
            <w:vAlign w:val="center"/>
          </w:tcPr>
          <w:p>
            <w:pPr>
              <w:pStyle w:val="TableContents"/>
              <w:bidi w:val="0"/>
              <w:spacing w:before="0" w:after="283"/>
              <w:jc w:val="right"/>
              <w:rPr/>
            </w:pPr>
            <w:r>
              <w:rPr/>
              <w:t>(0.23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0" w:name="xdx_986_eus-gaap--IncomeTaxReconciliatio"/>
            <w:bookmarkEnd w:id="1110"/>
          </w:p>
        </w:tc>
        <w:tc>
          <w:tcPr>
            <w:tcW w:w="680"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111" w:name="xdx_989_eus-gaap--EffectiveIncomeTaxRate"/>
            <w:bookmarkEnd w:id="1111"/>
          </w:p>
        </w:tc>
        <w:tc>
          <w:tcPr>
            <w:tcW w:w="964" w:type="dxa"/>
            <w:tcBorders/>
            <w:shd w:fill="FFFFFF" w:val="clear"/>
            <w:vAlign w:val="center"/>
          </w:tcPr>
          <w:p>
            <w:pPr>
              <w:pStyle w:val="TableContents"/>
              <w:bidi w:val="0"/>
              <w:spacing w:before="0" w:after="283"/>
              <w:jc w:val="right"/>
              <w:rPr/>
            </w:pPr>
            <w:r>
              <w:rPr/>
              <w:t>(0.49</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Rate Change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2" w:name="xdx_986_eus-gaap--IncomeTaxReconciliatio"/>
            <w:bookmarkEnd w:id="1112"/>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3" w:name="xdx_988_eus-gaap--EffectiveIncomeTaxRate"/>
            <w:bookmarkEnd w:id="1113"/>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(0.44</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4" w:name="xdx_981_eus-gaap--IncomeTaxReconciliatio"/>
            <w:bookmarkEnd w:id="1114"/>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5" w:name="xdx_98B_eus-gaap--EffectiveIncomeTaxRate"/>
            <w:bookmarkEnd w:id="1115"/>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(1.94</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16" w:name="xdx_988_eus-gaap--IncomeTaxReconciliatio"/>
            <w:bookmarkEnd w:id="1116"/>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17" w:name="xdx_98C_eus-gaap--EffectiveIncomeTaxRate"/>
            <w:bookmarkEnd w:id="1117"/>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(24.21</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18" w:name="xdx_98A_eus-gaap--IncomeTaxReconciliatio"/>
            <w:bookmarkEnd w:id="1118"/>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12,294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19" w:name="xdx_981_eus-gaap--EffectiveIncomeTaxRate"/>
            <w:bookmarkEnd w:id="1119"/>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(88.96</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 </w:t>
            </w: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20" w:name="xdx_989_eus-gaap--IncomeTaxExpenseBenefi"/>
            <w:bookmarkEnd w:id="1120"/>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21" w:name="xdx_982_eus-gaap--IncomeTaxExpenseBenefi"/>
            <w:bookmarkEnd w:id="1121"/>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0"/>
              <w:jc w:val="left"/>
              <w:rPr/>
            </w:pPr>
            <w:r>
              <w:rPr/>
              <w:t> </w:t>
            </w:r>
          </w:p>
        </w:tc>
      </w:tr>
      <w:tr>
        <w:trPr/>
        <w:tc>
          <w:tcPr>
            <w:tcW w:w="3890" w:type="dxa"/>
            <w:tcBorders/>
            <w:shd w:fill="FFFFFF" w:val="clear"/>
            <w:vAlign w:val="center"/>
          </w:tcPr>
          <w:p>
            <w:pPr>
              <w:pStyle w:val="TableContents"/>
              <w:bidi w:val="0"/>
              <w:spacing w:before="0" w:after="283"/>
              <w:jc w:val="both"/>
              <w:rPr/>
            </w:pPr>
            <w:r>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2" w:name="xdx_98C_eus-gaap--EffectiveIncomeTaxRate"/>
            <w:bookmarkEnd w:id="1122"/>
          </w:p>
        </w:tc>
        <w:tc>
          <w:tcPr>
            <w:tcW w:w="9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u w:val="single"/>
              </w:rPr>
            </w:pPr>
            <w:r>
              <w:rPr>
                <w:rFonts w:ascii="Times New Roman;Times;Serif" w:hAnsi="Times New Roman;Times;Serif"/>
                <w:sz w:val="20"/>
                <w:u w:val="single"/>
              </w:rPr>
              <w:t>-</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3" w:name="xdx_987_eus-gaap--EffectiveIncomeTaxRate"/>
            <w:bookmarkEnd w:id="1123"/>
          </w:p>
        </w:tc>
        <w:tc>
          <w:tcPr>
            <w:tcW w:w="964" w:type="dxa"/>
            <w:tcBorders>
              <w:bottom w:val="double" w:sz="6" w:space="0" w:color="000000"/>
            </w:tcBorders>
            <w:shd w:fill="FFFFFF" w:val="clear"/>
            <w:tcMar>
              <w:bottom w:w="28" w:type="dxa"/>
            </w:tcMar>
            <w:vAlign w:val="center"/>
          </w:tcPr>
          <w:p>
            <w:pPr>
              <w:pStyle w:val="TableContents"/>
              <w:bidi w:val="0"/>
              <w:spacing w:before="0" w:after="283"/>
              <w:jc w:val="right"/>
              <w:rPr/>
            </w:pPr>
            <w:r>
              <w:rPr/>
              <w:t>0.20</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bookmarkStart w:id="1124" w:name="xdx_8A2_z4KcGzYFozl6"/>
      <w:bookmarkEnd w:id="1124"/>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returns of the Company are open for three years from the date of filing. At the report date, federal tax returns are open for the Company for 2021, 2022 and 2023.</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as of December 31, 2024, the Company had federal net operating loss carryforwards of approximately $</w:t>
      </w:r>
      <w:bookmarkStart w:id="1125" w:name="xdx_900_eus-gaap--OperatingLossCarryforw"/>
      <w:bookmarkEnd w:id="1125"/>
      <w:r>
        <w:rPr>
          <w:rFonts w:ascii="Times New Roman;Times;Serif" w:hAnsi="Times New Roman;Times;Serif"/>
          <w:b w:val="false"/>
          <w:i w:val="false"/>
          <w:caps w:val="false"/>
          <w:smallCaps w:val="false"/>
          <w:sz w:val="20"/>
        </w:rPr>
        <w:t xml:space="preserve">56,315 available to reduce future taxable income which do not expire, but are limited to </w:t>
      </w:r>
      <w:bookmarkStart w:id="1126" w:name="xdx_906_eus-gaap--EffectiveIncomeTaxRate"/>
      <w:bookmarkEnd w:id="1126"/>
      <w:r>
        <w:rPr>
          <w:rFonts w:ascii="Times New Roman;Times;Serif" w:hAnsi="Times New Roman;Times;Serif"/>
          <w:b w:val="false"/>
          <w:i w:val="false"/>
          <w:caps w:val="false"/>
          <w:smallCaps w:val="false"/>
          <w:sz w:val="20"/>
        </w:rPr>
        <w:t>80% utilization against taxable income. As of December 31, 2024, the Company had state net operating loss carryforwards of approximately $</w:t>
      </w:r>
      <w:bookmarkStart w:id="1127" w:name="xdx_903_eus-gaap--OperatingLossCarryforw"/>
      <w:bookmarkEnd w:id="1127"/>
      <w:r>
        <w:rPr>
          <w:rFonts w:ascii="Times New Roman;Times;Serif" w:hAnsi="Times New Roman;Times;Serif"/>
          <w:b w:val="false"/>
          <w:i w:val="false"/>
          <w:caps w:val="false"/>
          <w:smallCaps w:val="false"/>
          <w:sz w:val="20"/>
        </w:rPr>
        <w:t>24,910 available to reduce future taxable income, which start to expire in 2037. The Company also had research and development credits of $</w:t>
      </w:r>
      <w:bookmarkStart w:id="1128" w:name="xdx_904_eus-gaap--DeferredTaxAssetsTaxCr"/>
      <w:bookmarkEnd w:id="1128"/>
      <w:r>
        <w:rPr>
          <w:rFonts w:ascii="Times New Roman;Times;Serif" w:hAnsi="Times New Roman;Times;Serif"/>
          <w:b w:val="false"/>
          <w:i w:val="false"/>
          <w:caps w:val="false"/>
          <w:smallCaps w:val="false"/>
          <w:sz w:val="20"/>
        </w:rPr>
        <w:t>875 as of December 31, 2024 to offset future federal income taxes, which are set to expire in 2042.</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2024. The valuation allowance as of December 31, 2024 was $</w:t>
      </w:r>
      <w:bookmarkStart w:id="1129" w:name="xdx_90C_eus-gaap--DeferredTaxAssetsValua"/>
      <w:bookmarkEnd w:id="1129"/>
      <w:r>
        <w:rPr>
          <w:rFonts w:ascii="Times New Roman;Times;Serif" w:hAnsi="Times New Roman;Times;Serif"/>
          <w:b w:val="false"/>
          <w:i w:val="false"/>
          <w:caps w:val="false"/>
          <w:smallCaps w:val="false"/>
          <w:sz w:val="20"/>
        </w:rPr>
        <w:t>29,449, primarily due to the company entering into a 3 year cumulative loss position and no expectation of income for the year ended December 31, 2024.</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14 - Income Taxes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bookmarkStart w:id="1130" w:name="xdx_89E_eus-gaap--ScheduleOfUnrecognized"/>
      <w:bookmarkEnd w:id="1130"/>
      <w:r>
        <w:rPr>
          <w:rFonts w:ascii="Times New Roman;Times;Serif" w:hAnsi="Times New Roman;Times;Serif"/>
          <w:b w:val="false"/>
          <w:i w:val="false"/>
          <w:caps w:val="false"/>
          <w:smallCaps w:val="false"/>
          <w:sz w:val="20"/>
        </w:rPr>
        <w:t>The roll-forward of the Company’s gross uncertain tax positions is as follows:</w:t>
      </w:r>
    </w:p>
    <w:p>
      <w:pPr>
        <w:pStyle w:val="TextBody"/>
        <w:bidi w:val="0"/>
        <w:spacing w:before="0" w:after="0"/>
        <w:ind w:left="10" w:right="0" w:hanging="10"/>
        <w:jc w:val="both"/>
        <w:rPr>
          <w:caps w:val="false"/>
          <w:smallCaps w:val="false"/>
        </w:rPr>
      </w:pPr>
      <w:r>
        <w:rPr>
          <w:caps w:val="false"/>
          <w:smallCaps w:val="false"/>
        </w:rPr>
        <w:t> </w:t>
      </w:r>
      <w:bookmarkStart w:id="1131" w:name="xdx_8BC_znDnbmW0YYKg"/>
      <w:bookmarkEnd w:id="1131"/>
      <w:r>
        <w:rPr>
          <w:rFonts w:ascii="Times New Roman;Times;Serif" w:hAnsi="Times New Roman;Times;Serif"/>
          <w:b w:val="false"/>
          <w:i w:val="false"/>
          <w:caps w:val="false"/>
          <w:smallCaps w:val="false"/>
          <w:sz w:val="20"/>
        </w:rPr>
        <w:t>SCHEDULE OF GROSS UNCERTAIN TAX POSITIONS</w:t>
      </w:r>
    </w:p>
    <w:tbl>
      <w:tblPr>
        <w:tblW w:w="6719" w:type="dxa"/>
        <w:jc w:val="left"/>
        <w:tblInd w:w="0" w:type="dxa"/>
        <w:tblLayout w:type="fixed"/>
        <w:tblCellMar>
          <w:top w:w="0" w:type="dxa"/>
          <w:left w:w="0" w:type="dxa"/>
          <w:bottom w:w="0" w:type="dxa"/>
          <w:right w:w="0" w:type="dxa"/>
        </w:tblCellMar>
      </w:tblPr>
      <w:tblGrid>
        <w:gridCol w:w="3725"/>
        <w:gridCol w:w="60"/>
        <w:gridCol w:w="758"/>
        <w:gridCol w:w="2066"/>
        <w:gridCol w:w="110"/>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24" w:type="dxa"/>
            <w:gridSpan w:val="2"/>
            <w:tcBorders>
              <w:bottom w:val="single" w:sz="8" w:space="0" w:color="000000"/>
            </w:tcBorders>
            <w:tcMar>
              <w:bottom w:w="28" w:type="dxa"/>
            </w:tcMar>
            <w:vAlign w:val="center"/>
          </w:tcPr>
          <w:p>
            <w:pPr>
              <w:pStyle w:val="TableContents"/>
              <w:bidi w:val="0"/>
              <w:spacing w:before="0" w:after="283"/>
              <w:jc w:val="center"/>
              <w:rPr/>
            </w:pPr>
            <w:r>
              <w:rPr/>
              <w:t>Gross Uncertain Tax Position</w:t>
            </w:r>
          </w:p>
        </w:tc>
        <w:tc>
          <w:tcPr>
            <w:tcW w:w="110" w:type="dxa"/>
            <w:tcBorders/>
            <w:vAlign w:val="center"/>
          </w:tcPr>
          <w:p>
            <w:pPr>
              <w:pStyle w:val="TableContents"/>
              <w:bidi w:val="0"/>
              <w:spacing w:before="0" w:after="283"/>
              <w:ind w:left="0" w:right="0" w:hanging="10"/>
              <w:jc w:val="left"/>
              <w:rPr/>
            </w:pPr>
            <w:r>
              <w:rPr/>
              <w:t> </w:t>
            </w:r>
          </w:p>
        </w:tc>
      </w:tr>
      <w:tr>
        <w:trPr/>
        <w:tc>
          <w:tcPr>
            <w:tcW w:w="3725" w:type="dxa"/>
            <w:tcBorders/>
            <w:shd w:fill="CCEEFF" w:val="clear"/>
            <w:vAlign w:val="center"/>
          </w:tcPr>
          <w:p>
            <w:pPr>
              <w:pStyle w:val="TableContents"/>
              <w:bidi w:val="0"/>
              <w:spacing w:before="0" w:after="283"/>
              <w:jc w:val="both"/>
              <w:rPr/>
            </w:pPr>
            <w:r>
              <w:rPr/>
              <w:t>Balance at January 1, 2023</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w:t>
            </w:r>
            <w:bookmarkStart w:id="1132" w:name="xdx_983_eus-gaap--UnrecognizedTaxBenefit"/>
            <w:bookmarkEnd w:id="1132"/>
          </w:p>
        </w:tc>
        <w:tc>
          <w:tcPr>
            <w:tcW w:w="2066" w:type="dxa"/>
            <w:tcBorders/>
            <w:shd w:fill="CCEEFF" w:val="cle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725" w:type="dxa"/>
            <w:tcBorders/>
            <w:shd w:fill="FFFFFF" w:val="clear"/>
            <w:vAlign w:val="center"/>
          </w:tcPr>
          <w:p>
            <w:pPr>
              <w:pStyle w:val="TableContents"/>
              <w:bidi w:val="0"/>
              <w:spacing w:before="0" w:after="283"/>
              <w:jc w:val="both"/>
              <w:rPr/>
            </w:pPr>
            <w:r>
              <w:rPr/>
              <w:t>Additions for current year tax positions</w:t>
            </w:r>
          </w:p>
        </w:tc>
        <w:tc>
          <w:tcPr>
            <w:tcW w:w="60" w:type="dxa"/>
            <w:tcBorders/>
            <w:shd w:fill="FFFFFF" w:val="cle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33" w:name="xdx_989_eus-gaap--UnrecognizedTaxBenefit"/>
            <w:bookmarkEnd w:id="1133"/>
          </w:p>
        </w:tc>
        <w:tc>
          <w:tcPr>
            <w:tcW w:w="2066"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3725" w:type="dxa"/>
            <w:tcBorders/>
            <w:shd w:fill="CCEEFF" w:val="clear"/>
            <w:vAlign w:val="center"/>
          </w:tcPr>
          <w:p>
            <w:pPr>
              <w:pStyle w:val="TableContents"/>
              <w:bidi w:val="0"/>
              <w:spacing w:before="0" w:after="283"/>
              <w:jc w:val="both"/>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bookmarkStart w:id="1134" w:name="xdx_984_eus-gaap--UnrecognizedTaxBenefit"/>
            <w:bookmarkEnd w:id="1134"/>
          </w:p>
        </w:tc>
        <w:tc>
          <w:tcPr>
            <w:tcW w:w="2066"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725" w:type="dxa"/>
            <w:tcBorders/>
            <w:shd w:fill="FFFFFF" w:val="clear"/>
            <w:vAlign w:val="center"/>
          </w:tcPr>
          <w:p>
            <w:pPr>
              <w:pStyle w:val="TableContents"/>
              <w:bidi w:val="0"/>
              <w:spacing w:before="0" w:after="283"/>
              <w:jc w:val="both"/>
              <w:rPr/>
            </w:pPr>
            <w:r>
              <w:rPr/>
              <w:t>Additions for current year tax positions</w:t>
            </w:r>
          </w:p>
        </w:tc>
        <w:tc>
          <w:tcPr>
            <w:tcW w:w="60" w:type="dxa"/>
            <w:tcBorders/>
            <w:shd w:fill="FFFFFF" w:val="cle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35" w:name="xdx_98F_eus-gaap--UnrecognizedTaxBenefit"/>
            <w:bookmarkEnd w:id="1135"/>
          </w:p>
        </w:tc>
        <w:tc>
          <w:tcPr>
            <w:tcW w:w="2066"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3725" w:type="dxa"/>
            <w:tcBorders/>
            <w:shd w:fill="CCEEFF" w:val="clear"/>
            <w:vAlign w:val="center"/>
          </w:tcPr>
          <w:p>
            <w:pPr>
              <w:pStyle w:val="TableContents"/>
              <w:bidi w:val="0"/>
              <w:spacing w:before="0" w:after="283"/>
              <w:jc w:val="both"/>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136" w:name="xdx_98B_eus-gaap--UnrecognizedTaxBenefit"/>
            <w:bookmarkEnd w:id="1136"/>
          </w:p>
        </w:tc>
        <w:tc>
          <w:tcPr>
            <w:tcW w:w="2066" w:type="dxa"/>
            <w:tcBorders>
              <w:bottom w:val="single" w:sz="8" w:space="0" w:color="000000"/>
            </w:tcBorders>
            <w:shd w:fill="CCEEFF" w:val="clear"/>
            <w:tcMar>
              <w:bottom w:w="28" w:type="dxa"/>
            </w:tcM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bookmarkStart w:id="1137" w:name="xdx_8A8_zvFNW2S5Adsh"/>
      <w:bookmarkEnd w:id="11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total uncertain tax positions decreased during the year ended December 31, 2024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1138" w:name="xdx_80A_eus-gaap--SegmentReportingDisclo"/>
      <w:bookmarkEnd w:id="1138"/>
      <w:r>
        <w:rPr>
          <w:rFonts w:ascii="Times New Roman;Times;Serif" w:hAnsi="Times New Roman;Times;Serif"/>
          <w:b/>
          <w:i w:val="false"/>
          <w:caps/>
          <w:sz w:val="20"/>
        </w:rPr>
        <w:t xml:space="preserve">Note 15 - </w:t>
      </w:r>
      <w:bookmarkStart w:id="1139" w:name="xdx_820_zHowACpOfweh"/>
      <w:bookmarkEnd w:id="1139"/>
      <w:r>
        <w:rPr>
          <w:rFonts w:ascii="Times New Roman;Times;Serif" w:hAnsi="Times New Roman;Times;Serif"/>
          <w:b/>
          <w:i w:val="false"/>
          <w:caps/>
          <w:sz w:val="20"/>
        </w:rPr>
        <w:t xml:space="preserve">REPORTABLE SEGMENTS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1140" w:name="xdx_903_eus-gaap--NumberOfReportableSegm"/>
      <w:bookmarkEnd w:id="1140"/>
      <w:r>
        <w:rPr>
          <w:rFonts w:ascii="Times New Roman;Times;Serif" w:hAnsi="Times New Roman;Times;Serif"/>
          <w:b w:val="false"/>
          <w:i w:val="false"/>
          <w:caps w:val="false"/>
          <w:smallCaps w:val="false"/>
          <w:sz w:val="20"/>
        </w:rPr>
        <w:t>two reportable segments: DTC and OEM. The DTC segment pertains to Battle Born, LLC branded batteries which are sold directly to consumers. The OEM segment pertains to Dragonfly branded batteries which are sold to original equipment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DTC and OEM, the Chief Operating Decision Maker (“CODM”) uses both segment gross profit and loss from operations to allocate resources (including employees, property, and financial or capital resources) for each segment predominantly in the annual budget and forecasting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information for the reported segments is not disclosed as it is not used by the CODM in evaluating the performance of, or making decisions about, the reported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reportable segments are strategic business units that offer different branded products. They are managed separately because each segment requires different technology and marketing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the Chief Executive Officer.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15 - Reportable Segments (continued)</w:t>
      </w:r>
    </w:p>
    <w:p>
      <w:pPr>
        <w:pStyle w:val="TextBody"/>
        <w:bidi w:val="0"/>
        <w:spacing w:before="0" w:after="0"/>
        <w:ind w:left="10" w:right="0" w:hanging="1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1" w:name="xdx_899_eus-gaap--ScheduleOfSegmentRepor"/>
      <w:bookmarkEnd w:id="1141"/>
      <w:r>
        <w:rPr>
          <w:rFonts w:ascii="Times New Roman;Times;Serif" w:hAnsi="Times New Roman;Times;Serif"/>
          <w:b w:val="false"/>
          <w:i w:val="false"/>
          <w:caps w:val="false"/>
          <w:smallCaps w:val="false"/>
          <w:sz w:val="20"/>
        </w:rPr>
        <w:t>The following table presents the reportable segments information as of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2" w:name="xdx_8B7_zeZknaXydgng"/>
      <w:bookmarkEnd w:id="1142"/>
      <w:r>
        <w:rPr>
          <w:rFonts w:ascii="Times New Roman;Times;Serif" w:hAnsi="Times New Roman;Times;Serif"/>
          <w:b w:val="false"/>
          <w:i w:val="false"/>
          <w:caps w:val="false"/>
          <w:smallCaps w:val="false"/>
          <w:sz w:val="20"/>
        </w:rPr>
        <w:t>SCHEDULE OF REPORTABLE SEGMENTS INFORMATION </w:t>
      </w:r>
    </w:p>
    <w:tbl>
      <w:tblPr>
        <w:tblW w:w="9395" w:type="dxa"/>
        <w:jc w:val="left"/>
        <w:tblInd w:w="0" w:type="dxa"/>
        <w:tblLayout w:type="fixed"/>
        <w:tblCellMar>
          <w:top w:w="0" w:type="dxa"/>
          <w:left w:w="0" w:type="dxa"/>
          <w:bottom w:w="0" w:type="dxa"/>
          <w:right w:w="0" w:type="dxa"/>
        </w:tblCellMar>
      </w:tblPr>
      <w:tblGrid>
        <w:gridCol w:w="5015"/>
        <w:gridCol w:w="60"/>
        <w:gridCol w:w="140"/>
        <w:gridCol w:w="680"/>
        <w:gridCol w:w="95"/>
        <w:gridCol w:w="60"/>
        <w:gridCol w:w="140"/>
        <w:gridCol w:w="680"/>
        <w:gridCol w:w="60"/>
        <w:gridCol w:w="60"/>
        <w:gridCol w:w="140"/>
        <w:gridCol w:w="755"/>
        <w:gridCol w:w="95"/>
        <w:gridCol w:w="60"/>
        <w:gridCol w:w="290"/>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3" w:name="xdx_497_20240101__20241231__us-gaap--Sta"/>
            <w:bookmarkEnd w:id="1143"/>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4" w:name="xdx_49F_20240101__20241231__us-gaap--Sta"/>
            <w:bookmarkEnd w:id="1144"/>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5" w:name="xdx_490_20240101__20241231__us-gaap--Sta"/>
            <w:bookmarkEnd w:id="1145"/>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46" w:name="xdx_499_20240101__20241231_zObDsN6OrRP"/>
            <w:bookmarkEnd w:id="1146"/>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bookmarkStart w:id="1147" w:name="xdx_404_eus-gaap--RevenueFromContractWit"/>
            <w:bookmarkEnd w:id="1147"/>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22,616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bookmarkStart w:id="1148" w:name="xdx_F45_zu9i3OvOyuq4"/>
            <w:bookmarkEnd w:id="1148"/>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50,645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9" w:name="xdx_400_ecustom--ReconciliationOfNetSale"/>
            <w:bookmarkEnd w:id="1149"/>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50" w:name="xdx_40C_eus-gaap--Revenues_pn3n3_zZ6LivB"/>
            <w:bookmarkEnd w:id="1150"/>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50,645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1" w:name="xdx_403_eus-gaap--CostDirectMaterial_pn3"/>
            <w:bookmarkEnd w:id="1151"/>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32,223</w:t>
            </w:r>
          </w:p>
        </w:tc>
        <w:tc>
          <w:tcPr>
            <w:tcW w:w="110" w:type="dxa"/>
            <w:tcBorders/>
            <w:shd w:fill="CCEEFF" w:val="clear"/>
            <w:vAlign w:val="center"/>
          </w:tcPr>
          <w:p>
            <w:pPr>
              <w:pStyle w:val="TableContents"/>
              <w:bidi w:val="0"/>
              <w:spacing w:before="0" w:after="283"/>
              <w:jc w:val="left"/>
              <w:rPr/>
            </w:pPr>
            <w:r>
              <w:rPr/>
              <w:t> </w:t>
            </w:r>
            <w:bookmarkStart w:id="1152" w:name="xdx_408_eus-gaap--CostDirectLabor_pn3n3_"/>
            <w:bookmarkEnd w:id="1152"/>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3,291</w:t>
            </w:r>
          </w:p>
        </w:tc>
        <w:tc>
          <w:tcPr>
            <w:tcW w:w="110" w:type="dxa"/>
            <w:tcBorders/>
            <w:shd w:fill="FFFFFF" w:val="clear"/>
            <w:vAlign w:val="center"/>
          </w:tcPr>
          <w:p>
            <w:pPr>
              <w:pStyle w:val="TableContents"/>
              <w:bidi w:val="0"/>
              <w:spacing w:before="0" w:after="283"/>
              <w:jc w:val="left"/>
              <w:rPr/>
            </w:pPr>
            <w:r>
              <w:rPr/>
              <w:t> </w:t>
            </w:r>
            <w:bookmarkStart w:id="1153" w:name="xdx_402_eus-gaap--CostOfGoodsAndServices"/>
            <w:bookmarkEnd w:id="1153"/>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3,505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4" w:name="xdx_401_eus-gaap--CostOfGoodsAndServices"/>
            <w:bookmarkEnd w:id="1154"/>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39,019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5" w:name="xdx_405_eus-gaap--GrossProfit_pn3n3_zpm0"/>
            <w:bookmarkEnd w:id="1155"/>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11,626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56" w:name="xdx_403_eus-gaap--ResearchAndDevelopment"/>
            <w:bookmarkEnd w:id="1156"/>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bookmarkStart w:id="1157" w:name="xdx_F4A_zpS5va9VYykf"/>
            <w:bookmarkEnd w:id="1157"/>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5,451</w:t>
            </w:r>
          </w:p>
        </w:tc>
        <w:tc>
          <w:tcPr>
            <w:tcW w:w="110" w:type="dxa"/>
            <w:tcBorders/>
            <w:shd w:fill="FFFFFF" w:val="clear"/>
            <w:vAlign w:val="center"/>
          </w:tcPr>
          <w:p>
            <w:pPr>
              <w:pStyle w:val="TableContents"/>
              <w:bidi w:val="0"/>
              <w:spacing w:before="0" w:after="283"/>
              <w:jc w:val="left"/>
              <w:rPr/>
            </w:pPr>
            <w:r>
              <w:rPr/>
              <w:t> </w:t>
            </w:r>
            <w:bookmarkStart w:id="1158" w:name="xdx_40B_ecustom--SalesTaxAdjustment_pn3n"/>
            <w:bookmarkEnd w:id="1158"/>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w:t>
            </w:r>
          </w:p>
        </w:tc>
        <w:tc>
          <w:tcPr>
            <w:tcW w:w="110" w:type="dxa"/>
            <w:tcBorders/>
            <w:shd w:fill="CCEEFF" w:val="clear"/>
            <w:vAlign w:val="center"/>
          </w:tcPr>
          <w:p>
            <w:pPr>
              <w:pStyle w:val="TableContents"/>
              <w:bidi w:val="0"/>
              <w:spacing w:before="0" w:after="283"/>
              <w:jc w:val="left"/>
              <w:rPr/>
            </w:pPr>
            <w:r>
              <w:rPr/>
              <w:t> </w:t>
            </w:r>
            <w:bookmarkStart w:id="1159" w:name="xdx_40B_ecustom--TransactionFees_pn3n3_z"/>
            <w:bookmarkEnd w:id="1159"/>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556</w:t>
            </w:r>
          </w:p>
        </w:tc>
        <w:tc>
          <w:tcPr>
            <w:tcW w:w="110" w:type="dxa"/>
            <w:tcBorders/>
            <w:shd w:fill="FFFFFF" w:val="clear"/>
            <w:vAlign w:val="center"/>
          </w:tcPr>
          <w:p>
            <w:pPr>
              <w:pStyle w:val="TableContents"/>
              <w:bidi w:val="0"/>
              <w:spacing w:before="0" w:after="283"/>
              <w:jc w:val="left"/>
              <w:rPr/>
            </w:pPr>
            <w:r>
              <w:rPr/>
              <w:t> </w:t>
            </w:r>
            <w:bookmarkStart w:id="1160" w:name="xdx_401_eus-gaap--GainLossRelatedToLitig"/>
            <w:bookmarkEnd w:id="1160"/>
          </w:p>
        </w:tc>
      </w:tr>
      <w:tr>
        <w:trPr/>
        <w:tc>
          <w:tcPr>
            <w:tcW w:w="5015" w:type="dxa"/>
            <w:tcBorders/>
            <w:shd w:fill="CCEEFF" w:val="clear"/>
            <w:vAlign w:val="center"/>
          </w:tcPr>
          <w:p>
            <w:pPr>
              <w:pStyle w:val="TableContents"/>
              <w:bidi w:val="0"/>
              <w:spacing w:before="0" w:after="283"/>
              <w:jc w:val="left"/>
              <w:rPr/>
            </w:pPr>
            <w:r>
              <w:rPr/>
              <w:t>Loss on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bookmarkStart w:id="1161" w:name="xdx_F42_zIRB6YPqT9I8"/>
            <w:bookmarkEnd w:id="1161"/>
            <w:r>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bookmarkStart w:id="1162" w:name="xdx_401_eus-gaap--OtherGeneralAndAdminis"/>
            <w:bookmarkEnd w:id="1162"/>
          </w:p>
        </w:tc>
      </w:tr>
      <w:tr>
        <w:trPr/>
        <w:tc>
          <w:tcPr>
            <w:tcW w:w="5015" w:type="dxa"/>
            <w:tcBorders/>
            <w:shd w:fill="FFFFFF" w:val="clear"/>
            <w:vAlign w:val="center"/>
          </w:tcPr>
          <w:p>
            <w:pPr>
              <w:pStyle w:val="TableContents"/>
              <w:bidi w:val="0"/>
              <w:spacing w:before="0" w:after="283"/>
              <w:jc w:val="left"/>
              <w:rPr/>
            </w:pPr>
            <w:r>
              <w:rPr/>
              <w:t>Other general &amp;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bookmarkStart w:id="1163" w:name="xdx_F41_z06ZoBcSYMz"/>
            <w:bookmarkEnd w:id="1163"/>
            <w:r>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18,749</w:t>
            </w:r>
          </w:p>
        </w:tc>
        <w:tc>
          <w:tcPr>
            <w:tcW w:w="110" w:type="dxa"/>
            <w:tcBorders/>
            <w:shd w:fill="FFFFFF" w:val="clear"/>
            <w:vAlign w:val="center"/>
          </w:tcPr>
          <w:p>
            <w:pPr>
              <w:pStyle w:val="TableContents"/>
              <w:bidi w:val="0"/>
              <w:spacing w:before="0" w:after="283"/>
              <w:jc w:val="left"/>
              <w:rPr/>
            </w:pPr>
            <w:r>
              <w:rPr/>
              <w:t> </w:t>
            </w:r>
            <w:bookmarkStart w:id="1164" w:name="xdx_408_ecustom--Shipping_pn3n3_zfUvZ3Mv"/>
            <w:bookmarkEnd w:id="1164"/>
          </w:p>
        </w:tc>
      </w:tr>
      <w:tr>
        <w:trPr/>
        <w:tc>
          <w:tcPr>
            <w:tcW w:w="5015" w:type="dxa"/>
            <w:tcBorders/>
            <w:shd w:fill="CCEEFF" w:val="clear"/>
            <w:vAlign w:val="center"/>
          </w:tcPr>
          <w:p>
            <w:pPr>
              <w:pStyle w:val="TableContents"/>
              <w:bidi w:val="0"/>
              <w:spacing w:before="0" w:after="283"/>
              <w:jc w:val="left"/>
              <w:rPr/>
            </w:pPr>
            <w:r>
              <w:rPr/>
              <w:t>Shipping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2,529</w:t>
            </w:r>
          </w:p>
        </w:tc>
        <w:tc>
          <w:tcPr>
            <w:tcW w:w="110" w:type="dxa"/>
            <w:tcBorders/>
            <w:shd w:fill="CCEEFF" w:val="clear"/>
            <w:vAlign w:val="center"/>
          </w:tcPr>
          <w:p>
            <w:pPr>
              <w:pStyle w:val="TableContents"/>
              <w:bidi w:val="0"/>
              <w:spacing w:before="0" w:after="283"/>
              <w:jc w:val="left"/>
              <w:rPr/>
            </w:pPr>
            <w:r>
              <w:rPr/>
              <w:t> </w:t>
            </w:r>
            <w:bookmarkStart w:id="1165" w:name="xdx_40E_ecustom--SalesAndMarketingStockC"/>
            <w:bookmarkEnd w:id="1165"/>
          </w:p>
        </w:tc>
      </w:tr>
      <w:tr>
        <w:trPr/>
        <w:tc>
          <w:tcPr>
            <w:tcW w:w="5015" w:type="dxa"/>
            <w:tcBorders/>
            <w:shd w:fill="FFFFFF" w:val="clear"/>
            <w:vAlign w:val="center"/>
          </w:tcPr>
          <w:p>
            <w:pPr>
              <w:pStyle w:val="TableContents"/>
              <w:bidi w:val="0"/>
              <w:spacing w:before="0" w:after="283"/>
              <w:jc w:val="left"/>
              <w:rPr/>
            </w:pPr>
            <w:r>
              <w:rPr/>
              <w:t>Sales and marketing 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211</w:t>
            </w:r>
          </w:p>
        </w:tc>
        <w:tc>
          <w:tcPr>
            <w:tcW w:w="110" w:type="dxa"/>
            <w:tcBorders/>
            <w:shd w:fill="FFFFFF" w:val="clear"/>
            <w:vAlign w:val="center"/>
          </w:tcPr>
          <w:p>
            <w:pPr>
              <w:pStyle w:val="TableContents"/>
              <w:bidi w:val="0"/>
              <w:spacing w:before="0" w:after="283"/>
              <w:jc w:val="left"/>
              <w:rPr/>
            </w:pPr>
            <w:r>
              <w:rPr/>
              <w:t> </w:t>
            </w:r>
            <w:bookmarkStart w:id="1166" w:name="xdx_40E_ecustom--SalesAndMarketingWages_"/>
            <w:bookmarkEnd w:id="1166"/>
          </w:p>
        </w:tc>
      </w:tr>
      <w:tr>
        <w:trPr/>
        <w:tc>
          <w:tcPr>
            <w:tcW w:w="5015" w:type="dxa"/>
            <w:tcBorders/>
            <w:shd w:fill="CCEEFF" w:val="clear"/>
            <w:vAlign w:val="center"/>
          </w:tcPr>
          <w:p>
            <w:pPr>
              <w:pStyle w:val="TableContents"/>
              <w:bidi w:val="0"/>
              <w:spacing w:before="0" w:after="283"/>
              <w:jc w:val="left"/>
              <w:rPr/>
            </w:pPr>
            <w:r>
              <w:rPr/>
              <w:t>Sales and marketing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2,874</w:t>
            </w:r>
          </w:p>
        </w:tc>
        <w:tc>
          <w:tcPr>
            <w:tcW w:w="110" w:type="dxa"/>
            <w:tcBorders/>
            <w:shd w:fill="CCEEFF" w:val="clear"/>
            <w:vAlign w:val="center"/>
          </w:tcPr>
          <w:p>
            <w:pPr>
              <w:pStyle w:val="TableContents"/>
              <w:bidi w:val="0"/>
              <w:spacing w:before="0" w:after="283"/>
              <w:jc w:val="left"/>
              <w:rPr/>
            </w:pPr>
            <w:r>
              <w:rPr/>
              <w:t> </w:t>
            </w:r>
            <w:bookmarkStart w:id="1167" w:name="xdx_405_ecustom--MarketingSpend_pn3n3_zW"/>
            <w:bookmarkEnd w:id="1167"/>
          </w:p>
        </w:tc>
      </w:tr>
      <w:tr>
        <w:trPr/>
        <w:tc>
          <w:tcPr>
            <w:tcW w:w="5015" w:type="dxa"/>
            <w:tcBorders/>
            <w:shd w:fill="FFFFFF" w:val="clear"/>
            <w:vAlign w:val="center"/>
          </w:tcPr>
          <w:p>
            <w:pPr>
              <w:pStyle w:val="TableContents"/>
              <w:bidi w:val="0"/>
              <w:spacing w:before="0" w:after="283"/>
              <w:jc w:val="left"/>
              <w:rPr/>
            </w:pPr>
            <w:r>
              <w:rPr/>
              <w:t>Marketing spend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2,401</w:t>
            </w:r>
          </w:p>
        </w:tc>
        <w:tc>
          <w:tcPr>
            <w:tcW w:w="110" w:type="dxa"/>
            <w:tcBorders/>
            <w:shd w:fill="FFFFFF" w:val="clear"/>
            <w:vAlign w:val="center"/>
          </w:tcPr>
          <w:p>
            <w:pPr>
              <w:pStyle w:val="TableContents"/>
              <w:bidi w:val="0"/>
              <w:spacing w:before="0" w:after="283"/>
              <w:jc w:val="left"/>
              <w:rPr/>
            </w:pPr>
            <w:r>
              <w:rPr/>
              <w:t> </w:t>
            </w:r>
            <w:bookmarkStart w:id="1168" w:name="xdx_404_ecustom--Rent_pn3n3_zweZU8PHFvR2"/>
            <w:bookmarkEnd w:id="1168"/>
          </w:p>
        </w:tc>
      </w:tr>
      <w:tr>
        <w:trPr/>
        <w:tc>
          <w:tcPr>
            <w:tcW w:w="5015"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 </w:t>
            </w:r>
            <w:bookmarkStart w:id="1169" w:name="xdx_401_ecustom--UnallocatedSalesAndMark"/>
            <w:bookmarkEnd w:id="1169"/>
          </w:p>
        </w:tc>
      </w:tr>
      <w:tr>
        <w:trPr/>
        <w:tc>
          <w:tcPr>
            <w:tcW w:w="5015" w:type="dxa"/>
            <w:tcBorders/>
            <w:shd w:fill="FFFFFF" w:val="clear"/>
            <w:vAlign w:val="center"/>
          </w:tcPr>
          <w:p>
            <w:pPr>
              <w:pStyle w:val="TableContents"/>
              <w:bidi w:val="0"/>
              <w:spacing w:before="0" w:after="283"/>
              <w:jc w:val="left"/>
              <w:rPr/>
            </w:pPr>
            <w:r>
              <w:rPr/>
              <w:t>Unallocated sales and marketing 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bookmarkStart w:id="1170" w:name="xdx_F4E_zYoQtGAOyqF5"/>
            <w:bookmarkEnd w:id="1170"/>
            <w:r>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 </w:t>
            </w:r>
            <w:bookmarkStart w:id="1171" w:name="xdx_404_ecustom--UnallocatedSalesAndMark"/>
            <w:bookmarkEnd w:id="1171"/>
          </w:p>
        </w:tc>
      </w:tr>
      <w:tr>
        <w:trPr/>
        <w:tc>
          <w:tcPr>
            <w:tcW w:w="5015" w:type="dxa"/>
            <w:tcBorders/>
            <w:shd w:fill="CCEEFF" w:val="clear"/>
            <w:vAlign w:val="center"/>
          </w:tcPr>
          <w:p>
            <w:pPr>
              <w:pStyle w:val="TableContents"/>
              <w:bidi w:val="0"/>
              <w:spacing w:before="0" w:after="283"/>
              <w:jc w:val="left"/>
              <w:rPr/>
            </w:pPr>
            <w:r>
              <w:rPr/>
              <w:t>Unallocated sales and marketing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bookmarkStart w:id="1172" w:name="xdx_F43_zoVelgXu55Yb"/>
            <w:bookmarkEnd w:id="1172"/>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w:t>
            </w:r>
          </w:p>
        </w:tc>
        <w:tc>
          <w:tcPr>
            <w:tcW w:w="110" w:type="dxa"/>
            <w:tcBorders/>
            <w:shd w:fill="CCEEFF" w:val="clear"/>
            <w:vAlign w:val="center"/>
          </w:tcPr>
          <w:p>
            <w:pPr>
              <w:pStyle w:val="TableContents"/>
              <w:bidi w:val="0"/>
              <w:spacing w:before="0" w:after="283"/>
              <w:jc w:val="left"/>
              <w:rPr/>
            </w:pPr>
            <w:r>
              <w:rPr/>
              <w:t> </w:t>
            </w:r>
            <w:bookmarkStart w:id="1173" w:name="xdx_40C_eus-gaap--OtherSellingAndMarketi"/>
            <w:bookmarkEnd w:id="1173"/>
          </w:p>
        </w:tc>
      </w:tr>
      <w:tr>
        <w:trPr/>
        <w:tc>
          <w:tcPr>
            <w:tcW w:w="5015" w:type="dxa"/>
            <w:tcBorders/>
            <w:shd w:fill="FFFFFF" w:val="clear"/>
            <w:vAlign w:val="center"/>
          </w:tcPr>
          <w:p>
            <w:pPr>
              <w:pStyle w:val="TableContents"/>
              <w:bidi w:val="0"/>
              <w:spacing w:before="0" w:after="283"/>
              <w:jc w:val="left"/>
              <w:rPr/>
            </w:pPr>
            <w:r>
              <w:rPr/>
              <w:t>Other sales &amp;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bookmarkStart w:id="1174" w:name="xdx_F4E_zDj7FAucJJW3"/>
            <w:bookmarkEnd w:id="1174"/>
            <w:r>
              <w:rPr/>
              <w:t>(4)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1,591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75" w:name="xdx_406_eus-gaap--OperatingExpenses_pn3n"/>
            <w:bookmarkEnd w:id="1175"/>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37,385</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76" w:name="xdx_40B_eus-gaap--OperatingIncomeLoss_pn"/>
            <w:bookmarkEnd w:id="1176"/>
          </w:p>
        </w:tc>
      </w:tr>
      <w:tr>
        <w:trPr/>
        <w:tc>
          <w:tcPr>
            <w:tcW w:w="5015"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(25,759</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77" w:name="xdx_404_eus-gaap--OtherNonoperatingIncom"/>
            <w:bookmarkEnd w:id="1177"/>
          </w:p>
        </w:tc>
      </w:tr>
      <w:tr>
        <w:trPr/>
        <w:tc>
          <w:tcPr>
            <w:tcW w:w="501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w:t>
            </w:r>
            <w:bookmarkStart w:id="1178" w:name="xdx_40F_eus-gaap--InterestExpenseNonoper"/>
            <w:bookmarkEnd w:id="1178"/>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(21,504</w:t>
            </w:r>
          </w:p>
        </w:tc>
        <w:tc>
          <w:tcPr>
            <w:tcW w:w="110" w:type="dxa"/>
            <w:tcBorders/>
            <w:shd w:fill="CCEEFF" w:val="clear"/>
            <w:vAlign w:val="center"/>
          </w:tcPr>
          <w:p>
            <w:pPr>
              <w:pStyle w:val="TableContents"/>
              <w:bidi w:val="0"/>
              <w:spacing w:before="0" w:after="283"/>
              <w:jc w:val="left"/>
              <w:rPr/>
            </w:pPr>
            <w:r>
              <w:rPr/>
              <w:t>)</w:t>
            </w:r>
            <w:bookmarkStart w:id="1179" w:name="xdx_40D_eus-gaap--FairValueAdjustmentOfW"/>
            <w:bookmarkEnd w:id="1179"/>
          </w:p>
        </w:tc>
      </w:tr>
      <w:tr>
        <w:trPr/>
        <w:tc>
          <w:tcPr>
            <w:tcW w:w="5015" w:type="dxa"/>
            <w:tcBorders/>
            <w:shd w:fill="FFFFFF" w:val="clear"/>
            <w:vAlign w:val="center"/>
          </w:tcPr>
          <w:p>
            <w:pPr>
              <w:pStyle w:val="TableContents"/>
              <w:bidi w:val="0"/>
              <w:spacing w:before="0" w:after="283"/>
              <w:jc w:val="left"/>
              <w:rPr/>
            </w:pPr>
            <w:r>
              <w:rPr/>
              <w:t>Change in FMV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6,684</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0" w:name="xdx_40F_eus-gaap--NonoperatingIncomeExpe"/>
            <w:bookmarkEnd w:id="1180"/>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bookmarkStart w:id="1181" w:name="xdx_F49_z1QCkK9yw8r"/>
            <w:bookmarkEnd w:id="1181"/>
            <w:r>
              <w:rPr/>
              <w:t>(6)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(14,856</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2" w:name="xdx_40F_eus-gaap--IncomeLossFromContinui"/>
            <w:bookmarkEnd w:id="1182"/>
          </w:p>
        </w:tc>
      </w:tr>
      <w:tr>
        <w:trPr/>
        <w:tc>
          <w:tcPr>
            <w:tcW w:w="5015"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(40,576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3" w:name="xdx_409_eus-gaap--IncomeTaxExpenseBenefi"/>
            <w:bookmarkEnd w:id="1183"/>
          </w:p>
        </w:tc>
      </w:tr>
      <w:tr>
        <w:trPr/>
        <w:tc>
          <w:tcPr>
            <w:tcW w:w="5015"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4" w:name="xdx_40D_eus-gaap--NetIncomeLoss_pn3n3_zp"/>
            <w:bookmarkEnd w:id="1184"/>
          </w:p>
        </w:tc>
      </w:tr>
      <w:tr>
        <w:trPr/>
        <w:tc>
          <w:tcPr>
            <w:tcW w:w="501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(40,576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i/>
              </w:rPr>
            </w:pPr>
            <w:r>
              <w:rPr>
                <w:i/>
              </w:rPr>
              <w:t>Reconciliation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5" w:name="xdx_406_ecustom--NetIncomeLossReconcilin"/>
            <w:bookmarkEnd w:id="1185"/>
          </w:p>
        </w:tc>
      </w:tr>
      <w:tr>
        <w:trPr/>
        <w:tc>
          <w:tcPr>
            <w:tcW w:w="5015" w:type="dxa"/>
            <w:tcBorders/>
            <w:shd w:fill="CCEEFF" w:val="clear"/>
            <w:vAlign w:val="center"/>
          </w:tcPr>
          <w:p>
            <w:pPr>
              <w:pStyle w:val="TableContents"/>
              <w:bidi w:val="0"/>
              <w:spacing w:before="0" w:after="283"/>
              <w:jc w:val="left"/>
              <w:rPr/>
            </w:pPr>
            <w:r>
              <w:rPr/>
              <w:t>Reconciling items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86" w:name="xdx_407_eus-gaap--NetIncomeLossAvailable"/>
            <w:bookmarkEnd w:id="1186"/>
          </w:p>
        </w:tc>
      </w:tr>
      <w:tr>
        <w:trPr/>
        <w:tc>
          <w:tcPr>
            <w:tcW w:w="5015"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15 - Reportable Segments (continued)</w:t>
      </w:r>
    </w:p>
    <w:p>
      <w:pPr>
        <w:pStyle w:val="TextBody"/>
        <w:bidi w:val="0"/>
        <w:spacing w:before="0" w:after="0"/>
        <w:ind w:left="10" w:right="0" w:hanging="10"/>
        <w:jc w:val="both"/>
        <w:rPr>
          <w:caps/>
        </w:rPr>
      </w:pPr>
      <w:r>
        <w:rPr>
          <w:caps/>
        </w:rPr>
        <w:t> </w:t>
      </w:r>
    </w:p>
    <w:tbl>
      <w:tblPr>
        <w:tblW w:w="6963" w:type="dxa"/>
        <w:jc w:val="left"/>
        <w:tblInd w:w="0" w:type="dxa"/>
        <w:tblLayout w:type="fixed"/>
        <w:tblCellMar>
          <w:top w:w="0" w:type="dxa"/>
          <w:left w:w="0" w:type="dxa"/>
          <w:bottom w:w="0" w:type="dxa"/>
          <w:right w:w="0" w:type="dxa"/>
        </w:tblCellMar>
      </w:tblPr>
      <w:tblGrid>
        <w:gridCol w:w="260"/>
        <w:gridCol w:w="23"/>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87" w:name="xdx_F00_zexew0DK0Z0d"/>
            <w:bookmarkEnd w:id="1187"/>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1188" w:name="xdx_F1E_zAle5cKETgQd"/>
            <w:bookmarkEnd w:id="1188"/>
            <w:r>
              <w:rPr>
                <w:rFonts w:ascii="Times New Roman;Times;Serif" w:hAnsi="Times New Roman;Times;Serif"/>
                <w:sz w:val="20"/>
              </w:rPr>
              <w:t>Licensing Revenue which is not considered a segment as it is currently immaterial</w:t>
            </w:r>
          </w:p>
        </w:tc>
      </w:tr>
    </w:tbl>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89" w:name="xdx_F00_z2EPSmDoD7qa"/>
            <w:bookmarkEnd w:id="1189"/>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190" w:name="xdx_F1D_zwSJx2BUW9Y5"/>
            <w:bookmarkEnd w:id="1190"/>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191" w:name="xdx_F0B_zAKCa8Nhziuc"/>
            <w:bookmarkEnd w:id="1191"/>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bookmarkStart w:id="1192" w:name="xdx_F1B_zga4oxLyL3xd"/>
            <w:bookmarkEnd w:id="1192"/>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93" w:name="xdx_F0C_zHAyYz2INCQh"/>
            <w:bookmarkEnd w:id="1193"/>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194" w:name="xdx_F1F_zFgKFCnaVRgl"/>
            <w:bookmarkEnd w:id="1194"/>
            <w:r>
              <w:rPr>
                <w:rFonts w:ascii="Times New Roman;Times;Serif" w:hAnsi="Times New Roman;Times;Serif"/>
                <w:sz w:val="20"/>
              </w:rPr>
              <w:t>General sales and marketing employee cost and other marketing expenses</w:t>
            </w:r>
          </w:p>
        </w:tc>
      </w:tr>
    </w:tbl>
    <w:tbl>
      <w:tblPr>
        <w:tblW w:w="4413" w:type="dxa"/>
        <w:jc w:val="left"/>
        <w:tblInd w:w="0" w:type="dxa"/>
        <w:tblLayout w:type="fixed"/>
        <w:tblCellMar>
          <w:top w:w="0" w:type="dxa"/>
          <w:left w:w="0" w:type="dxa"/>
          <w:bottom w:w="0" w:type="dxa"/>
          <w:right w:w="0" w:type="dxa"/>
        </w:tblCellMar>
      </w:tblPr>
      <w:tblGrid>
        <w:gridCol w:w="260"/>
        <w:gridCol w:w="23"/>
        <w:gridCol w:w="413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95" w:name="xdx_F0A_z0wY82knbHx7"/>
            <w:bookmarkEnd w:id="1195"/>
            <w:r>
              <w:rPr>
                <w:rFonts w:ascii="Times New Roman;Times;Serif" w:hAnsi="Times New Roman;Times;Serif"/>
                <w:sz w:val="20"/>
              </w:rPr>
              <w:t>(5)</w:t>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both"/>
              <w:rPr>
                <w:rFonts w:ascii="Times New Roman;Times;Serif" w:hAnsi="Times New Roman;Times;Serif"/>
                <w:sz w:val="20"/>
              </w:rPr>
            </w:pPr>
            <w:bookmarkStart w:id="1196" w:name="xdx_F19_zX4YRhlrxpxd"/>
            <w:bookmarkEnd w:id="1196"/>
            <w:r>
              <w:rPr>
                <w:rFonts w:ascii="Times New Roman;Times;Serif" w:hAnsi="Times New Roman;Times;Serif"/>
                <w:sz w:val="20"/>
              </w:rPr>
              <w:t>Loss on settlement from patent licensing litigation</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97" w:name="xdx_F0E_zB7PV0oGoPL4"/>
            <w:bookmarkEnd w:id="1197"/>
            <w:r>
              <w:rPr>
                <w:rFonts w:ascii="Times New Roman;Times;Serif" w:hAnsi="Times New Roman;Times;Serif"/>
                <w:sz w:val="20"/>
              </w:rPr>
              <w:t>(6)</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1198" w:name="xdx_F1A_zp7MJw1siA96"/>
            <w:bookmarkEnd w:id="1198"/>
            <w:r>
              <w:rPr>
                <w:rFonts w:ascii="Times New Roman;Times;Serif" w:hAnsi="Times New Roman;Times;Serif"/>
                <w:sz w:val="20"/>
              </w:rPr>
              <w:t>Interest expense related to debt and change in fair market value of warrant liability</w:t>
            </w:r>
          </w:p>
        </w:tc>
      </w:tr>
    </w:tbl>
    <w:p>
      <w:pPr>
        <w:pStyle w:val="TextBody"/>
        <w:bidi w:val="0"/>
        <w:spacing w:before="0" w:after="0"/>
        <w:ind w:left="0" w:right="0" w:hanging="0"/>
        <w:jc w:val="both"/>
        <w:rPr>
          <w:caps w:val="false"/>
          <w:smallCaps w:val="false"/>
        </w:rPr>
      </w:pPr>
      <w:bookmarkStart w:id="1199" w:name="xdx_8AD_zBzkKAdWD1J"/>
      <w:bookmarkEnd w:id="11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w:t>
      </w:r>
      <w:bookmarkStart w:id="1200" w:name="xdx_906_eus-gaap--Revenues_c20240101__20"/>
      <w:bookmarkEnd w:id="1200"/>
      <w:r>
        <w:rPr>
          <w:rFonts w:ascii="Times New Roman;Times;Serif" w:hAnsi="Times New Roman;Times;Serif"/>
          <w:b w:val="false"/>
          <w:i w:val="false"/>
          <w:caps w:val="false"/>
          <w:smallCaps w:val="false"/>
          <w:sz w:val="20"/>
        </w:rPr>
        <w:t xml:space="preserve">7,310, or </w:t>
      </w:r>
      <w:bookmarkStart w:id="1201" w:name="xdx_90B_ecustom--PercentageOfRevenues_pi"/>
      <w:bookmarkEnd w:id="1201"/>
      <w:r>
        <w:rPr>
          <w:rFonts w:ascii="Times New Roman;Times;Serif" w:hAnsi="Times New Roman;Times;Serif"/>
          <w:b w:val="false"/>
          <w:i w:val="false"/>
          <w:caps w:val="false"/>
          <w:smallCaps w:val="false"/>
          <w:sz w:val="20"/>
        </w:rPr>
        <w:t>14%, of the Company’s consolidated revenues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15 - Reportable Segments (continued)</w:t>
      </w:r>
    </w:p>
    <w:p>
      <w:pPr>
        <w:pStyle w:val="TextBody"/>
        <w:bidi w:val="0"/>
        <w:spacing w:before="0" w:after="0"/>
        <w:ind w:left="10" w:right="0" w:hanging="10"/>
        <w:jc w:val="both"/>
        <w:rPr>
          <w:caps/>
        </w:rPr>
      </w:pPr>
      <w:bookmarkStart w:id="1202" w:name="xdx_C0A_gL3SOSRIBSTB-YTJCPZ_znrv8vel5r06"/>
      <w:bookmarkEnd w:id="1202"/>
      <w:r>
        <w:rPr>
          <w:caps/>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reportable segments information as of December 31, 2023:</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03" w:name="xdx_300_134_zxv0teWX1WAh"/>
      <w:bookmarkStart w:id="1204" w:name="xdx_300_134_zxv0teWX1WAh"/>
      <w:bookmarkEnd w:id="1204"/>
    </w:p>
    <w:tbl>
      <w:tblPr>
        <w:tblW w:w="9395" w:type="dxa"/>
        <w:jc w:val="left"/>
        <w:tblInd w:w="0" w:type="dxa"/>
        <w:tblLayout w:type="fixed"/>
        <w:tblCellMar>
          <w:top w:w="0" w:type="dxa"/>
          <w:left w:w="0" w:type="dxa"/>
          <w:bottom w:w="0" w:type="dxa"/>
          <w:right w:w="0" w:type="dxa"/>
        </w:tblCellMar>
      </w:tblPr>
      <w:tblGrid>
        <w:gridCol w:w="5015"/>
        <w:gridCol w:w="60"/>
        <w:gridCol w:w="140"/>
        <w:gridCol w:w="680"/>
        <w:gridCol w:w="60"/>
        <w:gridCol w:w="60"/>
        <w:gridCol w:w="140"/>
        <w:gridCol w:w="680"/>
        <w:gridCol w:w="95"/>
        <w:gridCol w:w="60"/>
        <w:gridCol w:w="140"/>
        <w:gridCol w:w="755"/>
        <w:gridCol w:w="95"/>
        <w:gridCol w:w="60"/>
        <w:gridCol w:w="290"/>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5" w:name="xdx_491_20230101__20231231__us-gaap--Sta"/>
            <w:bookmarkEnd w:id="1205"/>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6" w:name="xdx_493_20230101__20231231__us-gaap--Sta"/>
            <w:bookmarkEnd w:id="1206"/>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7" w:name="xdx_49A_20230101__20231231__us-gaap--Sta"/>
            <w:bookmarkEnd w:id="120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08" w:name="xdx_492_20230101__20231231_ztqQasXH90El"/>
            <w:bookmarkEnd w:id="120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209" w:name="xdx_404_eus-gaap--RevenueFromContractWit"/>
            <w:bookmarkEnd w:id="1209"/>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64,392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10" w:name="xdx_400_ecustom--ReconciliationOfNetSale"/>
            <w:bookmarkEnd w:id="1210"/>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11" w:name="xdx_40C_eus-gaap--Revenues_pn3n3_zmYjHs0"/>
            <w:bookmarkEnd w:id="1211"/>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64,392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12" w:name="xdx_403_eus-gaap--CostDirectMaterial_pn3"/>
            <w:bookmarkEnd w:id="1212"/>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41,347</w:t>
            </w:r>
          </w:p>
        </w:tc>
        <w:tc>
          <w:tcPr>
            <w:tcW w:w="110" w:type="dxa"/>
            <w:tcBorders/>
            <w:shd w:fill="CCEEFF" w:val="clear"/>
            <w:vAlign w:val="center"/>
          </w:tcPr>
          <w:p>
            <w:pPr>
              <w:pStyle w:val="TableContents"/>
              <w:bidi w:val="0"/>
              <w:spacing w:before="0" w:after="283"/>
              <w:jc w:val="left"/>
              <w:rPr/>
            </w:pPr>
            <w:r>
              <w:rPr/>
              <w:t> </w:t>
            </w:r>
            <w:bookmarkStart w:id="1213" w:name="xdx_408_eus-gaap--CostDirectLabor_pn3n3_"/>
            <w:bookmarkEnd w:id="1213"/>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3,924</w:t>
            </w:r>
          </w:p>
        </w:tc>
        <w:tc>
          <w:tcPr>
            <w:tcW w:w="110" w:type="dxa"/>
            <w:tcBorders/>
            <w:shd w:fill="FFFFFF" w:val="clear"/>
            <w:vAlign w:val="center"/>
          </w:tcPr>
          <w:p>
            <w:pPr>
              <w:pStyle w:val="TableContents"/>
              <w:bidi w:val="0"/>
              <w:spacing w:before="0" w:after="283"/>
              <w:jc w:val="left"/>
              <w:rPr/>
            </w:pPr>
            <w:r>
              <w:rPr/>
              <w:t> </w:t>
            </w:r>
            <w:bookmarkStart w:id="1214" w:name="xdx_402_eus-gaap--CostOfGoodsAndServices"/>
            <w:bookmarkEnd w:id="1214"/>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3,675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15" w:name="xdx_401_eus-gaap--CostOfGoodsAndServices"/>
            <w:bookmarkEnd w:id="1215"/>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48,946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16" w:name="xdx_405_eus-gaap--GrossProfit_pn3n3_zBs9"/>
            <w:bookmarkEnd w:id="1216"/>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15,446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17" w:name="xdx_403_eus-gaap--ResearchAndDevelopment"/>
            <w:bookmarkEnd w:id="1217"/>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bookmarkStart w:id="1218" w:name="xdx_F42_zEK0LpAlc5B8"/>
            <w:bookmarkEnd w:id="1218"/>
            <w:r>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3,863</w:t>
            </w:r>
          </w:p>
        </w:tc>
        <w:tc>
          <w:tcPr>
            <w:tcW w:w="110" w:type="dxa"/>
            <w:tcBorders/>
            <w:shd w:fill="FFFFFF" w:val="clear"/>
            <w:vAlign w:val="center"/>
          </w:tcPr>
          <w:p>
            <w:pPr>
              <w:pStyle w:val="TableContents"/>
              <w:bidi w:val="0"/>
              <w:spacing w:before="0" w:after="283"/>
              <w:jc w:val="left"/>
              <w:rPr/>
            </w:pPr>
            <w:r>
              <w:rPr/>
              <w:t> </w:t>
            </w:r>
            <w:bookmarkStart w:id="1219" w:name="xdx_40B_ecustom--SalesTaxAdjustment_pn3n"/>
            <w:bookmarkEnd w:id="1219"/>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 </w:t>
            </w:r>
            <w:bookmarkStart w:id="1220" w:name="xdx_40B_ecustom--TransactionFees_pn3n3_z"/>
            <w:bookmarkEnd w:id="1220"/>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1,101</w:t>
            </w:r>
          </w:p>
        </w:tc>
        <w:tc>
          <w:tcPr>
            <w:tcW w:w="110" w:type="dxa"/>
            <w:tcBorders/>
            <w:shd w:fill="FFFFFF" w:val="clear"/>
            <w:vAlign w:val="center"/>
          </w:tcPr>
          <w:p>
            <w:pPr>
              <w:pStyle w:val="TableContents"/>
              <w:bidi w:val="0"/>
              <w:spacing w:before="0" w:after="283"/>
              <w:jc w:val="left"/>
              <w:rPr/>
            </w:pPr>
            <w:r>
              <w:rPr/>
              <w:t> </w:t>
            </w:r>
            <w:bookmarkStart w:id="1221" w:name="xdx_401_eus-gaap--OtherGeneralAndAdminis"/>
            <w:bookmarkEnd w:id="1221"/>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bookmarkStart w:id="1222" w:name="xdx_F46_zE2u3pjmjIo9"/>
            <w:bookmarkEnd w:id="1222"/>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25,121</w:t>
            </w:r>
          </w:p>
        </w:tc>
        <w:tc>
          <w:tcPr>
            <w:tcW w:w="110" w:type="dxa"/>
            <w:tcBorders/>
            <w:shd w:fill="CCEEFF" w:val="clear"/>
            <w:vAlign w:val="center"/>
          </w:tcPr>
          <w:p>
            <w:pPr>
              <w:pStyle w:val="TableContents"/>
              <w:bidi w:val="0"/>
              <w:spacing w:before="0" w:after="283"/>
              <w:jc w:val="left"/>
              <w:rPr/>
            </w:pPr>
            <w:r>
              <w:rPr/>
              <w:t> </w:t>
            </w:r>
            <w:bookmarkStart w:id="1223" w:name="xdx_408_ecustom--Shipping_pn3n3_zV0IMXoi"/>
            <w:bookmarkEnd w:id="1223"/>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3,468</w:t>
            </w:r>
          </w:p>
        </w:tc>
        <w:tc>
          <w:tcPr>
            <w:tcW w:w="110" w:type="dxa"/>
            <w:tcBorders/>
            <w:shd w:fill="FFFFFF" w:val="clear"/>
            <w:vAlign w:val="center"/>
          </w:tcPr>
          <w:p>
            <w:pPr>
              <w:pStyle w:val="TableContents"/>
              <w:bidi w:val="0"/>
              <w:spacing w:before="0" w:after="283"/>
              <w:jc w:val="left"/>
              <w:rPr/>
            </w:pPr>
            <w:r>
              <w:rPr/>
              <w:t> </w:t>
            </w:r>
            <w:bookmarkStart w:id="1224" w:name="xdx_40D_ecustom--SalesAndMarketingStockC"/>
            <w:bookmarkEnd w:id="1224"/>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682</w:t>
            </w:r>
          </w:p>
        </w:tc>
        <w:tc>
          <w:tcPr>
            <w:tcW w:w="110" w:type="dxa"/>
            <w:tcBorders/>
            <w:shd w:fill="CCEEFF" w:val="clear"/>
            <w:vAlign w:val="center"/>
          </w:tcPr>
          <w:p>
            <w:pPr>
              <w:pStyle w:val="TableContents"/>
              <w:bidi w:val="0"/>
              <w:spacing w:before="0" w:after="283"/>
              <w:jc w:val="left"/>
              <w:rPr/>
            </w:pPr>
            <w:r>
              <w:rPr/>
              <w:t> </w:t>
            </w:r>
            <w:bookmarkStart w:id="1225" w:name="xdx_40E_ecustom--SalesAndMarketingWages_"/>
            <w:bookmarkEnd w:id="1225"/>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2,600</w:t>
            </w:r>
          </w:p>
        </w:tc>
        <w:tc>
          <w:tcPr>
            <w:tcW w:w="110" w:type="dxa"/>
            <w:tcBorders/>
            <w:shd w:fill="FFFFFF" w:val="clear"/>
            <w:vAlign w:val="center"/>
          </w:tcPr>
          <w:p>
            <w:pPr>
              <w:pStyle w:val="TableContents"/>
              <w:bidi w:val="0"/>
              <w:spacing w:before="0" w:after="283"/>
              <w:jc w:val="left"/>
              <w:rPr/>
            </w:pPr>
            <w:r>
              <w:rPr/>
              <w:t> </w:t>
            </w:r>
            <w:bookmarkStart w:id="1226" w:name="xdx_405_ecustom--MarketingSpend_pn3n3_zI"/>
            <w:bookmarkEnd w:id="1226"/>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1,487</w:t>
            </w:r>
          </w:p>
        </w:tc>
        <w:tc>
          <w:tcPr>
            <w:tcW w:w="110" w:type="dxa"/>
            <w:tcBorders/>
            <w:shd w:fill="CCEEFF" w:val="clear"/>
            <w:vAlign w:val="center"/>
          </w:tcPr>
          <w:p>
            <w:pPr>
              <w:pStyle w:val="TableContents"/>
              <w:bidi w:val="0"/>
              <w:spacing w:before="0" w:after="283"/>
              <w:jc w:val="left"/>
              <w:rPr/>
            </w:pPr>
            <w:r>
              <w:rPr/>
              <w:t> </w:t>
            </w:r>
            <w:bookmarkStart w:id="1227" w:name="xdx_404_ecustom--Rent_pn3n3_zYA7FFzM1bGi"/>
            <w:bookmarkEnd w:id="1227"/>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jc w:val="left"/>
              <w:rPr/>
            </w:pPr>
            <w:r>
              <w:rPr/>
              <w:t> </w:t>
            </w:r>
            <w:bookmarkStart w:id="1228" w:name="xdx_401_ecustom--UnallocatedSalesAndMark"/>
            <w:bookmarkEnd w:id="1228"/>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bookmarkStart w:id="1229" w:name="xdx_F49_zfr0OdzAXJci"/>
            <w:bookmarkEnd w:id="1229"/>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w:t>
            </w:r>
          </w:p>
        </w:tc>
        <w:tc>
          <w:tcPr>
            <w:tcW w:w="110" w:type="dxa"/>
            <w:tcBorders/>
            <w:shd w:fill="CCEEFF" w:val="clear"/>
            <w:vAlign w:val="center"/>
          </w:tcPr>
          <w:p>
            <w:pPr>
              <w:pStyle w:val="TableContents"/>
              <w:bidi w:val="0"/>
              <w:spacing w:before="0" w:after="283"/>
              <w:jc w:val="left"/>
              <w:rPr/>
            </w:pPr>
            <w:r>
              <w:rPr/>
              <w:t> </w:t>
            </w:r>
            <w:bookmarkStart w:id="1230" w:name="xdx_404_ecustom--UnallocatedSalesAndMark"/>
            <w:bookmarkEnd w:id="1230"/>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bookmarkStart w:id="1231" w:name="xdx_F40_z9QULwbtyBD9"/>
            <w:bookmarkEnd w:id="1231"/>
            <w:r>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1,818</w:t>
            </w:r>
          </w:p>
        </w:tc>
        <w:tc>
          <w:tcPr>
            <w:tcW w:w="110" w:type="dxa"/>
            <w:tcBorders/>
            <w:shd w:fill="FFFFFF" w:val="clear"/>
            <w:vAlign w:val="center"/>
          </w:tcPr>
          <w:p>
            <w:pPr>
              <w:pStyle w:val="TableContents"/>
              <w:bidi w:val="0"/>
              <w:spacing w:before="0" w:after="283"/>
              <w:jc w:val="left"/>
              <w:rPr/>
            </w:pPr>
            <w:r>
              <w:rPr/>
              <w:t> </w:t>
            </w:r>
            <w:bookmarkStart w:id="1232" w:name="xdx_40C_eus-gaap--OtherSellingAndMarketi"/>
            <w:bookmarkEnd w:id="1232"/>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bookmarkStart w:id="1233" w:name="xdx_F4E_zEofWLn9ddx4"/>
            <w:bookmarkEnd w:id="1233"/>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2,101</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4" w:name="xdx_402_eus-gaap--OperatingExpenses_pn3n"/>
            <w:bookmarkEnd w:id="1234"/>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42,875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5" w:name="xdx_40D_eus-gaap--OperatingIncomeLoss_pn"/>
            <w:bookmarkEnd w:id="1235"/>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(27,429</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6" w:name="xdx_405_eus-gaap--OtherNonoperatingIncom"/>
            <w:bookmarkEnd w:id="1236"/>
          </w:p>
        </w:tc>
      </w:tr>
      <w:tr>
        <w:trPr/>
        <w:tc>
          <w:tcPr>
            <w:tcW w:w="5015"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bookmarkStart w:id="1237" w:name="xdx_406_eus-gaap--InterestExpenseNonoper"/>
            <w:bookmarkEnd w:id="1237"/>
          </w:p>
        </w:tc>
      </w:tr>
      <w:tr>
        <w:trPr/>
        <w:tc>
          <w:tcPr>
            <w:tcW w:w="501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(16,015</w:t>
            </w:r>
          </w:p>
        </w:tc>
        <w:tc>
          <w:tcPr>
            <w:tcW w:w="110" w:type="dxa"/>
            <w:tcBorders/>
            <w:shd w:fill="FFFFFF" w:val="clear"/>
            <w:vAlign w:val="center"/>
          </w:tcPr>
          <w:p>
            <w:pPr>
              <w:pStyle w:val="TableContents"/>
              <w:bidi w:val="0"/>
              <w:spacing w:before="0" w:after="283"/>
              <w:jc w:val="left"/>
              <w:rPr/>
            </w:pPr>
            <w:r>
              <w:rPr/>
              <w:t>)</w:t>
            </w:r>
            <w:bookmarkStart w:id="1238" w:name="xdx_408_eus-gaap--FairValueAdjustmentOfW"/>
            <w:bookmarkEnd w:id="1238"/>
          </w:p>
        </w:tc>
      </w:tr>
      <w:tr>
        <w:trPr/>
        <w:tc>
          <w:tcPr>
            <w:tcW w:w="5015" w:type="dxa"/>
            <w:tcBorders/>
            <w:shd w:fill="CCEEFF" w:val="clear"/>
            <w:vAlign w:val="center"/>
          </w:tcPr>
          <w:p>
            <w:pPr>
              <w:pStyle w:val="TableContents"/>
              <w:bidi w:val="0"/>
              <w:spacing w:before="0" w:after="283"/>
              <w:jc w:val="left"/>
              <w:rPr/>
            </w:pPr>
            <w:r>
              <w:rPr/>
              <w:t>Change in FMV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29,582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9" w:name="xdx_404_eus-gaap--NonoperatingIncomeExpe"/>
            <w:bookmarkEnd w:id="1239"/>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bookmarkStart w:id="1240" w:name="xdx_F44_zcciF8KdRoV9"/>
            <w:bookmarkEnd w:id="1240"/>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13,586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1" w:name="xdx_404_eus-gaap--IncomeLossFromContinui"/>
            <w:bookmarkEnd w:id="1241"/>
          </w:p>
        </w:tc>
      </w:tr>
      <w:tr>
        <w:trPr/>
        <w:tc>
          <w:tcPr>
            <w:tcW w:w="5015" w:type="dxa"/>
            <w:tcBorders/>
            <w:shd w:fill="CCEEFF" w:val="clear"/>
            <w:vAlign w:val="center"/>
          </w:tcPr>
          <w:p>
            <w:pPr>
              <w:pStyle w:val="TableContents"/>
              <w:bidi w:val="0"/>
              <w:spacing w:before="0" w:after="283"/>
              <w:jc w:val="left"/>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(13,843</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2" w:name="xdx_403_eus-gaap--IncomeTaxExpenseBenefi"/>
            <w:bookmarkEnd w:id="1242"/>
          </w:p>
        </w:tc>
      </w:tr>
      <w:tr>
        <w:trPr/>
        <w:tc>
          <w:tcPr>
            <w:tcW w:w="5015"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3" w:name="xdx_405_eus-gaap--NetIncomeLoss_pn3n3_zw"/>
            <w:bookmarkEnd w:id="1243"/>
          </w:p>
        </w:tc>
      </w:tr>
      <w:tr>
        <w:trPr/>
        <w:tc>
          <w:tcPr>
            <w:tcW w:w="501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(13,817</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44" w:name="xdx_40F_ecustom--NetIncomeLossReconcilin"/>
            <w:bookmarkEnd w:id="1244"/>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45" w:name="xdx_403_eus-gaap--NetIncomeLossAvailable"/>
            <w:bookmarkEnd w:id="1245"/>
          </w:p>
        </w:tc>
      </w:tr>
      <w:tr>
        <w:trPr/>
        <w:tc>
          <w:tcPr>
            <w:tcW w:w="5015" w:type="dxa"/>
            <w:tcBorders/>
            <w:shd w:fill="CCEEFF" w:val="clear"/>
            <w:vAlign w:val="center"/>
          </w:tcPr>
          <w:p>
            <w:pPr>
              <w:pStyle w:val="TableContents"/>
              <w:bidi w:val="0"/>
              <w:spacing w:before="0" w:after="283"/>
              <w:jc w:val="left"/>
              <w:rPr/>
            </w:pPr>
            <w:r>
              <w:rPr/>
              <w:t>Consolidated 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(13,817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0" w:right="0" w:hanging="10"/>
        <w:jc w:val="both"/>
        <w:rPr>
          <w:caps/>
        </w:rPr>
      </w:pPr>
      <w:bookmarkStart w:id="1246" w:name="xdx_C05_gL3SOSRIBSTB-YTJCPZ_zS2DhnkKcgX6"/>
      <w:bookmarkEnd w:id="1246"/>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15 - Reportable Segments (continued)</w:t>
      </w:r>
    </w:p>
    <w:p>
      <w:pPr>
        <w:pStyle w:val="TextBody"/>
        <w:bidi w:val="0"/>
        <w:spacing w:before="0" w:after="0"/>
        <w:ind w:left="10" w:right="0" w:hanging="10"/>
        <w:jc w:val="both"/>
        <w:rPr>
          <w:caps/>
        </w:rPr>
      </w:pPr>
      <w:bookmarkStart w:id="1247" w:name="xdx_C03_gL3SOSRIBSTB-YTJCPZ_zxqWzHm0IFM4"/>
      <w:bookmarkEnd w:id="1247"/>
      <w:r>
        <w:rPr>
          <w:caps/>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248" w:name="xdx_F00_zGg5oYrskuwd"/>
            <w:bookmarkEnd w:id="1248"/>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249" w:name="xdx_F16_zs3CUTzQ2UV3"/>
            <w:bookmarkEnd w:id="1249"/>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250" w:name="xdx_F0E_zXvMxnJcTdge"/>
            <w:bookmarkEnd w:id="1250"/>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bookmarkStart w:id="1251" w:name="xdx_F13_zwR1SZdP8HK1"/>
            <w:bookmarkStart w:id="1252" w:name="xdx_F13_zwR1SZdP8HK1"/>
            <w:bookmarkEnd w:id="1252"/>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253" w:name="xdx_F01_zfSR3XGUDjwk"/>
            <w:bookmarkEnd w:id="1253"/>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254" w:name="xdx_F1B_zHtOY8vUBul4"/>
            <w:bookmarkEnd w:id="1254"/>
            <w:r>
              <w:rPr>
                <w:rFonts w:ascii="Times New Roman;Times;Serif" w:hAnsi="Times New Roman;Times;Serif"/>
                <w:sz w:val="20"/>
              </w:rPr>
              <w:t>General sales and marketing employee cost and other marketing expenses</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255" w:name="xdx_F06_zzqpH0HJ0bF1"/>
            <w:bookmarkEnd w:id="1255"/>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bookmarkStart w:id="1256" w:name="xdx_F1F_zqJ90d70cHc"/>
            <w:bookmarkStart w:id="1257" w:name="xdx_F1F_zqJ90d70cHc"/>
            <w:bookmarkEnd w:id="1257"/>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0" w:right="0" w:hanging="10"/>
        <w:jc w:val="both"/>
        <w:rPr>
          <w:caps w:val="false"/>
          <w:smallCaps w:val="false"/>
        </w:rPr>
      </w:pPr>
      <w:bookmarkStart w:id="1258" w:name="xdx_C0E_gL3SOSRIBSTB-YTJCPZ_zPcYhyvDecV8"/>
      <w:bookmarkEnd w:id="12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w:t>
      </w:r>
      <w:bookmarkStart w:id="1259" w:name="xdx_904_eus-gaap--Revenues_c20230101__20"/>
      <w:bookmarkEnd w:id="1259"/>
      <w:r>
        <w:rPr>
          <w:rFonts w:ascii="Times New Roman;Times;Serif" w:hAnsi="Times New Roman;Times;Serif"/>
          <w:b w:val="false"/>
          <w:i w:val="false"/>
          <w:caps w:val="false"/>
          <w:smallCaps w:val="false"/>
          <w:sz w:val="20"/>
        </w:rPr>
        <w:t xml:space="preserve">10,285, or </w:t>
      </w:r>
      <w:bookmarkStart w:id="1260" w:name="xdx_901_ecustom--PercentageOfRevenues_pi"/>
      <w:bookmarkEnd w:id="1260"/>
      <w:r>
        <w:rPr>
          <w:rFonts w:ascii="Times New Roman;Times;Serif" w:hAnsi="Times New Roman;Times;Serif"/>
          <w:b w:val="false"/>
          <w:i w:val="false"/>
          <w:caps w:val="false"/>
          <w:smallCaps w:val="false"/>
          <w:sz w:val="20"/>
        </w:rPr>
        <w:t>16%, of the Company’s consolidated revenues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bookmarkStart w:id="1261" w:name="xdx_804_eus-gaap--SubsequentEventsTextBl"/>
      <w:bookmarkEnd w:id="1261"/>
      <w:r>
        <w:rPr>
          <w:rFonts w:ascii="Times New Roman;Times;Serif" w:hAnsi="Times New Roman;Times;Serif"/>
          <w:b/>
          <w:i w:val="false"/>
          <w:caps/>
          <w:sz w:val="20"/>
        </w:rPr>
        <w:t xml:space="preserve">Note 16 - </w:t>
      </w:r>
      <w:bookmarkStart w:id="1262" w:name="xdx_827_zEOPrjx2LQo8"/>
      <w:bookmarkEnd w:id="1262"/>
      <w:r>
        <w:rPr>
          <w:rFonts w:ascii="Times New Roman;Times;Serif" w:hAnsi="Times New Roman;Times;Serif"/>
          <w:b/>
          <w:i w:val="false"/>
          <w:caps/>
          <w:sz w:val="20"/>
        </w:rPr>
        <w:t>SUBSEQUENT EVENTS</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2025, the Company appointed Dr. Vickram Singh, the Company’s former Senior Vice President of Technology, as its Chief Operating Officer pursuant to an employment agreement, dated February 1, 2025 (the “Employment Agreement”). Dr. Singh’s employment as the Company’s Chief Operating Officer commenced on February 4, 2025. The Employment Agreement provides for a three-year initial employment term, with automatic three-year renewal terms thereafter, subject to 90 days’ notice of nonrenewal by either party. The Employment Agreement also provides for an initial annual base salary of $</w:t>
      </w:r>
      <w:bookmarkStart w:id="1263" w:name="xdx_90A_eus-gaap--SalariesAndWages_pn3n3"/>
      <w:bookmarkEnd w:id="1263"/>
      <w:r>
        <w:rPr>
          <w:rFonts w:ascii="Times New Roman;Times;Serif" w:hAnsi="Times New Roman;Times;Serif"/>
          <w:b w:val="false"/>
          <w:i w:val="false"/>
          <w:caps w:val="false"/>
          <w:smallCaps w:val="false"/>
          <w:sz w:val="20"/>
        </w:rPr>
        <w:t xml:space="preserve">350,000 (the “Base Salary”) and a discretionary annual bonus of up to </w:t>
      </w:r>
      <w:bookmarkStart w:id="1264" w:name="xdx_90C_ecustom--PercentageOfSalariesAnd"/>
      <w:bookmarkEnd w:id="1264"/>
      <w:r>
        <w:rPr>
          <w:rFonts w:ascii="Times New Roman;Times;Serif" w:hAnsi="Times New Roman;Times;Serif"/>
          <w:b w:val="false"/>
          <w:i w:val="false"/>
          <w:caps w:val="false"/>
          <w:smallCaps w:val="false"/>
          <w:sz w:val="20"/>
        </w:rPr>
        <w:t>65% of the Base Salary.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expected proceeds amount to $</w:t>
      </w:r>
      <w:bookmarkStart w:id="1265" w:name="xdx_903_eus-gaap--ProceedsFromLoans_pn3n"/>
      <w:bookmarkEnd w:id="1265"/>
      <w:r>
        <w:rPr>
          <w:rFonts w:ascii="Times New Roman;Times;Serif" w:hAnsi="Times New Roman;Times;Serif"/>
          <w:b w:val="false"/>
          <w:i w:val="false"/>
          <w:caps w:val="false"/>
          <w:smallCaps w:val="false"/>
          <w:sz w:val="20"/>
        </w:rPr>
        <w:t>8,000 which the Company will use for working capital, general corporate purposes and mandatory payments on the Term Loan if more than $</w:t>
      </w:r>
      <w:bookmarkStart w:id="1266" w:name="xdx_90E_eus-gaap--ProceedsFromLoans_pn3n"/>
      <w:bookmarkEnd w:id="1266"/>
      <w:r>
        <w:rPr>
          <w:rFonts w:ascii="Times New Roman;Times;Serif" w:hAnsi="Times New Roman;Times;Serif"/>
          <w:b w:val="false"/>
          <w:i w:val="false"/>
          <w:caps w:val="false"/>
          <w:smallCaps w:val="false"/>
          <w:sz w:val="20"/>
        </w:rPr>
        <w:t xml:space="preserve">8,000 is raised. In addition, investors received warrants to purchase up to </w:t>
      </w:r>
      <w:bookmarkStart w:id="1267" w:name="xdx_90E_eus-gaap--ClassOfWarrantOrRightN"/>
      <w:bookmarkEnd w:id="1267"/>
      <w:r>
        <w:rPr>
          <w:rFonts w:ascii="Times New Roman;Times;Serif" w:hAnsi="Times New Roman;Times;Serif"/>
          <w:b w:val="false"/>
          <w:i w:val="false"/>
          <w:caps w:val="false"/>
          <w:smallCaps w:val="false"/>
          <w:sz w:val="20"/>
        </w:rPr>
        <w:t>4,000 shares of Series A preferred stock at $</w:t>
      </w:r>
      <w:bookmarkStart w:id="1268" w:name="xdx_90A_eus-gaap--ClassOfWarrantOrRightE"/>
      <w:bookmarkEnd w:id="1268"/>
      <w:r>
        <w:rPr>
          <w:rFonts w:ascii="Times New Roman;Times;Serif" w:hAnsi="Times New Roman;Times;Serif"/>
          <w:b w:val="false"/>
          <w:i w:val="false"/>
          <w:caps w:val="false"/>
          <w:smallCaps w:val="false"/>
          <w:sz w:val="20"/>
        </w:rPr>
        <w:t>10,000 per share, potentially providing up to $</w:t>
      </w:r>
      <w:bookmarkStart w:id="1269" w:name="xdx_907_eus-gaap--WarrantsAndRightsOutst"/>
      <w:bookmarkEnd w:id="1269"/>
      <w:r>
        <w:rPr>
          <w:rFonts w:ascii="Times New Roman;Times;Serif" w:hAnsi="Times New Roman;Times;Serif"/>
          <w:b w:val="false"/>
          <w:i w:val="false"/>
          <w:caps w:val="false"/>
          <w:smallCaps w:val="false"/>
          <w:sz w:val="20"/>
        </w:rPr>
        <w:t>40 million in future capital. We received $</w:t>
      </w:r>
      <w:bookmarkStart w:id="1270" w:name="xdx_90A_eus-gaap--ProceedsFromLoans_pn3n"/>
      <w:bookmarkEnd w:id="1270"/>
      <w:r>
        <w:rPr>
          <w:rFonts w:ascii="Times New Roman;Times;Serif" w:hAnsi="Times New Roman;Times;Serif"/>
          <w:b w:val="false"/>
          <w:i w:val="false"/>
          <w:caps w:val="false"/>
          <w:smallCaps w:val="false"/>
          <w:sz w:val="20"/>
        </w:rPr>
        <w:t>3,500 less $</w:t>
      </w:r>
      <w:bookmarkStart w:id="1271" w:name="xdx_905_eus-gaap--OtherCostAndExpenseOpe"/>
      <w:bookmarkEnd w:id="1271"/>
      <w:r>
        <w:rPr>
          <w:rFonts w:ascii="Times New Roman;Times;Serif" w:hAnsi="Times New Roman;Times;Serif"/>
          <w:b w:val="false"/>
          <w:i w:val="false"/>
          <w:caps w:val="false"/>
          <w:smallCaps w:val="false"/>
          <w:sz w:val="20"/>
        </w:rPr>
        <w:t>300 in costs on February 27, 2025 and expect to receive the remaining $</w:t>
      </w:r>
      <w:bookmarkStart w:id="1272" w:name="xdx_90F_eus-gaap--OtherCostAndExpenseOpe"/>
      <w:bookmarkEnd w:id="1272"/>
      <w:r>
        <w:rPr>
          <w:rFonts w:ascii="Times New Roman;Times;Serif" w:hAnsi="Times New Roman;Times;Serif"/>
          <w:b w:val="false"/>
          <w:i w:val="false"/>
          <w:caps w:val="false"/>
          <w:smallCaps w:val="false"/>
          <w:sz w:val="20"/>
        </w:rPr>
        <w:t>4,500, minus costs, in early May 2025.</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w:t>
      </w:r>
      <w:bookmarkStart w:id="1273" w:name="xdx_908_eus-gaap--CashAndCashEquivalents"/>
      <w:bookmarkEnd w:id="1273"/>
      <w:r>
        <w:rPr>
          <w:rFonts w:ascii="Times New Roman;Times;Serif" w:hAnsi="Times New Roman;Times;Serif"/>
          <w:b w:val="false"/>
          <w:i w:val="false"/>
          <w:caps w:val="false"/>
          <w:smallCaps w:val="false"/>
          <w:sz w:val="20"/>
        </w:rPr>
        <w:t>2,500) for the next one and a half years.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entered into a settlement agreement with a third party regarding a patent licensing dispute. Under the terms of the settlement, the Company agreed to pay $</w:t>
      </w:r>
      <w:bookmarkStart w:id="1274" w:name="xdx_907_ecustom--IncreaseDecreaseInAccru"/>
      <w:bookmarkEnd w:id="1274"/>
      <w:r>
        <w:rPr>
          <w:rFonts w:ascii="Times New Roman;Times;Serif" w:hAnsi="Times New Roman;Times;Serif"/>
          <w:b w:val="false"/>
          <w:i w:val="false"/>
          <w:caps w:val="false"/>
          <w:smallCaps w:val="false"/>
          <w:sz w:val="20"/>
        </w:rPr>
        <w:t>2,500 to resolve the matter. As a result of the settlement, the Company has recorded a liability of $</w:t>
      </w:r>
      <w:bookmarkStart w:id="1275" w:name="xdx_901_ecustom--IncreaseDecreaseInAccru"/>
      <w:bookmarkEnd w:id="1275"/>
      <w:r>
        <w:rPr>
          <w:rFonts w:ascii="Times New Roman;Times;Serif" w:hAnsi="Times New Roman;Times;Serif"/>
          <w:b w:val="false"/>
          <w:i w:val="false"/>
          <w:caps w:val="false"/>
          <w:smallCaps w:val="false"/>
          <w:sz w:val="20"/>
        </w:rPr>
        <w:t>2,500 on the balance sheet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sold certain machinery and equipment assets to a third party at a price below their carrying value. As a result of the sale, the Company recognized an impairment loss of $</w:t>
      </w:r>
      <w:bookmarkStart w:id="1276" w:name="xdx_902_eus-gaap--GainLossOnSalesOfAsset"/>
      <w:bookmarkEnd w:id="1276"/>
      <w:r>
        <w:rPr>
          <w:rFonts w:ascii="Times New Roman;Times;Serif" w:hAnsi="Times New Roman;Times;Serif"/>
          <w:b w:val="false"/>
          <w:i w:val="false"/>
          <w:caps w:val="false"/>
          <w:smallCaps w:val="false"/>
          <w:sz w:val="20"/>
        </w:rPr>
        <w:t>873 on consolidated statement of operations and reclassified the remaining fair value of $</w:t>
      </w:r>
      <w:bookmarkStart w:id="1277" w:name="xdx_90A_eus-gaap--AssetsHeldForSaleNotPa"/>
      <w:bookmarkEnd w:id="1277"/>
      <w:r>
        <w:rPr>
          <w:rFonts w:ascii="Times New Roman;Times;Serif" w:hAnsi="Times New Roman;Times;Serif"/>
          <w:b w:val="false"/>
          <w:i w:val="false"/>
          <w:caps w:val="false"/>
          <w:smallCaps w:val="false"/>
          <w:sz w:val="20"/>
        </w:rPr>
        <w:t>644 as Assets Held for Sale on the balance sheet as of December 31, 2024.</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278" w:name="ex4-18.htm"/>
      <w:bookmarkStart w:id="1279" w:name="ksex418"/>
      <w:bookmarkEnd w:id="1278"/>
      <w:bookmarkEnd w:id="127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summarizes the most important terms of our capital stock. It is subject to and qualified in its entirety by reference to our articles of incorporation (“</w:t>
      </w:r>
      <w:r>
        <w:rPr>
          <w:rFonts w:ascii="Times New Roman;Times;Serif" w:hAnsi="Times New Roman;Times;Serif"/>
          <w:b/>
          <w:i/>
          <w:caps w:val="false"/>
          <w:smallCaps w:val="false"/>
          <w:sz w:val="20"/>
        </w:rPr>
        <w:t>Charter</w:t>
      </w:r>
      <w:r>
        <w:rPr>
          <w:rFonts w:ascii="Times New Roman;Times;Serif" w:hAnsi="Times New Roman;Times;Serif"/>
          <w:b w:val="false"/>
          <w:i/>
          <w:caps w:val="false"/>
          <w:smallCaps w:val="false"/>
          <w:sz w:val="20"/>
        </w:rPr>
        <w:t>”), Certificate of Designation of Rights and Preferences of Series A Convertible Preferred Stock (the “</w:t>
      </w:r>
      <w:r>
        <w:rPr>
          <w:rFonts w:ascii="Times New Roman;Times;Serif" w:hAnsi="Times New Roman;Times;Serif"/>
          <w:b/>
          <w:i/>
          <w:caps w:val="false"/>
          <w:smallCaps w:val="false"/>
          <w:sz w:val="20"/>
        </w:rPr>
        <w:t>Certificate of Designation</w:t>
      </w:r>
      <w:r>
        <w:rPr>
          <w:rFonts w:ascii="Times New Roman;Times;Serif" w:hAnsi="Times New Roman;Times;Serif"/>
          <w:b w:val="false"/>
          <w:i/>
          <w:caps w:val="false"/>
          <w:smallCaps w:val="false"/>
          <w:sz w:val="20"/>
        </w:rPr>
        <w:t>”) and bylaws (“</w:t>
      </w:r>
      <w:r>
        <w:rPr>
          <w:rFonts w:ascii="Times New Roman;Times;Serif" w:hAnsi="Times New Roman;Times;Serif"/>
          <w:b/>
          <w:i/>
          <w:caps w:val="false"/>
          <w:smallCaps w:val="false"/>
          <w:sz w:val="20"/>
        </w:rPr>
        <w:t>Bylaws</w:t>
      </w:r>
      <w:r>
        <w:rPr>
          <w:rFonts w:ascii="Times New Roman;Times;Serif" w:hAnsi="Times New Roman;Times;Serif"/>
          <w:b w:val="false"/>
          <w:i/>
          <w:caps w:val="false"/>
          <w:smallCaps w:val="false"/>
          <w:sz w:val="20"/>
        </w:rPr>
        <w:t>”), which are included as exhibits to our annual report, of which this exhibit is a part. We encourage you to read our Charter, our Certificate of Designation, our Bylaws and the applicable provisions of the Nevada Revised Statutes (the “</w:t>
      </w:r>
      <w:r>
        <w:rPr>
          <w:rFonts w:ascii="Times New Roman;Times;Serif" w:hAnsi="Times New Roman;Times;Serif"/>
          <w:b/>
          <w:i/>
          <w:caps w:val="false"/>
          <w:smallCaps w:val="false"/>
          <w:sz w:val="20"/>
        </w:rPr>
        <w:t>NRS</w:t>
      </w:r>
      <w:r>
        <w:rPr>
          <w:rFonts w:ascii="Times New Roman;Times;Serif" w:hAnsi="Times New Roman;Times;Serif"/>
          <w:b w:val="false"/>
          <w:i/>
          <w:caps w:val="false"/>
          <w:smallCaps w:val="false"/>
          <w:sz w:val="20"/>
        </w:rPr>
        <w:t>”),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255,000,000 shares of capital stock authorized under our Charter, which consists of 250,000,000 shares of common stock with a par value of $0.0001 per share and 5,000,000 shares of preferred stock with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without further action by our stockholders, to issue up to 5,000,000 shares of preferred stock in one or more series and to fix the designations, rights, preferences, privileges and restrictions thereof, without further vote or action by the stockholders. These rights, preferences and privileges could include dividend rights, conversion rights, voting rights, redemption, liquidation preferences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5,000,000 authorized shares of preferred stock under the Charter, our board of directors has designated 5,000 shares as Series A Preferred Stock pursuant to the Certificate of Designation. The Certificate of Designation provides the following with respect to the rights, powers, preferences and privileges of our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has a stated value of $10,000 per share (the “</w:t>
      </w:r>
      <w:r>
        <w:rPr>
          <w:rFonts w:ascii="Times New Roman;Times;Serif" w:hAnsi="Times New Roman;Times;Serif"/>
          <w:b/>
          <w:i w:val="false"/>
          <w:caps w:val="false"/>
          <w:smallCaps w:val="false"/>
          <w:sz w:val="20"/>
        </w:rPr>
        <w:t>Series A Stated Value</w:t>
      </w:r>
      <w:r>
        <w:rPr>
          <w:rFonts w:ascii="Times New Roman;Times;Serif" w:hAnsi="Times New Roman;Times;Serif"/>
          <w:b w:val="false"/>
          <w:i w:val="false"/>
          <w:caps w:val="false"/>
          <w:smallCaps w:val="false"/>
          <w:sz w:val="20"/>
        </w:rPr>
        <w:t>”) and, when issued, the Series A Preferred Stock will be fully paid and non-assessable.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with respect to the payment of dividends, distributions and payments upon the liquidation, dissolution and winding up of our Company, ranks senior to all of our capital stock, unless the Required Holder (as defined in the Certificate of Designation) consents to our creation of other capital stock that is senior or equal in rank to the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Preferred Stock will be entitled to receive dividends, commencing from the date of issuance of the Series A Preferred Stock, payable in cash and/or shares of Series A Preferred Stock at our election. Unless we notify the holders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w:t>
      </w:r>
      <w:r>
        <w:rPr>
          <w:rFonts w:ascii="Times New Roman;Times;Serif" w:hAnsi="Times New Roman;Times;Serif"/>
          <w:b/>
          <w:i w:val="false"/>
          <w:caps w:val="false"/>
          <w:smallCaps w:val="false"/>
          <w:sz w:val="20"/>
        </w:rPr>
        <w:t>Dividend Rate</w:t>
      </w:r>
      <w:r>
        <w:rPr>
          <w:rFonts w:ascii="Times New Roman;Times;Serif" w:hAnsi="Times New Roman;Times;Serif"/>
          <w:b w:val="false"/>
          <w:i w:val="false"/>
          <w:caps w:val="false"/>
          <w:smallCaps w:val="false"/>
          <w:sz w:val="20"/>
        </w:rPr>
        <w:t>”).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at Option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from and after the first date of issuance of any shares of Series A Preferred Stock, subject to the Beneficial Ownership Limitation (as defined below) and the Issuable Maximum (as defined below), each holder of Series A Preferred Stock may convert all, or any part, of the outstanding Series A Preferred Stock, at such holder’s option, into common stock at a conversion rate equal to the quotient of (i) the Conversion Amount (as defined below), divided by (ii) the Conversion Price (as defined below), subject to the Floor Price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Voluntary Adjustment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and regulations of Nasdaq, we have the right, at any time, with the written consent of the Required Holder, to lower the fixed conversion price to any amount and for any period of time deemed appropriate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Alternate Conversion at the Holder’s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holder’s option, at any time, the holder may convert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some or all of such holder’s 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w:t>
      </w:r>
      <w:r>
        <w:rPr>
          <w:rFonts w:ascii="Times New Roman;Times;Serif" w:hAnsi="Times New Roman;Times;Serif"/>
          <w:b/>
          <w:i w:val="false"/>
          <w:caps w:val="false"/>
          <w:smallCaps w:val="false"/>
          <w:sz w:val="20"/>
        </w:rPr>
        <w:t>Alternate Conversion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Designations or any other Transaction Document (as defined in the Certificate of Designation) that have not otherwise been paid or satisfied.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equal to: (i) with respect to the shares of Series A Preferred Stock issued in the registered director offering (the “</w:t>
      </w:r>
      <w:r>
        <w:rPr>
          <w:rFonts w:ascii="Times New Roman;Times;Serif" w:hAnsi="Times New Roman;Times;Serif"/>
          <w:b/>
          <w:i w:val="false"/>
          <w:caps w:val="false"/>
          <w:smallCaps w:val="false"/>
          <w:sz w:val="20"/>
        </w:rPr>
        <w:t>Registered Direct Offering</w:t>
      </w:r>
      <w:r>
        <w:rPr>
          <w:rFonts w:ascii="Times New Roman;Times;Serif" w:hAnsi="Times New Roman;Times;Serif"/>
          <w:b w:val="false"/>
          <w:i w:val="false"/>
          <w:caps w:val="false"/>
          <w:smallCaps w:val="false"/>
          <w:sz w:val="20"/>
        </w:rPr>
        <w:t>”) and at the initial closing of the concurrent private placement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pursuant to the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between us and a single institutional investor entered into on February 26, 2025, $2.332 per share (the “</w:t>
      </w:r>
      <w:r>
        <w:rPr>
          <w:rFonts w:ascii="Times New Roman;Times;Serif" w:hAnsi="Times New Roman;Times;Serif"/>
          <w:b/>
          <w:i w:val="false"/>
          <w:caps w:val="false"/>
          <w:smallCaps w:val="false"/>
          <w:sz w:val="20"/>
        </w:rPr>
        <w:t>Initial Conversion Price</w:t>
      </w:r>
      <w:r>
        <w:rPr>
          <w:rFonts w:ascii="Times New Roman;Times;Serif" w:hAnsi="Times New Roman;Times;Serif"/>
          <w:b w:val="false"/>
          <w:i w:val="false"/>
          <w:caps w:val="false"/>
          <w:smallCaps w:val="false"/>
          <w:sz w:val="20"/>
        </w:rPr>
        <w:t>”); (ii) with respect to each share of Series A Preferred Stock funded on the second closing of the Private Placement (the “</w:t>
      </w:r>
      <w:r>
        <w:rPr>
          <w:rFonts w:ascii="Times New Roman;Times;Serif" w:hAnsi="Times New Roman;Times;Serif"/>
          <w:b/>
          <w:i w:val="false"/>
          <w:caps w:val="false"/>
          <w:smallCaps w:val="false"/>
          <w:sz w:val="20"/>
        </w:rPr>
        <w:t>Second Closing</w:t>
      </w:r>
      <w:r>
        <w:rPr>
          <w:rFonts w:ascii="Times New Roman;Times;Serif" w:hAnsi="Times New Roman;Times;Serif"/>
          <w:b w:val="false"/>
          <w:i w:val="false"/>
          <w:caps w:val="false"/>
          <w:smallCaps w:val="false"/>
          <w:sz w:val="20"/>
        </w:rPr>
        <w:t>”) pursuant to the Purchase Agreement or issued upon exercise of a private placement warrant (“</w:t>
      </w:r>
      <w:r>
        <w:rPr>
          <w:rFonts w:ascii="Times New Roman;Times;Serif" w:hAnsi="Times New Roman;Times;Serif"/>
          <w:b/>
          <w:i w:val="false"/>
          <w:caps w:val="false"/>
          <w:smallCaps w:val="false"/>
          <w:sz w:val="20"/>
        </w:rPr>
        <w:t>Private Placement Warrant</w:t>
      </w:r>
      <w:r>
        <w:rPr>
          <w:rFonts w:ascii="Times New Roman;Times;Serif" w:hAnsi="Times New Roman;Times;Serif"/>
          <w:b w:val="false"/>
          <w:i w:val="false"/>
          <w:caps w:val="false"/>
          <w:smallCaps w:val="false"/>
          <w:sz w:val="20"/>
        </w:rPr>
        <w:t>”) issued pursuant to the Purchase Agreement, other than pursuant to the holders right to exercise when certain equity conditions have been waived which is set forth under clauses (iii) and (iv) below, as of any date of conversion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or other date of determination, the lower of (x) the Initial Conversion Price and (y) 110% of the last closing trade price (the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on the trading day immediately preceding the Second Closing, any applicable Funding Date (as defined in each Private Placement Warrant) or any applicable Exercise Date (as defined in each Private Placement Warrant), as the case may be; (iii) with respect to each share of Series A Preferred Stock issued upon exercise of a Private Placement Warrant, the lower of (A) $3.50 and (B) 110% of the last closing trade price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on the trading day immediately preceding the delivery or deemed delivery of the applicable Exercise Notice or Call Notice (each as defined in each Private Placement Warrant), as the case may be; and (iv) with respect to each share of Series A Preferred Stock issued upon exercise of a Private Placement Warrant at any time following the date the shares of common stock issued or issuable upon the conversion of the Series A Preferred Stock issued in the Private Placement are registered for resale (the “</w:t>
      </w:r>
      <w:r>
        <w:rPr>
          <w:rFonts w:ascii="Times New Roman;Times;Serif" w:hAnsi="Times New Roman;Times;Serif"/>
          <w:b/>
          <w:i w:val="false"/>
          <w:caps w:val="false"/>
          <w:smallCaps w:val="false"/>
          <w:sz w:val="20"/>
        </w:rPr>
        <w:t>Registration Effectiveness Date</w:t>
      </w:r>
      <w:r>
        <w:rPr>
          <w:rFonts w:ascii="Times New Roman;Times;Serif" w:hAnsi="Times New Roman;Times;Serif"/>
          <w:b w:val="false"/>
          <w:i w:val="false"/>
          <w:caps w:val="false"/>
          <w:smallCaps w:val="false"/>
          <w:sz w:val="20"/>
        </w:rPr>
        <w:t>”) when the Closing Sale Price exceeds $10.00 for twenty (20) consecutive trading days, as of any date of conversion or other date of determination, 110% of the Closing Sale Price on the trading day immediately preceding the delivery or deemed delivery of the applicable Exercise Notice or Call Notice (as the case may be), in each case, subject to adjustment; provided, that subsections (iii) and (iv) shall only apply in the event that certain equity conditions specified in the Private Placement Warrant are not met on the applicable Funding Date. The Conversion Price is subject to proportional adjustment upon the occurrence of any stock split, stock dividend, stock combination and/or similar transactions and as set forth below under “Other Adjustments”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“Floor Price” is equal to (i) for any Series A Preferred Stock offered by the Registered Direct Offering $1.00, (ii) for any Series A Preferred Stock sold in the initial closing of the Private Placement $0.424 (20% of the Nasdaq Minimum Price of the Common Stock (as defined by Nasdaq) as of the trading day prior to the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 (6) 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have obtained approval as may be required from our stockholders (the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we may not issue, upon conversion of the Series A Preferred Stock and certain related transactions, a number of shares of common stock which would exceed 1,450,489 shares of common stock in the aggregate, which amount is equal to 19.99% of the shares of common stock issued and outstanding on February 26, 2025, subject to adjustment for forward and reverse stock splits, recapitalizations and the like (the “</w:t>
      </w:r>
      <w:r>
        <w:rPr>
          <w:rFonts w:ascii="Times New Roman;Times;Serif" w:hAnsi="Times New Roman;Times;Serif"/>
          <w:b/>
          <w:i w:val="false"/>
          <w:caps w:val="false"/>
          <w:smallCaps w:val="false"/>
          <w:sz w:val="20"/>
        </w:rPr>
        <w:t>Issuable Maximum</w:t>
      </w:r>
      <w:r>
        <w:rPr>
          <w:rFonts w:ascii="Times New Roman;Times;Serif" w:hAnsi="Times New Roman;Times;Serif"/>
          <w:b w:val="false"/>
          <w:i w:val="false"/>
          <w:caps w:val="false"/>
          <w:smallCaps w:val="false"/>
          <w:sz w:val="20"/>
        </w:rPr>
        <w:t>”). The Issuable Maximum shall be applied collectively, when any conversions of Series A Preferred Stock are aggregated together with all shares of common stock issuable upon conversion or exchange of any securities issued in certain related transactions to the Registered Direct Offering and Private Placement. If, at any time on or after the date of the Purchase Agreement, we issue any shares of common stock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Conversion Price in effect immediately prior to such issuance, the Conversion Price shall be reduced to the New Issuance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we grant, issue or sell any options, convertible securities, or rights to purchase stock, warrants, securities or other property pro rata to all or substantially all of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each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carries a liquidation preference equal to the greater of (A) the conversion of such Series A Preferred Stock on the date of such payment and (B) the amount per share such holder would receive if such holder converted such Series A Preferred Stock into common stock immediately prior to the date of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Mandatory Redemption Triggering Event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Mandatory Triggering Event (as defined in the Certificate of Designation), we shall immediately redeem in cash all amounts due under the Series A Preferred Stock at a redemption price equal to the Conversion Amount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the Series A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common stock, except as provided in the Certificate of Designation (or as otherwise required by applicable law). We may not take the following actions without the prior consent of the Required Holder: (a) alter or change adversely the powers, preferences or rights given to the Series A Preferred Stock or alter or amend the Series A Certificate of Designation, (b) authorize or create any class of stock ranking as to dividends, redemption or distribution of assets upon a Liquidation (as defined in the Series A Certificate of Designations) senior to, or otherwise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Series A Preferred Stock, or any junior stock that has a maturity date or other date requiring redemption or repayment of such shares of junior stock that is prior to the 91st calendar day after the date no shares of Series A Preferred Stock remain outstanding, (c) amend our articles of incorporation or other charter documents in any manner that adversely affects any rights of the holders of the Series A Preferred Stock, (d) increase or decrease the number of authorized shares of Series A Preferred Stock, (e) pay dividends or make any other distribution on any shares of common stock, (f) purchase or redeem any capital stock junior to the Series A Preferred Stock, (g) 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Control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of control of our Company, each holder may require us to exchange such holder’s shares of Series A Preferred 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Optional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Designation, we have the right, at any time, to redeem all or part of the then outstanding shares of Series A Preferred Stock (a “</w:t>
      </w:r>
      <w:r>
        <w:rPr>
          <w:rFonts w:ascii="Times New Roman;Times;Serif" w:hAnsi="Times New Roman;Times;Serif"/>
          <w:b/>
          <w:i w:val="false"/>
          <w:caps w:val="false"/>
          <w:smallCaps w:val="false"/>
          <w:sz w:val="20"/>
        </w:rPr>
        <w:t>Company Optional Redemption</w:t>
      </w:r>
      <w:r>
        <w:rPr>
          <w:rFonts w:ascii="Times New Roman;Times;Serif" w:hAnsi="Times New Roman;Times;Serif"/>
          <w:b w:val="false"/>
          <w:i w:val="false"/>
          <w:caps w:val="false"/>
          <w:smallCaps w:val="false"/>
          <w:sz w:val="20"/>
        </w:rPr>
        <w:t>”) by delivering a written notice to each holder of Series A Preferred Stock (such delivery date, the “</w:t>
      </w:r>
      <w:r>
        <w:rPr>
          <w:rFonts w:ascii="Times New Roman;Times;Serif" w:hAnsi="Times New Roman;Times;Serif"/>
          <w:b/>
          <w:i w:val="false"/>
          <w:caps w:val="false"/>
          <w:smallCaps w:val="false"/>
          <w:sz w:val="20"/>
        </w:rPr>
        <w:t>Company Optional Redemption Notice Date</w:t>
      </w:r>
      <w:r>
        <w:rPr>
          <w:rFonts w:ascii="Times New Roman;Times;Serif" w:hAnsi="Times New Roman;Times;Serif"/>
          <w:b w:val="false"/>
          <w:i w:val="false"/>
          <w:caps w:val="false"/>
          <w:smallCaps w:val="false"/>
          <w:sz w:val="20"/>
        </w:rPr>
        <w:t>”). The shares of Series A Preferred Stock subject to redemption will be redeemed by us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we make the entire payment required.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prohibits us from entering specified fundamental transactions (including, without limitation, mergers, business combinations and similar transactions) unless we (or our successor) assumes in writing all of our obligations under the Certificate of Designation and the other Transaction Documents or otherwise redeem the then outstanding Series A Preferred Stock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contains a variety of obligations on our part not to engage in specified activities. In particular, we will not, and will cause its subsidiaries to not, redeem, repurchase or declare any dividend or distribution on any of its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we will not issue any shares of Series A Preferred Stock or issue any other securities that would cause a breach or default under the Certificate of Designation or any securities at a price less than the Floor Price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Reservation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A Preferred Stock remains outstanding, we have agreed to at all times reserve at least 100% of the number of shares of common stock as shall from time to time be necessary to effect the conversion of all Series A Preferred Stock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Series A Preferred Stock is restricted from acquiring shares of common stock upon conversion thereof that would result in the number of shares beneficially owned by such holder and its affiliates exceeding 4.99% of the total number of shares of common stock outstanding immediately after giving effect to the conversion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upon conversion of the Series A Preferred Stock. Rather, the number of shares of common stock to be issued will be rounded up to the nearest whole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our Public Warrants is not complete and is subject to, and qualified in its entirety by the provisions of the respective Warrant Agreement and form of Public Warrant which are filed as exhibits to this annual report of which this exhibit is a part. We encourage you to review the terms and provisions set forth in the Warrant Agreement and form of Public Warrant. The Public Warrants are administered by American Stock Transfer &amp; Trust Company, LLC, as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If a registration statement registering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redeemable Public Warrant entitles the registered holder to purchase one share of common stock at a price of $11.50 per share, subject to adjustment for stock splits or combinations, stock dividends and distributions, reclassifications, subdivisions, and other similar transactions. Pursuant to the Amended And Restated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underlying the Public Warrants are subject to appropriate adjustment in the event of stock splits, stock dividends on our common shares, stock combinations or similar events affecting our common shares. If, at any time while the Public Warrants are outstanding, (1) we consolidate or merge with or into another corporation whether or not the Company is the surviving corporation, (2) we sell, lease, license, assign, transfer, convey or otherwise dispose of all or substantially all of our assets, or any of its significant subsidiaries (as defined in Rule 1-02 of Regulation S-X) or (3) we effect any reclassification or recapitalization of the ordinary shares or any compulsory exchange pursuant to which the ordinary shares are converted into or exchanged for other securities, cash or property, or each, a “Fundamental Transaction,” then upon any subsequent exercise of the Warrants, the holders thereof will have the right to receive the same amount and kind of securities, cash or property as it would have been entitled to receive upon the occurrence of such Fundamental Transaction if it had been, immediately prior to such Fundamental Transaction, the holder of the number of ordinary shares then issuable upon exercise of those Warrants, and any additional consideration payable as part of the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to each warrant holder;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$16.00 per share for any ten (10) trading days within a 30-trading day period ending three business days before we send the notice of redemption;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offer and sale of the shares of common stock underlying such warrants at the time of redemption and for the entire 30-trading day period referred to above and continuing each day thereafter until the date of redemption.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the limitations provided within the Amended and Restated Warrant Agreement, the Public Warrants may be transferred at the option of the holders upon surrender of the to the warrant agent, together with the appropriate instruments of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Warrant Agreement or by virtue of such holder’s ownership of common stock, holders of the Public Warrants do not have rights or privileges of holders of common stock, including any voting rights, until a holder exercises such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and Warrant Agreement are governed by New York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Charter, the Bylaws and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Charter, Bylaws and the NRS that could have an effect of delaying, deferring, or preventing a change in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a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Charter, we have not opted out of the business combination provisions of NRS 78.411 to 78.444, inclusive.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 Delaware law does not have similar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Charter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classifying our board of directors into three classes;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the issuance of “blank check” preferred stock, the terms of which may be established and shares of which may be issued without stockholder approval;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the removal of directors by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affirmative vote of holders of at least 66 2/3% of the voting power of all of the then outstanding shares of stock entitled to vote in the election of directors, voting as a single class, to adopt, amend alter or repeal our Bylaws and amend certain provisions of our Chart, including provisions relating to the size of the board, removal of directors, special meetings, and actions by written consent;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stockholder action by written consent, thereby requiring all stockholder actions to be taken at a meeting of our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eliminating the ability of stockholders to call a special meeting of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advance notice requirements for nominations for election to the board of directors or for proposing matters that can be acted upon at stockholder meetings;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Nevada as the exclusive jurisdiction for certain stockholder litigation against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Series A common stock and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class or series, delay, defer, or prevent a change of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Charter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Charter,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Charter,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all of our warrants is American Stock Transfer &amp; Trust Company,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“DFLI” and our Public Warrants are currently listed on the Nasdaq Capital Market under the symbol “DFLIW”.</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80" w:name="ex10-19.htm"/>
      <w:bookmarkStart w:id="1281" w:name="ksex1019"/>
      <w:bookmarkEnd w:id="1280"/>
      <w:bookmarkEnd w:id="128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10.19</w:t>
      </w:r>
    </w:p>
    <w:p>
      <w:pPr>
        <w:pStyle w:val="TextBody"/>
        <w:bidi w:val="0"/>
        <w:spacing w:before="0" w:after="0"/>
        <w:ind w:left="298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Revised Director Compensation Policy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Purpose</w:t>
      </w:r>
    </w:p>
    <w:p>
      <w:pPr>
        <w:pStyle w:val="TextBody"/>
        <w:bidi w:val="0"/>
        <w:spacing w:before="0" w:after="0"/>
        <w:ind w:left="14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w:t>
      </w:r>
      <w:r>
        <w:rPr>
          <w:rFonts w:ascii="Times New Roman;Times;Serif" w:hAnsi="Times New Roman;Times;Serif"/>
          <w:b w:val="false"/>
          <w:i w:val="false"/>
          <w:caps w:val="false"/>
          <w:smallCaps w:val="false"/>
          <w:sz w:val="20"/>
          <w:u w:val="single"/>
        </w:rPr>
        <w:t>Dragonfly</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believes in paying fair compensation for work performed, at every level of Dragonfly, including Dragonfly’s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w:t>
      </w:r>
    </w:p>
    <w:p>
      <w:pPr>
        <w:pStyle w:val="TextBody"/>
        <w:bidi w:val="0"/>
        <w:spacing w:before="0" w:after="0"/>
        <w:ind w:left="157"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Statement</w:t>
      </w:r>
    </w:p>
    <w:p>
      <w:pPr>
        <w:pStyle w:val="TextBody"/>
        <w:bidi w:val="0"/>
        <w:spacing w:before="0" w:after="0"/>
        <w:ind w:left="14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of Dragonfly who are not employed (“</w:t>
      </w:r>
      <w:r>
        <w:rPr>
          <w:rFonts w:ascii="Times New Roman;Times;Serif" w:hAnsi="Times New Roman;Times;Serif"/>
          <w:b w:val="false"/>
          <w:i w:val="false"/>
          <w:caps w:val="false"/>
          <w:smallCaps w:val="false"/>
          <w:sz w:val="20"/>
          <w:u w:val="single"/>
        </w:rPr>
        <w:t>non-employee directors</w:t>
      </w:r>
      <w:r>
        <w:rPr>
          <w:rFonts w:ascii="Times New Roman;Times;Serif" w:hAnsi="Times New Roman;Times;Serif"/>
          <w:b w:val="false"/>
          <w:i w:val="false"/>
          <w:caps w:val="false"/>
          <w:smallCaps w:val="false"/>
          <w:sz w:val="20"/>
        </w:rPr>
        <w:t>”) by Dragonfly or one of its subsidiaries, if any, are entitled to the compensation set forth below for their service as a member of the Board. The Board has the right to amend this policy from time to time.</w:t>
      </w:r>
    </w:p>
    <w:p>
      <w:pPr>
        <w:pStyle w:val="TextBody"/>
        <w:bidi w:val="0"/>
        <w:spacing w:before="0" w:after="0"/>
        <w:ind w:left="157" w:right="0" w:hanging="11"/>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125"/>
        <w:gridCol w:w="1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Compensation</w:t>
            </w:r>
          </w:p>
        </w:tc>
      </w:tr>
    </w:tbl>
    <w:p>
      <w:pPr>
        <w:pStyle w:val="TextBody"/>
        <w:bidi w:val="0"/>
        <w:spacing w:before="0" w:after="0"/>
        <w:ind w:left="157" w:right="0" w:hanging="11"/>
        <w:jc w:val="both"/>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6095"/>
        <w:gridCol w:w="60"/>
        <w:gridCol w:w="140"/>
        <w:gridCol w:w="680"/>
        <w:gridCol w:w="75"/>
      </w:tblGrid>
      <w:tr>
        <w:trPr/>
        <w:tc>
          <w:tcPr>
            <w:tcW w:w="6095" w:type="dxa"/>
            <w:tcBorders/>
            <w:shd w:fill="CCEEFF" w:val="clear"/>
            <w:vAlign w:val="center"/>
          </w:tcPr>
          <w:p>
            <w:pPr>
              <w:pStyle w:val="TableContents"/>
              <w:bidi w:val="0"/>
              <w:spacing w:before="0" w:after="283"/>
              <w:jc w:val="left"/>
              <w:rPr>
                <w:u w:val="single"/>
              </w:rPr>
            </w:pPr>
            <w:r>
              <w:rPr>
                <w:u w:val="single"/>
              </w:rPr>
              <w:t>Annual Retainer:</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283"/>
              <w:jc w:val="left"/>
              <w:rPr/>
            </w:pPr>
            <w:r>
              <w:rPr/>
              <w:t>Post-IPO Annual Retainer: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58,800</w:t>
            </w:r>
          </w:p>
        </w:tc>
        <w:tc>
          <w:tcPr>
            <w:tcW w:w="75"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Additional Lead Independent Director Retainer: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283"/>
              <w:jc w:val="left"/>
              <w:rPr>
                <w:u w:val="single"/>
              </w:rPr>
            </w:pPr>
            <w:r>
              <w:rPr>
                <w:u w:val="single"/>
              </w:rPr>
              <w:t>Additional Committee Chairperson Retainer: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Audit Committee Chairperson: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283"/>
              <w:jc w:val="left"/>
              <w:rPr/>
            </w:pPr>
            <w:r>
              <w:rPr/>
              <w:t>Compensation Committee Chairperson: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15,000</w:t>
            </w:r>
          </w:p>
        </w:tc>
        <w:tc>
          <w:tcPr>
            <w:tcW w:w="75"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Nominating and Corporate Governance Committee Chairperson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will be entitled to a cash retainer while serving on the Board (the “</w:t>
      </w:r>
      <w:r>
        <w:rPr>
          <w:rFonts w:ascii="Times New Roman;Times;Serif" w:hAnsi="Times New Roman;Times;Serif"/>
          <w:b w:val="false"/>
          <w:i w:val="false"/>
          <w:caps w:val="false"/>
          <w:smallCaps w:val="false"/>
          <w:sz w:val="20"/>
          <w:u w:val="single"/>
        </w:rPr>
        <w:t>Annual Retainer</w:t>
      </w:r>
      <w:r>
        <w:rPr>
          <w:rFonts w:ascii="Times New Roman;Times;Serif" w:hAnsi="Times New Roman;Times;Serif"/>
          <w:b w:val="false"/>
          <w:i w:val="false"/>
          <w:caps w:val="false"/>
          <w:smallCaps w:val="false"/>
          <w:sz w:val="20"/>
        </w:rPr>
        <w:t>”). Upon a Listing, the Annual Retainer will be equal to the amount set forth above as the “Post-IPO Annual Retainer.”</w:t>
      </w:r>
    </w:p>
    <w:p>
      <w:pPr>
        <w:pStyle w:val="TextBody"/>
        <w:bidi w:val="0"/>
        <w:spacing w:before="0" w:after="0"/>
        <w:ind w:left="14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non-employee director who serves as the Lead Independent Director will be entitled to an additional cash retainer while serving in that position in the amount set forth above (the “</w:t>
      </w:r>
      <w:r>
        <w:rPr>
          <w:rFonts w:ascii="Times New Roman;Times;Serif" w:hAnsi="Times New Roman;Times;Serif"/>
          <w:b w:val="false"/>
          <w:i w:val="false"/>
          <w:caps w:val="false"/>
          <w:smallCaps w:val="false"/>
          <w:sz w:val="20"/>
          <w:u w:val="single"/>
        </w:rPr>
        <w:t>Additional Lead Independent Director Retainer</w:t>
      </w:r>
      <w:r>
        <w:rPr>
          <w:rFonts w:ascii="Times New Roman;Times;Serif" w:hAnsi="Times New Roman;Times;Serif"/>
          <w:b w:val="false"/>
          <w:i w:val="false"/>
          <w:caps w:val="false"/>
          <w:smallCaps w:val="false"/>
          <w:sz w:val="20"/>
        </w:rPr>
        <w:t>”); provided that, unless otherwise provided by the Board, an Additional Lead Independent Director Retainer shall not be paid if such non-employee director serving as the Lead Independent Director is also then serving as Chairperson of the Board.</w:t>
      </w:r>
    </w:p>
    <w:p>
      <w:pPr>
        <w:pStyle w:val="TextBody"/>
        <w:bidi w:val="0"/>
        <w:spacing w:before="0" w:after="0"/>
        <w:ind w:left="157"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non-employee director who serves as the Chairperson of the Audit Committee, the Chairperson of the Compensation Committee, or the Chairperson of the Nominating and Corporate Governance Committee of the Board will be entitled to an additional cash retainer while serving in that position in the applicable amount set forth above (each, an “</w:t>
      </w:r>
      <w:r>
        <w:rPr>
          <w:rFonts w:ascii="Times New Roman;Times;Serif" w:hAnsi="Times New Roman;Times;Serif"/>
          <w:b w:val="false"/>
          <w:i w:val="false"/>
          <w:caps w:val="false"/>
          <w:smallCaps w:val="false"/>
          <w:sz w:val="20"/>
          <w:u w:val="single"/>
        </w:rPr>
        <w:t>Additional Committee Chairperson Retainer</w:t>
      </w:r>
      <w:r>
        <w:rPr>
          <w:rFonts w:ascii="Times New Roman;Times;Serif" w:hAnsi="Times New Roman;Times;Serif"/>
          <w:b w:val="false"/>
          <w:i w:val="false"/>
          <w:caps w:val="false"/>
          <w:smallCaps w:val="false"/>
          <w:sz w:val="20"/>
        </w:rPr>
        <w:t>”).</w:t>
      </w:r>
    </w:p>
    <w:p>
      <w:pPr>
        <w:pStyle w:val="TextBody"/>
        <w:bidi w:val="0"/>
        <w:spacing w:before="0" w:after="0"/>
        <w:ind w:left="157"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must attend at least 75% of all meetings of the Board and all committees on which the non-employee director sits (including separate meetings of non-employee directors or independent directors) in any specified fiscal year in order to be eligible to receive any of the retainers specified above.</w:t>
      </w:r>
    </w:p>
    <w:p>
      <w:pPr>
        <w:pStyle w:val="TextBody"/>
        <w:bidi w:val="0"/>
        <w:spacing w:before="0" w:after="0"/>
        <w:ind w:left="156"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the Annual Retainer, Additional Lead Independent Director Retainer and Additional Committee Chairperson Retainer reflected above are expressed as annualized amounts. These retainers will be paid in equal quarterly installments; provided that an installment will be pro-rated, based on calendar days, if a non-employee director commences service (or commences service in the corresponding position, as the case may be) after the start of the fiscal quarter.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8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Awards</w:t>
            </w:r>
          </w:p>
        </w:tc>
      </w:tr>
    </w:tbl>
    <w:p>
      <w:pPr>
        <w:pStyle w:val="TextBody"/>
        <w:bidi w:val="0"/>
        <w:spacing w:before="0" w:after="0"/>
        <w:ind w:left="1243" w:right="0" w:hanging="72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administrator of Dragonfly’s 2022 equity incentive plan (as may be amended, restated, supplemented or otherwise modified from time to time, the “2022 Plan”), the Compensation Committee has discretion to grant directors equity-based incentive awards under and subject to the terms and conditions of the 2022 Plan or any successor equity compensation plan approved by Dragonfly’s stockholders and in effect at the time of grant. Such awards will be evidenced by, and subject to the terms and conditions of, an award agreement in the form approved by the Board or Compensation Committee to evidence such type of grant pursuant to this policy (the “</w:t>
      </w:r>
      <w:r>
        <w:rPr>
          <w:rFonts w:ascii="Times New Roman;Times;Serif" w:hAnsi="Times New Roman;Times;Serif"/>
          <w:b w:val="false"/>
          <w:i w:val="false"/>
          <w:caps w:val="false"/>
          <w:smallCaps w:val="false"/>
          <w:sz w:val="20"/>
          <w:u w:val="single"/>
        </w:rPr>
        <w:t>Form of Award Agreement</w:t>
      </w:r>
      <w:r>
        <w:rPr>
          <w:rFonts w:ascii="Times New Roman;Times;Serif" w:hAnsi="Times New Roman;Times;Serif"/>
          <w:b w:val="false"/>
          <w:i w:val="false"/>
          <w:caps w:val="false"/>
          <w:smallCaps w:val="false"/>
          <w:sz w:val="20"/>
        </w:rPr>
        <w:t>”). The foregoing general provisions are, in the case of a particular award, subject to the terms and conditions of the applicable Form of Award Agreement.</w:t>
      </w:r>
    </w:p>
    <w:p>
      <w:pPr>
        <w:pStyle w:val="TextBody"/>
        <w:bidi w:val="0"/>
        <w:spacing w:before="0" w:after="0"/>
        <w:ind w:left="14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years beginning on and after January 1, 2024, upon the commencement of service as a non-employee director, each such non-employee director shall be eligible to receive, subject to service and other conditions as the Compensation Committee deems appropriate, a long-term incentive award (each an “</w:t>
      </w:r>
      <w:r>
        <w:rPr>
          <w:rFonts w:ascii="Times New Roman;Times;Serif" w:hAnsi="Times New Roman;Times;Serif"/>
          <w:b w:val="false"/>
          <w:i w:val="false"/>
          <w:caps w:val="false"/>
          <w:smallCaps w:val="false"/>
          <w:sz w:val="20"/>
          <w:u w:val="single"/>
        </w:rPr>
        <w:t>Initial LTI Award</w:t>
      </w:r>
      <w:r>
        <w:rPr>
          <w:rFonts w:ascii="Times New Roman;Times;Serif" w:hAnsi="Times New Roman;Times;Serif"/>
          <w:b w:val="false"/>
          <w:i w:val="false"/>
          <w:caps w:val="false"/>
          <w:smallCaps w:val="false"/>
          <w:sz w:val="20"/>
        </w:rPr>
        <w:t>”) payable in the form of cash and/or equity awards, as determined in the sole discretion of the Compensation Committee. With respect to each fiscal year of the Company beginning on or after January 1, 2024, each non-employee director shall be eligible to receive, subject to service and other conditions as the Compensation Committee deems appropriate each fiscal year, a long-term incentive award (each an “</w:t>
      </w:r>
      <w:r>
        <w:rPr>
          <w:rFonts w:ascii="Times New Roman;Times;Serif" w:hAnsi="Times New Roman;Times;Serif"/>
          <w:b w:val="false"/>
          <w:i w:val="false"/>
          <w:caps w:val="false"/>
          <w:smallCaps w:val="false"/>
          <w:sz w:val="20"/>
          <w:u w:val="single"/>
        </w:rPr>
        <w:t>Annual LTI Award</w:t>
      </w:r>
      <w:r>
        <w:rPr>
          <w:rFonts w:ascii="Times New Roman;Times;Serif" w:hAnsi="Times New Roman;Times;Serif"/>
          <w:b w:val="false"/>
          <w:i w:val="false"/>
          <w:caps w:val="false"/>
          <w:smallCaps w:val="false"/>
          <w:sz w:val="20"/>
        </w:rPr>
        <w:t>” and, together with the Initial LTI Awards, the “</w:t>
      </w:r>
      <w:r>
        <w:rPr>
          <w:rFonts w:ascii="Times New Roman;Times;Serif" w:hAnsi="Times New Roman;Times;Serif"/>
          <w:b w:val="false"/>
          <w:i w:val="false"/>
          <w:caps w:val="false"/>
          <w:smallCaps w:val="false"/>
          <w:sz w:val="20"/>
          <w:u w:val="single"/>
        </w:rPr>
        <w:t>LTI Awards</w:t>
      </w:r>
      <w:r>
        <w:rPr>
          <w:rFonts w:ascii="Times New Roman;Times;Serif" w:hAnsi="Times New Roman;Times;Serif"/>
          <w:b w:val="false"/>
          <w:i w:val="false"/>
          <w:caps w:val="false"/>
          <w:smallCaps w:val="false"/>
          <w:sz w:val="20"/>
        </w:rPr>
        <w:t>”) payable in the form of cash and/or equity awards, as determined in the sole discretion of the Compensation Committee. The target grant date value of each such Initial LTI Award shall be $300,000 and each such Annual LTI Award shall be $100,000, but such LTI Awards shall be subject to adjustment, upward or downward, in the sole discretion of the Compensation Committee. To the extent that an LTI Award is paid in the form of an equity award (which may include stock options, restricted stock, restricted stock units or any other form of equity-based award authorized under the 2022 Plan, such equity awards shall be subject to the terms and conditions of the Plan and such other terms and conditions as the Compensation Committee in its sole discretion may establish.</w:t>
      </w:r>
    </w:p>
    <w:p>
      <w:pPr>
        <w:pStyle w:val="TextBody"/>
        <w:bidi w:val="0"/>
        <w:spacing w:before="0" w:after="0"/>
        <w:ind w:left="14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approve other grants of equity-based awards to non-employee directors from time to time, on such terms as the Compensation Committee may determine and subject to the applicable provisions of Dragonfly’s equity compensation plan then in effect.</w:t>
      </w:r>
    </w:p>
    <w:p>
      <w:pPr>
        <w:pStyle w:val="TextBody"/>
        <w:bidi w:val="0"/>
        <w:spacing w:before="0" w:after="0"/>
        <w:ind w:left="146"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45"/>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Reimbursement</w:t>
            </w:r>
          </w:p>
        </w:tc>
      </w:tr>
    </w:tbl>
    <w:p>
      <w:pPr>
        <w:pStyle w:val="TextBody"/>
        <w:bidi w:val="0"/>
        <w:spacing w:before="0" w:after="0"/>
        <w:ind w:left="1243" w:right="0" w:hanging="72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are entitled to reimbursement from Dragonfly for their reasonable travel (including airfare and ground transportation), lodging and meal expenses incident to meetings of the Board or committees thereof or in connection with other Board-related business. Dragonfly will reimburse a director promptly following the submission by the director of reasonable written substantiation of his or her expenses (and, as required for purposes of Internal Revenue Code Section 409A, in all events not later than the end of the calendar year following the calendar year in which the related expense was incurred).</w:t>
      </w:r>
    </w:p>
    <w:p>
      <w:pPr>
        <w:pStyle w:val="TextBody"/>
        <w:bidi w:val="0"/>
        <w:spacing w:before="0" w:after="0"/>
        <w:ind w:left="157" w:right="0" w:hanging="11"/>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82" w:name="ex19-1.htm"/>
      <w:bookmarkStart w:id="1283" w:name="ksex191"/>
      <w:bookmarkEnd w:id="1282"/>
      <w:bookmarkEnd w:id="128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one of our important ethical duties is to protect and properly use nonpublic information acquired during our service with Dragonfly Energy Holdings Corp. Dragonfly. (together with its subsidiaries, “</w:t>
      </w:r>
      <w:r>
        <w:rPr>
          <w:rFonts w:ascii="Times New Roman;Times;Serif" w:hAnsi="Times New Roman;Times;Serif"/>
          <w:b/>
          <w:i/>
          <w:caps w:val="false"/>
          <w:smallCaps w:val="false"/>
          <w:sz w:val="20"/>
        </w:rPr>
        <w:t>Dragonfly</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This Insider Trading Policy (the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provides detailed information on these obligations. The rules relating to insider trading are complex, and a violation of insider trading laws can carry severe consequences, including but not limited to termination of your employment and criminal prosecution resulting in imprisonment. In furtherance of the Policy’s goals, the Company will not transact in its own securities except in compliance with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introduction provides high level guidance on certain required and prohibited activities. However, carefully review this entire Policy before completing any transaction involving Dragonfly securities or the securities of any other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activities, among others, are prohibited under this Policy and may also be illegal: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“on the basis” of material nonpublic information (see Part II below for more information about what may constitute material nonpublic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Tipping” or providing material nonpublic information to another person who then trades based on such information. This includes providing trading advice or opinions on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“short sales” of Dragonfly securities (betting that the price of securities will decline)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transactions involving publicly-traded options, such as puts and calls, and other derivative securities with respect to Dragonfly’s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“open orders” (such as limit orders or stop orders) with brokers which may remain outstanding for an extended period of time and, as a result, could be executed at a time when you are aware of material nonpublic information or otherwise not permitted to trade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during Trading Blackout Periods, or during any special blackout periods applicable to you</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or pledging Dragonfly securities as collateral for loans if you are subject to any Trading Blackout Periods or subject to Section 16 of the Securities Exchange Act of 1934, as amended (“</w:t>
            </w:r>
            <w:r>
              <w:rPr>
                <w:rFonts w:ascii="Times New Roman;Times;Serif" w:hAnsi="Times New Roman;Times;Serif"/>
                <w:b/>
                <w:i/>
                <w:caps w:val="false"/>
                <w:smallCaps w:val="false"/>
                <w:sz w:val="20"/>
              </w:rPr>
              <w:t>Section 16</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Dragonfly securities in margin accounts if you are subject to any Trading Blackout Periods or subject to Section 16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trading without pre-clearance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 actions will be deemed violations of this Policy and may result in severe consequences, including but not limited to termination of your employment and criminal prosecution resulting in imprisonment. Prosecutors pursue insider trading violations vigorously, even if the size of the transaction is small.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transaction is not listed above, you are ultimately responsible for ensuring that it otherwise complies with this Policy and applicable laws and regulations. You should use your best judgment at all times and consult with your personal legal and financial advisors, as needed. Share this policy with your broker or other financial advisor before engaging in any transactions involving Dragonfly’s securities or the securities of any other company. Please seek assistance from the Compliance Officer (as defined below) if you have any questions at all.</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PREVENTING INSIDER TRADING AND YOUR OBLIGATIONS</w:t>
      </w:r>
    </w:p>
    <w:p>
      <w:pPr>
        <w:pStyle w:val="TextBody"/>
        <w:bidi w:val="0"/>
        <w:spacing w:before="0" w:after="0"/>
        <w:ind w:left="0" w:right="0" w:hanging="0"/>
        <w:jc w:val="center"/>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85"/>
        <w:gridCol w:w="14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Covered Persons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directors, officers and employees of the Company, as well as any consultants, contractors or other agents of the Company whom the Compliance Officer may designate is subject to the Policy. References in this Policy to such persons, or to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 also include your immediate family members, members of your household and your economic dependents, along with any other individuals or entities whose transactions in securities you influence, direct or control (which may be, for example, a venture or other investment fund). You are responsible for making sure that these other individuals and entities comply with this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expected to comply with this Policy until such time as you are no longer affiliated with the Company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you no longer possess any material nonpublic information subject to this Policy, as described in </w:t>
      </w:r>
      <w:r>
        <w:rPr>
          <w:rFonts w:ascii="Times New Roman;Times;Serif" w:hAnsi="Times New Roman;Times;Serif"/>
          <w:b w:val="false"/>
          <w:i w:val="false"/>
          <w:caps w:val="false"/>
          <w:smallCaps w:val="false"/>
          <w:sz w:val="20"/>
          <w:u w:val="single"/>
        </w:rPr>
        <w:t>Part II</w:t>
      </w:r>
      <w:r>
        <w:rPr>
          <w:rFonts w:ascii="Times New Roman;Times;Serif" w:hAnsi="Times New Roman;Times;Serif"/>
          <w:b w:val="false"/>
          <w:i w:val="false"/>
          <w:caps w:val="false"/>
          <w:smallCaps w:val="false"/>
          <w:sz w:val="20"/>
        </w:rPr>
        <w:t xml:space="preserve"> (Material Nonpublic Information). In addition, if you are subject to a trading blackout under this Policy at the time you cease to be affiliated with the Company, you are expected to abide by the applicable trading restrictions until at least the end of the relevant Trading Blackout Period.</w:t>
      </w:r>
    </w:p>
    <w:p>
      <w:pPr>
        <w:pStyle w:val="TextBody"/>
        <w:bidi w:val="0"/>
        <w:spacing w:before="0" w:after="0"/>
        <w:ind w:left="0" w:right="0" w:firstLine="36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Covered Activities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discussed in </w:t>
      </w:r>
      <w:r>
        <w:rPr>
          <w:rFonts w:ascii="Times New Roman;Times;Serif" w:hAnsi="Times New Roman;Times;Serif"/>
          <w:b w:val="false"/>
          <w:i w:val="false"/>
          <w:caps w:val="false"/>
          <w:smallCaps w:val="false"/>
          <w:sz w:val="20"/>
          <w:u w:val="single"/>
        </w:rPr>
        <w:t>Part III</w:t>
      </w:r>
      <w:r>
        <w:rPr>
          <w:rFonts w:ascii="Times New Roman;Times;Serif" w:hAnsi="Times New Roman;Times;Serif"/>
          <w:b w:val="false"/>
          <w:i w:val="false"/>
          <w:caps w:val="false"/>
          <w:smallCaps w:val="false"/>
          <w:sz w:val="20"/>
        </w:rPr>
        <w:t xml:space="preserve"> (Limited Exceptions), this Policy applies to all transactions involving the Company’s securities (including common stock, preferred stock, options to purchase common stock, securities that are convertible into common stock or preferred stock of the Company or any other securities that the Company may issue) or other companies’ securities on the basis of material nonpublic information obtained in connection with your service with the Company. This Policy therefore applies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the securities of the Company, whether direct or indirect (including transactions made on your behalf by money managers), including purchases, sales and other transfers of common stock, options, warrants, preferred stock and debt securities (such as debentures, bonds and notes);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the securities of other companies on the basis of material nonpublic information obtained in the course of your service with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that affect economic exposure to changes in the prices of these securities, such as transactions in derivative securities (e.g., exchange-traded put or call options), hedging transactions, short sales and certain decisions with respect to participation in benefit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disposition in the form of a gift of any securities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to holders of interests in an entity if the entity is subject to this Policy;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offers with respect to the transactions discussed above;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unauthorized use or disclosure of nonpublic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instances where you suffer financial harm or other hardship or are otherwise required to forego a planned transaction because of the restrictions imposed by this Policy. Personal financial emergency or other personal circumstances will not excuse a failure to comply with this Policy.</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Insider Trading and Tipping</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Insider Trading and Tipping. </w:t>
      </w:r>
      <w:r>
        <w:rPr>
          <w:rFonts w:ascii="Times New Roman;Times;Serif" w:hAnsi="Times New Roman;Times;Serif"/>
          <w:b w:val="false"/>
          <w:i w:val="false"/>
          <w:caps w:val="false"/>
          <w:smallCaps w:val="false"/>
          <w:sz w:val="20"/>
        </w:rPr>
        <w:t>Directors, officers, employees and other individuals who possess material nonpublic information are prohibited from the following illegal activities, which are commonly referred to as “</w:t>
      </w:r>
      <w:r>
        <w:rPr>
          <w:rFonts w:ascii="Times New Roman;Times;Serif" w:hAnsi="Times New Roman;Times;Serif"/>
          <w:b/>
          <w:i/>
          <w:caps w:val="false"/>
          <w:smallCaps w:val="false"/>
          <w:sz w:val="20"/>
        </w:rPr>
        <w:t>insider trading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“on the basis” of material nonpublic information (i.e., as long as they are aware of such information). It is not a defense that the person did not “use” the material nonpublic information for purposes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Disclosing material nonpublic information directly or indirectly to others who then trade based on that information, or making recommendations or expressing opinions on transactions in securities while aware of material nonpublic information (sometimes referred to as “</w:t>
            </w:r>
            <w:r>
              <w:rPr>
                <w:rFonts w:ascii="Times New Roman;Times;Serif" w:hAnsi="Times New Roman;Times;Serif"/>
                <w:b/>
                <w:i/>
                <w:caps w:val="false"/>
                <w:smallCaps w:val="false"/>
                <w:sz w:val="20"/>
              </w:rPr>
              <w:t>tipping</w:t>
            </w:r>
            <w:r>
              <w:rPr>
                <w:rFonts w:ascii="Times New Roman;Times;Serif" w:hAnsi="Times New Roman;Times;Serif"/>
                <w:b w:val="false"/>
                <w:i w:val="false"/>
                <w:caps w:val="false"/>
                <w:smallCaps w:val="false"/>
                <w:sz w:val="20"/>
              </w:rPr>
              <w:t>”). Both the person who provides the information, recommendation or opinion and the person who trades based on it may be liable.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the U.S. Department of Justice pursue insider trading violations vigorously. Cases involving trading through foreign accounts, trading by family members and friends and trading only a small number of shares have been successfully prosecuted. There are no exceptions from insider trading laws or this Policy based on the size of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Controlling Person Liability. </w:t>
      </w:r>
      <w:r>
        <w:rPr>
          <w:rFonts w:ascii="Times New Roman;Times;Serif" w:hAnsi="Times New Roman;Times;Serif"/>
          <w:b w:val="false"/>
          <w:i w:val="false"/>
          <w:caps w:val="false"/>
          <w:smallCaps w:val="false"/>
          <w:sz w:val="20"/>
        </w:rPr>
        <w:t>In addition, a company, as well as individual directors, officers and other supervisory personnel, may be subject to liability as “</w:t>
      </w:r>
      <w:r>
        <w:rPr>
          <w:rFonts w:ascii="Times New Roman;Times;Serif" w:hAnsi="Times New Roman;Times;Serif"/>
          <w:b/>
          <w:i/>
          <w:caps w:val="false"/>
          <w:smallCaps w:val="false"/>
          <w:sz w:val="20"/>
        </w:rPr>
        <w:t>controlling persons</w:t>
      </w:r>
      <w:r>
        <w:rPr>
          <w:rFonts w:ascii="Times New Roman;Times;Serif" w:hAnsi="Times New Roman;Times;Serif"/>
          <w:b w:val="false"/>
          <w:i w:val="false"/>
          <w:caps w:val="false"/>
          <w:smallCaps w:val="false"/>
          <w:sz w:val="20"/>
        </w:rPr>
        <w:t>” for failure to take appropriate steps to prevent insider trading by those under their supervision, influence or control.</w:t>
      </w:r>
    </w:p>
    <w:p>
      <w:pPr>
        <w:pStyle w:val="TextBody"/>
        <w:bidi w:val="0"/>
        <w:spacing w:before="0" w:after="0"/>
        <w:ind w:left="0" w:right="0" w:firstLine="36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85"/>
        <w:gridCol w:w="40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408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Prohibited and Problematic Transactions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types of transactions listed below may expose you and the Company to significant risks. Even if a transaction is not listed below, you are responsible for ensuring that it otherwise complies with the applicable provisions of this Policy, including insider trading and tipping prohibitions, the pre-clearance requirements and procedures applicable to you if you are on the Pre-Clearance List (“</w:t>
      </w:r>
      <w:r>
        <w:rPr>
          <w:rFonts w:ascii="Times New Roman;Times;Serif" w:hAnsi="Times New Roman;Times;Serif"/>
          <w:b/>
          <w:i/>
          <w:caps w:val="false"/>
          <w:smallCaps w:val="false"/>
          <w:sz w:val="20"/>
        </w:rPr>
        <w:t>Pre-Clearance Requirements</w:t>
      </w:r>
      <w:r>
        <w:rPr>
          <w:rFonts w:ascii="Times New Roman;Times;Serif" w:hAnsi="Times New Roman;Times;Serif"/>
          <w:b w:val="false"/>
          <w:i w:val="false"/>
          <w:caps w:val="false"/>
          <w:smallCaps w:val="false"/>
          <w:sz w:val="20"/>
        </w:rPr>
        <w:t>”), and Trading Blackout Periods.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Short Sales</w:t>
            </w:r>
            <w:r>
              <w:rPr>
                <w:rFonts w:ascii="Times New Roman;Times;Serif" w:hAnsi="Times New Roman;Times;Serif"/>
                <w:b w:val="false"/>
                <w:i w:val="false"/>
                <w:caps w:val="false"/>
                <w:smallCaps w:val="false"/>
                <w:sz w:val="20"/>
              </w:rPr>
              <w:t>. You are prohibited from making short sales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the sale of a security that must be borrowed to make delivery) and “selling short against the box”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a sale with a delayed delivery) with respect to Company securities.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in Derivative Securities</w:t>
            </w:r>
            <w:r>
              <w:rPr>
                <w:rFonts w:ascii="Times New Roman;Times;Serif" w:hAnsi="Times New Roman;Times;Serif"/>
                <w:b w:val="false"/>
                <w:i w:val="false"/>
                <w:caps w:val="false"/>
                <w:smallCaps w:val="false"/>
                <w:sz w:val="20"/>
              </w:rPr>
              <w:t>. 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not subject to this prohibition. Among other reasons for this prohibition, the application of securities laws to derivatives transactions can be complex, and persons engaging in derivatives transactions may subject themselves to an increased risk of violating SEC regulations and other applicable securities laws.</w:t>
            </w:r>
          </w:p>
        </w:tc>
      </w:tr>
    </w:tbl>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Using Company Securities as Collateral for Loans</w:t>
            </w:r>
            <w:r>
              <w:rPr>
                <w:rFonts w:ascii="Times New Roman;Times;Serif" w:hAnsi="Times New Roman;Times;Serif"/>
                <w:b w:val="false"/>
                <w:i w:val="false"/>
                <w:caps w:val="false"/>
                <w:smallCaps w:val="false"/>
                <w:sz w:val="20"/>
              </w:rPr>
              <w:t>. You are prohibited from pledging Company securities as collateral for loans except to the extent you have made such arrangements prior to the Company’s adoption of this Policy. If you default on the loan, the lender may sell the pledged securities as collateral in a foreclosure sale. This sale, even though not initiated at your request, would be considered a sale for your benefit and, if made at a time when you are aware of material nonpublic information or otherwise are not permitted to trade Company securities, may result in violations of this Policy or securities laws.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Holding Company Securities in Margin Accounts</w:t>
            </w:r>
            <w:r>
              <w:rPr>
                <w:rFonts w:ascii="Times New Roman;Times;Serif" w:hAnsi="Times New Roman;Times;Serif"/>
                <w:b w:val="false"/>
                <w:i w:val="false"/>
                <w:caps w:val="false"/>
                <w:smallCaps w:val="false"/>
                <w:sz w:val="20"/>
              </w:rPr>
              <w:t>. You are prohibited from holding Company securities in margin accounts. Under typical margin arrangements, if you fail to meet a margin call, the broker may be entitled to sell securities held in the margin account without your consent. This sale, even though not initiated at your request, would be considered a sale for your benefit and, if made at a time when you are aware of material nonpublic information or otherwise are not permitted to trade Company securities, may result in violations of this Policy or securities laws.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Placing Open Orders with Brokers</w:t>
            </w:r>
            <w:r>
              <w:rPr>
                <w:rFonts w:ascii="Times New Roman;Times;Serif" w:hAnsi="Times New Roman;Times;Serif"/>
                <w:b w:val="false"/>
                <w:i w:val="false"/>
                <w:caps w:val="false"/>
                <w:smallCaps w:val="false"/>
                <w:sz w:val="20"/>
              </w:rPr>
              <w:t xml:space="preserve">. Except in accordance with an approved trading plan, as discussed in </w:t>
            </w:r>
            <w:r>
              <w:rPr>
                <w:rFonts w:ascii="Times New Roman;Times;Serif" w:hAnsi="Times New Roman;Times;Serif"/>
                <w:b w:val="false"/>
                <w:i w:val="false"/>
                <w:caps w:val="false"/>
                <w:smallCaps w:val="false"/>
                <w:sz w:val="20"/>
                <w:u w:val="single"/>
              </w:rPr>
              <w:t>Part III</w:t>
            </w:r>
            <w:r>
              <w:rPr>
                <w:rFonts w:ascii="Times New Roman;Times;Serif" w:hAnsi="Times New Roman;Times;Serif"/>
                <w:b w:val="false"/>
                <w:i w:val="false"/>
                <w:caps w:val="false"/>
                <w:smallCaps w:val="false"/>
                <w:sz w:val="20"/>
              </w:rPr>
              <w:t xml:space="preserve"> (Limited Exceptions),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violations of this Policy or securities laws. Additionally, you should so inform any broker with whom you place any open order about the requirements of this Policy at the time any open order is placed.</w:t>
            </w:r>
          </w:p>
        </w:tc>
      </w:tr>
    </w:tbl>
    <w:p>
      <w:pPr>
        <w:pStyle w:val="TextBody"/>
        <w:bidi w:val="0"/>
        <w:spacing w:before="0" w:after="0"/>
        <w:ind w:left="72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185"/>
        <w:gridCol w:w="224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Blackout Periods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limit the likelihood of trading at times when there is a significant risk of insider trading exposure, the Company has instituted Quarterly Blackout Periods (the “</w:t>
      </w:r>
      <w:r>
        <w:rPr>
          <w:rFonts w:ascii="Times New Roman;Times;Serif" w:hAnsi="Times New Roman;Times;Serif"/>
          <w:b/>
          <w:i/>
          <w:caps w:val="false"/>
          <w:smallCaps w:val="false"/>
          <w:sz w:val="20"/>
        </w:rPr>
        <w:t>Trading Blackout Periods</w:t>
      </w:r>
      <w:r>
        <w:rPr>
          <w:rFonts w:ascii="Times New Roman;Times;Serif" w:hAnsi="Times New Roman;Times;Serif"/>
          <w:b w:val="false"/>
          <w:i w:val="false"/>
          <w:caps w:val="false"/>
          <w:smallCaps w:val="false"/>
          <w:sz w:val="20"/>
        </w:rPr>
        <w:t>”). The Company may also institute special trading blackout periods from time to time. Whether or not you are subject to a blackout period, you remain subject to the prohibitions on trading on the basis of material nonpublic information and any other applicable restrictions in this Policy. There are no unconditional “safe harbors” for trades made at particular times, and you should exercise good judgment at all times. Even when a trading window is open you may be restricted from trading if you possess material nonpublic information or are otherwise restricted by this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Quarterly Blackout Periods. </w:t>
      </w:r>
      <w:r>
        <w:rPr>
          <w:rFonts w:ascii="Times New Roman;Times;Serif" w:hAnsi="Times New Roman;Times;Serif"/>
          <w:b w:val="false"/>
          <w:i w:val="false"/>
          <w:caps w:val="false"/>
          <w:smallCaps w:val="false"/>
          <w:sz w:val="20"/>
        </w:rPr>
        <w:t>Except as discussed in Part III (Limited Exceptions), all employees and directors of the Company (and consultants, contractors and other agents of the Company who are subject to the Plan) are subject to and must refrain from conducting transactions involving the Company’s securities during the Quarterly Blackout Periods. Quarterly Blackout Periods start 14 days prior to the end of each fiscal quarter and end at the start of the second trading day following the date the financial results for the previous fiscal quarter are publicly disclosed.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Special Blackout Periods. </w:t>
      </w:r>
      <w:r>
        <w:rPr>
          <w:rFonts w:ascii="Times New Roman;Times;Serif" w:hAnsi="Times New Roman;Times;Serif"/>
          <w:b w:val="false"/>
          <w:i w:val="false"/>
          <w:caps w:val="false"/>
          <w:smallCaps w:val="false"/>
          <w:sz w:val="20"/>
        </w:rPr>
        <w:t>From time to time, the Company may also prohibit you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However, special blackout periods may be declared for any reason. The Company will notify those persons subject to a special blackout period. Each person who has been notified that they are subject to a special blackout period may not engage in any transaction involving the Company’s securities until instructed otherwise by the Compliance Officer, and should not disclose to others the fact of such suspension of trading.</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Regulation BTR Blackouts</w:t>
      </w:r>
      <w:r>
        <w:rPr>
          <w:rFonts w:ascii="Times New Roman;Times;Serif" w:hAnsi="Times New Roman;Times;Serif"/>
          <w:b w:val="false"/>
          <w:i w:val="false"/>
          <w:caps w:val="false"/>
          <w:smallCaps w:val="false"/>
          <w:sz w:val="20"/>
        </w:rPr>
        <w:t>. Directors and officers may also be subject to trading blackouts pursuant to Regulation Blackout Trading Restriction (“</w:t>
      </w:r>
      <w:r>
        <w:rPr>
          <w:rFonts w:ascii="Times New Roman;Times;Serif" w:hAnsi="Times New Roman;Times;Serif"/>
          <w:b/>
          <w:i/>
          <w:caps w:val="false"/>
          <w:smallCaps w:val="false"/>
          <w:sz w:val="20"/>
        </w:rPr>
        <w:t>Regulation BTR</w:t>
      </w:r>
      <w:r>
        <w:rPr>
          <w:rFonts w:ascii="Times New Roman;Times;Serif" w:hAnsi="Times New Roman;Times;Serif"/>
          <w:b w:val="false"/>
          <w:i w:val="false"/>
          <w:caps w:val="false"/>
          <w:smallCaps w:val="false"/>
          <w:sz w:val="20"/>
        </w:rPr>
        <w:t>”),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185"/>
        <w:gridCol w:w="21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Pre-Clearance of Trades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discussed in </w:t>
      </w:r>
      <w:r>
        <w:rPr>
          <w:rFonts w:ascii="Times New Roman;Times;Serif" w:hAnsi="Times New Roman;Times;Serif"/>
          <w:b w:val="false"/>
          <w:i w:val="false"/>
          <w:caps w:val="false"/>
          <w:smallCaps w:val="false"/>
          <w:sz w:val="20"/>
          <w:u w:val="single"/>
        </w:rPr>
        <w:t>Part III</w:t>
      </w:r>
      <w:r>
        <w:rPr>
          <w:rFonts w:ascii="Times New Roman;Times;Serif" w:hAnsi="Times New Roman;Times;Serif"/>
          <w:b w:val="false"/>
          <w:i w:val="false"/>
          <w:caps w:val="false"/>
          <w:smallCaps w:val="false"/>
          <w:sz w:val="20"/>
        </w:rPr>
        <w:t xml:space="preserve"> (Limited Exceptions), all employees and directors of the Company (and consultants, contractors and other agents of the Company who are subject to the Plan) must refrain from engaging in any transaction involving the Company’s securities without first obtaining pre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clearance of the transaction from the Compliance Officer. The Compliance Officer may not engage in a transaction involving the Company’s securities unless the Chief Executive Officer has pre-cleared the transaction. Pre-clearance approvals are effective for two (2) business days after receipt of the approval (if such approval is not otherwise rescinded) and the transaction must be completed within this period or a new approval must be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Pre-clearance of a trade, however, is not a defense to a claim of insider trading and does not excuse you from otherwise complying with insider trading laws or this Policy. Further, pre-clearance of a transaction does not constitute an affirmation by the Company or the Compliance Officer that you are not in possession of material nonpublic information. The Compliance Officer is under no obligation to approve a transaction submitted for pre-clearance, and may determine not to permit the transaction.</w:t>
      </w:r>
    </w:p>
    <w:p>
      <w:pPr>
        <w:pStyle w:val="TextBody"/>
        <w:bidi w:val="0"/>
        <w:spacing w:before="0" w:after="0"/>
        <w:ind w:left="0" w:right="0" w:firstLine="36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85"/>
        <w:gridCol w:w="24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42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Consequences for Violations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Civil and Criminal Penalties.</w:t>
      </w:r>
      <w:r>
        <w:rPr>
          <w:rFonts w:ascii="Times New Roman;Times;Serif" w:hAnsi="Times New Roman;Times;Serif"/>
          <w:b w:val="false"/>
          <w:i w:val="false"/>
          <w:caps w:val="false"/>
          <w:smallCaps w:val="false"/>
          <w:sz w:val="20"/>
        </w:rPr>
        <w:t xml:space="preserve"> Potential penalties for insider trading violations, tipping or controlling person liability include criminal and civil fines and penalties, imprisonment and other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Company Disciplinary Actions.</w:t>
      </w:r>
      <w:r>
        <w:rPr>
          <w:rFonts w:ascii="Times New Roman;Times;Serif" w:hAnsi="Times New Roman;Times;Serif"/>
          <w:b w:val="false"/>
          <w:i w:val="false"/>
          <w:caps w:val="false"/>
          <w:smallCaps w:val="false"/>
          <w:sz w:val="20"/>
        </w:rPr>
        <w:t xml:space="preserve"> If the Company has a reasonable basis to conclude that you have failed to comply with this Policy, you may be subject to disciplinary action, up to and including dismissal for cause, regardless of whether or not your actions result in a violation of law. It is not necessary for the Company to wait for the filing or conclusion of any civil or criminal action against you before taking disciplinary action. In addition, the Company may give stop transfer and other instructions to its transfer agent with respect to transactions that the Company considers to be in contravention of this Policy.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85"/>
        <w:gridCol w:w="20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Personal Responsibility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responsibility for complying with this Policy and applicable laws and regulations rests with you. You should use your best judgment at all times and consult with your personal legal and financial advisors, as needed. We advise you to seek assistance if you have any questions at all. The rules relating to insider trading can be complex, and a violation of insider trading laws can carry severe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be alert to possible violations and promptly report violations or suspected violations of this Policy to the Compliance Officer. If your situation requires that your identity be kept secret, your anonymity will be preserved to the greatest extent reasonably possible. If you wish to remain anonymous, send a letter addressed to the Chief Financial Officer at Manchester Technology Center, Hexagon Tower, Delaunays Road, Blackley, Manchester, M9 8GQ U.K. If you make an anonymous report, please provide as much detail as possible, including any evidence that you believe may be relevant to the issue.</w:t>
      </w:r>
    </w:p>
    <w:p>
      <w:pPr>
        <w:pStyle w:val="TextBody"/>
        <w:bidi w:val="0"/>
        <w:spacing w:before="0" w:after="0"/>
        <w:ind w:left="0" w:right="0" w:firstLine="36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85"/>
        <w:gridCol w:w="17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Compliance Officer</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direct any questions, requests or reports as to any of the matters discussed in this Policy to the General Counsel of the Company (the “</w:t>
      </w:r>
      <w:r>
        <w:rPr>
          <w:rFonts w:ascii="Times New Roman;Times;Serif" w:hAnsi="Times New Roman;Times;Serif"/>
          <w:b/>
          <w:i/>
          <w:caps w:val="false"/>
          <w:smallCaps w:val="false"/>
          <w:sz w:val="20"/>
        </w:rPr>
        <w:t>Compliance Officer</w:t>
      </w:r>
      <w:r>
        <w:rPr>
          <w:rFonts w:ascii="Times New Roman;Times;Serif" w:hAnsi="Times New Roman;Times;Serif"/>
          <w:b w:val="false"/>
          <w:i w:val="false"/>
          <w:caps w:val="false"/>
          <w:smallCaps w:val="false"/>
          <w:sz w:val="20"/>
        </w:rPr>
        <w:t>”). The Compliance Officer is generally responsible for the administration of this Policy. The Compliance Officer may select others to assist with the execution of his or her duties.</w:t>
      </w:r>
    </w:p>
    <w:p>
      <w:pPr>
        <w:pStyle w:val="TextBody"/>
        <w:bidi w:val="0"/>
        <w:spacing w:before="0" w:after="0"/>
        <w:ind w:left="0" w:right="0" w:firstLine="36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Delivery of Policy. </w:t>
      </w:r>
      <w:r>
        <w:rPr>
          <w:rFonts w:ascii="Times New Roman;Times;Serif" w:hAnsi="Times New Roman;Times;Serif"/>
          <w:b w:val="false"/>
          <w:i w:val="false"/>
          <w:caps w:val="false"/>
          <w:smallCaps w:val="false"/>
          <w:sz w:val="20"/>
        </w:rPr>
        <w:t>This Policy will be delivered to all directors, officers, employees and agents of the Company when they commence service with the Company. In addition, this Policy (or a summary of this Policy) will be circulated periodically. Each director, officer, employee and agent of the Company is required to acknowledge that he or she understands, and agrees to comply with, this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Compliance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Nothing in this Insider Trading Policy creates or implies an employment contract or term of employment or a right to continued employment.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policies in this Insider Trading Policy do not constitute a complete list of Company policies or a complete list of the types of conduct that can result in discipline, up to and including discharge.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NONPUBLIC INFORMATION: WHAT IT IS AND YOUR OBLIGATIONS</w:t>
      </w:r>
    </w:p>
    <w:p>
      <w:pPr>
        <w:pStyle w:val="TextBody"/>
        <w:bidi w:val="0"/>
        <w:spacing w:before="0" w:after="0"/>
        <w:ind w:left="0" w:right="0" w:hanging="0"/>
        <w:jc w:val="center"/>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185"/>
        <w:gridCol w:w="9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Information</w:t>
      </w:r>
      <w:r>
        <w:rPr>
          <w:rFonts w:ascii="Times New Roman;Times;Serif" w:hAnsi="Times New Roman;Times;Serif"/>
          <w:b w:val="false"/>
          <w:i w:val="false"/>
          <w:caps w:val="false"/>
          <w:smallCaps w:val="false"/>
          <w:sz w:val="20"/>
        </w:rPr>
        <w:t>. Information should be regarded as material if there is a substantial likelihood a reasonable investor would consider it important in deciding whether to buy, hold or sell securities or would view the information as significantly altering the total mix of information in the marketplace about the issuer of the security. Any information that could reasonably be expected to affect the market price of a security is likely to be material, regardless of whether it is positive or negative.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define all categories of “material” information. However, some examples of information that would often be regarded as material include information with respect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results, key metrics, financial condition, earnings pre-announcements, guidance, projections or forecasts, particularly if inconsistent with the Company’s guidance or the expectations of the investment community;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Restatements of financial results, or material impairments, write-offs or restructurings;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independent auditors, or notification that the Company may no longer rely on an audit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plans or budgets;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Creation of significant financial obligations, or any significant default or waiver under or acceleration of any financial obligation;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Negotiations with the Company’s lenders regarding waivers, defaults, restructuring or refinancing of the Company’s indebtedness;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Impending bankruptcy or financial liquidity problems;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involving business relationships, including execution, modification or termination of significant agreements or orders with customers, suppliers, distributors, manufacturers or other business partners;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information relating to the operation of a product or service, such as new products or services, major modifications or performance issues, defects or recalls, significant pricing changes or other announcements of a significant nature;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research and development or relating to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legal or regulatory developments, whether positive or negative, actual or threatened, including litigation or resolving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continued listing or deficiencies in the listing of the Company’s securities on the Nasdaq Stock Market or any other exchange or trading market the Company’s securities are then listed or traded;</w:t>
            </w:r>
          </w:p>
        </w:tc>
      </w:tr>
    </w:tbl>
    <w:p>
      <w:pPr>
        <w:pStyle w:val="TextBody"/>
        <w:bidi w:val="0"/>
        <w:spacing w:before="0" w:after="0"/>
        <w:ind w:left="108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corporate events, such as a pending or proposed merger, joint venture or tender offer, a significant investment, the acquisition or disposition of a significant business or asset or a change in control;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personnel changes, such as changes in senior management or lay-offs;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breaches or other cybersecurity events;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Updates regarding any prior material disclosure that has materially changed;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 special blackout period;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in the Company’s operations or loss, potential loss, breach or unauthorized access of the Company’s property or assets, including the Company’s facilities and information technology infrastructure.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caps w:val="false"/>
          <w:smallCaps w:val="false"/>
          <w:sz w:val="20"/>
        </w:rPr>
        <w:t>Nonpublic” Information</w:t>
      </w:r>
      <w:r>
        <w:rPr>
          <w:rFonts w:ascii="Times New Roman;Times;Serif" w:hAnsi="Times New Roman;Times;Serif"/>
          <w:b w:val="false"/>
          <w:i w:val="false"/>
          <w:caps w:val="false"/>
          <w:smallCaps w:val="false"/>
          <w:sz w:val="20"/>
        </w:rPr>
        <w:t xml:space="preserve">. Generally, information is considered nonpublic if the information has not been broadly disseminated to the public for a sufficient period to be reflected in the price of the security. As a general rule, information should be considered nonpublic until at least two </w:t>
      </w:r>
      <w:r>
        <w:rPr>
          <w:rFonts w:ascii="Times New Roman;Times;Serif" w:hAnsi="Times New Roman;Times;Serif"/>
          <w:b/>
          <w:i/>
          <w:caps w:val="false"/>
          <w:smallCaps w:val="false"/>
          <w:sz w:val="20"/>
        </w:rPr>
        <w:t>full trading days</w:t>
      </w:r>
      <w:r>
        <w:rPr>
          <w:rFonts w:ascii="Times New Roman;Times;Serif" w:hAnsi="Times New Roman;Times;Serif"/>
          <w:b w:val="false"/>
          <w:i w:val="false"/>
          <w:caps w:val="false"/>
          <w:smallCaps w:val="false"/>
          <w:sz w:val="20"/>
        </w:rPr>
        <w:t xml:space="preserve"> have elapsed 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the Compliance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 day on which national stock exchanges and the National Association of Securities Dealers, Inc. Automated Quotation System are open for trading. A “</w:t>
      </w:r>
      <w:r>
        <w:rPr>
          <w:rFonts w:ascii="Times New Roman;Times;Serif" w:hAnsi="Times New Roman;Times;Serif"/>
          <w:b/>
          <w:i/>
          <w:caps w:val="false"/>
          <w:smallCaps w:val="false"/>
          <w:sz w:val="20"/>
        </w:rPr>
        <w:t>full</w:t>
      </w:r>
      <w:r>
        <w:rPr>
          <w:rFonts w:ascii="Times New Roman;Times;Serif" w:hAnsi="Times New Roman;Times;Serif"/>
          <w:b w:val="false"/>
          <w:i w:val="false"/>
          <w:caps w:val="false"/>
          <w:smallCaps w:val="false"/>
          <w:sz w:val="20"/>
        </w:rPr>
        <w:t>” trading day has elapsed when, after the public disclosure, trading in the relevant security has opened and then closed.</w:t>
      </w:r>
    </w:p>
    <w:p>
      <w:pPr>
        <w:pStyle w:val="TextBody"/>
        <w:bidi w:val="0"/>
        <w:spacing w:before="0" w:after="0"/>
        <w:ind w:left="0" w:right="0" w:firstLine="36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85"/>
        <w:gridCol w:w="35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5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Confidentiality of Nonpublic Information</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also prohibits the unauthorized use or disclosure of nonpublic information relating to the Company or other companies, including the Company’s distributors, vendors, customers, collaborators, suppliers and competitors.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Compliance Officer.</w:t>
      </w:r>
    </w:p>
    <w:p>
      <w:pPr>
        <w:pStyle w:val="TextBody"/>
        <w:bidi w:val="0"/>
        <w:spacing w:before="0" w:after="0"/>
        <w:ind w:left="0" w:right="0" w:firstLine="36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85"/>
        <w:gridCol w:w="40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07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Trading on Material Nonpublic Information</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discussed in in </w:t>
      </w:r>
      <w:r>
        <w:rPr>
          <w:rFonts w:ascii="Times New Roman;Times;Serif" w:hAnsi="Times New Roman;Times;Serif"/>
          <w:b w:val="false"/>
          <w:i w:val="false"/>
          <w:caps w:val="false"/>
          <w:smallCaps w:val="false"/>
          <w:sz w:val="20"/>
          <w:u w:val="single"/>
        </w:rPr>
        <w:t>Part III</w:t>
      </w:r>
      <w:r>
        <w:rPr>
          <w:rFonts w:ascii="Times New Roman;Times;Serif" w:hAnsi="Times New Roman;Times;Serif"/>
          <w:b w:val="false"/>
          <w:i w:val="false"/>
          <w:caps w:val="false"/>
          <w:smallCaps w:val="false"/>
          <w:sz w:val="20"/>
        </w:rPr>
        <w:t xml:space="preserve"> (Limited Exceptions), you may not, directly or indirectly through others, engage in any transaction involving the Company’s securities while aware of material nonpublic information relating to the Company. It is not an excuse that you did not “use” the information in your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Similarly, you may not engage in transactions involving the securities of any other company if you are aware of material nonpublic information affecting that company, except to the extent the transactions are analogous to those described in </w:t>
      </w:r>
      <w:r>
        <w:rPr>
          <w:rFonts w:ascii="Times New Roman;Times;Serif" w:hAnsi="Times New Roman;Times;Serif"/>
          <w:b w:val="false"/>
          <w:i w:val="false"/>
          <w:caps w:val="false"/>
          <w:smallCaps w:val="false"/>
          <w:sz w:val="20"/>
          <w:u w:val="single"/>
        </w:rPr>
        <w:t>Part III</w:t>
      </w:r>
      <w:r>
        <w:rPr>
          <w:rFonts w:ascii="Times New Roman;Times;Serif" w:hAnsi="Times New Roman;Times;Serif"/>
          <w:b w:val="false"/>
          <w:i w:val="false"/>
          <w:caps w:val="false"/>
          <w:smallCaps w:val="false"/>
          <w:sz w:val="20"/>
        </w:rPr>
        <w:t xml:space="preserve"> (Limited Exceptions).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Additionally, information need not directly involve a company to be considered material to it. For example, news of a merger between two companies may be material to an, otherwise uninvolved, third company in the same sector or industry. It is important to note that “materiality” is different for different companies. Information that is not material to the Company may be material to another company.</w:t>
      </w:r>
    </w:p>
    <w:p>
      <w:pPr>
        <w:pStyle w:val="TextBody"/>
        <w:bidi w:val="0"/>
        <w:spacing w:before="0" w:after="0"/>
        <w:ind w:left="0" w:right="0" w:firstLine="36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85"/>
        <w:gridCol w:w="60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0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Disclosing Material Nonpublic Information for the Benefit of Others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The prohibition against disclosure of material nonpublic information includes disclosure (even anonymous disclosure) via the internet, blogs, investor forums or chat rooms where companies and their prospects are discussed.</w:t>
      </w:r>
    </w:p>
    <w:p>
      <w:pPr>
        <w:pStyle w:val="TextBody"/>
        <w:bidi w:val="0"/>
        <w:spacing w:before="0" w:after="0"/>
        <w:ind w:left="0" w:right="0" w:firstLine="36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85"/>
        <w:gridCol w:w="60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06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Obligation to Disclose Material Nonpublic Information to the Company</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not enter into any transaction, whether or not it is described in </w:t>
      </w:r>
      <w:r>
        <w:rPr>
          <w:rFonts w:ascii="Times New Roman;Times;Serif" w:hAnsi="Times New Roman;Times;Serif"/>
          <w:b w:val="false"/>
          <w:i w:val="false"/>
          <w:caps w:val="false"/>
          <w:smallCaps w:val="false"/>
          <w:sz w:val="20"/>
          <w:u w:val="single"/>
        </w:rPr>
        <w:t>Part III</w:t>
      </w:r>
      <w:r>
        <w:rPr>
          <w:rFonts w:ascii="Times New Roman;Times;Serif" w:hAnsi="Times New Roman;Times;Serif"/>
          <w:b w:val="false"/>
          <w:i w:val="false"/>
          <w:caps w:val="false"/>
          <w:smallCaps w:val="false"/>
          <w:sz w:val="20"/>
        </w:rPr>
        <w:t xml:space="preserve"> (Limited Exceptions), unless you have disclosed any material nonpublic information that you become aware of in the course of your service with the Company, and that senior management is not aware of, to the Compliance Officer. If you are a member of senior management, the information must be disclosed to the Chief Executive Officer, and if you are the Chief Executive Officer or a director, you must disclose the information to the Company’s board of directors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before any transaction is permissible.</w:t>
      </w:r>
    </w:p>
    <w:p>
      <w:pPr>
        <w:pStyle w:val="TextBody"/>
        <w:bidi w:val="0"/>
        <w:spacing w:before="0" w:after="0"/>
        <w:ind w:left="0" w:right="0" w:firstLine="36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185"/>
        <w:gridCol w:w="41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1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Responding to Outside Inquiries for Information</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an inquiry from someone outside of the Company, such as a stock analyst, for information, you should refer the inquiry to the Chief Financial Officer.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Regulation FD Policy for more details.</w:t>
      </w:r>
    </w:p>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85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Protected Activity Not Prohibited</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EXCEPTIONS TO THIS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“short-swing” trading restrictions under Section 16, to the extent applicable). You are responsible for complying with applicable law at all times.</w:t>
      </w:r>
    </w:p>
    <w:p>
      <w:pPr>
        <w:pStyle w:val="TextBody"/>
        <w:bidi w:val="0"/>
        <w:spacing w:before="0" w:after="0"/>
        <w:ind w:left="0" w:right="0" w:firstLine="36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85"/>
        <w:gridCol w:w="60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Pursuant to a Trading Plan that Complies with SEC Rules</w:t>
            </w:r>
          </w:p>
        </w:tc>
      </w:tr>
    </w:tbl>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enacted rules that provide an affirmative defense against alleged violations of U.S. federal insider trading laws for transactions pursuant to trading plans that meet certain requirements. In general, these rules, as set forth in Rule 10b5-1 under the Securities Exchange Act of 1934, as amended,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made pursuant to a written trading plan that (i) complies with the affirmative defense set forth in Rule 10b5-1 and (ii) is approved by the Compliance Officer are not subject to the restrictions in this Policy against trades made while aware of material nonpublic information or to the blackout periods established under this Policy. In approving a trading plan, the Compliance Officer may, in furtherance of the objectives expressed in this Policy, impose criteria in addition to those set forth in Rule 10b5-1. You should therefore confer with the Compliance Officer prior to entering into any trading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determine which individuals may use trading plans. Trading plans must (1) be filed with the Compliance Officer, (2) comply with the requirements of Rule 10b5-1, and (3) be accompanied with an executed certificate stating that the trading plan complies with Rule 10b5-1 and any other criteria established by the Company. If the Compliance Officer is the requester, then the Company’s Chief Executive Officer must approve the written 10b5-1 trading plan. The Company may publicly disclose information regarding trading plans.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185"/>
        <w:gridCol w:w="91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12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Receipt and Vesting of Stock Options, Restricted Stock, Restricted Stock Units and Stock Appreciation Rights</w:t>
            </w:r>
          </w:p>
        </w:tc>
      </w:tr>
    </w:tbl>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under this Policy do not apply to the acceptance or purchase of stock options, restricted stock, restricted stock units or stock appreciation rights issued or offered by the Company. The trading restrictions under this Policy also do not apply to the vesting, cancellation or forfeiture of stock options, restricted stock, restricted stock units or stock appreciation rights in accordance with applicable plans and agreements.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85"/>
        <w:gridCol w:w="50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500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Exercise of Stock Options for Cash; Net Share Withholding</w:t>
            </w:r>
          </w:p>
        </w:tc>
      </w:tr>
    </w:tbl>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under this Policy do not apply to the exercise of stock options for cash under the Company’s equity incentive plans. Likewise, the trading restrictions under this Policy do not apply to the exercise of stock options in a stock-for-stock exercise with the Company or an election to have the Company withhold securities to cover tax obligations in connection with an option exercise (x) as required by either the Company’s board of directors (or a committee thereof) or the award agreement governing such equity award or (y) as you elect, if permitted by the Company, so long as that election is irrevocable and made in writing at a time when a trading blackout is not in place and the individual is not in possession of material nonpublic information. However, the trading restrictions under this Policy do apply to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pStyle w:val="TextBody"/>
        <w:bidi w:val="0"/>
        <w:spacing w:before="0" w:after="0"/>
        <w:ind w:left="0" w:right="0" w:firstLine="36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85"/>
        <w:gridCol w:w="42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428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Purchases from an Employee Stock Purchase Plan</w:t>
            </w:r>
          </w:p>
        </w:tc>
      </w:tr>
    </w:tbl>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in this Policy do not apply to elections with respect to participation in any employee stock purchase plan that the Company adopts or to purchases of securities under the plan. However, the trading restrictions do apply to any subsequent sales of any such securities. However, no employee may alter their instructions regarding the purchase or sale of Company Securities in such plans when in possession of material non-public information.</w:t>
      </w:r>
    </w:p>
    <w:p>
      <w:pPr>
        <w:pStyle w:val="TextBody"/>
        <w:bidi w:val="0"/>
        <w:spacing w:before="0" w:after="0"/>
        <w:ind w:left="0" w:right="0" w:firstLine="36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85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401(k) Plan Transactions</w:t>
            </w:r>
          </w:p>
        </w:tc>
      </w:tr>
    </w:tbl>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in this Policy do not apply to purchases of Company stock in a 401(k) plan resulting from periodic contributions to the plan based on your payroll contribution election. The trading restrictions do apply, however, to elections you make under the 401(k) plan to (i) increase or decrease the amount of your contributions under a 401(k) plan, if such increase or decrease will increase or decrease the amount of your contributions that will be allocated to a Company stock fund (ii) increase or decrease the percentage of your contributions that will be allocated to a Company stock fund, (iii) move balances into or out of a Company stock fund, (iv) borrow money against a 401(k) plan account if the loan will result in liquidation of some or all of your Company stock fund balance, and (v) pre-pay a plan loan if the pre-payment will result in the allocation of loan proceeds to a Company stock fund.</w:t>
      </w:r>
    </w:p>
    <w:p>
      <w:pPr>
        <w:pStyle w:val="TextBody"/>
        <w:bidi w:val="0"/>
        <w:spacing w:before="0" w:after="0"/>
        <w:ind w:left="0" w:right="0" w:firstLine="36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85"/>
        <w:gridCol w:w="48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8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Transfers by Will and for Tax Planning Purposes</w:t>
            </w:r>
          </w:p>
        </w:tc>
      </w:tr>
    </w:tbl>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in this Policy do not apply to 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w:t>
      </w:r>
    </w:p>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185"/>
        <w:gridCol w:w="15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Exceptions</w:t>
            </w:r>
          </w:p>
        </w:tc>
      </w:tr>
    </w:tbl>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splits, stock dividends and similar transactions. </w:t>
      </w:r>
      <w:r>
        <w:rPr>
          <w:rFonts w:ascii="Times New Roman;Times;Serif" w:hAnsi="Times New Roman;Times;Serif"/>
          <w:b w:val="false"/>
          <w:i w:val="false"/>
          <w:caps w:val="false"/>
          <w:smallCaps w:val="false"/>
          <w:sz w:val="20"/>
        </w:rPr>
        <w:t>The trading restrictions under this Policy do not apply to a change in the number of securities held as a result of a stock split or stock dividend applying equally to all securities of a class, or similar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form of ownership. </w:t>
      </w:r>
      <w:r>
        <w:rPr>
          <w:rFonts w:ascii="Times New Roman;Times;Serif" w:hAnsi="Times New Roman;Times;Serif"/>
          <w:b w:val="false"/>
          <w:i w:val="false"/>
          <w:caps w:val="false"/>
          <w:smallCaps w:val="false"/>
          <w:sz w:val="20"/>
        </w:rPr>
        <w:t xml:space="preserve">Transactions that involve merely a change in the form in which you own securities are permissible. For example, you may transfer shares to an </w:t>
      </w:r>
      <w:r>
        <w:rPr>
          <w:rFonts w:ascii="Times New Roman;Times;Serif" w:hAnsi="Times New Roman;Times;Serif"/>
          <w:b w:val="false"/>
          <w:i/>
          <w:caps w:val="false"/>
          <w:smallCaps w:val="false"/>
          <w:sz w:val="20"/>
        </w:rPr>
        <w:t>inter vivos</w:t>
      </w:r>
      <w:r>
        <w:rPr>
          <w:rFonts w:ascii="Times New Roman;Times;Serif" w:hAnsi="Times New Roman;Times;Serif"/>
          <w:b w:val="false"/>
          <w:i w:val="false"/>
          <w:caps w:val="false"/>
          <w:smallCaps w:val="false"/>
          <w:sz w:val="20"/>
        </w:rPr>
        <w:t xml:space="preserve"> trust of which you are the sole beneficiary during your lifetime.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w:t>
      </w:r>
      <w:r>
        <w:rPr>
          <w:rFonts w:ascii="Times New Roman;Times;Serif" w:hAnsi="Times New Roman;Times;Serif"/>
          <w:b w:val="false"/>
          <w:i w:val="false"/>
          <w:caps w:val="false"/>
          <w:smallCaps w:val="false"/>
          <w:sz w:val="20"/>
        </w:rPr>
        <w:t>Any other exception from this Policy must be approved by the Compliance Officer, in consultation with the Board of Directors or an independent committee of the Board of Directors.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SECTION 16</w:t>
        <w:br/>
        <w:t>OF THE SECURITIES EXCHANGE ACT</w:t>
      </w:r>
    </w:p>
    <w:p>
      <w:pPr>
        <w:pStyle w:val="TextBody"/>
        <w:bidi w:val="0"/>
        <w:spacing w:before="0" w:after="0"/>
        <w:ind w:left="0" w:right="0" w:hanging="0"/>
        <w:jc w:val="center"/>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85"/>
        <w:gridCol w:w="25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Obligations Under Section 16</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and the related rules and regulations set forth (i) reporting obligations, (ii) limitations on “short-swing” transactions and (iii) limitations on short sales and other transactions applicable to directors, officers, large shareholders and certain other persons. The Company has provided, or will provide, memoranda and other materials addressing these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designated certain persons as being required to comply with Section 16 and the related rules and regulations because of their positions with the Company. The persons subject to Section 16 may change from time to time as appropriate to reflect the election of new officers or directors, any change in the responsibilities of officers or other employees and any promotions, demotions, resignations or departures.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are not designated by the Company as being required to comply with Section 16, you may be subject to Section 16 reporting obligations because of, for example, your shareholdings.</w:t>
      </w:r>
    </w:p>
    <w:p>
      <w:pPr>
        <w:pStyle w:val="TextBody"/>
        <w:bidi w:val="0"/>
        <w:spacing w:before="0" w:after="0"/>
        <w:ind w:left="0" w:right="0" w:firstLine="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85"/>
        <w:gridCol w:w="51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13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Notification Requirements to Facilitate Section 16 Reporting</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timely reporting of transactions pursuant to Section 16 requirements, each person subject to Section 16 reporting requirements must provide, or must ensure that his or her broker provides, the Company with detailed information (e.g., trade date, number of shares, exact price, etc.) regarding his or her transactions involving the Company’s securities, including gifts, transfers, pledges and transactions pursuant to a trading plan, both prior to (to confirm compliance with pre-clearance procedures, if applicable) and promptly following execution.</w:t>
      </w:r>
    </w:p>
    <w:p>
      <w:pPr>
        <w:pStyle w:val="TextBody"/>
        <w:bidi w:val="0"/>
        <w:spacing w:before="0" w:after="0"/>
        <w:ind w:left="0" w:right="0" w:firstLine="36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85"/>
        <w:gridCol w:w="35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5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Personal Responsibility Under Section 16</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to file Section 16 reports, and to otherwise comply with Section 16, is personal. The Company is not responsible for the failure to comply with Section 16 requirements.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84" w:name="ex21-1.htm"/>
      <w:bookmarkStart w:id="1285" w:name="ksex211"/>
      <w:bookmarkEnd w:id="1284"/>
      <w:bookmarkEnd w:id="128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 OF DRAGONFLY ENERGY HOLDINGS CORP.</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28" w:type="dxa"/>
          <w:right w:w="0" w:type="dxa"/>
        </w:tblCellMar>
      </w:tblPr>
      <w:tblGrid>
        <w:gridCol w:w="2840"/>
        <w:gridCol w:w="60"/>
        <w:gridCol w:w="3935"/>
      </w:tblGrid>
      <w:tr>
        <w:trPr/>
        <w:tc>
          <w:tcPr>
            <w:tcW w:w="28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CellTech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Ontario, Canada</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Battle Born Battery Products,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286" w:name="ex23-1.htm"/>
      <w:bookmarkStart w:id="1287" w:name="ksex231"/>
      <w:bookmarkEnd w:id="1286"/>
      <w:bookmarkEnd w:id="128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Forms S-8 (Nos. 333-280173, 333-268784 and 333-274277), on Form S-3 (No. 333-275559) and on Post-Effective Amendment No. 1 to Form S-1 on Form S-3 (No. 333-272401) of our report dated March 31, 2025 relating to the financial statements of Dragonfly Energy Holdings Corp. appearing in this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1288" w:name="ex31-1.htm"/>
      <w:bookmarkStart w:id="1289" w:name="ksex311"/>
      <w:bookmarkEnd w:id="1288"/>
      <w:bookmarkEnd w:id="1289"/>
      <w:r>
        <w:rPr>
          <w:caps w:val="false"/>
          <w:smallCaps w:val="false"/>
        </w:rPr>
        <w:t> </w:t>
      </w:r>
      <w:r>
        <w:br w:type="page"/>
      </w:r>
    </w:p>
    <w:p>
      <w:pPr>
        <w:pStyle w:val="TextBody"/>
        <w:bidi w:val="0"/>
        <w:spacing w:before="0" w:after="0"/>
        <w:ind w:left="10" w:right="0" w:hanging="1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54"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 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period ended December 31, 2024 of Dragonfly Energy Holdings Corp.;</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75"/>
        <w:gridCol w:w="242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2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2025</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2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2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2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1290" w:name="ex31-2.htm"/>
      <w:bookmarkStart w:id="1291" w:name="ksex312"/>
      <w:bookmarkEnd w:id="1290"/>
      <w:bookmarkEnd w:id="1291"/>
      <w:r>
        <w:rPr>
          <w:caps w:val="false"/>
          <w:smallCaps w:val="false"/>
        </w:rPr>
        <w:t> </w:t>
      </w:r>
      <w:r>
        <w:br w:type="page"/>
      </w:r>
    </w:p>
    <w:p>
      <w:pPr>
        <w:pStyle w:val="TextBody"/>
        <w:bidi w:val="0"/>
        <w:spacing w:before="0" w:after="0"/>
        <w:ind w:left="10" w:right="0" w:hanging="1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 AS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period ended December 31, 2024 of Dragonfly Energy Holdings Corp.;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2025</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bottom w:val="single" w:sz="8" w:space="0" w:color="000000"/>
            </w:tcBorders>
            <w:tcMar>
              <w:bottom w:w="28" w:type="dxa"/>
            </w:tcMar>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1292" w:name="ex32-1.htm"/>
      <w:bookmarkStart w:id="1293" w:name="ksex321"/>
      <w:bookmarkEnd w:id="1292"/>
      <w:bookmarkEnd w:id="1293"/>
      <w:r>
        <w:rPr>
          <w:caps w:val="false"/>
          <w:smallCaps w:val="false"/>
        </w:rPr>
        <w:t> </w:t>
      </w:r>
      <w:r>
        <w:br w:type="page"/>
      </w:r>
    </w:p>
    <w:p>
      <w:pPr>
        <w:pStyle w:val="TextBody"/>
        <w:bidi w:val="0"/>
        <w:spacing w:before="0" w:after="0"/>
        <w:ind w:left="10" w:right="0" w:hanging="1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 CHIEF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Annual Report on Form 10-K of Dragonfly Energy Holdings Corp. (the “Company”) for the year ended December 31, 2024 (the “Annual Report”), Denis Phares, as Chief Executive Officer and as Interim Chief Financial Officer, certifies in his capacity as such officer of the Company, that to his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1910"/>
        <w:gridCol w:w="320"/>
        <w:gridCol w:w="6185"/>
      </w:tblGrid>
      <w:tr>
        <w:trPr/>
        <w:tc>
          <w:tcPr>
            <w:tcW w:w="191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31, 2025</w:t>
            </w:r>
          </w:p>
        </w:tc>
        <w:tc>
          <w:tcPr>
            <w:tcW w:w="3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185" w:type="dxa"/>
            <w:tcBorders>
              <w:bottom w:val="single" w:sz="8" w:space="0" w:color="000000"/>
            </w:tcBorders>
            <w:tcMar>
              <w:bottom w:w="28" w:type="dxa"/>
            </w:tcMar>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91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18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91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18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r>
        <w:trPr/>
        <w:tc>
          <w:tcPr>
            <w:tcW w:w="191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 and Principal Financial and Accounting Officer)</w:t>
            </w:r>
          </w:p>
        </w:tc>
      </w:tr>
    </w:tbl>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any purpose, nor shall it be deemed to be incorporated by reference into any filing under the Securities Act of 1933 or the Exchange Act.</w:t>
      </w:r>
    </w:p>
    <w:p>
      <w:pPr>
        <w:pStyle w:val="TextBody"/>
        <w:bidi w:val="0"/>
        <w:spacing w:before="0" w:after="0"/>
        <w:ind w:left="0" w:right="0" w:hanging="1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47986/000110465922081684/cntq-20210630xex2d1a.htm" TargetMode="External"/><Relationship Id="rId7" Type="http://schemas.openxmlformats.org/officeDocument/2006/relationships/hyperlink" Target="https://www.sec.gov/Archives/edgar/data/1847986/000149315223010262/ex2-1.htm" TargetMode="External"/><Relationship Id="rId8" Type="http://schemas.openxmlformats.org/officeDocument/2006/relationships/hyperlink" Target="https://www.sec.gov/Archives/edgar/data/1847986/000149315223010262/ex3-1.htm" TargetMode="External"/><Relationship Id="rId9" Type="http://schemas.openxmlformats.org/officeDocument/2006/relationships/hyperlink" Target="https://www.sec.gov/ix?doc=/Archives/edgar/data/1847986/000149315223043109/form8-k.htm" TargetMode="External"/><Relationship Id="rId10" Type="http://schemas.openxmlformats.org/officeDocument/2006/relationships/hyperlink" Target="https://www.sec.gov/Archives/edgar/data/1847986/000149315224047295/ex3-1.htm" TargetMode="External"/><Relationship Id="rId11" Type="http://schemas.openxmlformats.org/officeDocument/2006/relationships/hyperlink" Target="https://www.sec.gov/Archives/edgar/data/1847986/000149315223010262/ex3-2.htm" TargetMode="External"/><Relationship Id="rId12" Type="http://schemas.openxmlformats.org/officeDocument/2006/relationships/hyperlink" Target="https://www.sec.gov/Archives/edgar/data/1847986/000149315225008445/ex3-1.htm" TargetMode="External"/><Relationship Id="rId13" Type="http://schemas.openxmlformats.org/officeDocument/2006/relationships/hyperlink" Target="https://www.sec.gov/Archives/edgar/data/1847986/000110465922107212/tm2222125d3_ex4-1.htm" TargetMode="External"/><Relationship Id="rId14" Type="http://schemas.openxmlformats.org/officeDocument/2006/relationships/hyperlink" Target="https://www.sec.gov/Archives/edgar/data/1847986/000110465922107212/tm2222125d3_ex4-2.htm" TargetMode="External"/><Relationship Id="rId15" Type="http://schemas.openxmlformats.org/officeDocument/2006/relationships/hyperlink" Target="https://www.sec.gov/Archives/edgar/data/1847986/000110465922107212/tm2222125d3_ex4-3.htm" TargetMode="External"/><Relationship Id="rId16" Type="http://schemas.openxmlformats.org/officeDocument/2006/relationships/hyperlink" Target="https://www.sec.gov/Archives/edgar/data/1847986/000110465922110688/dfli-20220630xex4d4.htm" TargetMode="External"/><Relationship Id="rId17" Type="http://schemas.openxmlformats.org/officeDocument/2006/relationships/hyperlink" Target="https://www.sec.gov/Archives/edgar/data/1847986/000149315223012533/ex4-5.htm" TargetMode="External"/><Relationship Id="rId18" Type="http://schemas.openxmlformats.org/officeDocument/2006/relationships/hyperlink" Target="https://www.sec.gov/Archives/edgar/data/1847986/000149315223007147/ex4-1.htm" TargetMode="External"/><Relationship Id="rId19" Type="http://schemas.openxmlformats.org/officeDocument/2006/relationships/hyperlink" Target="https://www.sec.gov/Archives/edgar/data/1847986/000149315223021997/ex4-1.htm" TargetMode="External"/><Relationship Id="rId20" Type="http://schemas.openxmlformats.org/officeDocument/2006/relationships/hyperlink" Target="https://www.sec.gov/Archives/edgar/data/1847986/000149315223021293/ex4-8.htm" TargetMode="External"/><Relationship Id="rId21" Type="http://schemas.openxmlformats.org/officeDocument/2006/relationships/hyperlink" Target="https://www.sec.gov/Archives/edgar/data/1847986/000149315223046623/ex4-1.htm" TargetMode="External"/><Relationship Id="rId22" Type="http://schemas.openxmlformats.org/officeDocument/2006/relationships/hyperlink" Target="https://www.sec.gov/Archives/edgar/data/1847986/000149315224008733/ex4-1.htm" TargetMode="External"/><Relationship Id="rId23" Type="http://schemas.openxmlformats.org/officeDocument/2006/relationships/hyperlink" Target="https://www.sec.gov/Archives/edgar/data/1847986/000149315224008722/ex4-1.htm" TargetMode="External"/><Relationship Id="rId24" Type="http://schemas.openxmlformats.org/officeDocument/2006/relationships/hyperlink" Target="https://www.sec.gov/Archives/edgar/data/1847986/000149315224019360/ex4-3.htm" TargetMode="External"/><Relationship Id="rId25" Type="http://schemas.openxmlformats.org/officeDocument/2006/relationships/hyperlink" Target="https://www.sec.gov/Archives/edgar/data/1847986/000149315224025664/ex4-1.htm" TargetMode="External"/><Relationship Id="rId26" Type="http://schemas.openxmlformats.org/officeDocument/2006/relationships/hyperlink" Target="https://www.sec.gov/Archives/edgar/data/1847986/000149315224040278/ex4-1.htm" TargetMode="External"/><Relationship Id="rId27" Type="http://schemas.openxmlformats.org/officeDocument/2006/relationships/hyperlink" Target="https://www.sec.gov/Archives/edgar/data/1847986/000149315225000307/ex4-1.htm" TargetMode="External"/><Relationship Id="rId28" Type="http://schemas.openxmlformats.org/officeDocument/2006/relationships/hyperlink" Target="https://www.sec.gov/Archives/edgar/data/1847986/000149315225008445/ex4-1.htm" TargetMode="External"/><Relationship Id="rId29" Type="http://schemas.openxmlformats.org/officeDocument/2006/relationships/hyperlink" Target="https://www.sec.gov/Archives/edgar/data/1847986/000149315225008445/ex4-2.htm" TargetMode="External"/><Relationship Id="rId30" Type="http://schemas.openxmlformats.org/officeDocument/2006/relationships/hyperlink" Target="https://www.sec.gov/Archives/edgar/data/1847986/000110465922107212/tm2222125d3_ex10-5.htm" TargetMode="External"/><Relationship Id="rId31" Type="http://schemas.openxmlformats.org/officeDocument/2006/relationships/hyperlink" Target="https://www.sec.gov/Archives/edgar/data/1847986/000110465922107212/tm2222125d3_ex10-6.htm" TargetMode="External"/><Relationship Id="rId32" Type="http://schemas.openxmlformats.org/officeDocument/2006/relationships/hyperlink" Target="https://www.sec.gov/Archives/edgar/data/1847986/000110465922081684/cntq-20210630xex10d11.htm" TargetMode="External"/><Relationship Id="rId33" Type="http://schemas.openxmlformats.org/officeDocument/2006/relationships/hyperlink" Target="https://www.sec.gov/Archives/edgar/data/1847986/000110465922081684/cntq-20210630xex10d12.htm" TargetMode="External"/><Relationship Id="rId34" Type="http://schemas.openxmlformats.org/officeDocument/2006/relationships/hyperlink" Target="https://www.sec.gov/Archives/edgar/data/1847986/000110465922107212/tm2222125d3_ex10-10.htm" TargetMode="External"/><Relationship Id="rId35" Type="http://schemas.openxmlformats.org/officeDocument/2006/relationships/hyperlink" Target="https://www.sec.gov/Archives/edgar/data/1847986/000110465922107212/tm2222125d3_ex10-11.htm" TargetMode="External"/><Relationship Id="rId36" Type="http://schemas.openxmlformats.org/officeDocument/2006/relationships/hyperlink" Target="https://www.sec.gov/Archives/edgar/data/1847986/000110465922107212/tm2222125d3_ex10-12.htm" TargetMode="External"/><Relationship Id="rId37" Type="http://schemas.openxmlformats.org/officeDocument/2006/relationships/hyperlink" Target="https://www.sec.gov/Archives/edgar/data/1847986/000110465922107212/tm2222125d3_ex10-13.htm" TargetMode="External"/><Relationship Id="rId38" Type="http://schemas.openxmlformats.org/officeDocument/2006/relationships/hyperlink" Target="https://www.sec.gov/Archives/edgar/data/1847986/000110465922107212/tm2222125d3_ex10-14.htm" TargetMode="External"/><Relationship Id="rId39" Type="http://schemas.openxmlformats.org/officeDocument/2006/relationships/hyperlink" Target="https://www.sec.gov/Archives/edgar/data/1847986/000110465922107212/tm2222125d3_ex10-15.htm" TargetMode="External"/><Relationship Id="rId40" Type="http://schemas.openxmlformats.org/officeDocument/2006/relationships/hyperlink" Target="https://www.sec.gov/Archives/edgar/data/1847986/000110465922107212/tm2222125d3_ex10-17.htm" TargetMode="External"/><Relationship Id="rId41" Type="http://schemas.openxmlformats.org/officeDocument/2006/relationships/hyperlink" Target="https://www.sec.gov/Archives/edgar/data/1847986/000110465922107212/tm2222125d3_ex10-19.htm" TargetMode="External"/><Relationship Id="rId42" Type="http://schemas.openxmlformats.org/officeDocument/2006/relationships/hyperlink" Target="https://www.sec.gov/Archives/edgar/data/1847986/000110465922107212/tm2222125d3_ex10-20.htm" TargetMode="External"/><Relationship Id="rId43" Type="http://schemas.openxmlformats.org/officeDocument/2006/relationships/hyperlink" Target="https://www.sec.gov/Archives/edgar/data/1847986/000110465922107212/tm2222125d3_ex10-21.htm" TargetMode="External"/><Relationship Id="rId44" Type="http://schemas.openxmlformats.org/officeDocument/2006/relationships/hyperlink" Target="https://www.sec.gov/Archives/edgar/data/1847986/000110465922114961/dfli-20220630xex10d23.htm" TargetMode="External"/><Relationship Id="rId45" Type="http://schemas.openxmlformats.org/officeDocument/2006/relationships/hyperlink" Target="https://www.sec.gov/Archives/edgar/data/1847986/000110465922114961/dfli-20220630xex10d24.htm" TargetMode="External"/><Relationship Id="rId46" Type="http://schemas.openxmlformats.org/officeDocument/2006/relationships/hyperlink" Target="https://www.sec.gov/Archives/edgar/data/1847986/000149315223006564/ex10-1.htm" TargetMode="External"/><Relationship Id="rId47" Type="http://schemas.openxmlformats.org/officeDocument/2006/relationships/hyperlink" Target="https://www.sec.gov/Archives/edgar/data/1847986/000149315223012533/ex10-28.htm" TargetMode="External"/><Relationship Id="rId48" Type="http://schemas.openxmlformats.org/officeDocument/2006/relationships/hyperlink" Target="https://www.sec.gov/Archives/edgar/data/1847986/000149315223012533/ex10-29.htm" TargetMode="External"/><Relationship Id="rId49" Type="http://schemas.openxmlformats.org/officeDocument/2006/relationships/hyperlink" Target="https://www.sec.gov/Archives/edgar/data/1847986/000149315223012533/ex10-30.htm" TargetMode="External"/><Relationship Id="rId50" Type="http://schemas.openxmlformats.org/officeDocument/2006/relationships/hyperlink" Target="https://www.sec.gov/Archives/edgar/data/1847986/000149315223012533/ex10-31.htm" TargetMode="External"/><Relationship Id="rId51" Type="http://schemas.openxmlformats.org/officeDocument/2006/relationships/hyperlink" Target="https://www.sec.gov/Archives/edgar/data/1847986/000149315223012533/ex10-31.htm" TargetMode="External"/><Relationship Id="rId52" Type="http://schemas.openxmlformats.org/officeDocument/2006/relationships/hyperlink" Target="https://www.sec.gov/Archives/edgar/data/1847986/000149315223012533/ex10-33.htm" TargetMode="External"/><Relationship Id="rId53" Type="http://schemas.openxmlformats.org/officeDocument/2006/relationships/hyperlink" Target="https://www.sec.gov/Archives/edgar/data/1847986/000149315223012533/ex10-34.htm" TargetMode="External"/><Relationship Id="rId54" Type="http://schemas.openxmlformats.org/officeDocument/2006/relationships/hyperlink" Target="https://www.sec.gov/Archives/edgar/data/1847986/000149315223012533/ex10-35.htm" TargetMode="External"/><Relationship Id="rId55" Type="http://schemas.openxmlformats.org/officeDocument/2006/relationships/hyperlink" Target="https://www.sec.gov/Archives/edgar/data/1847986/000149315223012533/ex10-36.htm" TargetMode="External"/><Relationship Id="rId56" Type="http://schemas.openxmlformats.org/officeDocument/2006/relationships/hyperlink" Target="https://www.sec.gov/Archives/edgar/data/1847986/000149315223012533/ex10-37.htm" TargetMode="External"/><Relationship Id="rId57" Type="http://schemas.openxmlformats.org/officeDocument/2006/relationships/hyperlink" Target="https://www.sec.gov/Archives/edgar/data/1847986/000149315223012533/ex10-38.htm" TargetMode="External"/><Relationship Id="rId58" Type="http://schemas.openxmlformats.org/officeDocument/2006/relationships/hyperlink" Target="https://www.sec.gov/Archives/edgar/data/1847986/000149315223009479/ex10-1.htm" TargetMode="External"/><Relationship Id="rId59" Type="http://schemas.openxmlformats.org/officeDocument/2006/relationships/hyperlink" Target="https://www.sec.gov/Archives/edgar/data/1847986/000149315223046623/ex10-1.htm" TargetMode="External"/><Relationship Id="rId60" Type="http://schemas.openxmlformats.org/officeDocument/2006/relationships/hyperlink" Target="https://www.sec.gov/Archives/edgar/data/1847986/000149315224014831/ex10-42.htm" TargetMode="External"/><Relationship Id="rId61" Type="http://schemas.openxmlformats.org/officeDocument/2006/relationships/hyperlink" Target="https://www.sec.gov/Archives/edgar/data/1847986/000149315224014831/ex10-43.htm" TargetMode="External"/><Relationship Id="rId62" Type="http://schemas.openxmlformats.org/officeDocument/2006/relationships/hyperlink" Target="https://www.sec.gov/Archives/edgar/data/1847986/000149315224014831/ex10-44.htm" TargetMode="External"/><Relationship Id="rId63" Type="http://schemas.openxmlformats.org/officeDocument/2006/relationships/hyperlink" Target="https://www.sec.gov/Archives/edgar/data/1847986/000149315224014831/ex10-45.htm" TargetMode="External"/><Relationship Id="rId64" Type="http://schemas.openxmlformats.org/officeDocument/2006/relationships/hyperlink" Target="https://www.sec.gov/Archives/edgar/data/1847986/000149315224014831/ex10-46.htm" TargetMode="External"/><Relationship Id="rId65" Type="http://schemas.openxmlformats.org/officeDocument/2006/relationships/hyperlink" Target="https://www.sec.gov/Archives/edgar/data/1847986/000149315224014831/ex10-47.htm" TargetMode="External"/><Relationship Id="rId66" Type="http://schemas.openxmlformats.org/officeDocument/2006/relationships/hyperlink" Target="https://www.sec.gov/Archives/edgar/data/1847986/000149315224019360/ex10-1.htm" TargetMode="External"/><Relationship Id="rId67" Type="http://schemas.openxmlformats.org/officeDocument/2006/relationships/hyperlink" Target="https://www.sec.gov/Archives/edgar/data/1847986/000149315224020704/ex10-1.htm" TargetMode="External"/><Relationship Id="rId68" Type="http://schemas.openxmlformats.org/officeDocument/2006/relationships/hyperlink" Target="https://www.sec.gov/Archives/edgar/data/1847986/000149315224025664/ex10-1.htm" TargetMode="External"/><Relationship Id="rId69" Type="http://schemas.openxmlformats.org/officeDocument/2006/relationships/hyperlink" Target="https://www.sec.gov/Archives/edgar/data/1847986/000149315224029924/ex10-1.htm" TargetMode="External"/><Relationship Id="rId70" Type="http://schemas.openxmlformats.org/officeDocument/2006/relationships/hyperlink" Target="https://www.sec.gov/Archives/edgar/data/1847986/000149315224029924/ex10-2.htm" TargetMode="External"/><Relationship Id="rId71" Type="http://schemas.openxmlformats.org/officeDocument/2006/relationships/hyperlink" Target="https://www.sec.gov/Archives/edgar/data/1847986/000149315224029924/ex10-3.htm" TargetMode="External"/><Relationship Id="rId72" Type="http://schemas.openxmlformats.org/officeDocument/2006/relationships/hyperlink" Target="https://www.sec.gov/Archives/edgar/data/1847986/000149315224029924/ex10-4.htm" TargetMode="External"/><Relationship Id="rId73" Type="http://schemas.openxmlformats.org/officeDocument/2006/relationships/hyperlink" Target="https://www.sec.gov/Archives/edgar/data/1847986/000149315224040278/ex10-1.htm" TargetMode="External"/><Relationship Id="rId74" Type="http://schemas.openxmlformats.org/officeDocument/2006/relationships/hyperlink" Target="https://www.sec.gov/Archives/edgar/data/1847986/000149315225000307/ex10-1.htm" TargetMode="External"/><Relationship Id="rId75" Type="http://schemas.openxmlformats.org/officeDocument/2006/relationships/hyperlink" Target="https://www.sec.gov/Archives/edgar/data/1847986/000149315225000307/ex10-2.htm" TargetMode="External"/><Relationship Id="rId76" Type="http://schemas.openxmlformats.org/officeDocument/2006/relationships/hyperlink" Target="https://www.sec.gov/Archives/edgar/data/1847986/000149315225005013/ex10-1.htm" TargetMode="External"/><Relationship Id="rId77" Type="http://schemas.openxmlformats.org/officeDocument/2006/relationships/hyperlink" Target="https://www.sec.gov/Archives/edgar/data/1847986/000149315225008445/ex10-1.htm" TargetMode="External"/><Relationship Id="rId78" Type="http://schemas.openxmlformats.org/officeDocument/2006/relationships/hyperlink" Target="https://www.sec.gov/Archives/edgar/data/1847986/000149315225008445/ex10-2.htm" TargetMode="External"/><Relationship Id="rId79" Type="http://schemas.openxmlformats.org/officeDocument/2006/relationships/hyperlink" Target="https://www.sec.gov/Archives/edgar/data/1847986/000149315225008445/ex10-3.htm" TargetMode="External"/><Relationship Id="rId80" Type="http://schemas.openxmlformats.org/officeDocument/2006/relationships/hyperlink" Target="https://www.sec.gov/Archives/edgar/data/1847986/000149315225008445/ex10-4.htm" TargetMode="External"/><Relationship Id="rId81" Type="http://schemas.openxmlformats.org/officeDocument/2006/relationships/hyperlink" Target="https://www.sec.gov/Archives/edgar/data/1847986/000164117225000298/ex16-1.htm" TargetMode="External"/><Relationship Id="rId82" Type="http://schemas.openxmlformats.org/officeDocument/2006/relationships/hyperlink" Target="https://www.sec.gov/Archives/edgar/data/1847986/000149315224014831/ex97-1.htm" TargetMode="External"/><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99029</Words>
  <Characters>537816</Characters>
  <CharactersWithSpaces>640116</CharactersWithSpaces>
  <Paragraphs>13976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