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505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May 15,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5"/>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B_edei--EntityFileNumber_c20250515"/>
            <w:bookmarkEnd w:id="6"/>
            <w:r>
              <w:rPr>
                <w:rFonts w:ascii="Times New Roman;Times;Serif" w:hAnsi="Times New Roman;Times;Serif"/>
                <w:b/>
                <w:i w:val="false"/>
                <w:caps w:val="false"/>
                <w:smallCaps w:val="false"/>
                <w:sz w:val="20"/>
              </w:rPr>
              <w:t>001-40730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12915 Old Virginia Road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 xml:space="preserve">Reno, </w:t>
            </w:r>
            <w:bookmarkStart w:id="10" w:name="xdx_90B_edei--EntityAddressStateOrProvin"/>
            <w:bookmarkEnd w:id="10"/>
            <w:r>
              <w:rPr>
                <w:rFonts w:ascii="Times New Roman;Times;Serif" w:hAnsi="Times New Roman;Times;Serif"/>
                <w:b/>
                <w:i w:val="false"/>
                <w:caps w:val="false"/>
                <w:smallCaps w:val="false"/>
                <w:sz w:val="20"/>
              </w:rPr>
              <w:t xml:space="preserve">Nevada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0_edei--EntityAddressPostalZipCode"/>
            <w:bookmarkEnd w:id="11"/>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xdx_90D_edei--CityAreaCode_c20250515__20"/>
      <w:bookmarkEnd w:id="12"/>
      <w:r>
        <w:rPr>
          <w:rFonts w:ascii="Times New Roman;Times;Serif" w:hAnsi="Times New Roman;Times;Serif"/>
          <w:b/>
          <w:i w:val="false"/>
          <w:caps w:val="false"/>
          <w:smallCaps w:val="false"/>
          <w:sz w:val="20"/>
          <w:u w:val="single"/>
        </w:rPr>
        <w:t xml:space="preserve">(775) </w:t>
      </w:r>
      <w:bookmarkStart w:id="13" w:name="xdx_902_edei--LocalPhoneNumber_c20250515"/>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C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E_edei--SolicitingMaterial_c202505"/>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50515"/>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TradingSymbol_c20250515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E_edei--SecurityExchangeName_c2025"/>
            <w:bookmarkEnd w:id="20"/>
            <w:r>
              <w:rPr>
                <w:rFonts w:ascii="Times New Roman;Times;Serif" w:hAnsi="Times New Roman;Times;Serif"/>
                <w:b w:val="false"/>
                <w:i w:val="false"/>
                <w:caps w:val="false"/>
                <w:smallCaps w:val="false"/>
                <w:sz w:val="20"/>
              </w:rPr>
              <w:t>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12bTitle_c20250515"/>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TradingSymbol_c20250515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9_edei--SecurityExchangeName_c2025"/>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2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A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2025, Dragonfly Energy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an earnings release disclosing certain information regarding its results of operations for the first quarter ended March 31, 2025. Following the publication of the press release, the Company will host an earnings call at 4:30 p.m. (Eastern Time) on May 15, 2025, via a webcast. During the webcast, the Company’s financial results for the first quarter ended March 31, 2025 will be discussed. A copy of the press release is attached as Exhibit 99.1 hereto and incorporated in this Item 2.02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 and Financial Condition”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Items 2.02 and 7.01, including the information contained in Exhibit 99.1, is being furnished to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and shall not be deemed to be “filed” for the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80"/>
        <w:gridCol w:w="60"/>
        <w:gridCol w:w="6530"/>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Dragonfly Energy Holdings Corp., dated May 15, 2025.</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1760"/>
        <w:gridCol w:w="635"/>
        <w:gridCol w:w="567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15, 2025</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Denis Phares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954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4191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Reports First Quarter 2025 Results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Net Sales and Adjusted EBITDA Above Guidance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OEM Net Sales Increased 11% Year-Over-Year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Optimization Program Enhances Operational Efficiencies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Guides to Second Quarter Net Sales of Approximately $14.8 Million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First Quarter 2025 Financial Highlights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comparisons made are against the prior-year period)</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$13.4 million, compared to $12.5 million, up 6.8%.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 net sales were $8.1 million, compared to $7.3 million, up 10.8%.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29.4%, compared to 24.4%, up 500 basis points.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$(6.8) million, compared to $(10.4)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$(3.6) million, compared to $(5.2)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RENO, NEVADA (May 15, 2025)</w:t>
      </w:r>
      <w:r>
        <w:rPr>
          <w:rFonts w:ascii="Times New Roman;Times;Serif" w:hAnsi="Times New Roman;Times;Serif"/>
          <w:b w:val="false"/>
          <w:i w:val="false"/>
          <w:caps w:val="false"/>
          <w:smallCaps w:val="false"/>
          <w:sz w:val="20"/>
        </w:rPr>
        <w:t xml:space="preserve"> — Dragonfly Energy Holdings Corp. (“Dragonfly Energy” or the “Company”) (Nasdaq: DFLI), an industry leader in energy storage and battery technology, today reported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financial and operational results for the first quarter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report a second consecutive quarter of year-over-year revenue growth, driven by demand from OEM customers, demonstrating the strength of our long-term partnerships, proprietary product offerings and compelling value propositions,” commented Dr. Denis Phares, Chief Executive Officer. “While the RV market continues to navigate headwinds, we are seeing encouraging customer adoption trends, along with continued penetration of the large heavy duty trucking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first quarter of 2025, we continued to implement our corporate optimization initiative, prioritizing product development to drive near term revenue and profit. For instance, this strategic shift is accelerating our development of purpose-built solutions for the trucking and industrial markets, resulting in the recent launch of our Battle Born DualFlow Power Pack, a practical, cost-effective hybrid electrification solution for the trucking industry.”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have also focused on optimizing our manufacturing efficiency and throughput, enabling us to increase our production capacity without the need for increased headcount,” continued Dr. Phares. “We believe these operational improvements, together with the capital raise completed in February 2025, provide the foundation for our path to revenue growth and profitability.”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2025 Financial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result comparisons made are against the prior-year period unless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 by Customer Type</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283"/>
        <w:jc w:val="left"/>
        <w:rPr/>
      </w:pPr>
      <w:r>
        <w:rPr/>
        <w:t> </w:t>
      </w:r>
    </w:p>
    <w:tbl>
      <w:tblPr>
        <w:tblW w:w="6712" w:type="dxa"/>
        <w:jc w:val="left"/>
        <w:tblInd w:w="0" w:type="dxa"/>
        <w:tblLayout w:type="fixed"/>
        <w:tblCellMar>
          <w:top w:w="0" w:type="dxa"/>
          <w:left w:w="0" w:type="dxa"/>
          <w:bottom w:w="0" w:type="dxa"/>
          <w:right w:w="0" w:type="dxa"/>
        </w:tblCellMar>
      </w:tblPr>
      <w:tblGrid>
        <w:gridCol w:w="1430"/>
        <w:gridCol w:w="60"/>
        <w:gridCol w:w="273"/>
        <w:gridCol w:w="1336"/>
        <w:gridCol w:w="75"/>
        <w:gridCol w:w="75"/>
        <w:gridCol w:w="273"/>
        <w:gridCol w:w="1336"/>
        <w:gridCol w:w="60"/>
        <w:gridCol w:w="60"/>
        <w:gridCol w:w="179"/>
        <w:gridCol w:w="1325"/>
        <w:gridCol w:w="230"/>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Fiscal Quarter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(YoY)</w:t>
            </w:r>
          </w:p>
        </w:tc>
        <w:tc>
          <w:tcPr>
            <w:tcW w:w="230"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rPr>
            </w:pPr>
            <w:r>
              <w:rPr>
                <w:b/>
              </w:rPr>
              <w:t>OEM</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8,091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7,302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10.8</w:t>
            </w:r>
          </w:p>
        </w:tc>
        <w:tc>
          <w:tcPr>
            <w:tcW w:w="23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left"/>
              <w:rPr>
                <w:b/>
              </w:rPr>
            </w:pPr>
            <w:r>
              <w:rPr>
                <w:b/>
              </w:rPr>
              <w:t>DTC</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w:t>
            </w:r>
          </w:p>
        </w:tc>
        <w:tc>
          <w:tcPr>
            <w:tcW w:w="1336" w:type="dxa"/>
            <w:tcBorders/>
            <w:shd w:fill="FFFFFF" w:val="clear"/>
            <w:vAlign w:val="center"/>
          </w:tcPr>
          <w:p>
            <w:pPr>
              <w:pStyle w:val="TableContents"/>
              <w:bidi w:val="0"/>
              <w:spacing w:before="0" w:after="283"/>
              <w:jc w:val="right"/>
              <w:rPr/>
            </w:pPr>
            <w:r>
              <w:rPr/>
              <w:t>5,015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w:t>
            </w:r>
          </w:p>
        </w:tc>
        <w:tc>
          <w:tcPr>
            <w:tcW w:w="1336" w:type="dxa"/>
            <w:tcBorders/>
            <w:shd w:fill="FFFFFF" w:val="clear"/>
            <w:vAlign w:val="center"/>
          </w:tcPr>
          <w:p>
            <w:pPr>
              <w:pStyle w:val="TableContents"/>
              <w:bidi w:val="0"/>
              <w:spacing w:before="0" w:after="283"/>
              <w:jc w:val="right"/>
              <w:rPr/>
            </w:pPr>
            <w:r>
              <w:rPr/>
              <w:t>5,203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-3.6</w:t>
            </w:r>
          </w:p>
        </w:tc>
        <w:tc>
          <w:tcPr>
            <w:tcW w:w="230" w:type="dxa"/>
            <w:tcBorders/>
            <w:shd w:fill="FFFFFF" w:val="clear"/>
            <w:vAlign w:val="center"/>
          </w:tcPr>
          <w:p>
            <w:pPr>
              <w:pStyle w:val="TableContents"/>
              <w:bidi w:val="0"/>
              <w:spacing w:before="0" w:after="283"/>
              <w:jc w:val="left"/>
              <w:rPr/>
            </w:pPr>
            <w:r>
              <w:rPr/>
              <w:t>%</w:t>
            </w:r>
          </w:p>
        </w:tc>
      </w:tr>
      <w:tr>
        <w:trPr/>
        <w:tc>
          <w:tcPr>
            <w:tcW w:w="1430" w:type="dxa"/>
            <w:tcBorders/>
            <w:shd w:fill="CCEEFF" w:val="clear"/>
            <w:vAlign w:val="center"/>
          </w:tcPr>
          <w:p>
            <w:pPr>
              <w:pStyle w:val="TableContents"/>
              <w:bidi w:val="0"/>
              <w:spacing w:before="0" w:after="283"/>
              <w:jc w:val="left"/>
              <w:rPr>
                <w:b/>
              </w:rPr>
            </w:pPr>
            <w:r>
              <w:rPr>
                <w:b/>
              </w:rPr>
              <w:t>Licensing Fee</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336" w:type="dxa"/>
            <w:tcBorders>
              <w:bottom w:val="single" w:sz="8" w:space="0" w:color="000000"/>
            </w:tcBorders>
            <w:shd w:fill="CCEEFF" w:val="clear"/>
            <w:tcMar>
              <w:bottom w:w="28" w:type="dxa"/>
            </w:tcMar>
            <w:vAlign w:val="center"/>
          </w:tcPr>
          <w:p>
            <w:pPr>
              <w:pStyle w:val="TableContents"/>
              <w:bidi w:val="0"/>
              <w:spacing w:before="0" w:after="283"/>
              <w:jc w:val="right"/>
              <w:rPr/>
            </w:pPr>
            <w:r>
              <w:rPr/>
              <w:t>250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3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b/>
              </w:rPr>
            </w:pPr>
            <w:r>
              <w:rPr>
                <w:b/>
              </w:rPr>
              <w:t>Net Sales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w:t>
            </w:r>
          </w:p>
        </w:tc>
        <w:tc>
          <w:tcPr>
            <w:tcW w:w="1336" w:type="dxa"/>
            <w:tcBorders/>
            <w:shd w:fill="FFFFFF" w:val="clear"/>
            <w:vAlign w:val="center"/>
          </w:tcPr>
          <w:p>
            <w:pPr>
              <w:pStyle w:val="TableContents"/>
              <w:bidi w:val="0"/>
              <w:spacing w:before="0" w:after="283"/>
              <w:jc w:val="right"/>
              <w:rPr/>
            </w:pPr>
            <w:r>
              <w:rPr/>
              <w:t>13,356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w:t>
            </w:r>
          </w:p>
        </w:tc>
        <w:tc>
          <w:tcPr>
            <w:tcW w:w="1336" w:type="dxa"/>
            <w:tcBorders/>
            <w:shd w:fill="FFFFFF" w:val="clear"/>
            <w:vAlign w:val="center"/>
          </w:tcPr>
          <w:p>
            <w:pPr>
              <w:pStyle w:val="TableContents"/>
              <w:bidi w:val="0"/>
              <w:spacing w:before="0" w:after="283"/>
              <w:jc w:val="right"/>
              <w:rPr/>
            </w:pPr>
            <w:r>
              <w:rPr/>
              <w:t>12,505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6.8</w:t>
            </w:r>
          </w:p>
        </w:tc>
        <w:tc>
          <w:tcPr>
            <w:tcW w:w="23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6.8% to $13.4 million. OEM net sales grew 10.8% to $8.1 million, driven by increased adoption on new models by existing customers. DTC net sales were $5.0 million compared to $5.2 million, reflecting ongoing macroeconomic pressures.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28.7% to $3.9 million. Gross Margin was 29.4%, up 500 basis points from 24.4%, due to higher volume. Operating Expenses were $9.8 million, compared to $8.9 million. The increase was primarily due to one-time expenses related to patent litigation and the capital raise completed in February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Loss of $(6.8) million, or $(0.93) per diluted share, compared to Net Loss of $(10.4) million or $(1.55) per diluted share. Adjusted EBITDA excluding stock-based compensation, changes in the fair market value of our warrants, and other one-time expenses, was $(3.6) million, compared to $(5.2)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and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believe Dragonfly Energy’s growing U.S.-based production capabilities—including direct control over final assembly—along with our strategic onshoring of select components, will help strengthen our competitive position in today’s volatile tariff environment. In parallel, we are taking steps to mitigate tariff-related impacts by negotiating favorable terms with suppliers and working closely with key customers regarding potential price adjustments. We remain optimistic in our ability to navigate the current macro environment while continuing to execute on our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second quarter we anticipate net sales of $14.8 million, representing year-over-year growth of approximately 12%. Our strategic priorities for the year remain focused on driving value through product innovation, revenue diversification, and prudent cost management” Dr. Phares concluded.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Q2 2025</w:t>
      </w:r>
      <w:r>
        <w:rPr>
          <w:rFonts w:ascii="Times New Roman;Times;Serif" w:hAnsi="Times New Roman;Times;Serif"/>
          <w:b/>
          <w:i w:val="false"/>
          <w:caps w:val="false"/>
          <w:smallCaps w:val="false"/>
          <w:sz w:val="20"/>
        </w:rPr>
        <w:t xml:space="preserve"> Guidance</w:t>
      </w:r>
    </w:p>
    <w:p>
      <w:pPr>
        <w:pStyle w:val="TextBody"/>
        <w:bidi w:val="0"/>
        <w:spacing w:before="0" w:after="0"/>
        <w:ind w:left="0" w:right="0" w:hanging="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approximately $14.8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approximately $(3.5) million</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Dragonfly Energy management team will host a conference call to discuss its first quarter 2025 financial and operational this afternoon, May 15, 2025, at 4:30PM Eastern Time. The call can be accessed live via webcast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through the Events and Presentations page within the Investor Relations section of Dragonfly Energy’s website at </w:t>
      </w:r>
      <w:r>
        <w:rPr>
          <w:rFonts w:ascii="Times New Roman;Times;Serif" w:hAnsi="Times New Roman;Times;Serif"/>
          <w:b w:val="false"/>
          <w:i w:val="false"/>
          <w:caps w:val="false"/>
          <w:smallCaps w:val="false"/>
          <w:sz w:val="20"/>
          <w:u w:val="single"/>
        </w:rPr>
        <w:t>https://investors.dragonflyenergy.com/events-and-presentations/default.aspx.</w:t>
      </w:r>
      <w:r>
        <w:rPr>
          <w:rFonts w:ascii="Times New Roman;Times;Serif" w:hAnsi="Times New Roman;Times;Serif"/>
          <w:b w:val="false"/>
          <w:i w:val="false"/>
          <w:caps w:val="false"/>
          <w:smallCaps w:val="false"/>
          <w:sz w:val="20"/>
        </w:rPr>
        <w:t xml:space="preserve"> The call can also be accessed live via telephone by dialing (646) 564-2877, toll-free in North America (800) 549-8228, or for international callers +1 (289) 819-1520, and referencing conference ID: 76172. Please log in to the webcast or dial in to the call at least 10 minutes prior to the start of the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archive of the webcast will be available for a period of time shortly after the call on the Events and Presentations page on the Investor Relations section of Dragonfly Energy’s website, along with the earnings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 Energy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Dragonfly Energy and its commitment to clean energy advancements, visit </w:t>
      </w:r>
      <w:r>
        <w:rPr>
          <w:rFonts w:ascii="Times New Roman;Times;Serif" w:hAnsi="Times New Roman;Times;Serif"/>
          <w:b w:val="false"/>
          <w:i w:val="false"/>
          <w:caps w:val="false"/>
          <w:smallCaps w:val="false"/>
          <w:sz w:val="20"/>
          <w:u w:val="single"/>
        </w:rPr>
        <w:t>https://investors.dragonflyenergy.com/.</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2025,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THOR Industries and THOR Industries’ affiliated brands (including Keystone RV Company); the Company’s ability to maintain the listing of its common stock and public warrants on the Nasdaq Capital Market;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2024 to be filed with the SEC and in the Company’s subsequent filings with the SEC available at </w:t>
      </w:r>
      <w:r>
        <w:rPr>
          <w:rFonts w:ascii="Times New Roman;Times;Serif" w:hAnsi="Times New Roman;Times;Serif"/>
          <w:b w:val="false"/>
          <w:i w:val="false"/>
          <w:caps w:val="false"/>
          <w:smallCaps w:val="false"/>
          <w:sz w:val="20"/>
          <w:u w:val="single"/>
        </w:rPr>
        <w:t>www.sec.gov.</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420"/>
        <w:gridCol w:w="60"/>
        <w:gridCol w:w="177"/>
        <w:gridCol w:w="954"/>
        <w:gridCol w:w="95"/>
        <w:gridCol w:w="60"/>
        <w:gridCol w:w="206"/>
        <w:gridCol w:w="1120"/>
        <w:gridCol w:w="113"/>
      </w:tblGrid>
      <w:tr>
        <w:trPr/>
        <w:tc>
          <w:tcPr>
            <w:tcW w:w="7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12" w:type="dxa"/>
            <w:gridSpan w:val="6"/>
            <w:tcBorders>
              <w:bottom w:val="single" w:sz="8" w:space="0" w:color="000000"/>
            </w:tcBorders>
            <w:tcMar>
              <w:bottom w:w="28" w:type="dxa"/>
            </w:tcMar>
            <w:vAlign w:val="center"/>
          </w:tcPr>
          <w:p>
            <w:pPr>
              <w:pStyle w:val="TableContents"/>
              <w:bidi w:val="0"/>
              <w:spacing w:before="0" w:after="283"/>
              <w:jc w:val="center"/>
              <w:rPr/>
            </w:pPr>
            <w:r>
              <w:rPr/>
              <w:t>As of</w:t>
            </w:r>
          </w:p>
        </w:tc>
        <w:tc>
          <w:tcPr>
            <w:tcW w:w="113" w:type="dxa"/>
            <w:tcBorders/>
            <w:vAlign w:val="center"/>
          </w:tcPr>
          <w:p>
            <w:pPr>
              <w:pStyle w:val="TableContents"/>
              <w:bidi w:val="0"/>
              <w:spacing w:before="0" w:after="283"/>
              <w:jc w:val="center"/>
              <w:rPr/>
            </w:pPr>
            <w:r>
              <w:rPr/>
              <w:t> </w:t>
            </w:r>
          </w:p>
        </w:tc>
      </w:tr>
      <w:tr>
        <w:trPr/>
        <w:tc>
          <w:tcPr>
            <w:tcW w:w="7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1" w:type="dxa"/>
            <w:gridSpan w:val="2"/>
            <w:tcBorders>
              <w:bottom w:val="single" w:sz="8" w:space="0" w:color="000000"/>
            </w:tcBorders>
            <w:tcMar>
              <w:bottom w:w="28" w:type="dxa"/>
            </w:tcMar>
            <w:vAlign w:val="center"/>
          </w:tcPr>
          <w:p>
            <w:pPr>
              <w:pStyle w:val="TableContents"/>
              <w:bidi w:val="0"/>
              <w:spacing w:before="0" w:after="283"/>
              <w:jc w:val="center"/>
              <w:rPr/>
            </w:pPr>
            <w:r>
              <w:rPr/>
              <w:t>March 31,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6" w:type="dxa"/>
            <w:gridSpan w:val="2"/>
            <w:tcBorders>
              <w:bottom w:val="single" w:sz="8" w:space="0" w:color="000000"/>
            </w:tcBorders>
            <w:tcMar>
              <w:bottom w:w="28" w:type="dxa"/>
            </w:tcMar>
            <w:vAlign w:val="center"/>
          </w:tcPr>
          <w:p>
            <w:pPr>
              <w:pStyle w:val="TableContents"/>
              <w:bidi w:val="0"/>
              <w:spacing w:before="0" w:after="283"/>
              <w:jc w:val="center"/>
              <w:rPr/>
            </w:pPr>
            <w:r>
              <w:rPr/>
              <w:t>December 31, 2024</w:t>
            </w:r>
          </w:p>
        </w:tc>
        <w:tc>
          <w:tcPr>
            <w:tcW w:w="113" w:type="dxa"/>
            <w:tcBorders/>
            <w:vAlign w:val="center"/>
          </w:tcPr>
          <w:p>
            <w:pPr>
              <w:pStyle w:val="TableContents"/>
              <w:bidi w:val="0"/>
              <w:spacing w:before="0" w:after="283"/>
              <w:jc w:val="center"/>
              <w:rPr/>
            </w:pPr>
            <w:r>
              <w:rPr/>
              <w:t> </w:t>
            </w:r>
          </w:p>
        </w:tc>
      </w:tr>
      <w:tr>
        <w:trPr/>
        <w:tc>
          <w:tcPr>
            <w:tcW w:w="7420"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954" w:type="dxa"/>
            <w:tcBorders/>
            <w:shd w:fill="FFFFFF" w:val="clear"/>
            <w:vAlign w:val="center"/>
          </w:tcPr>
          <w:p>
            <w:pPr>
              <w:pStyle w:val="TableContents"/>
              <w:bidi w:val="0"/>
              <w:spacing w:before="0" w:after="283"/>
              <w:jc w:val="right"/>
              <w:rPr/>
            </w:pPr>
            <w:r>
              <w:rPr/>
              <w:t>2,803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20" w:type="dxa"/>
            <w:tcBorders/>
            <w:shd w:fill="FFFFFF" w:val="clear"/>
            <w:vAlign w:val="center"/>
          </w:tcPr>
          <w:p>
            <w:pPr>
              <w:pStyle w:val="TableContents"/>
              <w:bidi w:val="0"/>
              <w:spacing w:before="0" w:after="283"/>
              <w:jc w:val="right"/>
              <w:rPr/>
            </w:pPr>
            <w:r>
              <w:rPr/>
              <w:t>4,849</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2,416</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21,728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21,716</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806</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1,362</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307</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Assets held of sale</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644</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825</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33,448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32,925</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b/>
              </w:rPr>
            </w:pPr>
            <w:r>
              <w:rPr>
                <w:b/>
              </w:rPr>
              <w:t>Property and Equipment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21,252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22,107</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Operating lease right of use asset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19,079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19,737</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445</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75,214</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954" w:type="dxa"/>
            <w:tcBorders/>
            <w:shd w:fill="FFFFFF" w:val="clear"/>
            <w:vAlign w:val="center"/>
          </w:tcPr>
          <w:p>
            <w:pPr>
              <w:pStyle w:val="TableContents"/>
              <w:bidi w:val="0"/>
              <w:spacing w:before="0" w:after="283"/>
              <w:jc w:val="right"/>
              <w:rPr/>
            </w:pPr>
            <w:r>
              <w:rPr/>
              <w:t>13,012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20" w:type="dxa"/>
            <w:tcBorders/>
            <w:shd w:fill="FFFFFF" w:val="clear"/>
            <w:vAlign w:val="center"/>
          </w:tcPr>
          <w:p>
            <w:pPr>
              <w:pStyle w:val="TableContents"/>
              <w:bidi w:val="0"/>
              <w:spacing w:before="0" w:after="283"/>
              <w:jc w:val="right"/>
              <w:rPr/>
            </w:pPr>
            <w:r>
              <w:rPr/>
              <w:t>10,716</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4,129</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1,945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1,915</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Accrued settlement, current portion</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750</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317</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Deferred revenue, current portion</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1,000</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Uncertain tax position liability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55</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Operating lease liability, current portion</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2,985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2,926</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Financing lease liability, current portion</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47</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24,370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21,855</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3,583</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2,011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5,133</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Accrued settlement, net of current portion</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1,750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1,750</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Notes payable, net of debt issuance costs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33,624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29,646</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21,823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22,588</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Financing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pPr>
            <w:r>
              <w:rPr/>
              <w:t>62,592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pPr>
            <w:r>
              <w:rPr/>
              <w:t>62,763</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86,962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84,618</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b/>
              </w:rPr>
            </w:pPr>
            <w:r>
              <w:rPr>
                <w:b/>
              </w:rPr>
              <w:t>Commitments and Contingencies (See Note 5)</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b/>
              </w:rPr>
            </w:pPr>
            <w:r>
              <w:rPr>
                <w:b/>
              </w:rPr>
              <w:t>Series A Preferred stock</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Preferred stock-Series A 5,000 shares at $0.0001 par value, authorized,</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320 and 0 shares issued and outstanding as of March 31, 2025 and</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December 31, 2024, respectively</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b/>
              </w:rPr>
            </w:pPr>
            <w:r>
              <w:rPr>
                <w:b/>
              </w:rPr>
              <w:t>Stockholders’ (Deficit) Equity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Preferred stock, 4,995,000 shares at $0.0001 par value, authorized, no shares issued and outstanding as of March 31,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Common stock, 250,000,000 shares at $0.0001 par value, authorized, 7,589,642 and 6,695,587 shares issued and outstanding as of March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right"/>
              <w:rPr/>
            </w:pPr>
            <w:r>
              <w:rPr/>
              <w:t>1</w:t>
            </w:r>
          </w:p>
        </w:tc>
        <w:tc>
          <w:tcPr>
            <w:tcW w:w="113" w:type="dxa"/>
            <w:tcBorders/>
            <w:shd w:fill="FFFFFF" w:val="clear"/>
            <w:vAlign w:val="center"/>
          </w:tcPr>
          <w:p>
            <w:pPr>
              <w:pStyle w:val="TableContents"/>
              <w:bidi w:val="0"/>
              <w:spacing w:before="0" w:after="283"/>
              <w:jc w:val="left"/>
              <w:rPr/>
            </w:pPr>
            <w:r>
              <w:rPr/>
              <w:t> </w:t>
            </w:r>
          </w:p>
        </w:tc>
      </w:tr>
      <w:tr>
        <w:trPr/>
        <w:tc>
          <w:tcPr>
            <w:tcW w:w="7420"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73,305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72,749</w:t>
            </w:r>
          </w:p>
        </w:tc>
        <w:tc>
          <w:tcPr>
            <w:tcW w:w="113" w:type="dxa"/>
            <w:tcBorders/>
            <w:shd w:fill="CCEEFF"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FFFFFF" w:val="clear"/>
            <w:tcMar>
              <w:bottom w:w="28" w:type="dxa"/>
            </w:tcMar>
            <w:vAlign w:val="center"/>
          </w:tcPr>
          <w:p>
            <w:pPr>
              <w:pStyle w:val="TableContents"/>
              <w:bidi w:val="0"/>
              <w:spacing w:before="0" w:after="283"/>
              <w:jc w:val="right"/>
              <w:rPr/>
            </w:pPr>
            <w:r>
              <w:rPr/>
              <w:t>(88,951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FFFFFF" w:val="clear"/>
            <w:tcMar>
              <w:bottom w:w="28" w:type="dxa"/>
            </w:tcMar>
            <w:vAlign w:val="center"/>
          </w:tcPr>
          <w:p>
            <w:pPr>
              <w:pStyle w:val="TableContents"/>
              <w:bidi w:val="0"/>
              <w:spacing w:before="0" w:after="283"/>
              <w:jc w:val="right"/>
              <w:rPr/>
            </w:pPr>
            <w:r>
              <w:rPr/>
              <w:t>(82,154</w:t>
            </w:r>
          </w:p>
        </w:tc>
        <w:tc>
          <w:tcPr>
            <w:tcW w:w="113" w:type="dxa"/>
            <w:tcBorders/>
            <w:shd w:fill="FFFFFF" w:val="clear"/>
            <w:vAlign w:val="center"/>
          </w:tcPr>
          <w:p>
            <w:pPr>
              <w:pStyle w:val="TableContents"/>
              <w:bidi w:val="0"/>
              <w:spacing w:before="0" w:after="283"/>
              <w:jc w:val="left"/>
              <w:rPr/>
            </w:pPr>
            <w:r>
              <w:rPr/>
              <w:t>)</w:t>
            </w:r>
          </w:p>
        </w:tc>
      </w:tr>
      <w:tr>
        <w:trPr/>
        <w:tc>
          <w:tcPr>
            <w:tcW w:w="7420" w:type="dxa"/>
            <w:tcBorders/>
            <w:shd w:fill="CCEEFF" w:val="clear"/>
            <w:vAlign w:val="center"/>
          </w:tcPr>
          <w:p>
            <w:pPr>
              <w:pStyle w:val="TableContents"/>
              <w:bidi w:val="0"/>
              <w:spacing w:before="0" w:after="283"/>
              <w:jc w:val="left"/>
              <w:rPr>
                <w:b/>
              </w:rPr>
            </w:pPr>
            <w:r>
              <w:rPr>
                <w:b/>
              </w:rPr>
              <w:t>Total Stockholders’ (Deficit)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(15,645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(9,404</w:t>
            </w:r>
          </w:p>
        </w:tc>
        <w:tc>
          <w:tcPr>
            <w:tcW w:w="113" w:type="dxa"/>
            <w:tcBorders/>
            <w:shd w:fill="CCEEFF" w:val="clear"/>
            <w:vAlign w:val="center"/>
          </w:tcPr>
          <w:p>
            <w:pPr>
              <w:pStyle w:val="TableContents"/>
              <w:bidi w:val="0"/>
              <w:spacing w:before="0" w:after="283"/>
              <w:jc w:val="left"/>
              <w:rPr>
                <w:b/>
              </w:rPr>
            </w:pPr>
            <w:r>
              <w:rPr>
                <w:b/>
              </w:rPr>
              <w:t>)</w:t>
            </w:r>
          </w:p>
        </w:tc>
      </w:tr>
      <w:tr>
        <w:trPr/>
        <w:tc>
          <w:tcPr>
            <w:tcW w:w="7420" w:type="dxa"/>
            <w:tcBorders/>
            <w:shd w:fill="FFFFFF" w:val="clear"/>
            <w:vAlign w:val="center"/>
          </w:tcPr>
          <w:p>
            <w:pPr>
              <w:pStyle w:val="TableContents"/>
              <w:bidi w:val="0"/>
              <w:spacing w:before="0" w:after="283"/>
              <w:jc w:val="left"/>
              <w:rPr>
                <w:b/>
              </w:rPr>
            </w:pPr>
            <w:r>
              <w:rPr>
                <w:b/>
              </w:rPr>
              <w:t>Total Liabilities, Series A Preferred Stock and Stockholders’ Deficit</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74,224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75,214</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Interim Consolidated Statement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 in Thousands, except share and per share data)</w:t>
      </w:r>
    </w:p>
    <w:p>
      <w:pPr>
        <w:pStyle w:val="TextBody"/>
        <w:bidi w:val="0"/>
        <w:spacing w:before="0" w:after="283"/>
        <w:jc w:val="left"/>
        <w:rPr/>
      </w:pPr>
      <w:r>
        <w:rPr/>
        <w:t> </w:t>
      </w:r>
    </w:p>
    <w:tbl>
      <w:tblPr>
        <w:tblW w:w="7835" w:type="dxa"/>
        <w:jc w:val="left"/>
        <w:tblInd w:w="0" w:type="dxa"/>
        <w:tblLayout w:type="fixed"/>
        <w:tblCellMar>
          <w:top w:w="0" w:type="dxa"/>
          <w:left w:w="0" w:type="dxa"/>
          <w:bottom w:w="0" w:type="dxa"/>
          <w:right w:w="0" w:type="dxa"/>
        </w:tblCellMar>
      </w:tblPr>
      <w:tblGrid>
        <w:gridCol w:w="5270"/>
        <w:gridCol w:w="60"/>
        <w:gridCol w:w="140"/>
        <w:gridCol w:w="980"/>
        <w:gridCol w:w="95"/>
        <w:gridCol w:w="60"/>
        <w:gridCol w:w="140"/>
        <w:gridCol w:w="980"/>
        <w:gridCol w:w="110"/>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12,505</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9,454</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3,051</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1,333</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4,813</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2,744</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8,890</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(5,914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(5,839</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(4,760</w:t>
            </w:r>
          </w:p>
        </w:tc>
        <w:tc>
          <w:tcPr>
            <w:tcW w:w="110"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236</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(4,528</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(6,797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(10,367</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(6,797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(10,367</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Net (Loss) Gain Per Share-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(0.93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(1.55</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Weighted Average Number of Shares-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7,327,620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6,695,587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in thousands)</w:t>
      </w:r>
    </w:p>
    <w:p>
      <w:pPr>
        <w:pStyle w:val="TextBody"/>
        <w:bidi w:val="0"/>
        <w:spacing w:before="0" w:after="283"/>
        <w:jc w:val="left"/>
        <w:rPr/>
      </w:pPr>
      <w:r>
        <w:rPr/>
        <w:t> </w:t>
      </w:r>
    </w:p>
    <w:tbl>
      <w:tblPr>
        <w:tblW w:w="10178" w:type="dxa"/>
        <w:jc w:val="left"/>
        <w:tblInd w:w="0" w:type="dxa"/>
        <w:tblLayout w:type="fixed"/>
        <w:tblCellMar>
          <w:top w:w="0" w:type="dxa"/>
          <w:left w:w="0" w:type="dxa"/>
          <w:bottom w:w="0" w:type="dxa"/>
          <w:right w:w="0" w:type="dxa"/>
        </w:tblCellMar>
      </w:tblPr>
      <w:tblGrid>
        <w:gridCol w:w="7715"/>
        <w:gridCol w:w="60"/>
        <w:gridCol w:w="193"/>
        <w:gridCol w:w="876"/>
        <w:gridCol w:w="95"/>
        <w:gridCol w:w="60"/>
        <w:gridCol w:w="167"/>
        <w:gridCol w:w="902"/>
        <w:gridCol w:w="110"/>
      </w:tblGrid>
      <w:tr>
        <w:trPr/>
        <w:tc>
          <w:tcPr>
            <w:tcW w:w="7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7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(6,797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pPr>
            <w:r>
              <w:rPr/>
              <w:t>(10,367</w:t>
            </w:r>
          </w:p>
        </w:tc>
        <w:tc>
          <w:tcPr>
            <w:tcW w:w="110" w:type="dxa"/>
            <w:tcBorders/>
            <w:shd w:fill="FFFFFF" w:val="clear"/>
            <w:vAlign w:val="center"/>
          </w:tcPr>
          <w:p>
            <w:pPr>
              <w:pStyle w:val="TableContents"/>
              <w:bidi w:val="0"/>
              <w:spacing w:before="0" w:after="283"/>
              <w:jc w:val="left"/>
              <w:rPr/>
            </w:pPr>
            <w:r>
              <w:rPr/>
              <w:t>)</w:t>
            </w:r>
          </w:p>
        </w:tc>
      </w:tr>
      <w:tr>
        <w:trPr/>
        <w:tc>
          <w:tcPr>
            <w:tcW w:w="7715" w:type="dxa"/>
            <w:tcBorders/>
            <w:shd w:fill="CCEEFF" w:val="clear"/>
            <w:vAlign w:val="center"/>
          </w:tcPr>
          <w:p>
            <w:pPr>
              <w:pStyle w:val="TableContents"/>
              <w:bidi w:val="0"/>
              <w:spacing w:before="0" w:after="283"/>
              <w:jc w:val="left"/>
              <w:rPr/>
            </w:pPr>
            <w:r>
              <w:rPr/>
              <w:t>Adjustments to Reconcile Net Loss to Net Cash</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266</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1,095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894</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(3,818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(236</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pPr>
            <w:r>
              <w:rPr/>
              <w:t>Non-cash interest expense (paid-in-kind)</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3,579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1,260</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47</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859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332</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Amortization of right of use assets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658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422</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(655</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5,200</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(126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(669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(87</w:t>
            </w:r>
          </w:p>
        </w:tc>
        <w:tc>
          <w:tcPr>
            <w:tcW w:w="110" w:type="dxa"/>
            <w:tcBorders/>
            <w:shd w:fill="FFFFFF" w:val="clear"/>
            <w:vAlign w:val="center"/>
          </w:tcPr>
          <w:p>
            <w:pPr>
              <w:pStyle w:val="TableContents"/>
              <w:bidi w:val="0"/>
              <w:spacing w:before="0" w:after="283"/>
              <w:jc w:val="left"/>
              <w:rPr/>
            </w:pPr>
            <w:r>
              <w:rPr/>
              <w:t>)</w:t>
            </w:r>
          </w:p>
        </w:tc>
      </w:tr>
      <w:tr>
        <w:trPr/>
        <w:tc>
          <w:tcPr>
            <w:tcW w:w="7715"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(591</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174</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3,379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81</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(717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(181</w:t>
            </w:r>
          </w:p>
        </w:tc>
        <w:tc>
          <w:tcPr>
            <w:tcW w:w="110" w:type="dxa"/>
            <w:tcBorders/>
            <w:shd w:fill="FFFFFF" w:val="clear"/>
            <w:vAlign w:val="center"/>
          </w:tcPr>
          <w:p>
            <w:pPr>
              <w:pStyle w:val="TableContents"/>
              <w:bidi w:val="0"/>
              <w:spacing w:before="0" w:after="283"/>
              <w:jc w:val="left"/>
              <w:rPr/>
            </w:pPr>
            <w:r>
              <w:rPr/>
              <w:t>)</w:t>
            </w:r>
          </w:p>
        </w:tc>
      </w:tr>
      <w:tr>
        <w:trPr/>
        <w:tc>
          <w:tcPr>
            <w:tcW w:w="7715" w:type="dxa"/>
            <w:tcBorders/>
            <w:shd w:fill="CCEEFF" w:val="clear"/>
            <w:vAlign w:val="center"/>
          </w:tcPr>
          <w:p>
            <w:pPr>
              <w:pStyle w:val="TableContents"/>
              <w:bidi w:val="0"/>
              <w:spacing w:before="0" w:after="283"/>
              <w:jc w:val="left"/>
              <w:rPr/>
            </w:pPr>
            <w:r>
              <w:rPr/>
              <w:t>Accrued tariffs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87</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(180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2,286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pPr>
            <w:r>
              <w:rPr/>
              <w:t>6,972</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(3,395</w:t>
            </w:r>
          </w:p>
        </w:tc>
        <w:tc>
          <w:tcPr>
            <w:tcW w:w="110" w:type="dxa"/>
            <w:tcBorders/>
            <w:shd w:fill="CCEEFF" w:val="clear"/>
            <w:vAlign w:val="center"/>
          </w:tcPr>
          <w:p>
            <w:pPr>
              <w:pStyle w:val="TableContents"/>
              <w:bidi w:val="0"/>
              <w:spacing w:before="0" w:after="283"/>
              <w:jc w:val="left"/>
              <w:rPr>
                <w:b/>
              </w:rPr>
            </w:pPr>
            <w:r>
              <w:rPr>
                <w:b/>
              </w:rPr>
              <w:t>)</w:t>
            </w:r>
          </w:p>
        </w:tc>
      </w:tr>
      <w:tr>
        <w:trPr/>
        <w:tc>
          <w:tcPr>
            <w:tcW w:w="7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pPr>
            <w:r>
              <w:rPr/>
              <w:t>(778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pPr>
            <w:r>
              <w:rPr/>
              <w:t>(817</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(778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(817</w:t>
            </w:r>
          </w:p>
        </w:tc>
        <w:tc>
          <w:tcPr>
            <w:tcW w:w="110" w:type="dxa"/>
            <w:tcBorders/>
            <w:shd w:fill="FFFFFF" w:val="clear"/>
            <w:vAlign w:val="center"/>
          </w:tcPr>
          <w:p>
            <w:pPr>
              <w:pStyle w:val="TableContents"/>
              <w:bidi w:val="0"/>
              <w:spacing w:before="0" w:after="283"/>
              <w:jc w:val="left"/>
              <w:rPr>
                <w:b/>
              </w:rPr>
            </w:pPr>
            <w:r>
              <w:rPr>
                <w:b/>
              </w:rPr>
              <w:t>)</w:t>
            </w:r>
          </w:p>
        </w:tc>
      </w:tr>
      <w:tr>
        <w:trPr/>
        <w:tc>
          <w:tcPr>
            <w:tcW w:w="77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Proceeds from public offering</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Payment of public offering costs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3,180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Proceeds from note payable, related party</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2,700</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Repayment of note payable, related party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(2,700</w:t>
            </w:r>
          </w:p>
        </w:tc>
        <w:tc>
          <w:tcPr>
            <w:tcW w:w="110" w:type="dxa"/>
            <w:tcBorders/>
            <w:shd w:fill="FFFFFF" w:val="clear"/>
            <w:vAlign w:val="center"/>
          </w:tcPr>
          <w:p>
            <w:pPr>
              <w:pStyle w:val="TableContents"/>
              <w:bidi w:val="0"/>
              <w:spacing w:before="0" w:after="283"/>
              <w:jc w:val="left"/>
              <w:rPr/>
            </w:pPr>
            <w:r>
              <w:rPr/>
              <w:t>)</w:t>
            </w:r>
          </w:p>
        </w:tc>
      </w:tr>
      <w:tr>
        <w:trPr/>
        <w:tc>
          <w:tcPr>
            <w:tcW w:w="7715"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(2,046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(4,212</w:t>
            </w:r>
          </w:p>
        </w:tc>
        <w:tc>
          <w:tcPr>
            <w:tcW w:w="110" w:type="dxa"/>
            <w:tcBorders/>
            <w:shd w:fill="CCEEFF" w:val="clear"/>
            <w:vAlign w:val="center"/>
          </w:tcPr>
          <w:p>
            <w:pPr>
              <w:pStyle w:val="TableContents"/>
              <w:bidi w:val="0"/>
              <w:spacing w:before="0" w:after="283"/>
              <w:jc w:val="left"/>
              <w:rPr/>
            </w:pPr>
            <w:r>
              <w:rPr/>
              <w:t>)</w:t>
            </w:r>
          </w:p>
        </w:tc>
      </w:tr>
      <w:tr>
        <w:trPr/>
        <w:tc>
          <w:tcPr>
            <w:tcW w:w="7715" w:type="dxa"/>
            <w:tcBorders/>
            <w:shd w:fill="FFFFFF" w:val="clear"/>
            <w:vAlign w:val="center"/>
          </w:tcPr>
          <w:p>
            <w:pPr>
              <w:pStyle w:val="TableContents"/>
              <w:bidi w:val="0"/>
              <w:spacing w:before="0" w:after="283"/>
              <w:jc w:val="left"/>
              <w:rPr/>
            </w:pPr>
            <w:r>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4,849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pPr>
            <w:r>
              <w:rPr/>
              <w:t>12,713</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b/>
              </w:rPr>
            </w:pPr>
            <w:r>
              <w:rPr>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8,501</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pPr>
            <w:r>
              <w:rPr/>
              <w:t>2,390</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Supplemental Non-Cash Items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Purchases of property and equipment, not yet paid</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r>
              <w:rPr/>
              <w:t>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pPr>
            <w:r>
              <w:rPr/>
              <w:t>412</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Recognition of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pPr>
            <w:r>
              <w:rPr/>
              <w:t>21,095</w:t>
            </w:r>
          </w:p>
        </w:tc>
        <w:tc>
          <w:tcPr>
            <w:tcW w:w="110" w:type="dxa"/>
            <w:tcBorders/>
            <w:shd w:fill="FFFFFF" w:val="clear"/>
            <w:vAlign w:val="center"/>
          </w:tcPr>
          <w:p>
            <w:pPr>
              <w:pStyle w:val="TableContents"/>
              <w:bidi w:val="0"/>
              <w:spacing w:before="0" w:after="283"/>
              <w:jc w:val="left"/>
              <w:rPr/>
            </w:pPr>
            <w:r>
              <w:rPr/>
              <w:t> </w:t>
            </w:r>
          </w:p>
        </w:tc>
      </w:tr>
      <w:tr>
        <w:trPr/>
        <w:tc>
          <w:tcPr>
            <w:tcW w:w="7715" w:type="dxa"/>
            <w:tcBorders/>
            <w:shd w:fill="CCEEFF" w:val="clear"/>
            <w:vAlign w:val="center"/>
          </w:tcPr>
          <w:p>
            <w:pPr>
              <w:pStyle w:val="TableContents"/>
              <w:bidi w:val="0"/>
              <w:spacing w:before="0" w:after="283"/>
              <w:jc w:val="left"/>
              <w:rPr/>
            </w:pPr>
            <w:r>
              <w:rPr/>
              <w:t>Conversion of preferred stock to common stock</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715" w:type="dxa"/>
            <w:tcBorders/>
            <w:shd w:fill="FFFFFF" w:val="clear"/>
            <w:vAlign w:val="center"/>
          </w:tcPr>
          <w:p>
            <w:pPr>
              <w:pStyle w:val="TableContents"/>
              <w:bidi w:val="0"/>
              <w:spacing w:before="0" w:after="283"/>
              <w:jc w:val="left"/>
              <w:rPr/>
            </w:pPr>
            <w:r>
              <w:rPr/>
              <w:t>Recognition of warrant liability - Investor Warrants</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r>
              <w:rPr/>
              <w:t>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Measures (Unaudited)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283"/>
        <w:jc w:val="left"/>
        <w:rPr/>
      </w:pPr>
      <w:r>
        <w:rPr/>
        <w:t> </w:t>
      </w:r>
    </w:p>
    <w:tbl>
      <w:tblPr>
        <w:tblW w:w="6969" w:type="dxa"/>
        <w:jc w:val="left"/>
        <w:tblInd w:w="0" w:type="dxa"/>
        <w:tblLayout w:type="fixed"/>
        <w:tblCellMar>
          <w:top w:w="0" w:type="dxa"/>
          <w:left w:w="0" w:type="dxa"/>
          <w:bottom w:w="0" w:type="dxa"/>
          <w:right w:w="0" w:type="dxa"/>
        </w:tblCellMar>
      </w:tblPr>
      <w:tblGrid>
        <w:gridCol w:w="4460"/>
        <w:gridCol w:w="60"/>
        <w:gridCol w:w="192"/>
        <w:gridCol w:w="877"/>
        <w:gridCol w:w="115"/>
        <w:gridCol w:w="72"/>
        <w:gridCol w:w="169"/>
        <w:gridCol w:w="914"/>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31,</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3" w:type="dxa"/>
            <w:gridSpan w:val="2"/>
            <w:tcBorders/>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EBITDA Calculation</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Net (Loss) Income Before Taxes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(6,797</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4" w:type="dxa"/>
            <w:tcBorders/>
            <w:shd w:fill="FFFFFF" w:val="clear"/>
            <w:vAlign w:val="center"/>
          </w:tcPr>
          <w:p>
            <w:pPr>
              <w:pStyle w:val="TableContents"/>
              <w:bidi w:val="0"/>
              <w:spacing w:before="0" w:after="283"/>
              <w:jc w:val="right"/>
              <w:rPr/>
            </w:pPr>
            <w:r>
              <w:rPr/>
              <w:t>(10,367</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4,701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4,760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Taxes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859</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pPr>
            <w:r>
              <w:rPr/>
              <w:t>332</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EBITDA</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(1,237</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4" w:type="dxa"/>
            <w:tcBorders/>
            <w:shd w:fill="FFFFFF" w:val="clear"/>
            <w:vAlign w:val="center"/>
          </w:tcPr>
          <w:p>
            <w:pPr>
              <w:pStyle w:val="TableContents"/>
              <w:bidi w:val="0"/>
              <w:spacing w:before="0" w:after="283"/>
              <w:jc w:val="right"/>
              <w:rPr/>
            </w:pPr>
            <w:r>
              <w:rPr/>
              <w:t>(5,275</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Adjustments to EBITDA</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220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266</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Preferred Stock Financing expenses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631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Litigation Fees and Loss on Settlement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543</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Reverse Stock Split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(3,818</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pPr>
            <w:r>
              <w:rPr/>
              <w:t>(236</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(3,645</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4" w:type="dxa"/>
            <w:tcBorders/>
            <w:shd w:fill="FFFFFF" w:val="clear"/>
            <w:vAlign w:val="center"/>
          </w:tcPr>
          <w:p>
            <w:pPr>
              <w:pStyle w:val="TableContents"/>
              <w:bidi w:val="0"/>
              <w:spacing w:before="0" w:after="283"/>
              <w:jc w:val="right"/>
              <w:rPr/>
            </w:pPr>
            <w:r>
              <w:rPr/>
              <w:t>(5,245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Prouty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Szymon Serowiecki</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AdvisIRy Partners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DragonflyIR@advisiry.com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3172</Words>
  <Characters>17773</Characters>
  <CharactersWithSpaces>21459</CharactersWithSpaces>
  <Paragraphs>1717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