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27, 2025, Dragonfly Energy Holdings Corp. (the “Company”) disclosed that the Company had a total of 36,488,398 shares of common stock, par value $0.0001 per share, issued and outstanding as of June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June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 w:leader="none" w:pos="6720" w:val="left"/>
          <w:tab w:leader="none" w:pos="7580" w:val="left"/>
          <w:tab w:leader="none" w:pos="8260" w:val="left"/>
          <w:tab w:leader="none" w:pos="8940" w:val="left"/>
          <w:tab w:leader="none" w:pos="9480" w:val="left"/>
          <w:tab w:leader="none" w:pos="10300" w:val="left"/>
          <w:tab w:leader="none" w:pos="10940" w:val="left"/>
        </w:tabs>
        <w:rPr>
          <w:sz w:val="20"/>
          <w:szCs w:val="20"/>
          <w:color w:val="auto"/>
        </w:rPr>
      </w:pPr>
      <w:r>
        <w:rPr>
          <w:rFonts w:ascii="Times New Roman" w:cs="Times New Roman" w:eastAsia="Times New Roman" w:hAnsi="Times New Roman"/>
          <w:sz w:val="18"/>
          <w:szCs w:val="18"/>
          <w:color w:val="auto"/>
        </w:rPr>
        <w:t>Title:</w:t>
        <w:tab/>
        <w:t>Chief</w:t>
        <w:tab/>
        <w:t>Executive</w:t>
        <w:tab/>
        <w:t>Officer,</w:t>
        <w:tab/>
        <w:t>Interim</w:t>
        <w:tab/>
        <w:t>Chief</w:t>
        <w:tab/>
        <w:t>Financial</w:t>
        <w:tab/>
        <w:t>Officer</w:t>
        <w:tab/>
        <w:t>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2025-06-27T16:08:21Z</dcterms:created>
  <dcterms:modified xsi:type="dcterms:W3CDTF">2025-06-27T16:08:21Z</dcterms:modified>
</cp:coreProperties>
</file>