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November 4, 2022</w:t>
      </w:r>
    </w:p>
    <w:p>
      <w:pPr>
        <w:spacing w:after="0" w:line="29"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109855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S-1</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REGISTRATION STATEMENT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DRAGONFLY ENERGY HOLDINGS CORP.</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3690</w:t>
            </w:r>
          </w:p>
        </w:tc>
        <w:tc>
          <w:tcPr>
            <w:tcW w:w="400" w:type="dxa"/>
            <w:vAlign w:val="bottom"/>
          </w:tcPr>
          <w:p>
            <w:pPr>
              <w:spacing w:after="0"/>
              <w:rPr>
                <w:sz w:val="15"/>
                <w:szCs w:val="15"/>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85-1873463</w:t>
            </w:r>
          </w:p>
        </w:tc>
      </w:tr>
      <w:tr>
        <w:trPr>
          <w:trHeight w:val="119"/>
        </w:trPr>
        <w:tc>
          <w:tcPr>
            <w:tcW w:w="32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 or other jurisdiction of incorporation or</w:t>
            </w:r>
          </w:p>
        </w:tc>
        <w:tc>
          <w:tcPr>
            <w:tcW w:w="360" w:type="dxa"/>
            <w:vAlign w:val="bottom"/>
          </w:tcPr>
          <w:p>
            <w:pPr>
              <w:spacing w:after="0"/>
              <w:rPr>
                <w:sz w:val="10"/>
                <w:szCs w:val="10"/>
                <w:color w:val="auto"/>
              </w:rPr>
            </w:pPr>
          </w:p>
        </w:tc>
        <w:tc>
          <w:tcPr>
            <w:tcW w:w="30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(Primary Standard Industrial Classification Code</w:t>
            </w:r>
          </w:p>
        </w:tc>
        <w:tc>
          <w:tcPr>
            <w:tcW w:w="400" w:type="dxa"/>
            <w:vAlign w:val="bottom"/>
          </w:tcPr>
          <w:p>
            <w:pPr>
              <w:spacing w:after="0"/>
              <w:rPr>
                <w:sz w:val="10"/>
                <w:szCs w:val="10"/>
                <w:color w:val="auto"/>
              </w:rPr>
            </w:pPr>
          </w:p>
        </w:tc>
        <w:tc>
          <w:tcPr>
            <w:tcW w:w="31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(I.R.S. Employer</w:t>
            </w:r>
          </w:p>
        </w:tc>
      </w:tr>
      <w:tr>
        <w:trPr>
          <w:trHeight w:val="187"/>
        </w:trPr>
        <w:tc>
          <w:tcPr>
            <w:tcW w:w="3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organization)</w:t>
            </w:r>
          </w:p>
        </w:tc>
        <w:tc>
          <w:tcPr>
            <w:tcW w:w="3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Number)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8"/>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1190 Trademark Drive #108</w:t>
            </w:r>
          </w:p>
        </w:tc>
        <w:tc>
          <w:tcPr>
            <w:tcW w:w="3100" w:type="dxa"/>
            <w:vAlign w:val="bottom"/>
          </w:tcPr>
          <w:p>
            <w:pPr>
              <w:spacing w:after="0"/>
              <w:rPr>
                <w:sz w:val="12"/>
                <w:szCs w:val="12"/>
                <w:color w:val="auto"/>
              </w:rPr>
            </w:pPr>
          </w:p>
        </w:tc>
      </w:tr>
      <w:tr>
        <w:trPr>
          <w:trHeight w:val="148"/>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Reno, Nevada 89521</w:t>
            </w:r>
          </w:p>
        </w:tc>
        <w:tc>
          <w:tcPr>
            <w:tcW w:w="3100" w:type="dxa"/>
            <w:vAlign w:val="bottom"/>
          </w:tcPr>
          <w:p>
            <w:pPr>
              <w:spacing w:after="0"/>
              <w:rPr>
                <w:sz w:val="12"/>
                <w:szCs w:val="12"/>
                <w:color w:val="auto"/>
              </w:rPr>
            </w:pPr>
          </w:p>
        </w:tc>
      </w:tr>
      <w:tr>
        <w:trPr>
          <w:trHeight w:val="190"/>
        </w:trPr>
        <w:tc>
          <w:tcPr>
            <w:tcW w:w="3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(775) 622-3448</w:t>
            </w:r>
          </w:p>
        </w:tc>
        <w:tc>
          <w:tcPr>
            <w:tcW w:w="400" w:type="dxa"/>
            <w:vAlign w:val="bottom"/>
          </w:tcPr>
          <w:p>
            <w:pPr>
              <w:spacing w:after="0"/>
              <w:rPr>
                <w:sz w:val="16"/>
                <w:szCs w:val="16"/>
                <w:color w:val="auto"/>
              </w:rPr>
            </w:pPr>
          </w:p>
        </w:tc>
        <w:tc>
          <w:tcPr>
            <w:tcW w:w="3100" w:type="dxa"/>
            <w:vAlign w:val="bottom"/>
          </w:tcPr>
          <w:p>
            <w:pPr>
              <w:spacing w:after="0"/>
              <w:rPr>
                <w:sz w:val="16"/>
                <w:szCs w:val="16"/>
                <w:color w:val="auto"/>
              </w:rPr>
            </w:pPr>
          </w:p>
        </w:tc>
      </w:tr>
    </w:tbl>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118110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Denis Phares</w:t>
      </w:r>
    </w:p>
    <w:p>
      <w:pPr>
        <w:ind w:left="4060"/>
        <w:spacing w:after="0" w:line="229" w:lineRule="auto"/>
        <w:rPr>
          <w:sz w:val="20"/>
          <w:szCs w:val="20"/>
          <w:color w:val="auto"/>
        </w:rPr>
      </w:pPr>
      <w:r>
        <w:rPr>
          <w:rFonts w:ascii="Times New Roman" w:cs="Times New Roman" w:eastAsia="Times New Roman" w:hAnsi="Times New Roman"/>
          <w:sz w:val="14"/>
          <w:szCs w:val="14"/>
          <w:b w:val="1"/>
          <w:bCs w:val="1"/>
          <w:color w:val="auto"/>
        </w:rPr>
        <w:t>Dragonfly Energy Holdings Corp.</w:t>
      </w:r>
    </w:p>
    <w:p>
      <w:pPr>
        <w:ind w:left="4260"/>
        <w:spacing w:after="0" w:line="221" w:lineRule="auto"/>
        <w:rPr>
          <w:sz w:val="20"/>
          <w:szCs w:val="20"/>
          <w:color w:val="auto"/>
        </w:rPr>
      </w:pPr>
      <w:r>
        <w:rPr>
          <w:rFonts w:ascii="Times New Roman" w:cs="Times New Roman" w:eastAsia="Times New Roman" w:hAnsi="Times New Roman"/>
          <w:sz w:val="14"/>
          <w:szCs w:val="14"/>
          <w:b w:val="1"/>
          <w:bCs w:val="1"/>
          <w:color w:val="auto"/>
        </w:rPr>
        <w:t>1190 Trademark Drive #108</w:t>
      </w:r>
    </w:p>
    <w:p>
      <w:pPr>
        <w:ind w:left="4480"/>
        <w:spacing w:after="0" w:line="222" w:lineRule="auto"/>
        <w:rPr>
          <w:sz w:val="20"/>
          <w:szCs w:val="20"/>
          <w:color w:val="auto"/>
        </w:rPr>
      </w:pPr>
      <w:r>
        <w:rPr>
          <w:rFonts w:ascii="Times New Roman" w:cs="Times New Roman" w:eastAsia="Times New Roman" w:hAnsi="Times New Roman"/>
          <w:sz w:val="14"/>
          <w:szCs w:val="14"/>
          <w:b w:val="1"/>
          <w:bCs w:val="1"/>
          <w:color w:val="auto"/>
        </w:rPr>
        <w:t>Reno, Nevada 89521</w:t>
      </w:r>
    </w:p>
    <w:p>
      <w:pPr>
        <w:ind w:left="4680"/>
        <w:spacing w:after="0"/>
        <w:rPr>
          <w:sz w:val="20"/>
          <w:szCs w:val="20"/>
          <w:color w:val="auto"/>
        </w:rPr>
      </w:pPr>
      <w:r>
        <w:rPr>
          <w:rFonts w:ascii="Times New Roman" w:cs="Times New Roman" w:eastAsia="Times New Roman" w:hAnsi="Times New Roman"/>
          <w:sz w:val="14"/>
          <w:szCs w:val="14"/>
          <w:b w:val="1"/>
          <w:bCs w:val="1"/>
          <w:color w:val="auto"/>
        </w:rPr>
        <w:t>(775) 622-3448</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118110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ind w:left="4520"/>
        <w:spacing w:after="0" w:line="229" w:lineRule="auto"/>
        <w:rPr>
          <w:sz w:val="20"/>
          <w:szCs w:val="20"/>
          <w:color w:val="auto"/>
        </w:rPr>
      </w:pPr>
      <w:r>
        <w:rPr>
          <w:rFonts w:ascii="Times New Roman" w:cs="Times New Roman" w:eastAsia="Times New Roman" w:hAnsi="Times New Roman"/>
          <w:sz w:val="14"/>
          <w:szCs w:val="14"/>
          <w:b w:val="1"/>
          <w:bCs w:val="1"/>
          <w:color w:val="auto"/>
        </w:rPr>
        <w:t>Jeeho M. Lee, Esq.</w:t>
      </w:r>
    </w:p>
    <w:p>
      <w:pPr>
        <w:ind w:left="4400"/>
        <w:spacing w:after="0" w:line="221" w:lineRule="auto"/>
        <w:rPr>
          <w:sz w:val="20"/>
          <w:szCs w:val="20"/>
          <w:color w:val="auto"/>
        </w:rPr>
      </w:pPr>
      <w:r>
        <w:rPr>
          <w:rFonts w:ascii="Times New Roman" w:cs="Times New Roman" w:eastAsia="Times New Roman" w:hAnsi="Times New Roman"/>
          <w:sz w:val="14"/>
          <w:szCs w:val="14"/>
          <w:b w:val="1"/>
          <w:bCs w:val="1"/>
          <w:color w:val="auto"/>
        </w:rPr>
        <w:t>Tai Vivatvaraphol, Esq.</w:t>
      </w:r>
    </w:p>
    <w:p>
      <w:pPr>
        <w:ind w:left="4320"/>
        <w:spacing w:after="0" w:line="222" w:lineRule="auto"/>
        <w:rPr>
          <w:sz w:val="20"/>
          <w:szCs w:val="20"/>
          <w:color w:val="auto"/>
        </w:rPr>
      </w:pPr>
      <w:r>
        <w:rPr>
          <w:rFonts w:ascii="Times New Roman" w:cs="Times New Roman" w:eastAsia="Times New Roman" w:hAnsi="Times New Roman"/>
          <w:sz w:val="14"/>
          <w:szCs w:val="14"/>
          <w:b w:val="1"/>
          <w:bCs w:val="1"/>
          <w:color w:val="auto"/>
        </w:rPr>
        <w:t>O’Melveny &amp; Myers LLP</w:t>
      </w:r>
    </w:p>
    <w:p>
      <w:pPr>
        <w:ind w:left="4420"/>
        <w:spacing w:after="0" w:line="221" w:lineRule="auto"/>
        <w:rPr>
          <w:sz w:val="20"/>
          <w:szCs w:val="20"/>
          <w:color w:val="auto"/>
        </w:rPr>
      </w:pPr>
      <w:r>
        <w:rPr>
          <w:rFonts w:ascii="Times New Roman" w:cs="Times New Roman" w:eastAsia="Times New Roman" w:hAnsi="Times New Roman"/>
          <w:sz w:val="14"/>
          <w:szCs w:val="14"/>
          <w:b w:val="1"/>
          <w:bCs w:val="1"/>
          <w:color w:val="auto"/>
        </w:rPr>
        <w:t>7 Times Square Tower</w:t>
      </w:r>
    </w:p>
    <w:p>
      <w:pPr>
        <w:ind w:left="4440"/>
        <w:spacing w:after="0" w:line="222" w:lineRule="auto"/>
        <w:rPr>
          <w:sz w:val="20"/>
          <w:szCs w:val="20"/>
          <w:color w:val="auto"/>
        </w:rPr>
      </w:pPr>
      <w:r>
        <w:rPr>
          <w:rFonts w:ascii="Times New Roman" w:cs="Times New Roman" w:eastAsia="Times New Roman" w:hAnsi="Times New Roman"/>
          <w:sz w:val="14"/>
          <w:szCs w:val="14"/>
          <w:b w:val="1"/>
          <w:bCs w:val="1"/>
          <w:color w:val="auto"/>
        </w:rPr>
        <w:t>New York, NY 10036</w:t>
      </w:r>
    </w:p>
    <w:p>
      <w:pPr>
        <w:ind w:left="4680"/>
        <w:spacing w:after="0"/>
        <w:rPr>
          <w:sz w:val="20"/>
          <w:szCs w:val="20"/>
          <w:color w:val="auto"/>
        </w:rPr>
      </w:pPr>
      <w:r>
        <w:rPr>
          <w:rFonts w:ascii="Times New Roman" w:cs="Times New Roman" w:eastAsia="Times New Roman" w:hAnsi="Times New Roman"/>
          <w:sz w:val="14"/>
          <w:szCs w:val="14"/>
          <w:b w:val="1"/>
          <w:bCs w:val="1"/>
          <w:color w:val="auto"/>
        </w:rPr>
        <w:t>(212) 326-2000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90805</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this registration statement becomes effective.</w:t>
      </w:r>
    </w:p>
    <w:p>
      <w:pPr>
        <w:spacing w:after="0" w:line="44" w:lineRule="exact"/>
        <w:rPr>
          <w:sz w:val="24"/>
          <w:szCs w:val="24"/>
          <w:color w:val="auto"/>
        </w:rPr>
      </w:pPr>
    </w:p>
    <w:p>
      <w:pPr>
        <w:ind w:right="2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right="3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80" w:firstLine="32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3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7" w:lineRule="exact"/>
        <w:rPr>
          <w:sz w:val="24"/>
          <w:szCs w:val="24"/>
          <w:color w:val="auto"/>
        </w:rPr>
      </w:pPr>
    </w:p>
    <w:p>
      <w:pPr>
        <w:ind w:right="46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324"/>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452755</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41275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83820</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880"/>
          </w:cols>
          <w:pgMar w:left="980" w:top="513" w:right="10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3311"/>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theSecuritiesandExchangeCommissioniseffective.</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isnotpermitted.</w:t>
            </w:r>
          </w:p>
        </w:tc>
      </w:tr>
      <w:tr>
        <w:trPr>
          <w:trHeight w:val="2573"/>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untiltheregistrationstatementfiledwith</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inanyjurisdictionwheretheofferorsale</w:t>
            </w:r>
          </w:p>
        </w:tc>
      </w:tr>
      <w:tr>
        <w:trPr>
          <w:trHeight w:val="4193"/>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notcompleteandmaybechanged.Wemaynotsellthesesecurities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thesesecuritiesanditisnotsolicitinganoffertobuythesesecurities</w:t>
            </w:r>
          </w:p>
        </w:tc>
      </w:tr>
      <w:tr>
        <w:trPr>
          <w:trHeight w:val="1272"/>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inthisprospectusis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isnotanoffertosell</w:t>
            </w:r>
          </w:p>
        </w:tc>
      </w:tr>
      <w:tr>
        <w:trPr>
          <w:trHeight w:val="1056"/>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Theinformation</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Thisprospectus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3"/>
          <w:szCs w:val="13"/>
          <w:b w:val="1"/>
          <w:bCs w:val="1"/>
          <w:color w:val="FF0000"/>
        </w:rPr>
        <w:t>SUBJECT TO COMPLETION, DATED NOVEMBER 4,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86995</wp:posOffset>
            </wp:positionV>
            <wp:extent cx="1234440" cy="831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b w:val="1"/>
          <w:bCs w:val="1"/>
          <w:color w:val="auto"/>
        </w:rPr>
        <w:t>DRAGONFLY ENERGY HOLDINGS CORP.</w:t>
      </w:r>
    </w:p>
    <w:p>
      <w:pPr>
        <w:spacing w:after="0" w:line="11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38,132,989 Shares of Common Stock</w:t>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18,308,414 Warrants to Purchase Shares of Common Stock</w:t>
      </w: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18,308,414 Shares of Common Stock Underlying Warrants</w:t>
      </w:r>
    </w:p>
    <w:p>
      <w:pPr>
        <w:spacing w:after="0" w:line="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3"/>
          <w:szCs w:val="13"/>
          <w:color w:val="auto"/>
        </w:rPr>
        <w:t>This prospectus relates to the offer and sale, from time to time, by the selling securityholders named in this prospectus (the “</w:t>
      </w:r>
      <w:r>
        <w:rPr>
          <w:rFonts w:ascii="Times New Roman" w:cs="Times New Roman" w:eastAsia="Times New Roman" w:hAnsi="Times New Roman"/>
          <w:sz w:val="13"/>
          <w:szCs w:val="13"/>
          <w:b w:val="1"/>
          <w:bCs w:val="1"/>
          <w:color w:val="auto"/>
        </w:rPr>
        <w:t>selling securityholders</w:t>
      </w:r>
      <w:r>
        <w:rPr>
          <w:rFonts w:ascii="Times New Roman" w:cs="Times New Roman" w:eastAsia="Times New Roman" w:hAnsi="Times New Roman"/>
          <w:sz w:val="13"/>
          <w:szCs w:val="13"/>
          <w:color w:val="auto"/>
        </w:rPr>
        <w:t>”) of up to 38,132,989 shares of our common stock, par value $0.0001 per share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18,308,414 warrants to purchase shares of common stock and 18,308,414 shares of common stock that are issuable upon the exercise of such warrants, consisting of:</w:t>
      </w:r>
    </w:p>
    <w:p>
      <w:pPr>
        <w:spacing w:after="0" w:line="29" w:lineRule="exact"/>
        <w:rPr>
          <w:sz w:val="20"/>
          <w:szCs w:val="20"/>
          <w:color w:val="auto"/>
        </w:rPr>
      </w:pPr>
    </w:p>
    <w:p>
      <w:pPr>
        <w:ind w:left="680" w:right="260" w:hanging="333"/>
        <w:spacing w:after="0" w:line="278"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31,290,514 shares of common stock that were issued as consideration in connection with the consummation of the transactions contemplated by the Business Combination Agreement (as defined below) at a per share value of $10.00 per share (the “</w:t>
      </w:r>
      <w:r>
        <w:rPr>
          <w:rFonts w:ascii="Times New Roman" w:cs="Times New Roman" w:eastAsia="Times New Roman" w:hAnsi="Times New Roman"/>
          <w:sz w:val="13"/>
          <w:szCs w:val="13"/>
          <w:b w:val="1"/>
          <w:bCs w:val="1"/>
          <w:color w:val="auto"/>
        </w:rPr>
        <w:t>Consideration Shares</w:t>
      </w:r>
      <w:r>
        <w:rPr>
          <w:rFonts w:ascii="Times New Roman" w:cs="Times New Roman" w:eastAsia="Times New Roman" w:hAnsi="Times New Roman"/>
          <w:sz w:val="13"/>
          <w:szCs w:val="13"/>
          <w:color w:val="auto"/>
        </w:rPr>
        <w:t>”);</w:t>
      </w:r>
    </w:p>
    <w:p>
      <w:pPr>
        <w:spacing w:after="0" w:line="18" w:lineRule="exact"/>
        <w:rPr>
          <w:rFonts w:ascii="Times New Roman" w:cs="Times New Roman" w:eastAsia="Times New Roman" w:hAnsi="Times New Roman"/>
          <w:sz w:val="13"/>
          <w:szCs w:val="13"/>
          <w:color w:val="auto"/>
        </w:rPr>
      </w:pPr>
    </w:p>
    <w:p>
      <w:pPr>
        <w:ind w:left="680" w:right="160" w:hanging="333"/>
        <w:spacing w:after="0" w:line="258"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3,664,975 shares of common stock subject to vesting and/or exercise of Legacy Dragonfly (as defined below) equity awards that were assumed in connection with the Business Combination (the “</w:t>
      </w:r>
      <w:r>
        <w:rPr>
          <w:rFonts w:ascii="Times New Roman" w:cs="Times New Roman" w:eastAsia="Times New Roman" w:hAnsi="Times New Roman"/>
          <w:sz w:val="13"/>
          <w:szCs w:val="13"/>
          <w:b w:val="1"/>
          <w:bCs w:val="1"/>
          <w:color w:val="auto"/>
        </w:rPr>
        <w:t>Option Shares</w:t>
      </w:r>
      <w:r>
        <w:rPr>
          <w:rFonts w:ascii="Times New Roman" w:cs="Times New Roman" w:eastAsia="Times New Roman" w:hAnsi="Times New Roman"/>
          <w:sz w:val="13"/>
          <w:szCs w:val="13"/>
          <w:color w:val="auto"/>
        </w:rPr>
        <w:t>”). Upon exercise of the applicable Legacy Dragonfly equity awards, the applicable selling securityholders will acquire the Option Shares at prices ranging from $0.372 to $4.08 per share of common stock;</w:t>
      </w:r>
    </w:p>
    <w:p>
      <w:pPr>
        <w:spacing w:after="0" w:line="40" w:lineRule="exact"/>
        <w:rPr>
          <w:rFonts w:ascii="Times New Roman" w:cs="Times New Roman" w:eastAsia="Times New Roman" w:hAnsi="Times New Roman"/>
          <w:sz w:val="13"/>
          <w:szCs w:val="13"/>
          <w:color w:val="auto"/>
        </w:rPr>
      </w:pPr>
    </w:p>
    <w:p>
      <w:pPr>
        <w:ind w:left="680" w:right="8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3,162,500 shares of common stock (the “</w:t>
      </w:r>
      <w:r>
        <w:rPr>
          <w:rFonts w:ascii="Times New Roman" w:cs="Times New Roman" w:eastAsia="Times New Roman" w:hAnsi="Times New Roman"/>
          <w:sz w:val="13"/>
          <w:szCs w:val="13"/>
          <w:b w:val="1"/>
          <w:bCs w:val="1"/>
          <w:color w:val="auto"/>
        </w:rPr>
        <w:t>Founder Shares</w:t>
      </w:r>
      <w:r>
        <w:rPr>
          <w:rFonts w:ascii="Times New Roman" w:cs="Times New Roman" w:eastAsia="Times New Roman" w:hAnsi="Times New Roman"/>
          <w:sz w:val="13"/>
          <w:szCs w:val="13"/>
          <w:color w:val="auto"/>
        </w:rPr>
        <w:t>”) that were originally issued in a private placement at the time of the CNTQ IPO (as defined below). The Founder Shares were acquired at a purchase price equivalent to approximately $0.0079 per share of common stock;</w:t>
      </w:r>
    </w:p>
    <w:p>
      <w:pPr>
        <w:spacing w:after="0" w:line="10" w:lineRule="exact"/>
        <w:rPr>
          <w:rFonts w:ascii="Times New Roman" w:cs="Times New Roman" w:eastAsia="Times New Roman" w:hAnsi="Times New Roman"/>
          <w:sz w:val="13"/>
          <w:szCs w:val="13"/>
          <w:color w:val="auto"/>
        </w:rPr>
      </w:pPr>
    </w:p>
    <w:p>
      <w:pPr>
        <w:ind w:left="680" w:right="16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4,627,858 warrants (“</w:t>
      </w:r>
      <w:r>
        <w:rPr>
          <w:rFonts w:ascii="Times New Roman" w:cs="Times New Roman" w:eastAsia="Times New Roman" w:hAnsi="Times New Roman"/>
          <w:sz w:val="13"/>
          <w:szCs w:val="13"/>
          <w:b w:val="1"/>
          <w:bCs w:val="1"/>
          <w:color w:val="auto"/>
        </w:rPr>
        <w:t>Private Warrants</w:t>
      </w:r>
      <w:r>
        <w:rPr>
          <w:rFonts w:ascii="Times New Roman" w:cs="Times New Roman" w:eastAsia="Times New Roman" w:hAnsi="Times New Roman"/>
          <w:sz w:val="13"/>
          <w:szCs w:val="13"/>
          <w:color w:val="auto"/>
        </w:rPr>
        <w:t>”) that were originally issued in a private placement at the time of the CNTQ IPO. The Private Warrants were acquired at a purchase price of $0.93 per Private Warrant;</w:t>
      </w:r>
    </w:p>
    <w:p>
      <w:pPr>
        <w:spacing w:after="0" w:line="14" w:lineRule="exact"/>
        <w:rPr>
          <w:rFonts w:ascii="Times New Roman" w:cs="Times New Roman" w:eastAsia="Times New Roman" w:hAnsi="Times New Roman"/>
          <w:sz w:val="13"/>
          <w:szCs w:val="13"/>
          <w:color w:val="auto"/>
        </w:rPr>
      </w:pPr>
    </w:p>
    <w:p>
      <w:pPr>
        <w:ind w:left="680" w:right="120" w:hanging="333"/>
        <w:spacing w:after="0" w:line="278"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$10 Warrants (as defined below) to initially acquire 1,600,000 shares of common stock that were originally issued to the Term Loan Lenders (as defined below);</w:t>
      </w:r>
    </w:p>
    <w:p>
      <w:pPr>
        <w:spacing w:after="0" w:line="31" w:lineRule="exact"/>
        <w:rPr>
          <w:rFonts w:ascii="Times New Roman" w:cs="Times New Roman" w:eastAsia="Times New Roman" w:hAnsi="Times New Roman"/>
          <w:sz w:val="13"/>
          <w:szCs w:val="13"/>
          <w:color w:val="auto"/>
        </w:rPr>
      </w:pPr>
    </w:p>
    <w:p>
      <w:pPr>
        <w:ind w:left="680" w:hanging="333"/>
        <w:spacing w:after="0" w:line="278"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Penny Warrants (as defined below) to initially acquire 2,593,056 shares of common stock that were originally issued to the Term Loan Lenders (as defined below);</w:t>
      </w:r>
    </w:p>
    <w:p>
      <w:pPr>
        <w:spacing w:after="0" w:line="14" w:lineRule="exact"/>
        <w:rPr>
          <w:rFonts w:ascii="Times New Roman" w:cs="Times New Roman" w:eastAsia="Times New Roman" w:hAnsi="Times New Roman"/>
          <w:sz w:val="13"/>
          <w:szCs w:val="13"/>
          <w:color w:val="auto"/>
        </w:rPr>
      </w:pPr>
    </w:p>
    <w:p>
      <w:pPr>
        <w:ind w:left="680" w:right="2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4,627,858 shares of common stock (the “</w:t>
      </w:r>
      <w:r>
        <w:rPr>
          <w:rFonts w:ascii="Times New Roman" w:cs="Times New Roman" w:eastAsia="Times New Roman" w:hAnsi="Times New Roman"/>
          <w:sz w:val="13"/>
          <w:szCs w:val="13"/>
          <w:b w:val="1"/>
          <w:bCs w:val="1"/>
          <w:color w:val="auto"/>
        </w:rPr>
        <w:t>Private Warrant Shares</w:t>
      </w:r>
      <w:r>
        <w:rPr>
          <w:rFonts w:ascii="Times New Roman" w:cs="Times New Roman" w:eastAsia="Times New Roman" w:hAnsi="Times New Roman"/>
          <w:sz w:val="13"/>
          <w:szCs w:val="13"/>
          <w:color w:val="auto"/>
        </w:rPr>
        <w:t>”) issuable upon the exercise of the Private Warrants that were originally issued in a private placement at the time of the CNTQ IPO;</w:t>
      </w:r>
    </w:p>
    <w:p>
      <w:pPr>
        <w:spacing w:after="0" w:line="10" w:lineRule="exact"/>
        <w:rPr>
          <w:rFonts w:ascii="Times New Roman" w:cs="Times New Roman" w:eastAsia="Times New Roman" w:hAnsi="Times New Roman"/>
          <w:sz w:val="13"/>
          <w:szCs w:val="13"/>
          <w:color w:val="auto"/>
        </w:rPr>
      </w:pPr>
    </w:p>
    <w:p>
      <w:pPr>
        <w:ind w:left="680" w:right="16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1,600,000 shares of common stock (the “$</w:t>
      </w:r>
      <w:r>
        <w:rPr>
          <w:rFonts w:ascii="Times New Roman" w:cs="Times New Roman" w:eastAsia="Times New Roman" w:hAnsi="Times New Roman"/>
          <w:sz w:val="13"/>
          <w:szCs w:val="13"/>
          <w:b w:val="1"/>
          <w:bCs w:val="1"/>
          <w:color w:val="auto"/>
        </w:rPr>
        <w:t>10 Warrant Shares</w:t>
      </w:r>
      <w:r>
        <w:rPr>
          <w:rFonts w:ascii="Times New Roman" w:cs="Times New Roman" w:eastAsia="Times New Roman" w:hAnsi="Times New Roman"/>
          <w:sz w:val="13"/>
          <w:szCs w:val="13"/>
          <w:color w:val="auto"/>
        </w:rPr>
        <w:t>”) issued upon the exercise of the $10 Warrants (as defined below) issued as part of the Term Loan (as defined below);</w:t>
      </w:r>
    </w:p>
    <w:p>
      <w:pPr>
        <w:spacing w:after="0" w:line="24" w:lineRule="exact"/>
        <w:rPr>
          <w:rFonts w:ascii="Times New Roman" w:cs="Times New Roman" w:eastAsia="Times New Roman" w:hAnsi="Times New Roman"/>
          <w:sz w:val="13"/>
          <w:szCs w:val="13"/>
          <w:color w:val="auto"/>
        </w:rPr>
      </w:pPr>
    </w:p>
    <w:p>
      <w:pPr>
        <w:ind w:left="680" w:right="80" w:hanging="333"/>
        <w:spacing w:after="0" w:line="284"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2,593,056 shares of common stock (the “</w:t>
      </w:r>
      <w:r>
        <w:rPr>
          <w:rFonts w:ascii="Times New Roman" w:cs="Times New Roman" w:eastAsia="Times New Roman" w:hAnsi="Times New Roman"/>
          <w:sz w:val="13"/>
          <w:szCs w:val="13"/>
          <w:b w:val="1"/>
          <w:bCs w:val="1"/>
          <w:color w:val="auto"/>
        </w:rPr>
        <w:t>Penny Warrant Shares</w:t>
      </w:r>
      <w:r>
        <w:rPr>
          <w:rFonts w:ascii="Times New Roman" w:cs="Times New Roman" w:eastAsia="Times New Roman" w:hAnsi="Times New Roman"/>
          <w:sz w:val="13"/>
          <w:szCs w:val="13"/>
          <w:color w:val="auto"/>
        </w:rPr>
        <w:t>”) issuable upon the exercise of the Penny Warrants (as defined below) issued as part of the Term Loan; and</w:t>
      </w:r>
    </w:p>
    <w:p>
      <w:pPr>
        <w:spacing w:after="0" w:line="10" w:lineRule="exact"/>
        <w:rPr>
          <w:rFonts w:ascii="Times New Roman" w:cs="Times New Roman" w:eastAsia="Times New Roman" w:hAnsi="Times New Roman"/>
          <w:sz w:val="13"/>
          <w:szCs w:val="13"/>
          <w:color w:val="auto"/>
        </w:rPr>
      </w:pPr>
    </w:p>
    <w:p>
      <w:pPr>
        <w:ind w:left="680" w:hanging="333"/>
        <w:spacing w:after="0"/>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15,000 shares of common stock (the “</w:t>
      </w:r>
      <w:r>
        <w:rPr>
          <w:rFonts w:ascii="Times New Roman" w:cs="Times New Roman" w:eastAsia="Times New Roman" w:hAnsi="Times New Roman"/>
          <w:sz w:val="13"/>
          <w:szCs w:val="13"/>
          <w:b w:val="1"/>
          <w:bCs w:val="1"/>
          <w:color w:val="auto"/>
        </w:rPr>
        <w:t>PIPE Investment Shares</w:t>
      </w:r>
      <w:r>
        <w:rPr>
          <w:rFonts w:ascii="Times New Roman" w:cs="Times New Roman" w:eastAsia="Times New Roman" w:hAnsi="Times New Roman"/>
          <w:sz w:val="13"/>
          <w:szCs w:val="13"/>
          <w:color w:val="auto"/>
        </w:rPr>
        <w:t>”) purchased by CCM (as defined below) in the PIPE Investment (as defined below).</w:t>
      </w:r>
    </w:p>
    <w:p>
      <w:pPr>
        <w:spacing w:after="0" w:line="67" w:lineRule="exact"/>
        <w:rPr>
          <w:sz w:val="20"/>
          <w:szCs w:val="20"/>
          <w:color w:val="auto"/>
        </w:rPr>
      </w:pPr>
    </w:p>
    <w:p>
      <w:pPr>
        <w:ind w:right="260" w:firstLine="324"/>
        <w:spacing w:after="0" w:line="249" w:lineRule="auto"/>
        <w:rPr>
          <w:sz w:val="20"/>
          <w:szCs w:val="20"/>
          <w:color w:val="auto"/>
        </w:rPr>
      </w:pPr>
      <w:r>
        <w:rPr>
          <w:rFonts w:ascii="Times New Roman" w:cs="Times New Roman" w:eastAsia="Times New Roman" w:hAnsi="Times New Roman"/>
          <w:sz w:val="13"/>
          <w:szCs w:val="13"/>
          <w:color w:val="auto"/>
        </w:rPr>
        <w:t>This prospectus also relates to the issuance by us of up to 18,308,414 shares of common stock (the “</w:t>
      </w:r>
      <w:r>
        <w:rPr>
          <w:rFonts w:ascii="Times New Roman" w:cs="Times New Roman" w:eastAsia="Times New Roman" w:hAnsi="Times New Roman"/>
          <w:sz w:val="13"/>
          <w:szCs w:val="13"/>
          <w:b w:val="1"/>
          <w:bCs w:val="1"/>
          <w:color w:val="auto"/>
        </w:rPr>
        <w:t>Warrant Shares</w:t>
      </w:r>
      <w:r>
        <w:rPr>
          <w:rFonts w:ascii="Times New Roman" w:cs="Times New Roman" w:eastAsia="Times New Roman" w:hAnsi="Times New Roman"/>
          <w:sz w:val="13"/>
          <w:szCs w:val="13"/>
          <w:color w:val="auto"/>
        </w:rPr>
        <w:t>”), comprised of (i) 9,487,500 shares of common stock (the “</w:t>
      </w:r>
      <w:r>
        <w:rPr>
          <w:rFonts w:ascii="Times New Roman" w:cs="Times New Roman" w:eastAsia="Times New Roman" w:hAnsi="Times New Roman"/>
          <w:sz w:val="13"/>
          <w:szCs w:val="13"/>
          <w:b w:val="1"/>
          <w:bCs w:val="1"/>
          <w:color w:val="auto"/>
        </w:rPr>
        <w:t>Public Warrant Shares</w:t>
      </w:r>
      <w:r>
        <w:rPr>
          <w:rFonts w:ascii="Times New Roman" w:cs="Times New Roman" w:eastAsia="Times New Roman" w:hAnsi="Times New Roman"/>
          <w:sz w:val="13"/>
          <w:szCs w:val="13"/>
          <w:color w:val="auto"/>
        </w:rPr>
        <w:t>”) that are issuable by us upon the exercise of the public warrants sold as part of the units in the CNTQ IPO (the “</w:t>
      </w:r>
      <w:r>
        <w:rPr>
          <w:rFonts w:ascii="Times New Roman" w:cs="Times New Roman" w:eastAsia="Times New Roman" w:hAnsi="Times New Roman"/>
          <w:sz w:val="13"/>
          <w:szCs w:val="13"/>
          <w:b w:val="1"/>
          <w:bCs w:val="1"/>
          <w:color w:val="auto"/>
        </w:rPr>
        <w:t>Public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 (ii) the 4,627,858 Private Warrant Shares, (iii) the 1,600,000 $10 Warrant Shares and (iv) the 2,593,056 Penny Warrant Shares. The Public Warrants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Private Warrants entitle the holder thereof to purchase one share of our common stock for $11.50 per share. The $10 Warrants and Penny Warrants entitle the holder thereof to purchase one share of our common stock for $10 per share and $0.01 per share, respectively, subject to weighted average anti-dilution protection.</w:t>
      </w:r>
    </w:p>
    <w:p>
      <w:pPr>
        <w:spacing w:after="0" w:line="52"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3"/>
          <w:szCs w:val="13"/>
          <w:color w:val="auto"/>
        </w:rPr>
        <w:t>We are registering the offer and sale of these securities to satisfy certain registration rights we have granted. 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common stock or warrants, except with respect to amounts received by us upon the exercise of the warrants. Because the exercise price of the Public Warrants and Private Warrants substantially exceeds the current trading price of our common stock, it is unlikely that holders of our warrants will be able to exercise such warrants in the near future, if at all. As a result, we are unlikely to receive any proceeds from the exercise of our warrants in the near future, if at all.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common stock or warrants. See section entitled “</w:t>
      </w:r>
      <w:r>
        <w:rPr>
          <w:rFonts w:ascii="Times New Roman" w:cs="Times New Roman" w:eastAsia="Times New Roman" w:hAnsi="Times New Roman"/>
          <w:sz w:val="13"/>
          <w:szCs w:val="13"/>
          <w:i w:val="1"/>
          <w:iCs w:val="1"/>
          <w:color w:val="auto"/>
        </w:rPr>
        <w:t>Plan of Distribution</w:t>
      </w:r>
      <w:r>
        <w:rPr>
          <w:rFonts w:ascii="Times New Roman" w:cs="Times New Roman" w:eastAsia="Times New Roman" w:hAnsi="Times New Roman"/>
          <w:sz w:val="13"/>
          <w:szCs w:val="13"/>
          <w:color w:val="auto"/>
        </w:rPr>
        <w:t>” beginning on page 114 of this prospectus.</w:t>
      </w:r>
    </w:p>
    <w:p>
      <w:pPr>
        <w:spacing w:after="0" w:line="4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3"/>
          <w:szCs w:val="13"/>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31"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3"/>
          <w:szCs w:val="13"/>
          <w:color w:val="auto"/>
        </w:rPr>
        <w:t>This impact may be heightened by the fact that, as described above, certain of the selling securityholders purchased, or are able to purchase, shares of our common stock at prices that are well below the current trading price of our common stock. The 56,441,403 shares that may be resold and/or issued into the public markets pursuant to this prospectus represent approximately 131% of the shares of our common stock outstanding as of October 26, 2022 (after giving effect to the issuance of the Option Shares, Public Warrant Shares and Private Warrant Shares).</w:t>
      </w:r>
    </w:p>
    <w:p>
      <w:pPr>
        <w:spacing w:after="0" w:line="46"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3"/>
          <w:szCs w:val="13"/>
          <w:color w:val="auto"/>
        </w:rPr>
        <w:t>Our common stock is currently listed on the Nasdaq Global Market (“</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under the symbol “DFLI” and our public warrants are currently listed on the Nasdaq Capital Market under the symbol “DFLIW”. As of November 3, 2022, the closing price of our common stock and warrants was $8.22 and $0.2174, respectively.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 xml:space="preserve">We are an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emerging growth company</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under applicable federal securities laws and will be subject to reduced public company reporting requirements.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 xml:space="preserve">INVESTING IN OUR SECURITIES INVOLVES RISKS THAT ARE DESCRIBED IN 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RISK FACTORS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SECTION BEGINNING ON PAGE 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 THIS PROSPECTUS.</w:t>
      </w:r>
    </w:p>
    <w:p>
      <w:pPr>
        <w:spacing w:after="0" w:line="62"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24" w:lineRule="exact"/>
        <w:rPr>
          <w:sz w:val="20"/>
          <w:szCs w:val="20"/>
          <w:color w:val="auto"/>
        </w:rPr>
      </w:pPr>
    </w:p>
    <w:tbl>
      <w:tblPr>
        <w:tblLayout w:type="fixed"/>
        <w:tblInd w:w="3620" w:type="dxa"/>
        <w:tblCellMar>
          <w:top w:w="0" w:type="dxa"/>
          <w:left w:w="0" w:type="dxa"/>
          <w:bottom w:w="0" w:type="dxa"/>
          <w:right w:w="0" w:type="dxa"/>
        </w:tblCellMar>
      </w:tblPr>
      <w:tr>
        <w:trPr>
          <w:trHeight w:val="178"/>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The date of this prospectus is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1234440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2">
            <w:col w:w="280" w:space="380"/>
            <w:col w:w="9220"/>
          </w:cols>
          <w:pgMar w:left="980" w:top="513" w:right="10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20" w:type="dxa"/>
            <w:vAlign w:val="bottom"/>
            <w:tcBorders>
              <w:top w:val="single" w:sz="8" w:color="0000EE"/>
            </w:tcBorders>
            <w:vMerge w:val="restart"/>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INTRODUCTORY NOTE</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56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080" w:type="dxa"/>
            <w:vAlign w:val="bottom"/>
            <w:tcBorders>
              <w:top w:val="single" w:sz="8" w:color="CCEEFF"/>
            </w:tcBorders>
            <w:gridSpan w:val="20"/>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6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278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06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DRAGONFLY’S MANAGEMENT’S DISCUSSION AND ANALYSIS OF FINANCIAL CONDITION AND RESULTS OF</w:t>
            </w: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6"/>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60" w:type="dxa"/>
            <w:vAlign w:val="bottom"/>
            <w:tcBorders>
              <w:bottom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w w:val="99"/>
              </w:rPr>
              <w:t>CNTQ’S MANAGEMENT’S DISCUSSION AND ANALYSIS OF FINANCIAL CONDITION AND RESULTS OF</w:t>
            </w:r>
          </w:p>
        </w:tc>
        <w:tc>
          <w:tcPr>
            <w:tcW w:w="8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6"/>
          </w:tcPr>
          <w:p>
            <w:pPr>
              <w:ind w:left="1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760" w:type="dxa"/>
            <w:vAlign w:val="bottom"/>
            <w:tcBorders>
              <w:top w:val="single" w:sz="8" w:color="CCEEFF"/>
            </w:tcBorders>
            <w:gridSpan w:val="7"/>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2620" w:type="dxa"/>
            <w:vAlign w:val="bottom"/>
            <w:tcBorders>
              <w:bottom w:val="single" w:sz="8" w:color="CCEEFF"/>
            </w:tcBorders>
            <w:gridSpan w:val="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CONSIDERATIONS FOR NON-U.S. HOLDERS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360" w:type="dxa"/>
            <w:vAlign w:val="bottom"/>
            <w:tcBorders>
              <w:top w:val="single" w:sz="8" w:color="CCEEFF"/>
            </w:tcBorders>
            <w:gridSpan w:val="5"/>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900" w:type="dxa"/>
            <w:vAlign w:val="bottom"/>
            <w:tcBorders>
              <w:top w:val="single" w:sz="8" w:color="CCEEFF"/>
            </w:tcBorders>
            <w:gridSpan w:val="18"/>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5540" w:type="dxa"/>
            <w:vAlign w:val="bottom"/>
            <w:tcBorders>
              <w:top w:val="single" w:sz="8" w:color="CCEEFF"/>
            </w:tcBorders>
            <w:gridSpan w:val="9"/>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2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Acquisition 2 Corp., a Delaware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Bronco Merger Sub, Inc., a Nevada corporation and newly formed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consummated the previously announced Business Combination (as defined below) pursuant to the terms of the Business Combination Agreement (as defined below).</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On the Closing Date, (i) CNTQ changed its name to “Dragonfly Energy Holdings Corp.”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firstLine="8"/>
        <w:spacing w:after="0" w:line="255"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with Legacy Dragonfly surviving the Merger as a direct, wholly-owned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(iii) the parties to the Business Combination Agreement consummated the other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00"/>
          </w:cols>
          <w:pgMar w:left="980" w:top="513"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58"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means warrants to initially acquire 1,600,000 shares of common stock at an initial $10.00 per share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at Closing in connection with the Term Loan.</w:t>
      </w:r>
    </w:p>
    <w:p>
      <w:pPr>
        <w:spacing w:after="0" w:line="155"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Charter</w:t>
      </w:r>
      <w:r>
        <w:rPr>
          <w:rFonts w:ascii="Times New Roman" w:cs="Times New Roman" w:eastAsia="Times New Roman" w:hAnsi="Times New Roman"/>
          <w:sz w:val="18"/>
          <w:szCs w:val="18"/>
          <w:color w:val="auto"/>
        </w:rPr>
        <w:t>” means the amended and restated certificate of incorporation of Dragonfly, in effect as of the date of this prospectus.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Agreement and Plan of Merger, dated May 15, 2022, as amended on July 12, 2022, by and among CNTQ, Merger Sub and Dragonfly.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means Chardan Capital Markets LLC, a New York limited liability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means Chardan NexTech Acquisition 2 Corp., a Delaware corporation, which was renamed “Dragonfly Energy Holdings Corp.” in connection with the Closing.</w:t>
      </w:r>
    </w:p>
    <w:p>
      <w:pPr>
        <w:spacing w:after="0" w:line="15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Common Stock</w:t>
      </w:r>
      <w:r>
        <w:rPr>
          <w:rFonts w:ascii="Times New Roman" w:cs="Times New Roman" w:eastAsia="Times New Roman" w:hAnsi="Times New Roman"/>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means the initial public offering by CNTQ, which closed on August 13,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means Dragonfly Energy Holdings Corp., a Delaware corporation.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 Board</w:t>
      </w:r>
      <w:r>
        <w:rPr>
          <w:rFonts w:ascii="Times New Roman" w:cs="Times New Roman" w:eastAsia="Times New Roman" w:hAnsi="Times New Roman"/>
          <w:sz w:val="18"/>
          <w:szCs w:val="18"/>
          <w:color w:val="auto"/>
        </w:rPr>
        <w:t>” means the board of directors of Dragonfly.</w:t>
      </w:r>
    </w:p>
    <w:p>
      <w:pPr>
        <w:spacing w:after="0" w:line="225" w:lineRule="exact"/>
        <w:rPr>
          <w:sz w:val="20"/>
          <w:szCs w:val="20"/>
          <w:color w:val="auto"/>
        </w:rPr>
      </w:pPr>
    </w:p>
    <w:p>
      <w:pPr>
        <w:ind w:right="340"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Earnout Shares</w:t>
      </w:r>
      <w:r>
        <w:rPr>
          <w:rFonts w:ascii="Times New Roman" w:cs="Times New Roman" w:eastAsia="Times New Roman" w:hAnsi="Times New Roman"/>
          <w:sz w:val="17"/>
          <w:szCs w:val="17"/>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32"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shares of CNTQ common stock held by the Sponsor, CNTQ’s directors, and affiliates of CNTQ’s management team.</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Legacy Dragonfly</w:t>
      </w:r>
      <w:r>
        <w:rPr>
          <w:rFonts w:ascii="Times New Roman" w:cs="Times New Roman" w:eastAsia="Times New Roman" w:hAnsi="Times New Roman"/>
          <w:sz w:val="17"/>
          <w:szCs w:val="17"/>
          <w:color w:val="auto"/>
        </w:rPr>
        <w:t>” means Dragonfly Energy Corp., a Nevada corporation, and includes the surviving corporation after the Merger.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herein to Dragonfly will include its subsidiaries, including Legacy Dragonfly, to the extent reasonably applicable.</w:t>
      </w:r>
    </w:p>
    <w:p>
      <w:pPr>
        <w:spacing w:after="0" w:line="203"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Bronco Merger Sub, Inc., a Nevada corporation.</w:t>
      </w:r>
    </w:p>
    <w:p>
      <w:pPr>
        <w:spacing w:after="0" w:line="22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means warrants to initially acquire 2,593,056 shares of common stock at an exercise price of $0.01 per share issued at Closing in connection with the Term Loan.</w:t>
      </w:r>
    </w:p>
    <w:p>
      <w:pPr>
        <w:spacing w:after="0" w:line="15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warrants to acquire shares of common stock at an $11.50 per share exercise price issued to an affiliate of the Sponsor in a private placement simultaneously with the closing of the CNTQ IPO.</w:t>
      </w:r>
    </w:p>
    <w:p>
      <w:pPr>
        <w:sectPr>
          <w:pgSz w:w="11900" w:h="16838" w:orient="portrait"/>
          <w:cols w:equalWidth="0" w:num="1">
            <w:col w:w="9900"/>
          </w:cols>
          <w:pgMar w:left="980" w:top="513" w:right="101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NexTech Investments 2 LLC, a Delaware limited liability company and an affiliate of CCM.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$75 million aggregate principal amount senior secured term loan facility entered into at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CNTQ that held the proceeds from the CNTQ IPO.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Public Warrants, the Private Warrants, the Penny Warrants and the $10 Warrants of Dragonfly.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means Chardan NexTech 2 Warrant Holdings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92"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recognize the anticipated benefits of our recent Business Combination, which may be affected by, among other things, the factors listed below;</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patents and other intellectual property;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common stock on the Nasdaq;</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sell the desired amounts of shares of common stock to CCM at desired prices under the ChEF Equity Facility;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the Company’s failure to timely achieve the anticipated benefits of the Company’s customer arrangements with THOR and its affiliate brands (including Keystone);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and proprietary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LFP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dependence on a single manufacturing facility;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software and hardware that is highly complex and technical; and</w:t>
      </w:r>
    </w:p>
    <w:p>
      <w:pPr>
        <w:spacing w:after="0" w:line="22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If any of these risks materialize or any of our assumptions prove incorrect, actual results could differ materially from the results implied by these forward-looking statements. There may be additional risks that we are not presently aware of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these forward-looking statements at some point in the future, we specifically disclaim any obligation to do so. These forward-looking statements should not be relied upon as representing our assessments as of any date subsequent to the date of this prospectus. Accordingly, undue reliance should not be placed upon the forward-looking statements. Actual results, performance or achievements may, and are likely to, differ materially, and potentially adversely, from any projections and forward-looking statements and the assumptions on which those forward-looking statements were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763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38925" cy="763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ind w:left="20" w:right="2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Dragonfly’s 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Unaudited Pro Forma Condensed Combined Financial Information and Other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financial statements included elsewhere in this prospectus.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20" w:right="40" w:firstLine="324"/>
        <w:spacing w:after="0" w:line="281" w:lineRule="auto"/>
        <w:rPr>
          <w:sz w:val="20"/>
          <w:szCs w:val="20"/>
          <w:color w:val="auto"/>
        </w:rPr>
      </w:pPr>
      <w:r>
        <w:rPr>
          <w:rFonts w:ascii="Times New Roman" w:cs="Times New Roman" w:eastAsia="Times New Roman" w:hAnsi="Times New Roman"/>
          <w:sz w:val="17"/>
          <w:szCs w:val="17"/>
          <w:color w:val="auto"/>
        </w:rPr>
        <w:t>Our business was founded in 2012. Based in Reno, Nevada, we are a manufacturer of non-toxic deep cycle lithium-ion batteries that are designed to displace lead acid batteries in a number of different storage applications and end markets including recreational vehicle (“</w:t>
      </w:r>
      <w:r>
        <w:rPr>
          <w:rFonts w:ascii="Times New Roman" w:cs="Times New Roman" w:eastAsia="Times New Roman" w:hAnsi="Times New Roman"/>
          <w:sz w:val="17"/>
          <w:szCs w:val="17"/>
          <w:b w:val="1"/>
          <w:bCs w:val="1"/>
          <w:color w:val="auto"/>
        </w:rPr>
        <w:t>RV</w:t>
      </w:r>
      <w:r>
        <w:rPr>
          <w:rFonts w:ascii="Times New Roman" w:cs="Times New Roman" w:eastAsia="Times New Roman" w:hAnsi="Times New Roman"/>
          <w:sz w:val="17"/>
          <w:szCs w:val="17"/>
          <w:color w:val="auto"/>
        </w:rPr>
        <w:t>”),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64" w:lineRule="exact"/>
        <w:rPr>
          <w:sz w:val="20"/>
          <w:szCs w:val="20"/>
          <w:color w:val="auto"/>
        </w:rPr>
      </w:pPr>
    </w:p>
    <w:p>
      <w:pPr>
        <w:jc w:val="both"/>
        <w:ind w:left="20" w:right="32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jc w:val="both"/>
        <w:ind w:left="20"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co-founder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176" w:lineRule="exact"/>
        <w:rPr>
          <w:sz w:val="20"/>
          <w:szCs w:val="20"/>
          <w:color w:val="auto"/>
        </w:rPr>
      </w:pPr>
    </w:p>
    <w:p>
      <w:pPr>
        <w:ind w:left="20" w:right="100" w:firstLine="324"/>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160" w:lineRule="exact"/>
        <w:rPr>
          <w:sz w:val="20"/>
          <w:szCs w:val="20"/>
          <w:color w:val="auto"/>
        </w:rPr>
      </w:pPr>
    </w:p>
    <w:p>
      <w:pPr>
        <w:ind w:left="20" w:right="360" w:firstLine="324"/>
        <w:spacing w:after="0" w:line="284" w:lineRule="auto"/>
        <w:rPr>
          <w:sz w:val="20"/>
          <w:szCs w:val="20"/>
          <w:color w:val="auto"/>
        </w:rPr>
      </w:pPr>
      <w:r>
        <w:rPr>
          <w:rFonts w:ascii="Times New Roman" w:cs="Times New Roman" w:eastAsia="Times New Roman" w:hAnsi="Times New Roman"/>
          <w:sz w:val="18"/>
          <w:szCs w:val="18"/>
          <w:color w:val="auto"/>
        </w:rPr>
        <w:t>For more information about us,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left="20" w:right="8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w:t>
      </w:r>
    </w:p>
    <w:p>
      <w:pPr>
        <w:spacing w:after="0" w:line="27" w:lineRule="exact"/>
        <w:rPr>
          <w:sz w:val="20"/>
          <w:szCs w:val="20"/>
          <w:color w:val="auto"/>
        </w:rPr>
      </w:pPr>
    </w:p>
    <w:p>
      <w:pPr>
        <w:jc w:val="both"/>
        <w:ind w:left="20" w:right="200" w:firstLine="2"/>
        <w:spacing w:after="0" w:line="253"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ind w:left="2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763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8925" cy="763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$100 million during such completed fiscal year and the market value of our common stock held by non-affiliates exceeds $700 million as of the prior June 30.</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20" w:right="220" w:firstLine="324"/>
        <w:spacing w:after="0" w:line="266"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11. Such risks include, but are not limited to, the following risks: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w:t>
      </w:r>
    </w:p>
    <w:p>
      <w:pPr>
        <w:spacing w:after="0" w:line="229" w:lineRule="exact"/>
        <w:rPr>
          <w:sz w:val="20"/>
          <w:szCs w:val="20"/>
          <w:color w:val="auto"/>
        </w:rPr>
      </w:pPr>
    </w:p>
    <w:p>
      <w:pPr>
        <w:ind w:left="700" w:hanging="327"/>
        <w:spacing w:after="0" w:line="261"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229" w:lineRule="exact"/>
        <w:rPr>
          <w:sz w:val="20"/>
          <w:szCs w:val="20"/>
          <w:color w:val="auto"/>
        </w:rPr>
      </w:pPr>
    </w:p>
    <w:p>
      <w:pPr>
        <w:ind w:left="700" w:hanging="327"/>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225" w:lineRule="exact"/>
        <w:rPr>
          <w:rFonts w:ascii="Times New Roman" w:cs="Times New Roman" w:eastAsia="Times New Roman" w:hAnsi="Times New Roman"/>
          <w:sz w:val="18"/>
          <w:szCs w:val="18"/>
          <w:color w:val="auto"/>
        </w:rPr>
      </w:pPr>
    </w:p>
    <w:p>
      <w:pPr>
        <w:ind w:left="700" w:right="200" w:hanging="327"/>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spacing w:after="0" w:line="175" w:lineRule="exact"/>
        <w:rPr>
          <w:rFonts w:ascii="Times New Roman" w:cs="Times New Roman" w:eastAsia="Times New Roman" w:hAnsi="Times New Roman"/>
          <w:sz w:val="18"/>
          <w:szCs w:val="18"/>
          <w:color w:val="auto"/>
        </w:rPr>
      </w:pPr>
    </w:p>
    <w:p>
      <w:pPr>
        <w:jc w:val="both"/>
        <w:ind w:left="700" w:hanging="327"/>
        <w:spacing w:after="0" w:line="261"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79" w:lineRule="exact"/>
        <w:rPr>
          <w:rFonts w:ascii="Times New Roman" w:cs="Times New Roman" w:eastAsia="Times New Roman" w:hAnsi="Times New Roman"/>
          <w:sz w:val="18"/>
          <w:szCs w:val="18"/>
          <w:color w:val="auto"/>
        </w:rPr>
      </w:pPr>
    </w:p>
    <w:p>
      <w:pPr>
        <w:ind w:left="700" w:right="60" w:hanging="327"/>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75" w:lineRule="exact"/>
        <w:rPr>
          <w:rFonts w:ascii="Times New Roman" w:cs="Times New Roman" w:eastAsia="Times New Roman" w:hAnsi="Times New Roman"/>
          <w:sz w:val="18"/>
          <w:szCs w:val="18"/>
          <w:color w:val="auto"/>
        </w:rPr>
      </w:pPr>
    </w:p>
    <w:p>
      <w:pPr>
        <w:ind w:left="700" w:right="280" w:hanging="327"/>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229" w:lineRule="exact"/>
        <w:rPr>
          <w:sz w:val="20"/>
          <w:szCs w:val="20"/>
          <w:color w:val="auto"/>
        </w:rPr>
      </w:pPr>
    </w:p>
    <w:p>
      <w:pPr>
        <w:ind w:left="700" w:hanging="327"/>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161" w:lineRule="exact"/>
        <w:rPr>
          <w:rFonts w:ascii="Times New Roman" w:cs="Times New Roman" w:eastAsia="Times New Roman" w:hAnsi="Times New Roman"/>
          <w:sz w:val="18"/>
          <w:szCs w:val="18"/>
          <w:color w:val="auto"/>
        </w:rPr>
      </w:pPr>
    </w:p>
    <w:p>
      <w:pPr>
        <w:ind w:left="700" w:right="40" w:hanging="327"/>
        <w:spacing w:after="0" w:line="312"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39" w:lineRule="exact"/>
        <w:rPr>
          <w:rFonts w:ascii="Times New Roman" w:cs="Times New Roman" w:eastAsia="Times New Roman" w:hAnsi="Times New Roman"/>
          <w:sz w:val="17"/>
          <w:szCs w:val="17"/>
          <w:color w:val="auto"/>
        </w:rPr>
      </w:pPr>
    </w:p>
    <w:p>
      <w:pPr>
        <w:ind w:left="700" w:right="280" w:hanging="327"/>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700" w:right="580" w:hanging="327"/>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sectPr>
          <w:pgSz w:w="11900" w:h="16838" w:orient="portrait"/>
          <w:cols w:equalWidth="0" w:num="1">
            <w:col w:w="9880"/>
          </w:cols>
          <w:pgMar w:left="98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5164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38925" cy="516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00" w:right="100" w:hanging="327"/>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 consuming and could cause us to incur substantial costs.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700" w:right="60" w:hanging="327"/>
        <w:spacing w:after="0" w:line="312"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in global economic conditions, including as a result of the COVID-19 pandemic and the Russia-Ukraine conflict, could reduce consumer spending and disrupt our supply chain which could negatively affect our results of operations.</w:t>
      </w:r>
    </w:p>
    <w:p>
      <w:pPr>
        <w:spacing w:after="0" w:line="139" w:lineRule="exact"/>
        <w:rPr>
          <w:rFonts w:ascii="Times New Roman" w:cs="Times New Roman" w:eastAsia="Times New Roman" w:hAnsi="Times New Roman"/>
          <w:sz w:val="17"/>
          <w:szCs w:val="17"/>
          <w:color w:val="auto"/>
        </w:rPr>
      </w:pPr>
    </w:p>
    <w:p>
      <w:pPr>
        <w:ind w:left="700" w:right="480" w:hanging="327"/>
        <w:spacing w:after="0" w:line="312"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39" w:lineRule="exact"/>
        <w:rPr>
          <w:rFonts w:ascii="Times New Roman" w:cs="Times New Roman" w:eastAsia="Times New Roman" w:hAnsi="Times New Roman"/>
          <w:sz w:val="17"/>
          <w:szCs w:val="17"/>
          <w:color w:val="auto"/>
        </w:rPr>
      </w:pPr>
    </w:p>
    <w:p>
      <w:pPr>
        <w:ind w:left="700" w:right="160" w:hanging="327"/>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29" w:lineRule="exact"/>
        <w:rPr>
          <w:sz w:val="20"/>
          <w:szCs w:val="20"/>
          <w:color w:val="auto"/>
        </w:rPr>
      </w:pPr>
    </w:p>
    <w:p>
      <w:pPr>
        <w:ind w:left="700" w:right="220" w:hanging="327"/>
        <w:spacing w:after="0" w:line="28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161" w:lineRule="exact"/>
        <w:rPr>
          <w:rFonts w:ascii="Times New Roman" w:cs="Times New Roman" w:eastAsia="Times New Roman" w:hAnsi="Times New Roman"/>
          <w:sz w:val="18"/>
          <w:szCs w:val="18"/>
          <w:color w:val="auto"/>
        </w:rPr>
      </w:pPr>
    </w:p>
    <w:p>
      <w:pPr>
        <w:ind w:left="700" w:hanging="327"/>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700" w:right="300" w:hanging="327"/>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debt securities and equity securities may adversely affect us, including the market price of the common stock and may be dilutive to existing stockholders.</w:t>
      </w:r>
    </w:p>
    <w:p>
      <w:pPr>
        <w:spacing w:after="0" w:line="161" w:lineRule="exact"/>
        <w:rPr>
          <w:rFonts w:ascii="Times New Roman" w:cs="Times New Roman" w:eastAsia="Times New Roman" w:hAnsi="Times New Roman"/>
          <w:sz w:val="18"/>
          <w:szCs w:val="18"/>
          <w:color w:val="auto"/>
        </w:rPr>
      </w:pPr>
    </w:p>
    <w:p>
      <w:pPr>
        <w:ind w:left="700" w:hanging="327"/>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continue to have substantial influence over us, which could limit your ability to affect the outcome of key transactions, including a change of control.</w:t>
      </w:r>
    </w:p>
    <w:p>
      <w:pPr>
        <w:spacing w:after="0" w:line="161" w:lineRule="exact"/>
        <w:rPr>
          <w:rFonts w:ascii="Times New Roman" w:cs="Times New Roman" w:eastAsia="Times New Roman" w:hAnsi="Times New Roman"/>
          <w:sz w:val="18"/>
          <w:szCs w:val="18"/>
          <w:color w:val="auto"/>
        </w:rPr>
      </w:pPr>
    </w:p>
    <w:p>
      <w:pPr>
        <w:ind w:left="700" w:hanging="327"/>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7821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8925" cy="782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99"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Issuer</w:t>
      </w:r>
      <w:r>
        <w:rPr>
          <w:sz w:val="20"/>
          <w:szCs w:val="20"/>
          <w:color w:val="auto"/>
        </w:rPr>
        <w:tab/>
      </w:r>
      <w:r>
        <w:rPr>
          <w:rFonts w:ascii="Times New Roman" w:cs="Times New Roman" w:eastAsia="Times New Roman" w:hAnsi="Times New Roman"/>
          <w:sz w:val="16"/>
          <w:szCs w:val="16"/>
          <w:color w:val="auto"/>
        </w:rPr>
        <w:t>Dragonfly Energy Holdings Corp.</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Resale of common stock</w:t>
      </w:r>
    </w:p>
    <w:p>
      <w:pPr>
        <w:spacing w:after="0" w:line="196"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Securities offered by the selling securityholders</w:t>
      </w:r>
      <w:r>
        <w:rPr>
          <w:sz w:val="20"/>
          <w:szCs w:val="20"/>
          <w:color w:val="auto"/>
        </w:rPr>
        <w:tab/>
      </w:r>
      <w:r>
        <w:rPr>
          <w:rFonts w:ascii="Times New Roman" w:cs="Times New Roman" w:eastAsia="Times New Roman" w:hAnsi="Times New Roman"/>
          <w:sz w:val="16"/>
          <w:szCs w:val="16"/>
          <w:color w:val="auto"/>
        </w:rPr>
        <w:t>We are registering the resale by the selling securityholders named in this</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prospectus, or their permitted transferees, of an aggregate of 38,132,989</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shares of common stock, 18,308,414 warrants to purchase shares of</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common stock and 18,308,414 shares of common stock issuable upon</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exercise of warrants, which includes up to:</w:t>
      </w:r>
    </w:p>
    <w:p>
      <w:pPr>
        <w:spacing w:after="0" w:line="186"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31,290,514 Consideration Shares;</w:t>
      </w:r>
    </w:p>
    <w:p>
      <w:pPr>
        <w:spacing w:after="0" w:line="208"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3,664,975 Option Shares;</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3,162,500 Founder Shares;</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4,627,858 Private Warrants;</w:t>
      </w:r>
    </w:p>
    <w:p>
      <w:pPr>
        <w:spacing w:after="0" w:line="208"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$10 Warrants;</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Penny Warrants;</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4,627,858 Private Warrant Shares;</w:t>
      </w:r>
    </w:p>
    <w:p>
      <w:pPr>
        <w:spacing w:after="0" w:line="208"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1,600,000 $10 Warrant Shares;</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2,593,056 Penny Warrant Shares; and</w:t>
      </w:r>
    </w:p>
    <w:p>
      <w:pPr>
        <w:spacing w:after="0" w:line="194"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15,000 PIPE Investment Shares.</w:t>
      </w:r>
    </w:p>
    <w:p>
      <w:pPr>
        <w:spacing w:after="0" w:line="208"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Use of proceeds</w:t>
      </w:r>
      <w:r>
        <w:rPr>
          <w:sz w:val="20"/>
          <w:szCs w:val="20"/>
          <w:color w:val="auto"/>
        </w:rPr>
        <w:tab/>
      </w:r>
      <w:r>
        <w:rPr>
          <w:rFonts w:ascii="Times New Roman" w:cs="Times New Roman" w:eastAsia="Times New Roman" w:hAnsi="Times New Roman"/>
          <w:sz w:val="16"/>
          <w:szCs w:val="16"/>
          <w:color w:val="auto"/>
        </w:rPr>
        <w:t>We will not receive any of the proceeds from the sale of the common</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stock or warrants by the selling securityholders.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for additional information.</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Issuance of common stock</w:t>
      </w:r>
    </w:p>
    <w:p>
      <w:pPr>
        <w:spacing w:after="0" w:line="196" w:lineRule="exact"/>
        <w:rPr>
          <w:sz w:val="20"/>
          <w:szCs w:val="20"/>
          <w:color w:val="auto"/>
        </w:rPr>
      </w:pPr>
    </w:p>
    <w:p>
      <w:pPr>
        <w:ind w:left="160"/>
        <w:spacing w:after="0"/>
        <w:tabs>
          <w:tab w:leader="none" w:pos="5260" w:val="left"/>
          <w:tab w:leader="none" w:pos="5600" w:val="left"/>
        </w:tabs>
        <w:rPr>
          <w:sz w:val="20"/>
          <w:szCs w:val="20"/>
          <w:color w:val="auto"/>
        </w:rPr>
      </w:pPr>
      <w:r>
        <w:rPr>
          <w:rFonts w:ascii="Times New Roman" w:cs="Times New Roman" w:eastAsia="Times New Roman" w:hAnsi="Times New Roman"/>
          <w:sz w:val="16"/>
          <w:szCs w:val="16"/>
          <w:color w:val="auto"/>
        </w:rPr>
        <w:t>Shares of common stock offered by us</w:t>
      </w:r>
      <w:r>
        <w:rPr>
          <w:sz w:val="20"/>
          <w:szCs w:val="20"/>
          <w:color w:val="auto"/>
        </w:rPr>
        <w:tab/>
      </w:r>
      <w:r>
        <w:rPr>
          <w:rFonts w:ascii="Times New Roman" w:cs="Times New Roman" w:eastAsia="Times New Roman" w:hAnsi="Times New Roman"/>
          <w:sz w:val="16"/>
          <w:szCs w:val="16"/>
          <w:color w:val="auto"/>
        </w:rPr>
        <w:t>●</w:t>
        <w:tab/>
        <w:t>9,487,500 shares of common stock issuable upon exercise of the</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Public Warrants;</w:t>
      </w:r>
    </w:p>
    <w:p>
      <w:pPr>
        <w:spacing w:after="0" w:line="186"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4,627,858 shares of common stock issuable upon exercise of the</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Private Warrants;</w:t>
      </w:r>
    </w:p>
    <w:p>
      <w:pPr>
        <w:spacing w:after="0" w:line="200"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1,600,000 shares of common stock issued upon exercise of the</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$10 Warrants; and</w:t>
      </w:r>
    </w:p>
    <w:p>
      <w:pPr>
        <w:spacing w:after="0" w:line="186"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2,593,056 shares of common stock issuable upon exercise of the</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Penny Warrants.</w:t>
      </w:r>
    </w:p>
    <w:p>
      <w:pPr>
        <w:spacing w:after="0" w:line="186"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Common stock issued and outstanding immediately after this offering</w:t>
      </w:r>
      <w:r>
        <w:rPr>
          <w:sz w:val="20"/>
          <w:szCs w:val="20"/>
          <w:color w:val="auto"/>
        </w:rPr>
        <w:tab/>
      </w:r>
      <w:r>
        <w:rPr>
          <w:rFonts w:ascii="Times New Roman" w:cs="Times New Roman" w:eastAsia="Times New Roman" w:hAnsi="Times New Roman"/>
          <w:sz w:val="16"/>
          <w:szCs w:val="16"/>
          <w:color w:val="auto"/>
        </w:rPr>
        <w:t>On a pro forma basis after giving effect to the Business Combination and</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other transactions contemplated thereby:</w:t>
      </w:r>
    </w:p>
    <w:p>
      <w:pPr>
        <w:spacing w:after="0" w:line="186"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44,848,686 shares of common stock prior to the exercise of the</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Warrants; and</w:t>
      </w:r>
    </w:p>
    <w:p>
      <w:pPr>
        <w:spacing w:after="0" w:line="200" w:lineRule="exact"/>
        <w:rPr>
          <w:sz w:val="20"/>
          <w:szCs w:val="20"/>
          <w:color w:val="auto"/>
        </w:rPr>
      </w:pPr>
    </w:p>
    <w:p>
      <w:pPr>
        <w:ind w:left="5280"/>
        <w:spacing w:after="0"/>
        <w:tabs>
          <w:tab w:leader="none" w:pos="5600" w:val="left"/>
        </w:tabs>
        <w:rPr>
          <w:sz w:val="20"/>
          <w:szCs w:val="20"/>
          <w:color w:val="auto"/>
        </w:rPr>
      </w:pPr>
      <w:r>
        <w:rPr>
          <w:rFonts w:ascii="Times New Roman" w:cs="Times New Roman" w:eastAsia="Times New Roman" w:hAnsi="Times New Roman"/>
          <w:sz w:val="16"/>
          <w:szCs w:val="16"/>
          <w:color w:val="auto"/>
        </w:rPr>
        <w:t>●</w:t>
        <w:tab/>
        <w:t>63,157,100 shares of common stock assuming the issuance of</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18,308,414 shares of common stock upon the exercise of the</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Warrants.</w:t>
      </w:r>
    </w:p>
    <w:p>
      <w:pPr>
        <w:sectPr>
          <w:pgSz w:w="11900" w:h="16838" w:orient="portrait"/>
          <w:cols w:equalWidth="0" w:num="1">
            <w:col w:w="9840"/>
          </w:cols>
          <w:pgMar w:left="980" w:top="12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365760</wp:posOffset>
            </wp:positionV>
            <wp:extent cx="6638925" cy="7016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8925" cy="701611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We will receive up to an aggregate of approximately $178.35 million from the exercise of the Warrants, assuming the exercise in full of all of Warrants for cash. We expect to use the net proceeds, if any, from the exercise of the Warrants for research and development, working capital and general corporate purposes. Because the exercise price of the Public Warrants and Private Warrants substantially exceeds the current trading price of our common stock, we are unlikely to receive any proceeds from the exercise of our warrants in the near future, if at all. See “</w:t>
      </w:r>
      <w:r>
        <w:rPr>
          <w:rFonts w:ascii="Times New Roman" w:cs="Times New Roman" w:eastAsia="Times New Roman" w:hAnsi="Times New Roman"/>
          <w:sz w:val="16"/>
          <w:szCs w:val="16"/>
          <w:i w:val="1"/>
          <w:iCs w:val="1"/>
          <w:color w:val="auto"/>
        </w:rPr>
        <w:t>Use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Proceeds</w:t>
      </w:r>
      <w:r>
        <w:rPr>
          <w:rFonts w:ascii="Times New Roman" w:cs="Times New Roman" w:eastAsia="Times New Roman" w:hAnsi="Times New Roman"/>
          <w:sz w:val="16"/>
          <w:szCs w:val="16"/>
          <w:color w:val="auto"/>
        </w:rPr>
        <w:t>” for additional information.</w:t>
      </w:r>
    </w:p>
    <w:p>
      <w:pPr>
        <w:spacing w:after="0" w:line="149"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Lock-Up Restrictions</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Times New Roman" w:cs="Times New Roman" w:eastAsia="Times New Roman" w:hAnsi="Times New Roman"/>
          <w:sz w:val="16"/>
          <w:szCs w:val="16"/>
          <w:color w:val="auto"/>
        </w:rPr>
        <w:t>The securities that are owned by certain of the selling securityholders, including the parties to the Amended and Restated Registration Rights Agreement, are subject to lock-up provisions, which provide for certain restrictions on transfer until the termination of applicable lock-up periods.</w:t>
      </w:r>
    </w:p>
    <w:p>
      <w:pPr>
        <w:spacing w:after="0" w:line="142"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Nasdaq ticker symbols</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6"/>
          <w:szCs w:val="16"/>
          <w:color w:val="auto"/>
        </w:rPr>
        <w:t>Our common stock is currently listed on the Nasdaq under the symbol “DFLI” and our public warrants are currently listed on the Nasdaq Capital Market under the symbol “DFLIW”.</w:t>
      </w:r>
    </w:p>
    <w:p>
      <w:pPr>
        <w:spacing w:after="0" w:line="137"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Any investment in the securities offered hereby is speculative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involves a high degree of risk. You should carefully consider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set forth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and elsewhere in this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prospectus.</w:t>
      </w:r>
    </w:p>
    <w:p>
      <w:pPr>
        <w:spacing w:after="0" w:line="186"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color w:val="auto"/>
        </w:rPr>
        <w:t>The resale of shares of our common stock pursuant to this prospectus</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could have a significant negative impact on the trading price of our</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common stock. This impact may be heightened by the fact that certain of</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selling securityholders purchased, or are able to purchase, shares of</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our common stock at prices that are well below the current trading price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of our common stock.</w:t>
      </w:r>
    </w:p>
    <w:p>
      <w:pPr>
        <w:sectPr>
          <w:pgSz w:w="11900" w:h="16838" w:orient="portrait"/>
          <w:cols w:equalWidth="0" w:num="1">
            <w:col w:w="9900"/>
          </w:cols>
          <w:pgMar w:left="980" w:top="121" w:right="101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20" w:right="20" w:firstLine="324"/>
        <w:spacing w:after="0" w:line="266"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the Closing Date, does not give effect to issuances of our common stock, warrants or options to purchase shares of our common stock, or the exercise of warrants or options after such date, and excludes:</w:t>
      </w:r>
    </w:p>
    <w:p>
      <w:pPr>
        <w:spacing w:after="0" w:line="172" w:lineRule="exact"/>
        <w:rPr>
          <w:sz w:val="20"/>
          <w:szCs w:val="20"/>
          <w:color w:val="auto"/>
        </w:rPr>
      </w:pPr>
    </w:p>
    <w:p>
      <w:pPr>
        <w:ind w:left="700" w:hanging="327"/>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2,785,950 shares initially reserved under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shares initially reserved under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225" w:lineRule="exact"/>
        <w:rPr>
          <w:rFonts w:ascii="Times New Roman" w:cs="Times New Roman" w:eastAsia="Times New Roman" w:hAnsi="Times New Roman"/>
          <w:sz w:val="18"/>
          <w:szCs w:val="18"/>
          <w:color w:val="auto"/>
        </w:rPr>
      </w:pPr>
    </w:p>
    <w:p>
      <w:pPr>
        <w:ind w:left="700" w:right="120" w:hanging="327"/>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 million of shares of common stock we may sell to CCM pursuant to a purchase agreement between us and CCM, dated October 7, 2022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establishing an equity facility (the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627,498 shares of common stock underlying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Cautionary Note Regarding Forward-Looking Statement.” Please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 and Other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financial statements and notes to the financial statements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 This impact may be heightened by the fact that, as described in the table below, certain of the selling securityholders purchased, or are able to purchase, shares of our common stock at prices that are well below the current trading price of our common stock. The 56,441,403 shares that may be resold and/or issued into the public markets pursuant to this prospectus represent approximately 131% of the shares of our common stock outstanding as of October 26, 2022 (after giving effect to the issuance of the Option Shares, Public Warrant Shares, Private Warrant Shares, $10 Warrant Shares and Penny Warrant Shares).</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will determine the timing, pricing and rate at which they sell such shares into the public market. Although the current trading price of our common stock is significantly below $10.00 per share, which was the sales price for units in the CNTQ IPO, as shown in the table above, certain of the selling securityholders have an incentive to sell because they purchased shares and/or warrants at prices below the initial public offering price and/or below the recent trading prices of our securities. Sales by such investors may prevent the trading price of our securities from exceeding the initial public offering price and may cause the trading prices of our securities to experience a further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22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demand for our products, including sales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arrangement with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the largest manufacturer of towable RVs in North America, Keystone has agreed to fulfill certain of its LFP battery requirements exclusively through us for at least one year, with potential annual renewals. However, although in time we expect Keystone to be a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which, among other things, contemplates a future, mutually agreed exclusive distribution agreement with</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9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79"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5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94"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 access to customers, and may be able to establish cooperative or strategic relationships amongst themselves or with third parties that may further enhance their competitive positioning. In addition,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the RV, marine vessel and off-grid residence markets which require cost-effective batteries with a long-life span), new competitors may emerge, alternative approaches to solid-state battery technology may be developed and competitors may seek to market solid- state battery technologies better suited for other applications (such as electric vehicles (“</w:t>
      </w:r>
      <w:r>
        <w:rPr>
          <w:rFonts w:ascii="Times New Roman" w:cs="Times New Roman" w:eastAsia="Times New Roman" w:hAnsi="Times New Roman"/>
          <w:sz w:val="18"/>
          <w:szCs w:val="18"/>
          <w:b w:val="1"/>
          <w:bCs w:val="1"/>
          <w:color w:val="auto"/>
        </w:rPr>
        <w:t>EVs</w:t>
      </w:r>
      <w:r>
        <w:rPr>
          <w:rFonts w:ascii="Times New Roman" w:cs="Times New Roman" w:eastAsia="Times New Roman" w:hAnsi="Times New Roman"/>
          <w:sz w:val="18"/>
          <w:szCs w:val="18"/>
          <w:color w:val="auto"/>
        </w:rPr>
        <w:t>”)) to our target markets.</w:t>
      </w:r>
    </w:p>
    <w:p>
      <w:pPr>
        <w:spacing w:after="0" w:line="19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8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industrial, specialty and work vehicles, material handling, solar integration, and emergency and standby power in the medium term, and data centers, rail,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 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9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 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93"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3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62"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Our dependence on a limited number of key third-party suppliers exposes us to challenges and risks in ensuring that we maintain adequate supplies required to produce our LFP batteries. Although we carefully manage our inventory and lead-times, we may</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225"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 how;</w:t>
      </w:r>
    </w:p>
    <w:p>
      <w:pPr>
        <w:spacing w:after="0" w:line="225"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as our products are susceptible to obsolescence and price declines.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8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have seen rising materials costs due to inflation, which we have had to counteract through increases in our product prices, where we believe it is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facility may be harmed or rendered inoperable by natural or man-made disasters, including earthquakes, flooding, fire and power outages, utility and transportation infrastructure disruptions, acts of war or terrorism, or by public health crises, such as the ongoing COVID-19 pandemic,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8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our battery communications system, expected to launch in the first half of 2023, will utilize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solid-state battery development efforts are still ongoing, and we may fail to meet our goal of commercially selling LFP batteries incorporating our manufactured solid-state cells. We may encounter delays in the design, manufacture and launch of our solid-state battery cells, and in increasing production to scale.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3"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9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 state batteries could be harmed.</w:t>
      </w:r>
    </w:p>
    <w:p>
      <w:pPr>
        <w:spacing w:after="0" w:line="16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8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 materials for the spray deposition process depending on the final material selections that are used, although we believe that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Additionally, a prior allegation of infringement was raised by a separate third party with regards to the alternator regulators that we plan to sell, although we believe the referenced patent is invalid in view of an earlier sale of a product that the third party was made aware of and no further communications have been received from the third party since they were made aware of this position on December 18, 2020.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93" w:lineRule="exact"/>
        <w:rPr>
          <w:sz w:val="20"/>
          <w:szCs w:val="20"/>
          <w:color w:val="auto"/>
        </w:rPr>
      </w:pPr>
    </w:p>
    <w:p>
      <w:pPr>
        <w:ind w:left="680" w:right="1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22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92"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r>
        <w:rPr>
          <w:rFonts w:ascii="Times New Roman" w:cs="Times New Roman" w:eastAsia="Times New Roman" w:hAnsi="Times New Roman"/>
          <w:sz w:val="18"/>
          <w:szCs w:val="18"/>
          <w:i w:val="1"/>
          <w:iCs w:val="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as a result of the COVID-19 pandemic and the Russia- Ukraine conflict, could reduce consumer spending and disrupt our supply chain which could negatively affect our results of operations.</w:t>
      </w:r>
    </w:p>
    <w:p>
      <w:pPr>
        <w:spacing w:after="0" w:line="15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has caused, and could in the future continue to cause, and other factors could contribute to causing, delays or disruptions in our supply chain and labor shortages and shutdowns, which would be disruptive to the production of our batteries and would adversely impact our business. For example, we experienced shortages and workforce slowdowns at our manufacturing facility due to stay-at-home mandates, delays in shipping finished products to customers and some delays in our receiving non-critical battery components. In addition, the spreading of the virus may make it more difficult for us to find alternative suppliers due to the high concentration of such suppliers located in China. Any performance failure on the part of any of our significant suppliers could interrupt production of our products, which would have a material adverse effect on our business, financial condition and results of operations. Furthermore, the severity, magnitude and duration of the current COVID-19 pandemic is uncertain, rapidly changing and hard to predict. A prolonged or worsened COVID-19 pandemic could cause continued supply disruptions which could lead to a reduction in manufacturing, lead to extended disruption of economic activity and make it difficult for us to predict demand for our products. In addition, while the COVID-19 pandemic may, for a period, positively impact our battery sales as more consumers adopt the RV lifestyle, there is no guarantee that any such increase would be sustained, which could cause our results of operations to fluctuate.</w:t>
      </w:r>
    </w:p>
    <w:p>
      <w:pPr>
        <w:spacing w:after="0" w:line="19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resulting actual and threatened responses to such activity, boycotts or changes in consumer or purchaser preferences, sanctions, tariffs or cyberattacks, may impact the global economy and adversely affect commodity prices.</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as we have done in 2022,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8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trade barriers, tariffs or shortages and other general economic or political conditions may limit our ability to obtain key components for our battery packs or significantly increase freight charges, raw material costs and other expenses associated with our business, which could further materially and adversely affect our financial condition and results of operations.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Because our key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LFP battery cells, battery management systems and other components we purchase from China have been, and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suppliers may not continue to provide us with LFP cells or our battery management systems in our required quantities, to our required specifications and quality levels or at attractive prices.</w:t>
      </w:r>
    </w:p>
    <w:p>
      <w:pPr>
        <w:spacing w:after="0" w:line="200" w:lineRule="exact"/>
        <w:rPr>
          <w:sz w:val="20"/>
          <w:szCs w:val="20"/>
          <w:color w:val="auto"/>
        </w:rPr>
      </w:pPr>
    </w:p>
    <w:p>
      <w:pPr>
        <w:spacing w:after="0" w:line="21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Further, we may be unable to control price fluctuations for these components or negotiate supply agreements on favorable terms to us. We may also be exposed to fluctuations in the value of the U.S. dollar relative to the Renminbi with any appreciation in the value of the Renminbi increasing our costs for components sourced from China. Substantial increases in the prices for our components would increase our operating costs and negatively impact our results of operations.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5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other senior technical and management personnel, including our executive officers, who would be difficult to replace. The loss of Mr. Phares or other key personnel could disrupt our business and harm our results of operations, and we may not be able to successfully attract and retain senior leadership necessary to grow our business.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our growth in our businesses may cause damage to our brand or otherwise have a material adverse effect on our business, financial condition and results of operations.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regulations may not be sufficient and our directors, officers, employees, representatives, consultants, agents and business partners could engage in improper conduct for which we may be held responsible.</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5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an adverse effect on our business, financial condition and operating results.</w:t>
      </w:r>
    </w:p>
    <w:p>
      <w:pPr>
        <w:spacing w:after="0" w:line="159"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Most of the members of our management team have limited to no experience managing a publicly traded company, interacting with public company investors and complying with the increasingly complex laws pertaining to public companies. Our management team has not worked together at prior companies that were publicly traded. Our management team may not successfully or efficiently manage their new roles and responsibilities.</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transition to being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Over time, we expect that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Because the exercise price of the Public Warrants and Private Warrants substantially exceeds the current trading price of our common stock, holders are unlikely to exercise such warrants in the near future, if at all, and as a result our Public Warrants and Private Warrants may not provide any additional capital.</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restrictive covenants restrict our ability to, among other things:</w:t>
      </w:r>
    </w:p>
    <w:p>
      <w:pPr>
        <w:spacing w:after="0" w:line="225"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225"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See “</w:t>
      </w:r>
      <w:r>
        <w:rPr>
          <w:rFonts w:ascii="Times New Roman" w:cs="Times New Roman" w:eastAsia="Times New Roman" w:hAnsi="Times New Roman"/>
          <w:sz w:val="18"/>
          <w:szCs w:val="18"/>
          <w:i w:val="1"/>
          <w:iCs w:val="1"/>
          <w:color w:val="auto"/>
        </w:rPr>
        <w:t>Certain Relationships and Related Person Transactions — Debt Financing</w:t>
      </w:r>
      <w:r>
        <w:rPr>
          <w:rFonts w:ascii="Times New Roman" w:cs="Times New Roman" w:eastAsia="Times New Roman" w:hAnsi="Times New Roman"/>
          <w:sz w:val="18"/>
          <w:szCs w:val="18"/>
          <w:color w:val="auto"/>
        </w:rPr>
        <w:t>.”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5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described elsewhere in this prospectus, our management identified material weaknesses in our internal control over financial reporting relating to (i) inadequate segregation of duties; (ii) lack of appropriate technology controls; and (iii) deficiency in the design of controls around account reconciliations and operational activity. As a result of these material weaknesses, our management concluded that our internal control over financial reporting was not effective as of December 31, 2021, and December 31, 2020.</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are in the process of developing a plan to remediate these material weaknesses. We have recently implemented an ERP system and hired a new Chief Financial Officer, and will continue to identify additional appropriate remediation measures. However,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the Nasdaq, or to other regulatory investigations and civil or criminal sanctions.</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will be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the Nasdaq, or other regulatory authorities, which would require additional financial and management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fluctuations in the price of our securities could contribute to the loss of all or part of your investment. Immediately prior to the Business Combination, there was no public market for our stock and trading in shares of CNTQ Common Stock was not active. Accordingly, the valuation ascribed to our business and CNTQ Common Stock in the Business Combination may not prove to be indicative of the price that will prevail in the trading market.</w:t>
      </w:r>
    </w:p>
    <w:p>
      <w:pPr>
        <w:spacing w:after="0" w:line="18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will depend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since you might be unable to sell your shares at or above the price attributed to them in the Business Combination.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 and</w:t>
      </w:r>
    </w:p>
    <w:p>
      <w:pPr>
        <w:spacing w:after="0" w:line="159"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and other matters described or referenced under the sections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Broad market and industry factors may materially harm the market price of our securities irrespective of our operating performance. The stock market in general and the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7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debt securities and equity securities may adversely affect us, including the market price of the common stock and may be dilutive to existing stockholders.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the future, we may incur debt or issue equity securities ranking senior to the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including the shares initially reserved under the 2022 Plan, the shares initially reserved under the ESPP, the Earnout Shares and the shares underlying outstanding options, may have rights, preferences and privileges more favorable than those of the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the common stock and be dilutive to existing stockholders.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pursuant to the Purchase Agreement, CCM agreed to purchase from us a total of up to $150.0 million of our common stock from time to time over a 36-month period. We generally have the right to control the timing and amount of any future sales of our common stock to CCM. Additional sales of our common stock, if any, to CCM will depend upon market conditions and other factors to be determined by us. We may ultimately decide to sell to CCM all, some or none of the shares of our common stock that may be available for us to sell pursuant to the Purchase Agreement. If and when we do sell shares of our common stock to CCM, after CCM has acquired such shares, CCM may resell all, some or none of such shares at any time or from time to time in its discretion, subject to compliance with securities laws. Therefore, sales to CCM by us could result in substantial dilution to the interests of other holders of its shares of our common stock. Additionally, the sale of a substantial number of shares of our common stock to CCM, or the anticipation of such sales, could make it more difficult for us to sell equity or equity-related securities in the future at a time and at a price that it might otherwise wish to effect sales. Depending on market liquidity at the time, resales of shares by CCM may cause the public trading price of our common stock to decrease.</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it may provide.</w:t>
      </w:r>
    </w:p>
    <w:p>
      <w:pPr>
        <w:spacing w:after="0" w:line="159" w:lineRule="exact"/>
        <w:rPr>
          <w:sz w:val="20"/>
          <w:szCs w:val="20"/>
          <w:color w:val="auto"/>
        </w:rPr>
      </w:pPr>
    </w:p>
    <w:p>
      <w:pPr>
        <w:jc w:val="both"/>
        <w:ind w:right="60" w:firstLine="324"/>
        <w:spacing w:after="0" w:line="312"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40"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our ability to serve those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 to-period basis may not be meaningful. Investors should not rely on our past results as an indication of our future performance.</w:t>
      </w:r>
    </w:p>
    <w:p>
      <w:pPr>
        <w:spacing w:after="0" w:line="17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the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stockholders must rely on sales of their common stock after price appreciation as the only way to realize any future gains on their investment.</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amended and restated certificate of incorporation, requires, to the fullest extent permitted by law, that derivative actions brought in our name, actions against current or former directors, officers or other employees for breach of fiduciary duty, any action asserting a claim arising pursuant to any provision of the DGCL, the amended and restated certificate of incorporation or our amended and restated bylaws, any action asserting a claim governed by internal affairs doctrine of the State of Delaware or any other action asserting an “internal corporate claim” (as defined in Section 115 of the DGCL), confers jurisdiction to the Court of Chancery of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consents in writing to the selection of an alternative forum. This provision would not apply to suits brought to enforce a duty or liability created by the Exchange Act or any other claim for which the federal courts have exclusive jurisdiction. The amended and restated certificate of incorporation also provides that, unless we consents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9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amended and restated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the amended and restated certificate of incorporation to be inapplicable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unenforceable in an action, we may incur additional costs associated with resolving such action in other jurisdictions, which could harm our business, prospects, financial condition and operating results.</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could discourage another company from acquiring us and may prevent attempts by our stockholders to replace or remove our management.</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92" w:lineRule="exact"/>
        <w:rPr>
          <w:sz w:val="20"/>
          <w:szCs w:val="20"/>
          <w:color w:val="auto"/>
        </w:rPr>
      </w:pPr>
    </w:p>
    <w:p>
      <w:pPr>
        <w:ind w:left="680" w:right="2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61"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certain provisions of our amended and restated bylaws without obtaining stockholder approval;</w:t>
      </w:r>
    </w:p>
    <w:p>
      <w:pPr>
        <w:spacing w:after="0" w:line="131" w:lineRule="exact"/>
        <w:rPr>
          <w:rFonts w:ascii="Times New Roman" w:cs="Times New Roman" w:eastAsia="Times New Roman" w:hAnsi="Times New Roman"/>
          <w:sz w:val="18"/>
          <w:szCs w:val="18"/>
          <w:color w:val="auto"/>
        </w:rPr>
      </w:pPr>
    </w:p>
    <w:p>
      <w:pPr>
        <w:ind w:left="680" w:hanging="321"/>
        <w:spacing w:after="0" w:line="263"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our common shares entitled to vote at an election of our board of directors is required to adopt, amend, alter or repeal our amended and restated bylaws or amend, alter, change or repeal or adopt any provision of the amended and restated certificate of incorporation inconsistent with the provisions of our amended and restated certificate of incorporation regarding the election and removal of directors;</w:t>
      </w:r>
    </w:p>
    <w:p>
      <w:pPr>
        <w:spacing w:after="0" w:line="179"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79" w:lineRule="exact"/>
        <w:rPr>
          <w:rFonts w:ascii="Times New Roman" w:cs="Times New Roman" w:eastAsia="Times New Roman" w:hAnsi="Times New Roman"/>
          <w:sz w:val="18"/>
          <w:szCs w:val="18"/>
          <w:color w:val="auto"/>
        </w:rPr>
      </w:pPr>
    </w:p>
    <w:p>
      <w:pPr>
        <w:jc w:val="both"/>
        <w:ind w:left="680" w:right="40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we incorporated in Delaware, we will be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76" w:lineRule="exact"/>
        <w:rPr>
          <w:sz w:val="20"/>
          <w:szCs w:val="20"/>
          <w:color w:val="auto"/>
        </w:rPr>
      </w:pPr>
    </w:p>
    <w:p>
      <w:pPr>
        <w:ind w:left="680" w:right="16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62"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 convertible debt securities;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22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8"/>
          <w:szCs w:val="18"/>
          <w:i w:val="1"/>
          <w:iCs w:val="1"/>
          <w:color w:val="auto"/>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identified material weaknesses in our internal control over financial reporting. These material weaknesses could continue to adversely affect our ability to report our results of operations and financial condition accurately and in a timely manner.” </w:t>
      </w:r>
      <w:r>
        <w:rPr>
          <w:rFonts w:ascii="Times New Roman" w:cs="Times New Roman" w:eastAsia="Times New Roman" w:hAnsi="Times New Roman"/>
          <w:sz w:val="18"/>
          <w:szCs w:val="18"/>
          <w:color w:val="auto"/>
        </w:rPr>
        <w:t>We are continuing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9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83"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Nasdaq, the SEC and other regulatory authorities.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our common stock at a price greater than what you paid for it.</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our board of directors may deem relevant. As a result, you may not receive any return on an investment in our common stock unless you sell your our common stock for a price greater than that which you paid for it.</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herein may not be indicative of what our actual financial position or results of operations would have been.</w:t>
      </w:r>
    </w:p>
    <w:p>
      <w:pPr>
        <w:spacing w:after="0" w:line="15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included herein is presented for illustrative purposes only and is not necessarily indicative of what our actual financial position or results of operations would have been had the Business Combination been completed on the dates indicated.</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All of the common stock and the Private Warrants, $10 Warrants and Penny Warrants offered by the selling securityholders pursuant to this prospectus will be sold by the selling securityholders for their respective accounts. We will not receive any of the proceeds from these sales.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$178.35 million from the exercise of the Warrants, assuming the exercise in full of all of the Public Warrants for cash. We expect to use the net proceeds, if any, from the exercise of the Warrants for research and development, working capital and general corporate purposes. Because the exercise price of the Public Warrants and Private Warrants substantially exceeds the current trading price of our common stock, it is unlikely that holders of our Public Warrants and Private Warrants will decide to exercise such warrants in the near future, if at all. As a result, we are unlikely to receive any proceeds from the exercise of our warrants in the near future, if at all. We will have broad discretion over the use of proceeds from the exercise of the Warrants. There is no assurance that the holders of the Warrants will elect to exercise any or all of such Warrants, and there may be no economic incentive for such holders of the Public Warrants and Private Warrants to exercise unless and until the trading price of our common stock exceeds $11.50 per share. To the extent that the Warrants are exercised on a “cashless basis,” the amount of cash we would receive from the exercise of the Warrants will decrease.</w:t>
      </w:r>
    </w:p>
    <w:p>
      <w:pPr>
        <w:spacing w:after="0" w:line="19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considering our capital requirements and sources of liquidity, we have not relied on the receipt of proceeds from the exercise of the Warrants. See “</w:t>
      </w:r>
      <w:r>
        <w:rPr>
          <w:rFonts w:ascii="Times New Roman" w:cs="Times New Roman" w:eastAsia="Times New Roman" w:hAnsi="Times New Roman"/>
          <w:sz w:val="18"/>
          <w:szCs w:val="18"/>
          <w:i w:val="1"/>
          <w:iCs w:val="1"/>
          <w:color w:val="auto"/>
        </w:rPr>
        <w:t>Dragonfly’s Management’s Discussion and Analysis of Financial Condition and Results of Operations — 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 As of November 3, 2022, the closing price of our common stock and warrants was $8.22 and $0.2174, respectively. As of October 7, 2022, there were 8 holders of record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Defined terms included below shall have the same meaning as terms defined and included elsewhere in this prospectus. Unless the context otherwise requires,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prior to the closing of the Business Combination are intended to mean Dragonfly Energy Corp., a Nevada corporation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CNTQ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Chardan NexTech Acquisition 2 Corp. prior to the Closing. References in this section to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after the closing of the Business Combination are intended to mean, Dragonfly Energy Holdings Corp. and its consolidated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financial information of CNTQ and Legacy Dragonfly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Defined terms included below have the same meaning as terms defined and included elsewhere in this prospectus.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historical financial information of CNTQ was derived from the unaudited financial statements of CNTQ as of June 30, 2022 and for the six months ended June 30, 2022 and the audited financial statements of CNTQ as of December 31, 2021, included elsewhere in this prospectus. The historical financial information of Legacy Dragonfly was derived from the unaudited financial statements of Legacy Dragonfly as of June 30, 2022 and for the six months ended June 30, 2022 and the audited financial statements of Legacy Dragonfly as of December 31, 2021, included elsewhere in this prospectus. Such unaudited pro forma financial information has been prepared on a basis consistent with the audited financial statements of CNTQ and Legacy Dragonfly, respectively, and should be read in conjunction with the audited historical financial statements and related notes, each of which is included elsewhere in this prospectus. This information should be read together with CNTQ’s and Legacy Dragonfly’s financial statements and related notes, the sections titled “</w:t>
      </w:r>
      <w:r>
        <w:rPr>
          <w:rFonts w:ascii="Times New Roman" w:cs="Times New Roman" w:eastAsia="Times New Roman" w:hAnsi="Times New Roman"/>
          <w:sz w:val="18"/>
          <w:szCs w:val="18"/>
          <w:i w:val="1"/>
          <w:iCs w:val="1"/>
          <w:color w:val="auto"/>
        </w:rPr>
        <w:t>CNTQ’s 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and other financial information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no goodwill or other intangible assets recorded, in accordance with GAAP. Under this method of accounting, CNTQ is treated as the “acquired” company for financial reporting purposes. Legacy Dragonfly has been determined to be the accounting acquirer because Legacy Dragonfly, as a group, retained a majority of the outstanding shares of Dragonfly at closing of the Business Combination, they nominated five of the seven members of the board of directors at the closing of the Business Combination, Legacy Dragonfly’s management continues to manage Dragonfly and Legacy Dragonfly’s business comprises the ongoing operations of Dragonfly.</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assumes that the Business Combination and related transactions occurred on June 30, 2022. The unaudited pro forma condensed combined statements of operations for the six months ended June 30, 2022 and for the year ended December 31, 2021 give pro forma effect to the Business Combination and related transactions as if they had occurred on January 1, 2021. CNTQ and Legacy Dragonfly did not have any historical relationship prior to the Business Combination. Accordingly, no pro forma adjustments were required to eliminate activities between the companies.</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for informational purposes only. They do not purport to indicate the results that would have been obtained had the Business Combination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October 7, 2022, we consummated the previously announced merger pursuant to the Business Combination Agreement. CNTQ’s stockholders approved the Transactions at a special meeting of stockholders held on October 6, 2022.</w:t>
      </w:r>
    </w:p>
    <w:p>
      <w:pPr>
        <w:spacing w:after="0" w:line="16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At the Closing, the total consideration received by Legacy Dragonfly Equity Holders (shares and options) from CNTQ had an aggregate deemed value equal to $415,000,000, payable, in the case of Legacy Dragonfly Equity Holders, solely in new shares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common stock. The new shares of common stock were delivered to Legacy Dragonfly Equity Holders (including to holders of the Legacy Dragonfly preferred shares to be converted to common shares) and were allocated pro rata between the holders of Legacy Dragonfly common stock and options to acquire Legacy Dragonfly common stock. Based on the number of shares of Legacy Dragonfly common stock outstanding as of June 30, 2022 (together, solely for the purposes of this calculation, with additional Legacy Dragonfly shares issued upon exercise of Legacy Dragonfly Convertible Preferred Stock) on a fully-diluted and as-converted basis, taking into account the assumptions further described below, Legacy Dragonfly Stockholders have received 38,576,648 shares of common stock.</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Dragonfly Preferred Stock Conversion) are entitled to receive their pro rata share of up to 40,000,000 additional Earnout Shares of common stock. The Earnout Shares are issuable in three tranches. The first tranche of 15,000,000 shares is issuable if Dragonfly’s 2023 total audited revenue is equal to or greater than $250 million and Dragonfly’s 2023 audited operating income is equal to or greater than $35 million.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Dragonfly accounts for the Earnout Shares as either equity-classified or liability-classified instruments based on an assessment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specific terms and applicable authoritative guidance 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ASC 815, as defined below. Dragonfly has preliminarily determined that the Earnout Shares are indexed to Dragonfly’s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therefore not precluded from equity classification. Such accounting determination will be assessed at each financial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date to determine whether equity classification remains appropriate. If the Earnout Shares are later determined to be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instruments, Dragonfly would recognize subsequent changes in the fair value of such Earnout Shares within earnings at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during the earnout period. The pro forma value of the Earnout Consideration was prepared utilizing a Monte Carlo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simulation model. The significant assumptions utilized in determining the fair value of Earnout Consideration include the following: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price for our common stock of approximately $14.00; (2) a risk-free rate of 4.24%; (3) projected revenue and EBITDA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$255,100,000 and $41,000,000 respectively; (4) expected volatility of future annual revenue and future annual EBITDA of 37.0%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 respectively; (5) discount rates ranging from 4.2%-8.8%; and (6) expected probability of change in control of 15.0%.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fair value of the Earnout Shares has been determined to be $391.3 million.</w:t>
      </w:r>
    </w:p>
    <w:p>
      <w:pPr>
        <w:spacing w:after="0" w:line="20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of the Business Combination and classified in stockholders’ equity. Because the Business Combination is accounted for as a reverse recapitalization, the issuance of the Earnout Shares has been treated as a deemed dividend and since Dragonfly does not have retained earnings on Closing, the issuance has been recorded within additional-paid-in-capital. The unaudited pro forma condensed combined financial information does not reflect pro forma adjustments related to the recognition of these shares because there is no net impact on additional paid-in capital on a pro forma combined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CNTQ and Chardan NexTech Investments 2 LLC (or an affiliate thereof if assigned pursuant to the Subscription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Sponsor agreed to purchase, and CNTQ agreed to sell to the Sponsor, an aggregate of 500,000 shares of CNTQ Common Stock for gross proceeds to CNTQ of $5 million in a private placement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8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acquired in the open market in total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pursuant to the terms of the Subscription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Consistent with the commitment letter entered into concurrently with signing of the Business Combination Agreement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between CNTQ and Legacy Dragonfly, CCM Investments 5 LLC, an affiliate of CCM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Term Loan, the “</w:t>
      </w:r>
      <w:r>
        <w:rPr>
          <w:rFonts w:ascii="Times New Roman" w:cs="Times New Roman" w:eastAsia="Times New Roman" w:hAnsi="Times New Roman"/>
          <w:sz w:val="18"/>
          <w:szCs w:val="18"/>
          <w:b w:val="1"/>
          <w:bCs w:val="1"/>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b w:val="1"/>
          <w:bCs w:val="1"/>
          <w:color w:val="auto"/>
        </w:rPr>
        <w:t>Initial Term Loan Lenders</w:t>
      </w:r>
      <w:r>
        <w:rPr>
          <w:rFonts w:ascii="Times New Roman" w:cs="Times New Roman" w:eastAsia="Times New Roman" w:hAnsi="Times New Roman"/>
          <w:sz w:val="18"/>
          <w:szCs w:val="18"/>
          <w:color w:val="auto"/>
        </w:rPr>
        <w:t>”), in connection with the Closing, CNTQ, Legacy Dragonfly and the Initial Term Loan Lenders 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pursuant to which the Backstop Lender committed to purchase from the Chardan Lender the aggregate amount of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 The accounting treatment for the Term Loan remains preliminary and is subject to final analysis.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shares, which is equal to approximately 5.6% of common stock calculated on an agreed fully diluted outstanding basis on the issuance date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xml:space="preserve">”) and (ii) the $10 warrants to issue warrants to the Term Loan Lenders exercisable to purchase an aggregate of 1,600,000 shares of common stock at $10 per share (the </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and, together with the Penny Warrants, the “</w:t>
      </w:r>
      <w:r>
        <w:rPr>
          <w:rFonts w:ascii="Times New Roman" w:cs="Times New Roman" w:eastAsia="Times New Roman" w:hAnsi="Times New Roman"/>
          <w:sz w:val="18"/>
          <w:szCs w:val="18"/>
          <w:b w:val="1"/>
          <w:bCs w:val="1"/>
          <w:color w:val="auto"/>
        </w:rPr>
        <w:t>Term Loan Warrants</w:t>
      </w:r>
      <w:r>
        <w:rPr>
          <w:rFonts w:ascii="Times New Roman" w:cs="Times New Roman" w:eastAsia="Times New Roman" w:hAnsi="Times New Roman"/>
          <w:sz w:val="18"/>
          <w:szCs w:val="18"/>
          <w:color w:val="auto"/>
        </w:rPr>
        <w:t>”). The $10 Warrants were exercised on a cashless basis on October 10, 2022, with the Company agreeing to issue 457,142 shares of Common Stock in connection with such exercise. The additional shares of common stock will dilute the pro forma ownership of the other Company stockholders of proportionately. None of CCM 5 or any of its affiliates have received or will receive any Term Loan Warrants. The Company preliminarily concluded equity, however based on the terms finalized as part of the merger, the warrants will be accounted for as liabilities. As such, the estimated fair value is recognized as a liability each reporting period, with changes in the fair value recognized within income each period. Additionally, the Penny Warrants are not considered in the weighted average number of outstanding shares for basic earnings per share as a result of this liability classification.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the Company and CCM entered into the Purchase Agreement and a Registration Rights Agreement (the “</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in connection with the Closing (the “</w:t>
      </w:r>
      <w:r>
        <w:rPr>
          <w:rFonts w:ascii="Times New Roman" w:cs="Times New Roman" w:eastAsia="Times New Roman" w:hAnsi="Times New Roman"/>
          <w:sz w:val="18"/>
          <w:szCs w:val="18"/>
          <w:b w:val="1"/>
          <w:bCs w:val="1"/>
          <w:color w:val="auto"/>
        </w:rPr>
        <w:t>ChEF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In addition, the Company appointed LifeSci Capital, LLC as “qualified independent underwriter”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the Purchase Agreement.</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giving effect to the Business Combination and related transactions are summarized below, and are discussed further in the footnotes to these unaudited pro forma condensed combined financial statements:</w:t>
      </w:r>
    </w:p>
    <w:p>
      <w:pPr>
        <w:spacing w:after="0" w:line="162" w:lineRule="exact"/>
        <w:rPr>
          <w:sz w:val="20"/>
          <w:szCs w:val="20"/>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Business Combination and reclassification of cash held in CNTQ’s Trust Account to cash and cash equivalents, net of redemptions (see below);</w:t>
      </w:r>
    </w:p>
    <w:p>
      <w:pPr>
        <w:spacing w:after="0" w:line="5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Amendment;</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redemptions prior to Closing;</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Agreement;</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Term Loan;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existing debt; and</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certain offering costs and transaction costs incurred by both CNTQ and Dragonfly.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Closing, CNTQ’s public stockholders holding 2,031,910 ordinary shares elected to redeem such shares.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ownership of common stock of Dragonfly following the Business Combination and related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tcBorders>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Dragonfly existing shareholders</w:t>
            </w:r>
            <w:r>
              <w:rPr>
                <w:rFonts w:ascii="Times New Roman" w:cs="Times New Roman" w:eastAsia="Times New Roman" w:hAnsi="Times New Roman"/>
                <w:sz w:val="24"/>
                <w:szCs w:val="24"/>
                <w:color w:val="auto"/>
                <w:vertAlign w:val="superscript"/>
              </w:rPr>
              <w:t>(1)(2)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38,576,648</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4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CNTQ existing public stockholders</w:t>
            </w:r>
            <w:r>
              <w:rPr>
                <w:rFonts w:ascii="Times New Roman" w:cs="Times New Roman" w:eastAsia="Times New Roman" w:hAnsi="Times New Roman"/>
                <w:sz w:val="25"/>
                <w:szCs w:val="25"/>
                <w:color w:val="auto"/>
                <w:vertAlign w:val="superscript"/>
              </w:rPr>
              <w:t>(3)(4)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576,438</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Initial stockholders of CNTQ</w:t>
            </w:r>
            <w:r>
              <w:rPr>
                <w:rFonts w:ascii="Times New Roman" w:cs="Times New Roman" w:eastAsia="Times New Roman" w:hAnsi="Times New Roman"/>
                <w:sz w:val="25"/>
                <w:szCs w:val="25"/>
                <w:color w:val="auto"/>
                <w:vertAlign w:val="superscript"/>
              </w:rPr>
              <w:t>(5)(6)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 forma Common Stock</w:t>
            </w:r>
            <w:r>
              <w:rPr>
                <w:rFonts w:ascii="Times New Roman" w:cs="Times New Roman" w:eastAsia="Times New Roman" w:hAnsi="Times New Roman"/>
                <w:sz w:val="25"/>
                <w:szCs w:val="25"/>
                <w:color w:val="auto"/>
                <w:vertAlign w:val="superscript"/>
              </w:rPr>
              <w:t>(7)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42,815,586</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Dragonfly common stock issued pursuant to the THOR Investment.</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9,487,500 shares of common stock underlying the public warrants.</w:t>
      </w:r>
    </w:p>
    <w:p>
      <w:pPr>
        <w:spacing w:after="0" w:line="117"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redemptions of 9,556,652 Public Shares in connection with the Charter Amendment and 2,031,910 Public Shares prior to Closing, and excludes 485,000 Public Shares purchased on the open market by an affiliate of the Sponsor pursuant to the PIPE Subscription.</w:t>
      </w:r>
    </w:p>
    <w:p>
      <w:pPr>
        <w:spacing w:after="0" w:line="6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shares of common stock underlying the private warrants.</w:t>
      </w:r>
    </w:p>
    <w:p>
      <w:pPr>
        <w:spacing w:after="0" w:line="117"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held by the Sponsor and its affiliates, including 500,000 shares of common stock pursuant to the PIPE Subscription held by CCM, an affiliate of the Sponsor, of which 485,000 shares were purchased in the open market and the remaining 15,000 shares issued at Closing.</w:t>
      </w:r>
    </w:p>
    <w:p>
      <w:pPr>
        <w:spacing w:after="0" w:line="6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pursuant to the ChEF Equity Facility after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AS OF JUNE 30,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CNTQ</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Dragonfly</w:t>
            </w:r>
          </w:p>
        </w:tc>
        <w:tc>
          <w:tcPr>
            <w:tcW w:w="100" w:type="dxa"/>
            <w:vAlign w:val="bottom"/>
          </w:tcPr>
          <w:p>
            <w:pPr>
              <w:spacing w:after="0"/>
              <w:rPr>
                <w:sz w:val="13"/>
                <w:szCs w:val="13"/>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31,996</w:t>
            </w:r>
          </w:p>
        </w:tc>
        <w:tc>
          <w:tcPr>
            <w:tcW w:w="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 xml:space="preserve">C </w:t>
            </w:r>
            <w:r>
              <w:rPr>
                <w:rFonts w:ascii="Times New Roman" w:cs="Times New Roman" w:eastAsia="Times New Roman" w:hAnsi="Times New Roman"/>
                <w:sz w:val="14"/>
                <w:szCs w:val="14"/>
                <w:color w:val="auto"/>
                <w:w w:val="96"/>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73,486</w:t>
            </w:r>
          </w:p>
        </w:tc>
        <w:tc>
          <w:tcPr>
            <w:tcW w:w="20" w:type="dxa"/>
            <w:vAlign w:val="bottom"/>
          </w:tcPr>
          <w:p>
            <w:pPr>
              <w:spacing w:after="0"/>
              <w:rPr>
                <w:sz w:val="12"/>
                <w:szCs w:val="12"/>
                <w:color w:val="auto"/>
              </w:rPr>
            </w:pPr>
          </w:p>
        </w:tc>
        <w:tc>
          <w:tcPr>
            <w:tcW w:w="240" w:type="dxa"/>
            <w:vAlign w:val="bottom"/>
            <w:gridSpan w:val="3"/>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(29,342) </w:t>
            </w:r>
            <w:r>
              <w:rPr>
                <w:rFonts w:ascii="Times New Roman" w:cs="Times New Roman" w:eastAsia="Times New Roman" w:hAnsi="Times New Roman"/>
                <w:sz w:val="14"/>
                <w:szCs w:val="14"/>
                <w:b w:val="1"/>
                <w:bCs w:val="1"/>
                <w:color w:val="auto"/>
              </w:rPr>
              <w:t>E</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(39,312) </w:t>
            </w:r>
            <w:r>
              <w:rPr>
                <w:rFonts w:ascii="Times New Roman" w:cs="Times New Roman" w:eastAsia="Times New Roman" w:hAnsi="Times New Roman"/>
                <w:sz w:val="14"/>
                <w:szCs w:val="14"/>
                <w:b w:val="1"/>
                <w:bCs w:val="1"/>
                <w:color w:val="auto"/>
              </w:rPr>
              <w:t>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114"/>
              <w:spacing w:after="0" w:line="149" w:lineRule="exact"/>
              <w:rPr>
                <w:sz w:val="20"/>
                <w:szCs w:val="20"/>
                <w:color w:val="auto"/>
              </w:rPr>
            </w:pPr>
            <w:r>
              <w:rPr>
                <w:rFonts w:ascii="Times New Roman" w:cs="Times New Roman" w:eastAsia="Times New Roman" w:hAnsi="Times New Roman"/>
                <w:sz w:val="14"/>
                <w:szCs w:val="14"/>
                <w:color w:val="auto"/>
              </w:rPr>
              <w:t xml:space="preserve">(4,000) </w:t>
            </w:r>
            <w:r>
              <w:rPr>
                <w:rFonts w:ascii="Times New Roman" w:cs="Times New Roman" w:eastAsia="Times New Roman" w:hAnsi="Times New Roman"/>
                <w:sz w:val="14"/>
                <w:szCs w:val="14"/>
                <w:b w:val="1"/>
                <w:bCs w:val="1"/>
                <w:color w:val="auto"/>
              </w:rPr>
              <w:t>J</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(21,017) </w:t>
            </w:r>
            <w:r>
              <w:rPr>
                <w:rFonts w:ascii="Times New Roman" w:cs="Times New Roman" w:eastAsia="Times New Roman" w:hAnsi="Times New Roman"/>
                <w:sz w:val="14"/>
                <w:szCs w:val="14"/>
                <w:b w:val="1"/>
                <w:bCs w:val="1"/>
                <w:color w:val="auto"/>
              </w:rPr>
              <w:t>L</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(3,044) </w:t>
            </w:r>
            <w:r>
              <w:rPr>
                <w:rFonts w:ascii="Times New Roman" w:cs="Times New Roman" w:eastAsia="Times New Roman" w:hAnsi="Times New Roman"/>
                <w:sz w:val="14"/>
                <w:szCs w:val="14"/>
                <w:b w:val="1"/>
                <w:bCs w:val="1"/>
                <w:color w:val="auto"/>
              </w:rPr>
              <w:t>F</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inventory</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59,801</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8,767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84,149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 held in Trust Account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(96,337) </w:t>
            </w:r>
            <w:r>
              <w:rPr>
                <w:rFonts w:ascii="Times New Roman" w:cs="Times New Roman" w:eastAsia="Times New Roman" w:hAnsi="Times New Roman"/>
                <w:sz w:val="14"/>
                <w:szCs w:val="14"/>
                <w:b w:val="1"/>
                <w:bCs w:val="1"/>
                <w:color w:val="auto"/>
              </w:rPr>
              <w:t>B</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(32,274) </w:t>
            </w:r>
            <w:r>
              <w:rPr>
                <w:rFonts w:ascii="Times New Roman" w:cs="Times New Roman" w:eastAsia="Times New Roman" w:hAnsi="Times New Roman"/>
                <w:sz w:val="14"/>
                <w:szCs w:val="14"/>
                <w:b w:val="1"/>
                <w:bCs w:val="1"/>
                <w:color w:val="auto"/>
              </w:rPr>
              <w:t>C</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issuance costs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1"/>
              </w:rPr>
              <w:t>K</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 of use asset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EEFF"/>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129,192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74,154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(118,844)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shd w:val="clear" w:color="auto" w:fill="CCEEFF"/>
          </w:tcPr>
          <w:p>
            <w:pPr>
              <w:ind w:left="220"/>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TEMPORARY EQUITY AND STOCKHOLDERS’</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Customer deposits</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Notes payable, current portion</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(5,212) </w:t>
            </w:r>
            <w:r>
              <w:rPr>
                <w:rFonts w:ascii="Times New Roman" w:cs="Times New Roman" w:eastAsia="Times New Roman" w:hAnsi="Times New Roman"/>
                <w:sz w:val="14"/>
                <w:szCs w:val="14"/>
                <w:b w:val="1"/>
                <w:bCs w:val="1"/>
                <w:color w:val="auto"/>
              </w:rPr>
              <w:t>F</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liability, current portion</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Obligation to issue common stock</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1"/>
              </w:rPr>
              <w:t>K</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21,911</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Notes payable-noncurrent, net of debt discount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20,537</w:t>
            </w:r>
          </w:p>
        </w:tc>
        <w:tc>
          <w:tcPr>
            <w:tcW w:w="20" w:type="dxa"/>
            <w:vAlign w:val="bottom"/>
          </w:tcPr>
          <w:p>
            <w:pPr>
              <w:spacing w:after="0"/>
              <w:rPr>
                <w:sz w:val="12"/>
                <w:szCs w:val="12"/>
                <w:color w:val="auto"/>
              </w:rPr>
            </w:pPr>
          </w:p>
        </w:tc>
        <w:tc>
          <w:tcPr>
            <w:tcW w:w="240" w:type="dxa"/>
            <w:vAlign w:val="bottom"/>
            <w:gridSpan w:val="3"/>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(1,621) </w:t>
            </w:r>
            <w:r>
              <w:rPr>
                <w:rFonts w:ascii="Times New Roman" w:cs="Times New Roman" w:eastAsia="Times New Roman" w:hAnsi="Times New Roman"/>
                <w:sz w:val="14"/>
                <w:szCs w:val="14"/>
                <w:b w:val="1"/>
                <w:bCs w:val="1"/>
                <w:color w:val="auto"/>
              </w:rPr>
              <w:t>E</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(34,912) </w:t>
            </w:r>
            <w:r>
              <w:rPr>
                <w:rFonts w:ascii="Times New Roman" w:cs="Times New Roman" w:eastAsia="Times New Roman" w:hAnsi="Times New Roman"/>
                <w:sz w:val="14"/>
                <w:szCs w:val="14"/>
                <w:b w:val="1"/>
                <w:bCs w:val="1"/>
                <w:color w:val="auto"/>
              </w:rPr>
              <w:t>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52,949</w:t>
            </w:r>
          </w:p>
        </w:tc>
        <w:tc>
          <w:tcPr>
            <w:tcW w:w="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60,939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32,741</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94,876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stock subject to possible redemption</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128,398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(96,337)</w:t>
            </w:r>
          </w:p>
        </w:tc>
        <w:tc>
          <w:tcPr>
            <w:tcW w:w="20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(32,061) </w:t>
            </w:r>
            <w:r>
              <w:rPr>
                <w:rFonts w:ascii="Times New Roman" w:cs="Times New Roman" w:eastAsia="Times New Roman" w:hAnsi="Times New Roman"/>
                <w:sz w:val="14"/>
                <w:szCs w:val="14"/>
                <w:b w:val="1"/>
                <w:bCs w:val="1"/>
                <w:color w:val="auto"/>
              </w:rPr>
              <w:t>G</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(2,000) </w:t>
            </w:r>
            <w:r>
              <w:rPr>
                <w:rFonts w:ascii="Times New Roman" w:cs="Times New Roman" w:eastAsia="Times New Roman" w:hAnsi="Times New Roman"/>
                <w:sz w:val="14"/>
                <w:szCs w:val="14"/>
                <w:b w:val="1"/>
                <w:bCs w:val="1"/>
                <w:color w:val="auto"/>
              </w:rPr>
              <w:t>H</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240" w:type="dxa"/>
            <w:vAlign w:val="bottom"/>
            <w:gridSpan w:val="3"/>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1"/>
              </w:rPr>
              <w:t>H</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b w:val="1"/>
                <w:bCs w:val="1"/>
                <w:color w:val="auto"/>
              </w:rPr>
              <w:t>L</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14,998</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1180" w:type="dxa"/>
            <w:vAlign w:val="bottom"/>
            <w:gridSpan w:val="5"/>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(678) </w:t>
            </w:r>
            <w:r>
              <w:rPr>
                <w:rFonts w:ascii="Times New Roman" w:cs="Times New Roman" w:eastAsia="Times New Roman" w:hAnsi="Times New Roman"/>
                <w:sz w:val="14"/>
                <w:szCs w:val="14"/>
                <w:b w:val="1"/>
                <w:bCs w:val="1"/>
                <w:color w:val="auto"/>
              </w:rPr>
              <w:t>C</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(26,312) </w:t>
            </w:r>
            <w:r>
              <w:rPr>
                <w:rFonts w:ascii="Times New Roman" w:cs="Times New Roman" w:eastAsia="Times New Roman" w:hAnsi="Times New Roman"/>
                <w:sz w:val="14"/>
                <w:szCs w:val="14"/>
                <w:b w:val="1"/>
                <w:bCs w:val="1"/>
                <w:color w:val="auto"/>
              </w:rPr>
              <w:t>E</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32,058</w:t>
            </w:r>
          </w:p>
        </w:tc>
        <w:tc>
          <w:tcPr>
            <w:tcW w:w="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w:t>
            </w:r>
          </w:p>
        </w:tc>
        <w:tc>
          <w:tcPr>
            <w:tcW w:w="20" w:type="dxa"/>
            <w:vAlign w:val="bottom"/>
          </w:tcPr>
          <w:p>
            <w:pPr>
              <w:spacing w:after="0"/>
              <w:rPr>
                <w:sz w:val="12"/>
                <w:szCs w:val="12"/>
                <w:color w:val="auto"/>
              </w:rPr>
            </w:pPr>
          </w:p>
        </w:tc>
        <w:tc>
          <w:tcPr>
            <w:tcW w:w="240" w:type="dxa"/>
            <w:vAlign w:val="bottom"/>
            <w:gridSpan w:val="3"/>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1"/>
              </w:rPr>
              <w:t>H</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114"/>
              <w:spacing w:after="0" w:line="149" w:lineRule="exact"/>
              <w:rPr>
                <w:sz w:val="20"/>
                <w:szCs w:val="20"/>
                <w:color w:val="auto"/>
              </w:rPr>
            </w:pPr>
            <w:r>
              <w:rPr>
                <w:rFonts w:ascii="Times New Roman" w:cs="Times New Roman" w:eastAsia="Times New Roman" w:hAnsi="Times New Roman"/>
                <w:sz w:val="14"/>
                <w:szCs w:val="14"/>
                <w:color w:val="auto"/>
              </w:rPr>
              <w:t xml:space="preserve">(403) </w:t>
            </w:r>
            <w:r>
              <w:rPr>
                <w:rFonts w:ascii="Times New Roman" w:cs="Times New Roman" w:eastAsia="Times New Roman" w:hAnsi="Times New Roman"/>
                <w:sz w:val="14"/>
                <w:szCs w:val="14"/>
                <w:b w:val="1"/>
                <w:bCs w:val="1"/>
                <w:color w:val="auto"/>
              </w:rPr>
              <w:t>I</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(21,015) </w:t>
            </w:r>
            <w:r>
              <w:rPr>
                <w:rFonts w:ascii="Times New Roman" w:cs="Times New Roman" w:eastAsia="Times New Roman" w:hAnsi="Times New Roman"/>
                <w:sz w:val="14"/>
                <w:szCs w:val="14"/>
                <w:b w:val="1"/>
                <w:bCs w:val="1"/>
                <w:color w:val="auto"/>
              </w:rPr>
              <w:t>L</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 earnings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5"/>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(1,009) </w:t>
            </w:r>
            <w:r>
              <w:rPr>
                <w:rFonts w:ascii="Times New Roman" w:cs="Times New Roman" w:eastAsia="Times New Roman" w:hAnsi="Times New Roman"/>
                <w:sz w:val="14"/>
                <w:szCs w:val="14"/>
                <w:b w:val="1"/>
                <w:bCs w:val="1"/>
                <w:color w:val="auto"/>
              </w:rPr>
              <w:t>E</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94"/>
              <w:spacing w:after="0" w:line="149" w:lineRule="exact"/>
              <w:rPr>
                <w:sz w:val="20"/>
                <w:szCs w:val="20"/>
                <w:color w:val="auto"/>
              </w:rPr>
            </w:pPr>
            <w:r>
              <w:rPr>
                <w:rFonts w:ascii="Times New Roman" w:cs="Times New Roman" w:eastAsia="Times New Roman" w:hAnsi="Times New Roman"/>
                <w:sz w:val="14"/>
                <w:szCs w:val="14"/>
                <w:color w:val="auto"/>
              </w:rPr>
              <w:t xml:space="preserve">(2,232) </w:t>
            </w:r>
            <w:r>
              <w:rPr>
                <w:rFonts w:ascii="Times New Roman" w:cs="Times New Roman" w:eastAsia="Times New Roman" w:hAnsi="Times New Roman"/>
                <w:sz w:val="14"/>
                <w:szCs w:val="14"/>
                <w:b w:val="1"/>
                <w:bCs w:val="1"/>
                <w:color w:val="auto"/>
              </w:rPr>
              <w:t>F</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114"/>
              <w:spacing w:after="0" w:line="149" w:lineRule="exact"/>
              <w:rPr>
                <w:sz w:val="20"/>
                <w:szCs w:val="20"/>
                <w:color w:val="auto"/>
              </w:rPr>
            </w:pPr>
            <w:r>
              <w:rPr>
                <w:rFonts w:ascii="Times New Roman" w:cs="Times New Roman" w:eastAsia="Times New Roman" w:hAnsi="Times New Roman"/>
                <w:sz w:val="14"/>
                <w:szCs w:val="14"/>
                <w:color w:val="auto"/>
              </w:rPr>
              <w:t xml:space="preserve">(4,000) </w:t>
            </w:r>
            <w:r>
              <w:rPr>
                <w:rFonts w:ascii="Times New Roman" w:cs="Times New Roman" w:eastAsia="Times New Roman" w:hAnsi="Times New Roman"/>
                <w:sz w:val="14"/>
                <w:szCs w:val="14"/>
                <w:b w:val="1"/>
                <w:bCs w:val="1"/>
                <w:color w:val="auto"/>
              </w:rPr>
              <w:t>J</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11,215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(21,187)</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temporary equity and stockholders’ equity (deficit)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129,192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74,154</w:t>
            </w:r>
          </w:p>
        </w:tc>
        <w:tc>
          <w:tcPr>
            <w:tcW w:w="1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1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(118,844)</w:t>
            </w: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CNTQ</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Dragonfly</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2"/>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(8,284)</w:t>
            </w:r>
            <w:r>
              <w:rPr>
                <w:rFonts w:ascii="Times New Roman" w:cs="Times New Roman" w:eastAsia="Times New Roman" w:hAnsi="Times New Roman"/>
                <w:sz w:val="18"/>
                <w:szCs w:val="18"/>
                <w:b w:val="1"/>
                <w:bCs w:val="1"/>
                <w:color w:val="auto"/>
              </w:rPr>
              <w:t>EE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(189)</w:t>
            </w:r>
            <w:r>
              <w:rPr>
                <w:rFonts w:ascii="Times New Roman" w:cs="Times New Roman" w:eastAsia="Times New Roman" w:hAnsi="Times New Roman"/>
                <w:sz w:val="18"/>
                <w:szCs w:val="18"/>
                <w:b w:val="1"/>
                <w:bCs w:val="1"/>
                <w:color w:val="auto"/>
              </w:rPr>
              <w:t>AA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20,952,757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20,952,757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CNTQ</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Dragonfly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99"/>
              </w:rPr>
              <w:t>BB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99"/>
              </w:rPr>
              <w:t>CC</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(14,085)</w:t>
            </w:r>
            <w:r>
              <w:rPr>
                <w:rFonts w:ascii="Times New Roman" w:cs="Times New Roman" w:eastAsia="Times New Roman" w:hAnsi="Times New Roman"/>
                <w:sz w:val="18"/>
                <w:szCs w:val="18"/>
                <w:b w:val="1"/>
                <w:bCs w:val="1"/>
                <w:color w:val="auto"/>
              </w:rPr>
              <w:t>EE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indebtedness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(2,232)</w:t>
            </w:r>
            <w:r>
              <w:rPr>
                <w:rFonts w:ascii="Times New Roman" w:cs="Times New Roman" w:eastAsia="Times New Roman" w:hAnsi="Times New Roman"/>
                <w:sz w:val="18"/>
                <w:szCs w:val="18"/>
                <w:b w:val="1"/>
                <w:bCs w:val="1"/>
                <w:color w:val="auto"/>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b w:val="1"/>
                <w:bCs w:val="1"/>
                <w:color w:val="auto"/>
              </w:rPr>
              <w:t>AA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(39,091)</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20,101,129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Business Combination has been accounted for as a reverse recapitalization, with no goodwill or other intangible assets recorded, in accordance with GAAP. Under this method of accounting, CNTQ has been treated as the “accounting acquiree” and Dragonfly as the “accounting acquirer” for financial reporting purposes. Accordingly, for accounting purposes, the Business Combination has been treated as the equivalent of Dragonfly issuing shares for the net assets of CNTQ, followed by a recapitalization. The net assets of Dragonfly have been stated at historical cost. Operations prior to the Business Combination are those of Dragonfly.</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gives effect to the Business Combination and related transactions as if they occurred on June 30, 2022. The unaudited pro forma condensed combined statements of operations for the six months ended June 30, 2022 and for the year ended December 31, 2021 give effect to the Business Combination and related transactions as if they occurred on January 1, 2021. These periods are presented on the basis that Dragonfly is the acquirer for accounting purposes.</w:t>
      </w:r>
    </w:p>
    <w:p>
      <w:pPr>
        <w:spacing w:after="0" w:line="183"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and the related transaction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The Company believes that its assumptions and methodologies provide a reasonable basis for presenting all of the significant effects of the Business Combination and the related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post-combination company. They should be read in conjunction with the historical financial statements and notes thereto of CNTQ and Dragonfly.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and Reclassifications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management is performing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Conversion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each share of Legacy Dragonfly’s pre-merger preferred stock has been converted into one share of Dragonfly common stock. Upon the closing of the Business Combination (after giving effect to the conversion of Legacy Dragonfly preferred stock into Dragonfly common stock), all shares of Legacy Dragonfly common stock outstanding have been converted into shares of Dragonfly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 Option Conversion</w:t>
      </w:r>
    </w:p>
    <w:p>
      <w:pPr>
        <w:spacing w:after="0" w:line="229" w:lineRule="exact"/>
        <w:rPr>
          <w:sz w:val="20"/>
          <w:szCs w:val="20"/>
          <w:color w:val="auto"/>
        </w:rPr>
      </w:pPr>
    </w:p>
    <w:p>
      <w:pPr>
        <w:ind w:right="220" w:firstLine="324"/>
        <w:spacing w:after="0" w:line="274" w:lineRule="auto"/>
        <w:rPr>
          <w:sz w:val="20"/>
          <w:szCs w:val="20"/>
          <w:color w:val="auto"/>
        </w:rPr>
      </w:pPr>
      <w:r>
        <w:rPr>
          <w:rFonts w:ascii="Times New Roman" w:cs="Times New Roman" w:eastAsia="Times New Roman" w:hAnsi="Times New Roman"/>
          <w:sz w:val="17"/>
          <w:szCs w:val="17"/>
          <w:color w:val="auto"/>
        </w:rPr>
        <w:t>The Company accounts for stock-based compensation arrangements with employees and non-employee consultants using a fair value method which requires the recognition of compensation expense for costs related to all stock-based payments, including stock options. As of the Effective Time, each Legacy Dragonfly option prior to the business combination that was then outstanding has been converted into an option to purchase shares of Dragonfly common stock upon substantially the same terms and conditions as were in effect with respect to such option immediately prior to the Effective Time, subject to specific terms and conditions. As the Legacy Dragonfly post-merger options contain only service-based vesting conditions, management will recognize the incremental fair value</w:t>
      </w:r>
    </w:p>
    <w:p>
      <w:pPr>
        <w:sectPr>
          <w:pgSz w:w="11900" w:h="16838" w:orient="portrait"/>
          <w:cols w:equalWidth="0" w:num="1">
            <w:col w:w="9900"/>
          </w:cols>
          <w:pgMar w:left="980" w:top="121" w:right="1019"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portion of the fully vested post-merger option and subject to service-based vesting conditions as consideration transferred.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there was no change in the terms of the options, management does not expect to recognize any incremental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Adjustments to Unaudited Pro Forma Condensed Combined Financial Information</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and has been prepared for informational purposes only.</w:t>
      </w:r>
    </w:p>
    <w:p>
      <w:pPr>
        <w:spacing w:after="0" w:line="16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Management’s Adjustments</w:t>
      </w:r>
      <w:r>
        <w:rPr>
          <w:rFonts w:ascii="Times New Roman" w:cs="Times New Roman" w:eastAsia="Times New Roman" w:hAnsi="Times New Roman"/>
          <w:sz w:val="18"/>
          <w:szCs w:val="18"/>
          <w:color w:val="auto"/>
        </w:rPr>
        <w:t>”). CNTQ has elected not to present Management’s Adjustments and will only be presenting Transaction Accounting Adjustments in the unaudited pro forma condensed combined financial information. CNTQ and Dragonfly have not had any historical relationship prior to the Business Combination. Accordingly, no pro forma adjustments were required to eliminate activities between the companies.</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Dragonfly’s ordinary shares outstanding, assuming the Business Combination and related transactions occurred on January 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THOR Investment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July 2022, Legacy Dragonfly entered into a certain Stock Purchase Agreement with THOR Industries, whereby THOR purchased 1,267,502 shares of Legacy Dragonfly common stock for $15,000,000 in cash. The Business Combination Agreement was amended to reflect the increase in consideration to be issued in the business combination as a result of the THOR Investment. The shares issued pursuant to the THOR Investment converted into 1,500,000 shares of Dragonfly common stock at the closing of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June 30, 2022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related to the THOR Investment</w:t>
      </w:r>
    </w:p>
    <w:p>
      <w:pPr>
        <w:spacing w:after="0" w:line="229" w:lineRule="exact"/>
        <w:rPr>
          <w:sz w:val="20"/>
          <w:szCs w:val="20"/>
          <w:color w:val="auto"/>
        </w:rPr>
      </w:pPr>
    </w:p>
    <w:p>
      <w:pPr>
        <w:ind w:left="680" w:hanging="321"/>
        <w:spacing w:after="0" w:line="261"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proceeds of $15.0 million pursuant to the THOR Investment and related Stock Purchase Agreement to which THOR Industries purchased 1,267,502 shares of Legacy Dragonfly common stock at a purchase price of $11.8343 per share. The shares issued pursuant to the THOR Investment converted into 1,500,000 shares of Dragonfly common stock at the closing of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w:t>
      </w:r>
    </w:p>
    <w:p>
      <w:pPr>
        <w:spacing w:after="0" w:line="229" w:lineRule="exact"/>
        <w:rPr>
          <w:sz w:val="20"/>
          <w:szCs w:val="20"/>
          <w:color w:val="auto"/>
        </w:rPr>
      </w:pPr>
    </w:p>
    <w:p>
      <w:pPr>
        <w:ind w:left="660" w:right="4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payment totaling approximately $96.8 million as a result of the redemption of 9,516,652 CNTQ public shares in connection with the Charter Amendment, inclusive of a $0.4 million deposit to the Trust Account, $0.1 million of available interest at August 8, 2022, and net of a $0.4 million tax withdrawal.</w:t>
      </w:r>
    </w:p>
    <w:p>
      <w:pPr>
        <w:spacing w:after="0" w:line="175"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$32.0 million held in the Trust Account, inclusive of interest earned on the Trust Account, tax withdrawals and loans from related parties for working capital purposes, to cash and cash equivalents that is available at closing of the Business Combination, prior to additional redemptions before the closing. This adjustment does not recognize amounts due to related parties at closing of $0.4 million as these amounts are paid at closing (see adjustment E), providing a net zero effect to amounts due to related parties for pro forma purposes. The offset of the amounts held in Trust Account at Closing (net of redemption payments) and the amounts reclassified to cash and cash equivalents has been recorded to APIC in the amount of $0.7 million.</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proceeds of approximately $73.5 million pursuant to the Term Loan. The Term Loan involves the issuance of $75.0 million in principal amount of term loans (with an original issue discount of 3%) and the related issuance of the</w:t>
      </w:r>
    </w:p>
    <w:p>
      <w:pPr>
        <w:sectPr>
          <w:pgSz w:w="11900" w:h="16838" w:orient="portrait"/>
          <w:cols w:equalWidth="0" w:num="1">
            <w:col w:w="9860"/>
          </w:cols>
          <w:pgMar w:left="980" w:top="121" w:right="1059"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Term Loan Warrants (i.e., the Penny Warrants and the $10 Warrants) for net proceeds of approximately $73.5 million. Until April 1, 2023, interest will accrue on all outstanding principal amount of the term loans at 13.5% per annum, payable quarterly and partially paid-in-kind. The Company preliminarily determined that the Term Loan Warrants will be liability-classified instruments to be recognized as warrant liabilities on the balance sheet based on their fair values at issuance, and as an offset to the debt instrument to be amortized over the life of the debt instrument, with changes in fair value of the warrant liabilities being recognized within earnings at each reporting period. If the Term Loan Warrants are determined to be equity-classified instruments, the Term Loan Warrants would be recognized within equity and as an offset to the debt instrument based on their relative fair values. Certain transaction costs totaling $1.1 million have been allocated to these liability-classified instruments and have been expensed (see adjustment E). For purposes of the unaudited pro forma condensed combined balance sheet, the preliminary fair value of the Term Loan Warrants of $52.9 million has been recorded as warrant liabilities with an offset against the debt as debt issuance costs. The fair value of the Term Loan Warrants was based on a Black-Scholes simulation with key inputs and assumptions such as stock price, term, dividend yield, risk-free rate, and volatility. An additional $1.6 million of transaction costs have been allocated to the Term Loan as debt issuance costs offset against the debt (see adjustment E).</w:t>
      </w:r>
    </w:p>
    <w:p>
      <w:pPr>
        <w:spacing w:after="0" w:line="187" w:lineRule="exact"/>
        <w:rPr>
          <w:sz w:val="20"/>
          <w:szCs w:val="20"/>
          <w:color w:val="auto"/>
        </w:rPr>
      </w:pPr>
    </w:p>
    <w:p>
      <w:pPr>
        <w:ind w:left="660" w:right="20" w:hanging="328"/>
        <w:spacing w:after="0" w:line="25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payment estimated transaction costs of $28.9 million in relation to the Business Combination and reimbursements to related parties of CNTQ for providing working capital to CNTQ of $0.4 million (see adjustment C). Certain transaction costs totaling $0.4 million have been identified as direct and incremental to the execution of the Term Loan and Term Loan Warrants, of which $0.2 million was recognized as an offset against the debt, and $0.2 million was expensed based on allocation to these instruments based on their relative fair values. Certain transaction costs totaling $10.4 million, which include legal, accounting, and other services incurred related to the Business Combination have been allocated between the following financial instruments issued and assumed in the Business Combination based on their anticipated relative fair values at Closing: shares of CNTQ Common Stock, CNTQ Warrants, the Earnout Shares, the Term Loan, and the Term Loan Warrants. The allocation of these costs resulted in $1.4 million recognized as debt issuance costs offset against the Term Loan, $8.0 million recognized as equity issuance costs offset to additional paid-in capital, and $1.0 million recognized within expense. CNTQ incurred an estimated $18.0 million, inclusive of $4.1 million pursuant to a Business Combination Marketing Agreement with CCM, $7.1 million in legal costs, and $6.8 million of printing, legal, financial advisory, insurance, and accounting services including the Duff &amp; Phelps fairness opinion, all of which were expensed and recognized to CNTQ’s accumulated deficit and reclassified to additional paid-in capital at Closing to reflect the reclassification of CNTQ’s historical accumulated deficit. Dragonfly continues to evaluate eligible costs that may need to be allocated to the respective instruments issued or assumed pursuant to the Business Combination which could impact amounts reported as equity or debt issuance costs.F. Represents repayment of outstanding principal indebtedness of Dragonfly totaling $42.4 million and the write off of unamortized debt discount and other settlement fees incurred totaling $2.2 million.</w:t>
      </w:r>
    </w:p>
    <w:p>
      <w:pPr>
        <w:spacing w:after="0" w:line="192" w:lineRule="exact"/>
        <w:rPr>
          <w:sz w:val="20"/>
          <w:szCs w:val="20"/>
          <w:color w:val="auto"/>
        </w:rPr>
      </w:pPr>
    </w:p>
    <w:p>
      <w:pPr>
        <w:ind w:left="660" w:right="4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$32.1 million of common stock subject to possible redemption to permanent equity.</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recapitalization of Dragonfly’s outstanding equity as a result of the reverse recapitalization and the issuance of common stock to Dragonfly Equity Holders as consideration for the reverse recapitalization.</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CNTQ’s historical accumulated deficit into additional paid-in capital as part of the reverse recapitalization.</w:t>
      </w:r>
    </w:p>
    <w:p>
      <w:pPr>
        <w:spacing w:after="0" w:line="16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79"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obligation to issue shares of Dragonfly common stock with a discount of up to $1.0 million over the term of the ChEF Equity Facility, payable by way of a reduction of the VWAP Purchase Price. Dragonfly may terminate the facility at any time subject to the full payment of a commitment fee of $1.0 million.</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additional redemptions of 2,031,910 Public Shares prior to closing, for aggregate payments to redeeming Public Shareholders of $21.0 million at a redemption price of $10.34 per share allocated to common stock and additional paid-in capital using par value $0.001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six months ended June 30, 2022 and the year ended December 31, 2021 are as follows:</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investment income on the Trust Account.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transaction costs of $19.3 million as if incurred on January 1, 2021, the date the Business Combination occurred for the purposes of the unaudited pro forma condensed combined statement of operations. This is a non-recurring item.</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7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expense recognized on existing Dragonfly indebtedness and the recognition of a loss on extinguishment of existing Dragonfly indebtedness as if the Business Combination closed, and the indebtedness was settled, on January 1, 2021 (see adjustment F).</w:t>
      </w:r>
    </w:p>
    <w:p>
      <w:pPr>
        <w:spacing w:after="0" w:line="175" w:lineRule="exact"/>
        <w:rPr>
          <w:rFonts w:ascii="Times New Roman" w:cs="Times New Roman" w:eastAsia="Times New Roman" w:hAnsi="Times New Roman"/>
          <w:sz w:val="18"/>
          <w:szCs w:val="18"/>
          <w:color w:val="auto"/>
        </w:rPr>
      </w:pPr>
    </w:p>
    <w:p>
      <w:pPr>
        <w:ind w:left="660" w:hanging="328"/>
        <w:spacing w:after="0" w:line="254" w:lineRule="auto"/>
        <w:tabs>
          <w:tab w:leader="none" w:pos="6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interest expense on the Term Loan as if the facility was executed on January 1, 2021, consisting of $5.1 million and $10.1 million of interest expense for the six months ended June 30, 2022 and the year ended December 31, 2021, respectively, calculated using an approximated rate of 13.50% per annum (as further detailed in the Term Loan Agreement), and $3.2 million and $4.0 million of amortization of debt issuance costs related to the Term Loan for the for the six months ended June 30, 2022 and the year ended December 31, 2021, respectively. The amortization of debt issuance costs was calculated using an effective interest rate of 68.7% based on an estimated initial book value of the Term Loan of $18.9 million after deducting the proceeds allocated to the Term Loan Warrants of $52.9 million, allocated transaction costs of $1.6 million, and a $1.5 million original issue discount (or 3% of proceeds).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Share</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loss per share was calculated using the historical weighted average shares outstanding, and the issuance of additional shares in connection with the Business Combination and the related transactions, assuming the shares were outstanding since January 1, 2021. As the Business Combination and the related transactions are being reflected as if they had occurred at the beginning of the period presented, the calculation of weighted average shares outstanding for basic and diluted net loss per share assumes that the shares issuable relating to the Business Combination and related have been outstanding for the entirety of all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4"/>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June 30, 2022 </w:t>
            </w:r>
            <w:r>
              <w:rPr>
                <w:rFonts w:ascii="Times New Roman" w:cs="Times New Roman" w:eastAsia="Times New Roman" w:hAnsi="Times New Roman"/>
                <w:sz w:val="20"/>
                <w:szCs w:val="20"/>
                <w:b w:val="1"/>
                <w:bCs w:val="1"/>
                <w:color w:val="auto"/>
                <w:vertAlign w:val="superscript"/>
              </w:rPr>
              <w:t>(1)</w:t>
            </w:r>
          </w:p>
        </w:tc>
        <w:tc>
          <w:tcPr>
            <w:tcW w:w="200" w:type="dxa"/>
            <w:vAlign w:val="bottom"/>
          </w:tcPr>
          <w:p>
            <w:pPr>
              <w:spacing w:after="0"/>
              <w:rPr>
                <w:sz w:val="15"/>
                <w:szCs w:val="15"/>
                <w:color w:val="auto"/>
              </w:rPr>
            </w:pPr>
          </w:p>
        </w:tc>
        <w:tc>
          <w:tcPr>
            <w:tcW w:w="1380" w:type="dxa"/>
            <w:vAlign w:val="bottom"/>
            <w:tcBorders>
              <w:bottom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December 31, 2021 </w:t>
            </w:r>
            <w:r>
              <w:rPr>
                <w:rFonts w:ascii="Times New Roman" w:cs="Times New Roman" w:eastAsia="Times New Roman" w:hAnsi="Times New Roman"/>
                <w:sz w:val="20"/>
                <w:szCs w:val="20"/>
                <w:b w:val="1"/>
                <w:bCs w:val="1"/>
                <w:color w:val="auto"/>
                <w:w w:val="99"/>
                <w:vertAlign w:val="superscript"/>
              </w:rPr>
              <w:t>(1)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4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Weighted average shares outstanding - basic and diluted</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 basic and diluted</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i w:val="1"/>
                <w:iCs w:val="1"/>
                <w:color w:val="auto"/>
              </w:rPr>
              <w:t>Excluded securities:</w:t>
            </w:r>
            <w:r>
              <w:rPr>
                <w:rFonts w:ascii="Times New Roman" w:cs="Times New Roman" w:eastAsia="Times New Roman" w:hAnsi="Times New Roman"/>
                <w:sz w:val="25"/>
                <w:szCs w:val="25"/>
                <w:i w:val="1"/>
                <w:iCs w:val="1"/>
                <w:color w:val="auto"/>
                <w:vertAlign w:val="superscript"/>
              </w:rPr>
              <w:t>(3)</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Earnout Shares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Private Warrants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Dragonfly Options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3,664,975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Penny Warrants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2,593,056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2,593,056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 Warrants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right="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income (loss) per share includes the related pro forma adjustments as referred to within the section “Unaudited Pro Forma Condensed Combined Financial Information.”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after Closing pursuant to the ChEF Equity Facility.</w:t>
      </w:r>
    </w:p>
    <w:p>
      <w:pPr>
        <w:spacing w:after="0" w:line="225" w:lineRule="exact"/>
        <w:rPr>
          <w:rFonts w:ascii="Times New Roman" w:cs="Times New Roman" w:eastAsia="Times New Roman" w:hAnsi="Times New Roman"/>
          <w:sz w:val="18"/>
          <w:szCs w:val="18"/>
          <w:color w:val="auto"/>
        </w:rPr>
      </w:pPr>
    </w:p>
    <w:p>
      <w:pPr>
        <w:ind w:left="340" w:right="58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potentially dilutive outstanding securities were excluded from the computation of pro forma net loss per share, basic and diluted, because their effect would have been anti-dilutive or the issuance or vesting of such shares is contingent upon the satisfaction of certain conditions which were not satisfied by the end of the periods presented</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Formed in 2012 and based in Reno, Nevada, we are a manufacturer of non-toxic deep cycle lithium-ion batteries that caters to customers in the RV, marine vessel and off-grid residence industries, with disruptive solid-state cell technology currently under development. We believe that green energy is more than just a trend.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other companies, which still incorporate less stable components in their chemistries (such as sulfide glasses, which are chemically unstable and form hydrogen sulfide when exposed to air).</w:t>
      </w:r>
    </w:p>
    <w:p>
      <w:pPr>
        <w:spacing w:after="0" w:line="18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a dual-brand strategy,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 (“</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 to consumers, while the Dragonfly 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expect to launch our unique battery communication system during the first half of 2023. We currently source the LFP cells incorporated into our batteries from a limited number of carefully selected suppliers that can meet our demanding quality standards and with whom we have developed long-term relationships.</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began as an aftermarket-focused business initially targeting direct-to-consumer sales in the RV market. Since 2018, we have sold over 165,000 batteries. For the six months ended June 30, 2021 and 2022, we sold 37,226 and 41,976 batteries, respectively, and had $39.0 million and $39.9 million in net sales, respectively. For the years ended December 31, 2020 and 2021, we sold 51,434 and 74,652 batteries, respectively, and had $47.2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has agreed to fulfill certain of its LFP battery requirements exclusively through us for at least one year (with potential annual renewals), THOR, who has made a strategic investment in our business and with whom we intend to enter into a future, mutually agreed exclusive two-year North American distribution agreement (with potential annual renewals), Airstream, and REV, and we are in ongoing discussions with a number of additional RV OEMS to further increase adoption of our products.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40" w:firstLine="324"/>
        <w:spacing w:after="0" w:line="312" w:lineRule="auto"/>
        <w:rPr>
          <w:sz w:val="20"/>
          <w:szCs w:val="20"/>
          <w:color w:val="auto"/>
        </w:rPr>
      </w:pPr>
      <w:r>
        <w:rPr>
          <w:rFonts w:ascii="Times New Roman" w:cs="Times New Roman" w:eastAsia="Times New Roman" w:hAnsi="Times New Roman"/>
          <w:sz w:val="17"/>
          <w:szCs w:val="17"/>
          <w:color w:val="auto"/>
        </w:rPr>
        <w:t>We currently offer a line of batteries across our two brands, each differentiated by size, power and capacity, consisting of eight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100330</wp:posOffset>
            </wp:positionV>
            <wp:extent cx="5143500" cy="2083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new 99,000 square foot facility,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currently focus on three main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co-founder and CEO, is currently developing the next generation of LFP solid-state cells. Running in parallel with our current business operations, to date we have fully self-funded our solid-state R&amp;D efforts.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allowing us to vertically integrate our cells into our batteries, thereby lowering our production costs as a result of our proprietary cost-effective manufacturing processes.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the world transitions towards greater clean energy use and energy storage, we will continue to deliver on our mission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72" w:lineRule="exact"/>
        <w:rPr>
          <w:sz w:val="20"/>
          <w:szCs w:val="20"/>
          <w:color w:val="auto"/>
        </w:rPr>
      </w:pPr>
    </w:p>
    <w:p>
      <w:pPr>
        <w:ind w:left="680" w:hanging="321"/>
        <w:spacing w:after="0" w:line="255"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Environmentally Friendly, Socially Responsible and Safer</w:t>
      </w:r>
      <w:r>
        <w:rPr>
          <w:rFonts w:ascii="Times New Roman" w:cs="Times New Roman" w:eastAsia="Times New Roman" w:hAnsi="Times New Roman"/>
          <w:sz w:val="18"/>
          <w:szCs w:val="18"/>
          <w:color w:val="auto"/>
        </w:rPr>
        <w:t>. Lead-acid batteries that are not recycled or disposed of properly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and are 100% environmentally friendly.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84"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Longer Lifespan</w:t>
      </w:r>
      <w:r>
        <w:rPr>
          <w:rFonts w:ascii="Times New Roman" w:cs="Times New Roman" w:eastAsia="Times New Roman" w:hAnsi="Times New Roman"/>
          <w:sz w:val="18"/>
          <w:szCs w:val="18"/>
          <w:color w:val="auto"/>
        </w:rPr>
        <w:t>. Lithium-ion batteries have longer lifecycles compared to lead-acid batteries. LFP batteries are able to cycle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 acid batteries, which have a one- to two-year useful life in most applications.</w:t>
      </w:r>
    </w:p>
    <w:p>
      <w:pPr>
        <w:spacing w:after="0" w:line="184"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Power and Performance</w:t>
      </w:r>
      <w:r>
        <w:rPr>
          <w:rFonts w:ascii="Times New Roman" w:cs="Times New Roman" w:eastAsia="Times New Roman" w:hAnsi="Times New Roman"/>
          <w:sz w:val="18"/>
          <w:szCs w:val="18"/>
          <w:color w:val="auto"/>
        </w:rPr>
        <w:t>. As new technologies evolve and people consume more electricity, the importance of battery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82" w:lineRule="exact"/>
        <w:rPr>
          <w:rFonts w:ascii="Times New Roman" w:cs="Times New Roman" w:eastAsia="Times New Roman" w:hAnsi="Times New Roman"/>
          <w:sz w:val="18"/>
          <w:szCs w:val="18"/>
          <w:color w:val="auto"/>
        </w:rPr>
      </w:pPr>
    </w:p>
    <w:p>
      <w:pPr>
        <w:ind w:left="680" w:right="60" w:hanging="321"/>
        <w:spacing w:after="0" w:line="257"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Charging</w:t>
      </w:r>
      <w:r>
        <w:rPr>
          <w:rFonts w:ascii="Times New Roman" w:cs="Times New Roman" w:eastAsia="Times New Roman" w:hAnsi="Times New Roman"/>
          <w:sz w:val="18"/>
          <w:szCs w:val="18"/>
          <w:color w:val="auto"/>
        </w:rPr>
        <w:t>. Lead-acid batteries were the first rechargeable batteries on the market. However, due to new advancements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density (i.e., the amount of energy stored by mass volume) and charge/ 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82" w:lineRule="exact"/>
        <w:rPr>
          <w:rFonts w:ascii="Times New Roman" w:cs="Times New Roman" w:eastAsia="Times New Roman" w:hAnsi="Times New Roman"/>
          <w:sz w:val="18"/>
          <w:szCs w:val="18"/>
          <w:color w:val="auto"/>
        </w:rPr>
      </w:pPr>
    </w:p>
    <w:p>
      <w:pPr>
        <w:ind w:left="680" w:right="140" w:hanging="321"/>
        <w:spacing w:after="0" w:line="275" w:lineRule="auto"/>
        <w:tabs>
          <w:tab w:leader="none" w:pos="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Maintenance-Free</w:t>
      </w:r>
      <w:r>
        <w:rPr>
          <w:rFonts w:ascii="Times New Roman" w:cs="Times New Roman" w:eastAsia="Times New Roman" w:hAnsi="Times New Roman"/>
          <w:sz w:val="17"/>
          <w:szCs w:val="17"/>
          <w:color w:val="auto"/>
        </w:rPr>
        <w:t>. LFP batteries provide the benefit of being a maintenance-free option compared to lead-acid batteries.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22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155" w:lineRule="exact"/>
        <w:rPr>
          <w:sz w:val="20"/>
          <w:szCs w:val="20"/>
          <w:color w:val="auto"/>
        </w:rPr>
      </w:pPr>
    </w:p>
    <w:p>
      <w:pPr>
        <w:ind w:left="680" w:right="80" w:hanging="321"/>
        <w:spacing w:after="0" w:line="253"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Recreational Vehicles</w:t>
      </w:r>
      <w:r>
        <w:rPr>
          <w:rFonts w:ascii="Times New Roman" w:cs="Times New Roman" w:eastAsia="Times New Roman" w:hAnsi="Times New Roman"/>
          <w:sz w:val="18"/>
          <w:szCs w:val="18"/>
          <w:color w:val="auto"/>
        </w:rPr>
        <w:t>. The growth of the RV market is expected to continue to drive demand for LFP storage batteries.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the RV 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there are over 11 million RVs on the road in America and 9.6 million households intend to purchase an RV within the next five years.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6.8% from 2012 to 2022, with RV shipments estimated to be over 549,900 in 2022. The need for greater power and power storage capabilities to power interiors is driving a shift towards the use of LFP batteries. Incumbent lead-acid batteries are heavy, take up a lot of space, have inefficient power discharge and require ventilation. Our solution addresses all of these problems by allowing for shorter charge times, weighing one-fifth of a standard lead-acid battery, providing a reliable and consistent source of power and being maintenance-free. Our market focus has traditionally been on motorized RVs (i.e., driveable RVs). OEMs have begun to introduce batteries into towable units (i.e., RVs that require another vehicle to drive them), which will create a new potential subsector in the RV market for LFP batteries. According to the RVIA’s 2021 RV Market Report, approximately 91% of wholesale RV units shipped in 2021 were towable units, representing a significant opportunity for LFP batteries.</w:t>
      </w:r>
    </w:p>
    <w:p>
      <w:pPr>
        <w:spacing w:after="0" w:line="185" w:lineRule="exact"/>
        <w:rPr>
          <w:rFonts w:ascii="Times New Roman" w:cs="Times New Roman" w:eastAsia="Times New Roman" w:hAnsi="Times New Roman"/>
          <w:sz w:val="18"/>
          <w:szCs w:val="18"/>
          <w:color w:val="auto"/>
        </w:rPr>
      </w:pPr>
    </w:p>
    <w:p>
      <w:pPr>
        <w:ind w:left="680" w:right="20" w:hanging="321"/>
        <w:spacing w:after="0" w:line="255"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Marine Vessels</w:t>
      </w:r>
      <w:r>
        <w:rPr>
          <w:rFonts w:ascii="Times New Roman" w:cs="Times New Roman" w:eastAsia="Times New Roman" w:hAnsi="Times New Roman"/>
          <w:sz w:val="18"/>
          <w:szCs w:val="18"/>
          <w:color w:val="auto"/>
        </w:rPr>
        <w:t>. As boating becomes more popular in North America, the need for a reliable, non-flammable energy storage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is becoming 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84" w:lineRule="exact"/>
        <w:rPr>
          <w:rFonts w:ascii="Times New Roman" w:cs="Times New Roman" w:eastAsia="Times New Roman" w:hAnsi="Times New Roman"/>
          <w:sz w:val="18"/>
          <w:szCs w:val="18"/>
          <w:color w:val="auto"/>
        </w:rPr>
      </w:pPr>
    </w:p>
    <w:p>
      <w:pPr>
        <w:ind w:left="680" w:right="40" w:hanging="321"/>
        <w:spacing w:after="0" w:line="254"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Off-Grid Residences</w:t>
      </w:r>
      <w:r>
        <w:rPr>
          <w:rFonts w:ascii="Times New Roman" w:cs="Times New Roman" w:eastAsia="Times New Roman" w:hAnsi="Times New Roman"/>
          <w:sz w:val="18"/>
          <w:szCs w:val="18"/>
          <w:color w:val="auto"/>
        </w:rPr>
        <w:t>. Many people are turning to off-grid housing and, as individuals and governments become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BloombergNEF.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Addressable Markets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76" w:lineRule="exact"/>
        <w:rPr>
          <w:sz w:val="20"/>
          <w:szCs w:val="20"/>
          <w:color w:val="auto"/>
        </w:rPr>
      </w:pPr>
    </w:p>
    <w:p>
      <w:pPr>
        <w:ind w:left="680" w:right="40" w:hanging="321"/>
        <w:spacing w:after="0" w:line="256"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Industrial / Material Handlings / Work Truck</w:t>
      </w:r>
      <w:r>
        <w:rPr>
          <w:rFonts w:ascii="Times New Roman" w:cs="Times New Roman" w:eastAsia="Times New Roman" w:hAnsi="Times New Roman"/>
          <w:sz w:val="18"/>
          <w:szCs w:val="18"/>
          <w:color w:val="auto"/>
        </w:rPr>
        <w:t>. The industrial vehicle market includes work trucks, material handling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warehousing equipment and compact construction equipment. As industrial vehicles increase in terms of automation and incorporate more onboard tools, the need for a long- 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20" w:hanging="321"/>
        <w:spacing w:after="0" w:line="25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Specialty Vehicles</w:t>
      </w:r>
      <w:r>
        <w:rPr>
          <w:rFonts w:ascii="Times New Roman" w:cs="Times New Roman" w:eastAsia="Times New Roman" w:hAnsi="Times New Roman"/>
          <w:sz w:val="18"/>
          <w:szCs w:val="18"/>
          <w:color w:val="auto"/>
        </w:rPr>
        <w:t>. According to Mordor Intelligence, as of 2019, approximately 40% of the specialty vehicle market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82"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Emergency and Standby Power</w:t>
      </w:r>
      <w:r>
        <w:rPr>
          <w:rFonts w:ascii="Times New Roman" w:cs="Times New Roman" w:eastAsia="Times New Roman" w:hAnsi="Times New Roman"/>
          <w:sz w:val="18"/>
          <w:szCs w:val="18"/>
          <w:color w:val="auto"/>
        </w:rPr>
        <w:t>. Demand for reliable emergency and standby power sources is expected to continue to drive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88" w:lineRule="exact"/>
        <w:rPr>
          <w:rFonts w:ascii="Times New Roman" w:cs="Times New Roman" w:eastAsia="Times New Roman" w:hAnsi="Times New Roman"/>
          <w:sz w:val="18"/>
          <w:szCs w:val="18"/>
          <w:color w:val="auto"/>
        </w:rPr>
      </w:pPr>
    </w:p>
    <w:p>
      <w:pPr>
        <w:ind w:left="680" w:hanging="321"/>
        <w:spacing w:after="0" w:line="254"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Telecom</w:t>
      </w:r>
      <w:r>
        <w:rPr>
          <w:rFonts w:ascii="Times New Roman" w:cs="Times New Roman" w:eastAsia="Times New Roman" w:hAnsi="Times New Roman"/>
          <w:sz w:val="18"/>
          <w:szCs w:val="18"/>
          <w:color w:val="auto"/>
        </w:rPr>
        <w:t>. Demand for mobile data continues to increase and network providers are investing heavily in 5G networks,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88" w:lineRule="exact"/>
        <w:rPr>
          <w:rFonts w:ascii="Times New Roman" w:cs="Times New Roman" w:eastAsia="Times New Roman" w:hAnsi="Times New Roman"/>
          <w:sz w:val="18"/>
          <w:szCs w:val="18"/>
          <w:color w:val="auto"/>
        </w:rPr>
      </w:pPr>
    </w:p>
    <w:p>
      <w:pPr>
        <w:ind w:left="680" w:right="240" w:hanging="321"/>
        <w:spacing w:after="0" w:line="255"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Rail</w:t>
      </w:r>
      <w:r>
        <w:rPr>
          <w:rFonts w:ascii="Times New Roman" w:cs="Times New Roman" w:eastAsia="Times New Roman" w:hAnsi="Times New Roman"/>
          <w:sz w:val="18"/>
          <w:szCs w:val="18"/>
          <w:color w:val="auto"/>
        </w:rPr>
        <w:t>. Rail transportation is a large potential market, with an estimated market size of $98.6 billion in 2022, according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w:t>
      </w:r>
    </w:p>
    <w:p>
      <w:pPr>
        <w:spacing w:after="0" w:line="2" w:lineRule="exact"/>
        <w:rPr>
          <w:rFonts w:ascii="Times New Roman" w:cs="Times New Roman" w:eastAsia="Times New Roman" w:hAnsi="Times New Roman"/>
          <w:sz w:val="18"/>
          <w:szCs w:val="18"/>
          <w:color w:val="auto"/>
        </w:rPr>
      </w:pPr>
    </w:p>
    <w:p>
      <w:pPr>
        <w:ind w:left="6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84" w:lineRule="exact"/>
        <w:rPr>
          <w:rFonts w:ascii="Times New Roman" w:cs="Times New Roman" w:eastAsia="Times New Roman" w:hAnsi="Times New Roman"/>
          <w:sz w:val="18"/>
          <w:szCs w:val="18"/>
          <w:color w:val="auto"/>
        </w:rPr>
      </w:pPr>
    </w:p>
    <w:p>
      <w:pPr>
        <w:ind w:left="680" w:right="120" w:hanging="321"/>
        <w:spacing w:after="0" w:line="254"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Centers</w:t>
      </w:r>
      <w:r>
        <w:rPr>
          <w:rFonts w:ascii="Times New Roman" w:cs="Times New Roman" w:eastAsia="Times New Roman" w:hAnsi="Times New Roman"/>
          <w:sz w:val="18"/>
          <w:szCs w:val="18"/>
          <w:color w:val="auto"/>
        </w:rPr>
        <w:t>. Data centers have seen strong growth in recent years, with over 2,750 data centers in the United States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2022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5" w:lineRule="exact"/>
        <w:rPr>
          <w:rFonts w:ascii="Times New Roman" w:cs="Times New Roman" w:eastAsia="Times New Roman" w:hAnsi="Times New Roman"/>
          <w:sz w:val="18"/>
          <w:szCs w:val="18"/>
          <w:color w:val="auto"/>
        </w:rPr>
      </w:pPr>
    </w:p>
    <w:p>
      <w:pPr>
        <w:ind w:left="680" w:right="160" w:hanging="321"/>
        <w:spacing w:after="0" w:line="25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On-grid Storage</w:t>
      </w:r>
      <w:r>
        <w:rPr>
          <w:rFonts w:ascii="Times New Roman" w:cs="Times New Roman" w:eastAsia="Times New Roman" w:hAnsi="Times New Roman"/>
          <w:sz w:val="18"/>
          <w:szCs w:val="18"/>
          <w:color w:val="auto"/>
        </w:rPr>
        <w:t>. On-grid energy storage is used on a large-scale platform within an electrical power grid in conjunction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spacing w:after="0" w:line="261" w:lineRule="auto"/>
        <w:rPr>
          <w:sz w:val="20"/>
          <w:szCs w:val="20"/>
          <w:color w:val="auto"/>
        </w:rPr>
      </w:pPr>
      <w:r>
        <w:rPr>
          <w:rFonts w:ascii="Times New Roman" w:cs="Times New Roman" w:eastAsia="Times New Roman" w:hAnsi="Times New Roman"/>
          <w:sz w:val="18"/>
          <w:szCs w:val="18"/>
          <w:color w:val="auto"/>
        </w:rPr>
        <w:t>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36" w:lineRule="exact"/>
        <w:rPr>
          <w:sz w:val="20"/>
          <w:szCs w:val="20"/>
          <w:color w:val="auto"/>
        </w:rPr>
      </w:pPr>
    </w:p>
    <w:p>
      <w:pPr>
        <w:ind w:left="680" w:hanging="321"/>
        <w:spacing w:after="0" w:line="255"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Premier Lithium-Ion Battery Technology</w:t>
      </w:r>
      <w:r>
        <w:rPr>
          <w:rFonts w:ascii="Times New Roman" w:cs="Times New Roman" w:eastAsia="Times New Roman" w:hAnsi="Times New Roman"/>
          <w:sz w:val="18"/>
          <w:szCs w:val="18"/>
          <w:color w:val="auto"/>
        </w:rPr>
        <w:t>. Each of our innovative batteries features custom designed components to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and stops drawing power from the battery at -4 degrees Fahrenheit. This technology increases performance in cold weather conditions while possessing a unique heating solution that does not require an external energy source.</w:t>
      </w:r>
    </w:p>
    <w:p>
      <w:pPr>
        <w:spacing w:after="0" w:line="184" w:lineRule="exact"/>
        <w:rPr>
          <w:rFonts w:ascii="Times New Roman" w:cs="Times New Roman" w:eastAsia="Times New Roman" w:hAnsi="Times New Roman"/>
          <w:sz w:val="18"/>
          <w:szCs w:val="18"/>
          <w:color w:val="auto"/>
        </w:rPr>
      </w:pPr>
    </w:p>
    <w:p>
      <w:pPr>
        <w:ind w:left="680" w:right="20" w:hanging="321"/>
        <w:spacing w:after="0" w:line="268"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Extensive, Growing Patent Portfolio</w:t>
      </w:r>
      <w:r>
        <w:rPr>
          <w:rFonts w:ascii="Times New Roman" w:cs="Times New Roman" w:eastAsia="Times New Roman" w:hAnsi="Times New Roman"/>
          <w:sz w:val="18"/>
          <w:szCs w:val="18"/>
          <w:color w:val="auto"/>
        </w:rPr>
        <w:t>. We have developed and filed patent applications on commercially relevant aspects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business including chemical compositions systems and production processes. To date, we have possessed 24 issued patents, with an additional 20 patent applications pending, in the United States, China, Europe, Australia, Canada and other regions.</w:t>
      </w:r>
    </w:p>
    <w:p>
      <w:pPr>
        <w:spacing w:after="0" w:line="170" w:lineRule="exact"/>
        <w:rPr>
          <w:rFonts w:ascii="Times New Roman" w:cs="Times New Roman" w:eastAsia="Times New Roman" w:hAnsi="Times New Roman"/>
          <w:sz w:val="18"/>
          <w:szCs w:val="18"/>
          <w:color w:val="auto"/>
        </w:rPr>
      </w:pPr>
    </w:p>
    <w:p>
      <w:pPr>
        <w:ind w:left="680" w:right="80" w:hanging="321"/>
        <w:spacing w:after="0" w:line="25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Proven Go-To-Market Strategy</w:t>
      </w:r>
      <w:r>
        <w:rPr>
          <w:rFonts w:ascii="Times New Roman" w:cs="Times New Roman" w:eastAsia="Times New Roman" w:hAnsi="Times New Roman"/>
          <w:sz w:val="18"/>
          <w:szCs w:val="18"/>
          <w:color w:val="auto"/>
        </w:rPr>
        <w:t>. We have successfully established a direct-to-consumer platform and have developed strong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relationships with major RV OEMs, custom designing products for new and existing applications as evidenced by 16 consecutive quarters of profitability, which we measure by positive EBITDA.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82" w:lineRule="exact"/>
        <w:rPr>
          <w:rFonts w:ascii="Times New Roman" w:cs="Times New Roman" w:eastAsia="Times New Roman" w:hAnsi="Times New Roman"/>
          <w:sz w:val="18"/>
          <w:szCs w:val="18"/>
          <w:color w:val="auto"/>
        </w:rPr>
      </w:pPr>
    </w:p>
    <w:p>
      <w:pPr>
        <w:ind w:left="680" w:right="120" w:hanging="321"/>
        <w:spacing w:after="0" w:line="259"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Established Customer Base with Brand Recognition</w:t>
      </w:r>
      <w:r>
        <w:rPr>
          <w:rFonts w:ascii="Times New Roman" w:cs="Times New Roman" w:eastAsia="Times New Roman" w:hAnsi="Times New Roman"/>
          <w:sz w:val="18"/>
          <w:szCs w:val="18"/>
          <w:color w:val="auto"/>
        </w:rPr>
        <w:t>. We have a growing customer base of over 13,500 customers featuring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180% since 2018) with visibility for future growth through further expansion of our existing relationships.</w:t>
      </w:r>
    </w:p>
    <w:p>
      <w:pPr>
        <w:spacing w:after="0" w:line="179" w:lineRule="exact"/>
        <w:rPr>
          <w:rFonts w:ascii="Times New Roman" w:cs="Times New Roman" w:eastAsia="Times New Roman" w:hAnsi="Times New Roman"/>
          <w:sz w:val="18"/>
          <w:szCs w:val="18"/>
          <w:color w:val="auto"/>
        </w:rPr>
      </w:pPr>
    </w:p>
    <w:p>
      <w:pPr>
        <w:jc w:val="both"/>
        <w:ind w:left="680" w:right="440" w:hanging="321"/>
        <w:spacing w:after="0" w:line="268"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Quality Manufacturing Process</w:t>
      </w:r>
      <w:r>
        <w:rPr>
          <w:rFonts w:ascii="Times New Roman" w:cs="Times New Roman" w:eastAsia="Times New Roman" w:hAnsi="Times New Roman"/>
          <w:sz w:val="18"/>
          <w:szCs w:val="18"/>
          <w:color w:val="auto"/>
        </w:rPr>
        <w:t>. Unlike competitors that outsource their manufacturing processes, our batteries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assembled and tested in the United States, ensuring that our manufacturing process is thoroughly tested and our batteries are of the highest quality.</w:t>
      </w:r>
    </w:p>
    <w:p>
      <w:pPr>
        <w:spacing w:after="0" w:line="170" w:lineRule="exact"/>
        <w:rPr>
          <w:rFonts w:ascii="Times New Roman" w:cs="Times New Roman" w:eastAsia="Times New Roman" w:hAnsi="Times New Roman"/>
          <w:sz w:val="18"/>
          <w:szCs w:val="18"/>
          <w:color w:val="auto"/>
        </w:rPr>
      </w:pPr>
    </w:p>
    <w:p>
      <w:pPr>
        <w:ind w:left="680" w:right="20" w:hanging="321"/>
        <w:spacing w:after="0" w:line="25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Drop-in Replacement</w:t>
      </w:r>
      <w:r>
        <w:rPr>
          <w:rFonts w:ascii="Times New Roman" w:cs="Times New Roman" w:eastAsia="Times New Roman" w:hAnsi="Times New Roman"/>
          <w:sz w:val="18"/>
          <w:szCs w:val="18"/>
          <w:color w:val="auto"/>
        </w:rPr>
        <w:t>. Our battery modules are largely designed to be “drop-in replacements” for traditional lead-acid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158" w:lineRule="exact"/>
        <w:rPr>
          <w:sz w:val="20"/>
          <w:szCs w:val="20"/>
          <w:color w:val="auto"/>
        </w:rPr>
      </w:pPr>
    </w:p>
    <w:p>
      <w:pPr>
        <w:ind w:left="680" w:right="180" w:hanging="321"/>
        <w:spacing w:after="0" w:line="257"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Product Offerings</w:t>
      </w:r>
      <w:r>
        <w:rPr>
          <w:rFonts w:ascii="Times New Roman" w:cs="Times New Roman" w:eastAsia="Times New Roman" w:hAnsi="Times New Roman"/>
          <w:sz w:val="18"/>
          <w:szCs w:val="18"/>
          <w:color w:val="auto"/>
        </w:rPr>
        <w:t>. In the short-term, our aim is to further diversify our product offerings to give consumers,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RV OEMs and distributors, more options for additional applications. This will be accelerated by the expansion of our production capacity in our new manufacturing facility. We intend to launch and scale production of additional 12 voltage and 24 voltage batteries and introduce 48 voltage batteries, which we believe will extend our market reach in each of our targeted end markets. We believe the natural evolution of our product offering is to become a system integrator for solar and other energy solutions.</w:t>
      </w:r>
    </w:p>
    <w:p>
      <w:pPr>
        <w:spacing w:after="0" w:line="182" w:lineRule="exact"/>
        <w:rPr>
          <w:rFonts w:ascii="Times New Roman" w:cs="Times New Roman" w:eastAsia="Times New Roman" w:hAnsi="Times New Roman"/>
          <w:sz w:val="18"/>
          <w:szCs w:val="18"/>
          <w:color w:val="auto"/>
        </w:rPr>
      </w:pPr>
    </w:p>
    <w:p>
      <w:pPr>
        <w:ind w:left="680" w:right="40" w:hanging="321"/>
        <w:spacing w:after="0" w:line="259"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End Markets</w:t>
      </w:r>
      <w:r>
        <w:rPr>
          <w:rFonts w:ascii="Times New Roman" w:cs="Times New Roman" w:eastAsia="Times New Roman" w:hAnsi="Times New Roman"/>
          <w:sz w:val="18"/>
          <w:szCs w:val="18"/>
          <w:color w:val="auto"/>
        </w:rPr>
        <w:t>. We have identified additional end markets that we believe in the medium- to longer-term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79" w:lineRule="exact"/>
        <w:rPr>
          <w:rFonts w:ascii="Times New Roman" w:cs="Times New Roman" w:eastAsia="Times New Roman" w:hAnsi="Times New Roman"/>
          <w:sz w:val="18"/>
          <w:szCs w:val="18"/>
          <w:color w:val="auto"/>
        </w:rPr>
      </w:pPr>
    </w:p>
    <w:p>
      <w:pPr>
        <w:ind w:left="680" w:right="220" w:hanging="321"/>
        <w:spacing w:after="0" w:line="259"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Commercialize Solid-State Technology</w:t>
      </w:r>
      <w:r>
        <w:rPr>
          <w:rFonts w:ascii="Times New Roman" w:cs="Times New Roman" w:eastAsia="Times New Roman" w:hAnsi="Times New Roman"/>
          <w:sz w:val="18"/>
          <w:szCs w:val="18"/>
          <w:color w:val="auto"/>
        </w:rPr>
        <w:t>. We believe solid-state technology presents a significant advantage to all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on the market, with the potential to be lighter, smaller, safer and cheaper. Once we have optimized the chemistry of our LFP solid-state batteries to enhance conductivity and power, we intend to use our first solid-state cells in our Battle Born batteries, after which we will scale up for mass production of separate solid-state batteries for various applications and use cases.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 charging batteries has led to the development of lithium-ion batteries and, within the lithium-ion battery market, different chemistries.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and nickel cobalt aluminum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electric vehicle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130810</wp:posOffset>
            </wp:positionV>
            <wp:extent cx="5109210" cy="13373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092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“Lithium and Cobalt: A tale of two commodities,” global forecasts for cobalt show supply shortages arising as early as</w:t>
      </w:r>
    </w:p>
    <w:p>
      <w:pPr>
        <w:sectPr>
          <w:pgSz w:w="11900" w:h="16838" w:orient="portrait"/>
          <w:cols w:equalWidth="0" w:num="1">
            <w:col w:w="9920"/>
          </w:cols>
          <w:pgMar w:left="980" w:top="12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 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 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 LFP batteries have a tendency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w:t>
      </w:r>
      <w:r>
        <w:rPr>
          <w:rFonts w:ascii="Times New Roman" w:cs="Times New Roman" w:eastAsia="Times New Roman" w:hAnsi="Times New Roman"/>
          <w:sz w:val="18"/>
          <w:szCs w:val="18"/>
          <w:i w:val="1"/>
          <w:iCs w:val="1"/>
          <w:color w:val="auto"/>
        </w:rPr>
        <w:t>“— Research and Development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and 2022 we sold 37,226 and 41,976 batteries, respectively, and had $39.0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$39.9 million in sales, respectively. Net income for the six months ended June 30, 2021 was $4.2 million and net loss for the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2022 was $3.8 million, respectively, and Adjusted EBITDA was $5.8 million and $(0.4) million, respectively.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2020 and 2021 we sold 51,434 and 74,652 batteries, respectively, and had $47.2 million and $78.0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respectively. Net income for the years ended December 31, 2020 and 2021 was $6.9 million and $4.3 million, respectively,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was $9.4 million and $8.7 million, respectively. For a reconciliation of Adjusted EBITDA to its most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GAAP measure, information on why we consider Adjusted EBITDA useful and a discussion of the 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risks and limitations of this measure, please see the section entitled, “</w:t>
      </w:r>
      <w:r>
        <w:rPr>
          <w:rFonts w:ascii="Times New Roman" w:cs="Times New Roman" w:eastAsia="Times New Roman" w:hAnsi="Times New Roman"/>
          <w:sz w:val="18"/>
          <w:szCs w:val="18"/>
          <w:i w:val="1"/>
          <w:iCs w:val="1"/>
          <w:color w:val="auto"/>
        </w:rPr>
        <w:t>Dragonfly’s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Non-GAAP Financial Measures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core products are LFP battery modules with a built-in battery management system offered under our two brand names: Dragonfly Energy, which sells only to OEMs, and Battle Born Batteries, which sells direct to consumers and increasingly to OEMs. We currently offer eight LFP battery models across our two brands, each differentiated by size, power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123190</wp:posOffset>
            </wp:positionV>
            <wp:extent cx="5143500" cy="2082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114300</wp:posOffset>
            </wp:positionV>
            <wp:extent cx="5194935" cy="21088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949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114300</wp:posOffset>
            </wp:positionV>
            <wp:extent cx="5177790" cy="1920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777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proprietary battery management system is designed,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76" w:lineRule="exact"/>
        <w:rPr>
          <w:sz w:val="20"/>
          <w:szCs w:val="20"/>
          <w:color w:val="auto"/>
        </w:rPr>
      </w:pPr>
    </w:p>
    <w:p>
      <w:pPr>
        <w:ind w:left="680" w:right="64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between -4 degrees Fahrenheit and 135 degrees Fahrenheit, and is designed to cut off charging at 24 degrees Fahrenheit to protect cells;</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 battery hub communication system,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this hub to customers as an adjacent component and in our product bundles during the first half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pacing w:after="0" w:line="158" w:lineRule="exact"/>
        <w:rPr>
          <w:sz w:val="20"/>
          <w:szCs w:val="20"/>
          <w:color w:val="auto"/>
        </w:rPr>
      </w:pPr>
    </w:p>
    <w:p>
      <w:pPr>
        <w:jc w:val="both"/>
        <w:ind w:left="680" w:right="40" w:hanging="321"/>
        <w:spacing w:after="0" w:line="268"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New Products</w:t>
      </w:r>
      <w:r>
        <w:rPr>
          <w:rFonts w:ascii="Times New Roman" w:cs="Times New Roman" w:eastAsia="Times New Roman" w:hAnsi="Times New Roman"/>
          <w:sz w:val="18"/>
          <w:szCs w:val="18"/>
          <w:color w:val="auto"/>
        </w:rPr>
        <w:t>. Our current offerings feature battery products that serve the RV, marine vessel and off-grid markets. Although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operations were previously capacity constrained the expansion into our new manufacturing facility will allow us to add production capacity and increase product offerings and scale based on demand.</w:t>
      </w:r>
    </w:p>
    <w:p>
      <w:pPr>
        <w:spacing w:after="0" w:line="174"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voltage batteries, which provide 85 amp hours of power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83" w:lineRule="exact"/>
        <w:rPr>
          <w:rFonts w:ascii="Times New Roman" w:cs="Times New Roman" w:eastAsia="Times New Roman" w:hAnsi="Times New Roman"/>
          <w:sz w:val="18"/>
          <w:szCs w:val="18"/>
          <w:color w:val="auto"/>
        </w:rPr>
      </w:pPr>
    </w:p>
    <w:p>
      <w:pPr>
        <w:ind w:left="680" w:right="100" w:hanging="321"/>
        <w:spacing w:after="0" w:line="256"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ranging from 125 to 175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87"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that will range from an anticipated 60 to 85 amp hours.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75"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 Integrator</w:t>
      </w:r>
      <w:r>
        <w:rPr>
          <w:rFonts w:ascii="Times New Roman" w:cs="Times New Roman" w:eastAsia="Times New Roman" w:hAnsi="Times New Roman"/>
          <w:sz w:val="18"/>
          <w:szCs w:val="18"/>
          <w:color w:val="auto"/>
        </w:rPr>
        <w:t>. A natural evolution of our business is to offer customers a system integration solution providing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 power solutions at a cost-effective price point. We currently offer direct parts, accessories, chargers and bundles to customers under the Battle Born Energy and Battle Born Solar brands to help establish our products as part of new green energy and solar power solutions. We have an in-house expert customer service team that assists customers in fully integrating their applications to our technologies for a seamless transition. Through our evolving technology and the customized architecture and application of our products, we are able to offer customers a seamless transition to creating a centralized coordinated system.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co-founder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during 2022.</w:t>
      </w:r>
    </w:p>
    <w:p>
      <w:pPr>
        <w:spacing w:after="0" w:line="19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 state cell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128270</wp:posOffset>
            </wp:positionV>
            <wp:extent cx="2726055" cy="1842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2605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 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114300</wp:posOffset>
            </wp:positionV>
            <wp:extent cx="3240405" cy="2339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4040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87"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intend to integrate our initial solid-state cells into Dragonfly Energy and Battle Born batteries exclusively and eventually scale to mass production of separate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6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154305</wp:posOffset>
            </wp:positionV>
            <wp:extent cx="5143500" cy="9690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9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On February 8, 2022, we entered into a 124-month lease for an additional 390,240 square foot warehouse, which, once built, we intend to utilize for the manufacture of our solid-state batteries.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 standing relationships with these suppliers, we are able to source LFP cells on favorable terms and within reasonable lead-times.</w:t>
      </w:r>
    </w:p>
    <w:p>
      <w:pPr>
        <w:spacing w:after="0" w:line="19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we look toward the production of our solid-state cells, we have signed a Memorandum of Understanding with a lithium mining company located in Nevada for the supply of lithium.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currently serve over 13,500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six months ended June 30, 2022, OEM sales represented 26.1% of our total revenues and for the years ended December 31, 2020 and 2021, OEM sales represented 7.4% and 10.5% of our total revenues, respectively, which we expect to increase to approximately 37% of our total revenues by 2023 (including as a result of the strategic arrangements described below).</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deep, long-standing relationships with many of our customers. We also have a diverse customer base, with our top 10 customers accounting for approximately 24.0% of our revenue for the six months ended June 30, 2022. Our customers primarily utilize our products for RVs, marine vessels and off-grid residences. We work directly with OEMs to ensure compatibility with existing designs and also collaborate on custom designs for new applications.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In January 2022, we entered into a long-term supply arrangement with Keystone, a member of the THOR group and the largest towable RV OEM in North America. Under this supply arrangement we will be the exclusive supplier to Keystone for certain of its future LFP battery requirements, solidifying our long-standing relationship with Keystone.</w:t>
      </w:r>
    </w:p>
    <w:p>
      <w:pPr>
        <w:spacing w:after="0" w:line="187"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will be negotiated and agreed with THOR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9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utilize a multi-pronged sales and marketing strategy to ensure that the Dragonfly Energy and Battle Born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as well as with professional anglers, to create a lasting relationship that showcases the performance of our products, rather than one-off promotions. Our products have also been featured in television shows and on podcasts that cater specifically to RV enthusiasts.</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also value our direct relationships with retail customers. Our website and our customer service are key elements to our sales strategy. Our website enables customers to purchase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9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 focused energy storage companies such as EOS Energy, ESS and 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May 10, 2022 we owned 24 issued patents and 20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protecting the design of our GC2 and GC3 batteries, the device and method for monitoring battery systems, powderized solid-state electrolyte and electroactive materials, preparation and film deposition of these pre-coated powders and the manufacturing process for the solid-state cell technology which includes the manufacturing of conductive particle films for lithium-ion batteries and the dry powder coating of an electrochemical cell. Our issued patents start expiring on May 30, 2033.</w:t>
      </w:r>
    </w:p>
    <w:p>
      <w:pPr>
        <w:spacing w:after="0" w:line="19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May 10, 2022, we own four trademark registrations to cover our house marks in the United States and we have seven pending trademark applications relating to our design logos and slogans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229" w:lineRule="exact"/>
        <w:rPr>
          <w:sz w:val="20"/>
          <w:szCs w:val="20"/>
          <w:color w:val="auto"/>
        </w:rPr>
      </w:pPr>
    </w:p>
    <w:p>
      <w:pPr>
        <w:jc w:val="both"/>
        <w:ind w:right="80" w:firstLine="324"/>
        <w:spacing w:after="0" w:line="255"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located in Reno, Nevada and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(for example, machine guarding, hot work, hazardous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material management and transportation). We train our employees and conduct audits of our operations to assess our fulfillment of these policies.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we have 181 employees; 165 full-time, 2 part-time and 14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78" w:lineRule="exact"/>
        <w:rPr>
          <w:sz w:val="20"/>
          <w:szCs w:val="20"/>
          <w:color w:val="auto"/>
        </w:rPr>
      </w:pPr>
    </w:p>
    <w:p>
      <w:pPr>
        <w:ind w:left="680" w:right="100" w:hanging="321"/>
        <w:spacing w:after="0" w:line="267"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 Employees are regularly educated in safety around their workspaces, and employees participate in volunteer roles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safety committee, and in emergency readiness roles. We have a dedicated safety coordinator who tracks and measures our performance, and helps us benchmark our safety programs against our peers.</w:t>
      </w:r>
    </w:p>
    <w:p>
      <w:pPr>
        <w:spacing w:after="0" w:line="173" w:lineRule="exact"/>
        <w:rPr>
          <w:rFonts w:ascii="Times New Roman" w:cs="Times New Roman" w:eastAsia="Times New Roman" w:hAnsi="Times New Roman"/>
          <w:sz w:val="18"/>
          <w:szCs w:val="18"/>
          <w:color w:val="auto"/>
        </w:rPr>
      </w:pPr>
    </w:p>
    <w:p>
      <w:pPr>
        <w:jc w:val="both"/>
        <w:ind w:left="680" w:right="520" w:hanging="321"/>
        <w:spacing w:after="0" w:line="261"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Diversity, Equity &amp; Inclusion </w:t>
      </w:r>
      <w:r>
        <w:rPr>
          <w:rFonts w:ascii="Times New Roman" w:cs="Times New Roman" w:eastAsia="Times New Roman" w:hAnsi="Times New Roman"/>
          <w:sz w:val="18"/>
          <w:szCs w:val="18"/>
          <w:color w:val="auto"/>
        </w:rPr>
        <w:t>— Our culture has benefitted from the diversity of our workforce from the very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79" w:lineRule="exact"/>
        <w:rPr>
          <w:rFonts w:ascii="Times New Roman" w:cs="Times New Roman" w:eastAsia="Times New Roman" w:hAnsi="Times New Roman"/>
          <w:sz w:val="18"/>
          <w:szCs w:val="18"/>
          <w:color w:val="auto"/>
        </w:rPr>
      </w:pPr>
    </w:p>
    <w:p>
      <w:pPr>
        <w:ind w:left="680" w:right="180" w:hanging="321"/>
        <w:spacing w:after="0" w:line="267"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 As we grow, opportunities for cross-functional collaboration are not as organic as they used to be.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responded to that change by staying mindful and acting intentionally to gather cross-functional input on new initiatives and continuous improvement efforts.</w:t>
      </w:r>
    </w:p>
    <w:p>
      <w:pPr>
        <w:spacing w:after="0" w:line="173" w:lineRule="exact"/>
        <w:rPr>
          <w:rFonts w:ascii="Times New Roman" w:cs="Times New Roman" w:eastAsia="Times New Roman" w:hAnsi="Times New Roman"/>
          <w:sz w:val="18"/>
          <w:szCs w:val="18"/>
          <w:color w:val="auto"/>
        </w:rPr>
      </w:pPr>
    </w:p>
    <w:p>
      <w:pPr>
        <w:ind w:left="680" w:right="400" w:hanging="321"/>
        <w:spacing w:after="0" w:line="267"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Improvement </w:t>
      </w:r>
      <w:r>
        <w:rPr>
          <w:rFonts w:ascii="Times New Roman" w:cs="Times New Roman" w:eastAsia="Times New Roman" w:hAnsi="Times New Roman"/>
          <w:sz w:val="18"/>
          <w:szCs w:val="18"/>
          <w:color w:val="auto"/>
        </w:rPr>
        <w:t>— We apply continuous improvement measures to processes as well as people. We encourage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development of our employees, through ongoing learning, credentialing, and collaboration with their industry peers.</w:t>
      </w:r>
    </w:p>
    <w:p>
      <w:pPr>
        <w:spacing w:after="0" w:line="1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 based compensation that rewards individual and organizational achievements.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DRAGONFLY’S 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Corp. and its consolidated subsidiaries prior to the Business Combination.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Holdings Corp. and its consolidated subsidiaries after giving effect to the Business Combination. The following discussion and analysis of our results of operations and financial condition should be read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our financial statements and related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included elsewhere in this prospectus. This discussion contains forward-looking statements based upon our current expectations, estimates and projections that involve risks and uncertainties. Actual results could differ materially from those anticipated in these forward-looking statements due to, among other considerations, the matters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Founded in 2012 and based in Reno, Nevada, 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Since 2018, we have sold over 165,000 batteries. For the six months ended June 30, 2021 and 2022, we sold 37,226 and 41,976 batteries, respectively, and had $39.0 million and $39.9 million in net sales, respectively. For the years ended December 31, 2020 and 2021, we sold 51,434 and 74,652 batteries, respectively, and had $47.2 million and $78.0 million in net sales, respectively. We currently offer a line of batteries across our “Battle Born” and “Dragonfly” brands, each differentiated by size, power and capacity, consisting of eight different models, four of which come with a heated option. We primarily sell “Battle Born” branded batteries directly to consumers and “Dragonfly” branded batteries to OEMs.</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increased total sales reflects a combination of: increasing direct-to-consumer and distributor sales of batteries for RV applications; expanding into the marine vessels and off-grid storage markets with related direct-to-consumer and distributor sales; increasing sales of batteries to RV OEMs; and reselling accessories for battery systems.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currently source the LFP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co-founder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Solid-state technology eliminates the use of a liquid electrolyte, which addresses the residual heat and flammability issues arising from traditional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differentiator in the energy storage market. Additionally, our 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October 7, 2022,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Dragonfly is deemed the accounting acquirer, which means that Legacy Dragonfly’s financial statements for previous periods will be disclosed in our future periodic reports filed with the SEC.</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Business Combination is anticipated to be accounted for as a reverse recapitalization. Under this method of accounting, CNTQ will be treated as the acquired company for financial statement reporting purposes. See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a result of becoming a publicly traded company, we will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direct sales to consumers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(2) through OEMs, particularly in the RV market.</w:t>
      </w:r>
    </w:p>
    <w:p>
      <w:pPr>
        <w:spacing w:after="0" w:line="16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(as a result of COVID-19 or otherwise), fuel costs and energy demands (including an increasing trend towards the use of green energy), as well as overall macro-economic conditions. Sales of our batteries have also benefited from the increased adoption of the RV lifestyle and the demand for additional appliances and electronics in RVs during the COVID-19 pandemic. However, in recent months rising fuel costs and other macro-economic conditions have shifted decisions taken by end market consumers around spending. We have also experienced delays and disruptions in our supply chain, as well as labor shortages and shutdowns, which disrupted the production of our batteries and impacted our ability to keep up with customer demand. In addition, the spreading of the virus may make it more difficult for us to find alternative suppliers due to the high concentration of such suppliers located in China.</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industrial, specialty and work vehicles, material handling, solar integration, and emergency and standby power, in the medium term, and data centers, telecom, rail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 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Memorandum of Understanding with a lithium mining company located in Nevada for the supply of lithium, which we expect will enable us to further manage our cost of goods.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Our product sales consist of sales of eight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(whether sold individually or as part of a bundle) typically have lower related margin. We expect DTC accessory sales to increase as we further develop full-system design expertise and product offerings and consumers increasingly demand more sophisticated systems, rather than simple drop-in replacement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use the funds available to us following Closing to continue these research and development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and amortization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customer mix and production volumes.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and debt issuance costs.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2022 and 2021</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six months ended June 30, 2022 and 2021. This data should be read together with our unaudited financial statements and related notes included elsewhere in this prospectus, and is qualified in its entirety by reference to such financial statements and related notes.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10"/>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0"/>
                <w:szCs w:val="10"/>
                <w:color w:val="auto"/>
              </w:rPr>
            </w:pPr>
          </w:p>
        </w:tc>
        <w:tc>
          <w:tcPr>
            <w:tcW w:w="70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5"/>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(Expense) Income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Provision for Income Tax</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28"/>
        </w:trPr>
        <w:tc>
          <w:tcPr>
            <w:tcW w:w="3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Retailer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0" w:type="dxa"/>
            <w:vAlign w:val="bottom"/>
          </w:tcPr>
          <w:p>
            <w:pPr>
              <w:spacing w:after="0"/>
              <w:rPr>
                <w:sz w:val="1"/>
                <w:szCs w:val="1"/>
                <w:color w:val="auto"/>
              </w:rPr>
            </w:pPr>
          </w:p>
        </w:tc>
      </w:tr>
      <w:tr>
        <w:trPr>
          <w:trHeight w:val="216"/>
        </w:trPr>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Distributor</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33,660</w:t>
            </w:r>
          </w:p>
        </w:tc>
        <w:tc>
          <w:tcPr>
            <w:tcW w:w="0" w:type="dxa"/>
            <w:vAlign w:val="bottom"/>
          </w:tcPr>
          <w:p>
            <w:pPr>
              <w:spacing w:after="0"/>
              <w:rPr>
                <w:sz w:val="1"/>
                <w:szCs w:val="1"/>
                <w:color w:val="auto"/>
              </w:rPr>
            </w:pPr>
          </w:p>
        </w:tc>
      </w:tr>
      <w:tr>
        <w:trPr>
          <w:trHeight w:val="216"/>
        </w:trPr>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16"/>
        </w:trPr>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Net sales increased by $1.0 million, or 2.4%, to $39.9 million for the six months ended June 30, 2022, as compared to $39.0 million for the six months ended June 30, 2021. This increase was primarily due to an increase in battery sales to OEM customers, partially offset by a decline in DTC revenue. For the six months ended June 30, 2022, OEM revenue increased by $5.1 million as a result of increased customer adoption by OEM customers of the Company’s battery solutions leading to higher unit volumes and an increase in the total number of OEM customers. DTC revenue decreased by $4.2 million compared to the six months ended June 30, 2021, primarily due to lower unit volumes and reduced after-market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Cost of revenue increased by $4.5 million, or 19.5%, to $27.4 million for the six months ended June 30, 2022, as compared to $22.9 million for the six months ended June 30, 2021. This increase was primarily due to higher unit volumes, higher material and logistics expenses resulting from the increased unit volumes, as well as inflationary forces, higher headcount costs associated with increased production, higher material costs and rising logistics expenses, and higher overhead costs following the Company’s relocation into a new 99,000 sq. ft. facility in April 2021.</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decreased by $3.5 million, or 21.9%, to $12.5 million for the six months ended June 30, 2022, as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 million for the six months ended June 30, 2021. This decrease was primarily due to a shift in the sales mix associated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percentage of OEM revenue, which typically results in a lower gross margin, and an increase in the cost of goods sold,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an increase in total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remained unchanged at $1.2 million for the six months ended June 30, 2022. While the Company experienced higher employee expenses due to the ongoing expansion of its R&amp;D staff, these were essentially offset by reductions in other research and development expenses associated with material purchases and equipment rentals.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$2.0 million, or 37.6%, to $7.4 million for the six months ended June 30, 2022, as compared to $5.4 million for the six months ended June 30, 2021. This increase was primarily due to increased headcount as we continue to expand our finance, legal and support teams, an increase in overhead costs associated with the Company’s larger manufacturing facility, and higher professional services fees arising from the Company’s business combination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$1.8 million, or 41.8%, to $6.0 million for the six months ended June 30, 2022, as compared to $4.2 million for the six months ended June 30, 2021. This increase was primarily due to higher headcount to support growth in existing markets and to drive growth in new targeted markets, an increase in overhead costs associated with the Company’s larger manufacturing facility, and advertising and sponsorship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Other expense totaled $2.5 million for the six months ended June 30, 2022 as compared to total other income of $0.1 million for the six months ended June 30, 2021. Other expense in 2022 is comprised primarily of interest expense related to $45 million in senior secured notes issued in November 2021 and a loss on the disposition of miscellaneous equipment. Following the completion of the Business Combination, interest expense will increase significantly as a result of approximately $75 million post-closing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229"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Income tax benefit was $0.8 million for the six months ended June 30, 2022, as compared to a $1.1 million expense for the six months ended June 30, 2021. The income tax benefit reflects the Company’s expected use of losses in the period against future tax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Legacy Dragonfly experienced a net loss of $3.8 million for the six months ended June 30, 2022, as compared to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million for the six months ended June 30, 2021. As described above, this result was driven primarily by a decline in gross profit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higher costs only partially offset by an increase in sales, higher operating expenses as we continue to increase our support staff, invest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market opportunities and expand into our new, larger manufacturing facility, and interest costs associated with our senior secured notes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2021 and 2020</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2021 and 2020. This data should be read together with our financial statements and related notes included elsewhere in this prospectus, and is qualified in its entirety by reference to such financial statements and related notes.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0"/>
                <w:szCs w:val="10"/>
                <w:color w:val="auto"/>
              </w:rPr>
            </w:pPr>
          </w:p>
        </w:tc>
        <w:tc>
          <w:tcPr>
            <w:tcW w:w="70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6"/>
          </w:tcPr>
          <w:p>
            <w:pPr>
              <w:jc w:val="center"/>
              <w:ind w:left="9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4,662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(Expense)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6,878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356"/>
        </w:trPr>
        <w:tc>
          <w:tcPr>
            <w:tcW w:w="3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Retailer</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w:t>
            </w: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Distributor</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sales increased by $30.8 million, or 65.3%, to $78.0 million for the years ended December 31, 2021, as compared to</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$47.2 million for the year ended December 31, 2020. This increase was primarily due to increased DTC sales and OEMs. For the year ended December 31, 2021, OEM revenue increased by $4.7 million as a result of increased adoption our products by existing customers, several of whom have begun to “design in” our batteries in various RV models as original equipment or have increased purchases in response to end- customer demand for safer, more efficient batteries and as a replacement for traditional lead-acid batteries.</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DTC revenue increased by $26.1 million as a result of increased customer demand for existing products and the introduction of new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by $21.8 million, or 82.0%, to $48.4 million for the year ended December 31, 2021, as compared to $26.6 million for the year ended December 31, 2020. This increase was primarily due to higher unit volumes and higher headcount associated with increased production, and higher overhead costs which increased due to the Company’s relocation into a new 99,000 sq. ft. facility in April 2021.</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increased by $9.0 million, or 43.8%, to $29.6 million for the year ended December 31, 2021, as compared to</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$20.6 million for the year ended December 31, 2020. This increase was primarily due to the increase in revenue, partially offset by the increase in cost of goods sold.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$1.5 million, or 117.0%, to $2.7 million for the year ended December 31, 2021, as compared to $1.2 million for the year ended December 31, 2020. This increase was primarily due to increased headcount as we continued to build our research and development staff associated with our solid-state technology development efforts and increased patent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$6.0 million, or 127.8%, to $10.6 million for the year ended December 31, 2021, as compared to $4.7 million for the year ended December 31, 2020. This increase was primarily due to increased headcount as we continued to expand our finance, legal and support teams, overhead costs associated with our large manufacturing facility and higher professional services fees arising from the Company’s business combination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$3.9 million, or 65.2%, to $9.8 million for the year ended December 31, 2021, as compared to $6.0 million for the year ended December 31, 2020. This increase was primarily due to the addition of sales and marketing personnel to support growth in our existing end markets, as well as to drive growth in the new, adjacent, end markets we are targeting, overhead costs associated with our large manufacturing facility, increased shipping expenses due to higher volumes and price increases, and advertising and sponsorship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decreased to other expense of $0.5 million for the year ended December 31, 2021, as compared to other income of $0.02 million for the year ended December 31, 2020. This decrease was primarily due to interest expense related to the senior secured debt facility and a loss on the disposition of certain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decreased by $0.3 million, or 14.6%, to $1.6 million for the year ended December 31, 2021, as compared to $1.9 million for the year ended December 31, 2020. This decrease was primarily due to lower income for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income decreased by $2.5 million, or 36.9%, to $4.3 million for the year ended December 31, 2021, as compared to $6.9 million for the year ended December 31, 2020. This decrease was primarily due to higher costs which more than offset the increase in revenue for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includes a non-GAAP measure that we use to supplement our results presented in accordance with U.S. GAAP. EBITDA is defined as earnings before interest and other income, tax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titled measure used by other companies. This non-GAAP measure excludes certain items required by U.S. GAAP and should not be considered as an alternative to information reported in accordance with U.S. GAAP.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income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1"/>
                <w:szCs w:val="11"/>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16"/>
        </w:trPr>
        <w:tc>
          <w:tcPr>
            <w:tcW w:w="100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100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16"/>
        </w:trPr>
        <w:tc>
          <w:tcPr>
            <w:tcW w:w="100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Stock-Based Compensation</w:t>
            </w:r>
            <w:r>
              <w:rPr>
                <w:rFonts w:ascii="Times New Roman" w:cs="Times New Roman" w:eastAsia="Times New Roman" w:hAnsi="Times New Roman"/>
                <w:sz w:val="25"/>
                <w:szCs w:val="25"/>
                <w:color w:val="auto"/>
                <w:vertAlign w:val="superscript"/>
              </w:rPr>
              <w:t>(1)</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ERP Implementation</w:t>
            </w:r>
            <w:r>
              <w:rPr>
                <w:rFonts w:ascii="Times New Roman" w:cs="Times New Roman" w:eastAsia="Times New Roman" w:hAnsi="Times New Roman"/>
                <w:sz w:val="25"/>
                <w:szCs w:val="25"/>
                <w:color w:val="auto"/>
                <w:vertAlign w:val="superscript"/>
              </w:rPr>
              <w:t>(2)</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Debt Transaction</w:t>
            </w:r>
            <w:r>
              <w:rPr>
                <w:rFonts w:ascii="Times New Roman" w:cs="Times New Roman" w:eastAsia="Times New Roman" w:hAnsi="Times New Roman"/>
                <w:sz w:val="25"/>
                <w:szCs w:val="25"/>
                <w:color w:val="auto"/>
                <w:vertAlign w:val="superscript"/>
              </w:rPr>
              <w:t>(3)</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0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Business Combination Expenses</w:t>
            </w:r>
            <w:r>
              <w:rPr>
                <w:rFonts w:ascii="Times New Roman" w:cs="Times New Roman" w:eastAsia="Times New Roman" w:hAnsi="Times New Roman"/>
                <w:sz w:val="25"/>
                <w:szCs w:val="25"/>
                <w:color w:val="auto"/>
                <w:vertAlign w:val="superscript"/>
              </w:rPr>
              <w:t>(4)</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76"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Transaction is comprised of costs and expenses associated with our issuance of $45 million fixed rate senior notes.</w:t>
      </w:r>
    </w:p>
    <w:p>
      <w:pPr>
        <w:spacing w:after="0" w:line="63"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28"/>
        </w:trPr>
        <w:tc>
          <w:tcPr>
            <w:tcW w:w="4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1"/>
                <w:szCs w:val="1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Stock-Based Compensation</w:t>
            </w:r>
            <w:r>
              <w:rPr>
                <w:rFonts w:ascii="Times New Roman" w:cs="Times New Roman" w:eastAsia="Times New Roman" w:hAnsi="Times New Roman"/>
                <w:sz w:val="25"/>
                <w:szCs w:val="25"/>
                <w:color w:val="auto"/>
                <w:vertAlign w:val="superscript"/>
              </w:rPr>
              <w:t>(1)</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41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ERP Implementation</w:t>
            </w:r>
            <w:r>
              <w:rPr>
                <w:rFonts w:ascii="Times New Roman" w:cs="Times New Roman" w:eastAsia="Times New Roman" w:hAnsi="Times New Roman"/>
                <w:sz w:val="25"/>
                <w:szCs w:val="25"/>
                <w:color w:val="auto"/>
                <w:vertAlign w:val="superscript"/>
              </w:rPr>
              <w:t>(2)</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10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Debt Transaction</w:t>
            </w:r>
            <w:r>
              <w:rPr>
                <w:rFonts w:ascii="Times New Roman" w:cs="Times New Roman" w:eastAsia="Times New Roman" w:hAnsi="Times New Roman"/>
                <w:sz w:val="25"/>
                <w:szCs w:val="25"/>
                <w:color w:val="auto"/>
                <w:vertAlign w:val="superscript"/>
              </w:rPr>
              <w:t>(3)</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Loss on Disposal of Assets</w:t>
            </w:r>
            <w:r>
              <w:rPr>
                <w:rFonts w:ascii="Times New Roman" w:cs="Times New Roman" w:eastAsia="Times New Roman" w:hAnsi="Times New Roman"/>
                <w:sz w:val="25"/>
                <w:szCs w:val="25"/>
                <w:color w:val="auto"/>
                <w:vertAlign w:val="superscript"/>
              </w:rPr>
              <w:t>(4)</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Business Combination Expenses</w:t>
            </w:r>
            <w:r>
              <w:rPr>
                <w:rFonts w:ascii="Times New Roman" w:cs="Times New Roman" w:eastAsia="Times New Roman" w:hAnsi="Times New Roman"/>
                <w:sz w:val="25"/>
                <w:szCs w:val="25"/>
                <w:color w:val="auto"/>
                <w:vertAlign w:val="superscript"/>
              </w:rPr>
              <w:t>(5)</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1" w:lineRule="exact"/>
        <w:rPr>
          <w:rFonts w:ascii="Times New Roman" w:cs="Times New Roman" w:eastAsia="Times New Roman" w:hAnsi="Times New Roman"/>
          <w:sz w:val="18"/>
          <w:szCs w:val="18"/>
          <w:color w:val="auto"/>
        </w:rPr>
      </w:pPr>
    </w:p>
    <w:p>
      <w:pPr>
        <w:ind w:left="340" w:right="780" w:hanging="332"/>
        <w:spacing w:after="0" w:line="28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Transaction is comprised of costs and expenses associated with our issuance of $45 million fixed rate senior notes in November 2021.</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is comprised of amounts in relation to leasehold improvements that were written off in April 2021 as part of the transfer of our operations to our new manufacturing facility.</w:t>
      </w:r>
    </w:p>
    <w:p>
      <w:pPr>
        <w:spacing w:after="0" w:line="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June 30, 2022, our principal source of liquidity was cash totaling $4.1 million.</w:t>
      </w:r>
    </w:p>
    <w:p>
      <w:pPr>
        <w:spacing w:after="0" w:line="18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growth of our business and in anticipation of future needs and to protect against supply-chain and logistics related shortages, during the first half of 2022, we continued to increase our inventory purchasing activities. As a result, our inventory balance at June 30, 2022 increased by $15.1 million to $42.3 million, compared to $27.1 million at December 31, 2021.</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accelerate our research and development efforts (particularly those related to solid-state lithium- 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We believe that our cash on hand following the Closing will be sufficient to meet our working capital and capital expenditure requirements for a period of at least twelve months from the date of this prospectus and longer term. We may, however, need additional cash if there are material changes to our business conditions or other developments, including unanticipated delays in production, supply chain challenges, disruptions due to the COVID-19 pandemic, competitive pressures and regulatory developments. To the extent that our resources are insufficient to satisfy our cash requirements, we may need to seek additional equity or debt financing. If the financing is not available, or if the terms of financing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For more information about risks related to our business, please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 Existing Lithium-Ion Battery Operations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Risks Related to Our Solid-State Technology Development</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foregoing, based on our current assessment, we do not expect any material adverse effect on our long-term liquidity due to the COVID-19 pandemic. However, we will continue to assess the effect of the pandemic to our operations. The pandemic has in recent periods moderated in the United States following the availability of vaccines (although vaccination rates often vary by geography, age and other factors) and increased immunity (including natural immunity from infection). However, the extent to which the COVID-19 pandemic will affect our business and operations will depend on future developments that are highly uncertain and cannot be predicted with confidence. These uncertainties include the ultimate geographic spread of the disease (including emergence of new variants against which existing vaccinations or treatments may be ineffective), the duration of the pandemic and the perceived effectiveness of actions taken in the United States and other countries to contain and treat the disease. While the potential economic impact of COVID-19 may be difficult to assess or predict, a widespread pandemic alone or in combination with other events, such as the Russia/Ukraine conflict, could result in significant disruption of global financial markets and supply chains, reducing our ability to access capital in the future or access required raw materials and components, which could result in price increases. In addition, a recession or long-term market correction resulting from the spread of COVID-19 or other events could materially affect our business and the value of our common stock.</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Historically, we funded development of our solid-state and cell manufacturing technologies internally through operationally generated cash and, in recent periods, with proceeds from our secured borrowings in November 2021.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had cash totaling $4.1 million. Since inception and until recently, we funded ourselves from internally generated cash and $2 million in equity raised in 2017. On November 24, 2021, we issued $45 million of fixed rate senior notes, secured by among other things, a security interest in our intellectual property.</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part of the Business Combination, we entered into a series of transactions that is expected to provide us additional cash to fund our capital and liquidity requirements in the short and long-term.</w:t>
      </w:r>
    </w:p>
    <w:p>
      <w:pPr>
        <w:sectPr>
          <w:pgSz w:w="11900" w:h="16838" w:orient="portrait"/>
          <w:cols w:equalWidth="0" w:num="1">
            <w:col w:w="9900"/>
          </w:cols>
          <w:pgMar w:left="980" w:top="12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The Term Loan proceeds were used to (i) to support the Business Combination, (ii) to prepay the fixed rate senior notes at closing of the Business Combination, (iii) to pay fees and expenses in connection with the foregoing, (iv) to provide additional growth capital and</w:t>
      </w:r>
    </w:p>
    <w:p>
      <w:pPr>
        <w:spacing w:after="0" w:line="1" w:lineRule="exact"/>
        <w:rPr>
          <w:sz w:val="20"/>
          <w:szCs w:val="20"/>
          <w:color w:val="auto"/>
        </w:rPr>
      </w:pPr>
    </w:p>
    <w:p>
      <w:pPr>
        <w:ind w:right="220" w:firstLine="8"/>
        <w:spacing w:after="0" w:line="260"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general corporate purposes. The Term Loan will mature four years from the Closing Date and will be subject to quarterly amortization of 5% per annum beginning 24 months after the Closing Date.</w:t>
      </w:r>
    </w:p>
    <w:p>
      <w:pPr>
        <w:spacing w:after="0" w:line="181"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The definitive documents for the Term Loan incorporate certain mandatory prepayment events and certain affirmative and negative covenants and exceptions thereto. The financial covenants for the Term Loan include a maximum senior leverage ratio covenant, a minimum liquidity covenant, a springing fixed charge coverage ratio covenant and a maximum capital expenditures covenant.</w:t>
      </w:r>
    </w:p>
    <w:p>
      <w:pPr>
        <w:spacing w:after="0" w:line="15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Term Loan accrues interest (i) until April 1, 2023 at a per annum rate equal to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provided that the Company provides notice to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Pursuant to the Term Loan Agreement, each of the Company and Legacy Dragonfly granted the Administrative Agent, a security interest in substantially all of its personal property, rights and assets to secure the payment of all amounts owed to lenders under the Term Loan Agreement. In addition, the Company entered into a Pledge Agreement pursuant to which the Company pledged to the Administrative Agent its equity interests in Legacy Dragonfly as further collateral security for the obligations under the Term Loan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Closing, we issued to the Term Loan Lenders (i) the Penny Warrants and (ii) the $10 Warrants.</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the Company will have the right from time to time at its option to direct CCM to purchase up to a specified maximum amount of shares of common stock, up to a maximum aggregate purchase price of $150 million over the term of the ChEF Equity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 Six months ended June 30, 2022 and 2021</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28"/>
        </w:trPr>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$19.9 million for the six months ended June 30, 2022 primarily due to a net loss in the period and an increase in purchased inventory to support future growth and mitigate potential future supply disruptions.</w:t>
      </w:r>
    </w:p>
    <w:p>
      <w:pPr>
        <w:spacing w:after="0" w:line="16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$0.4 million for the six months ended June 30, 2021 primarily due to an increase in working capital as a result of growth in the Company’s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$4.8 million for the six months ended June 30, 2022, as compared to net cash used in investing activities of $2.3 million for the six months ended June 30, 2021. The increase in cash used in investing activities was primarily due to an increase in capital expenditures to support our growing manufacturing base as well as our ongoing efforts to develop solid-state battery technology and manufacturing processes.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$0.2 million for the six months ended June 30, 2022, as compared to net cash provided by financing activities of $0.0 million for the six months ended June 30, 2021, and was primarily due to proceeds from the exercise of employee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 Six months ended June 30, 2022 and 2021</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28"/>
        </w:trPr>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tcPr>
          <w:p>
            <w:pPr>
              <w:jc w:val="center"/>
              <w:ind w:left="39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$13.6 million for the year ended December 31, 2021, as compared to net cash provided by operating activities of $6.6 million for the year ended December 31, 2020. The increase in cash used by operations was primarily due to an increase in working capital as a result of growth in Legacy Dragonfly’s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$2.9 million for the year ended December 31, 2021, as compared to $1.4 million for the year ended December 31, 2020. The increase in net cash used in investing activities was primarily due to an increase in capital expenditures to support our ongoing efforts to develop solid-state battery technology and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$38.9 million for the year ended December 31, 2021 and was primarily due to cash received from the issuance of fixed rate senior notes.</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$0.01 million for the year ended December 31, 2020 and was primarily due to cash utilized from the Company’s line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June 30, 2022, we had $1.1 million in short-term operating lease liabilities and $4.1 million in long-term operating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not experienced any significant losses in such accounts, nor does management believe it is exposed to any significant credit risk. The risk-free interest rate is based on a treasury instrument whose term is consistent with the expected term of the stock options. We use an assumed dividend yield of zero as we have never paid dividends and have no current plans to pay any dividends on our common stock. We account for forfeitures as they occur.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the entity will collect the consideration it is entitled to in exchange for the goods or services it transfers to the customer. At contract inception, once the contract is determined to be within the scope of Topic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exclude from the transaction price all taxes that are assessed by a governmental authority and imposed on and concurrent with our revenue transactions, and therefore present these taxes (such as sales tax) on a net basis in operating revenues on the Statement of Income.</w:t>
      </w:r>
    </w:p>
    <w:p>
      <w:pPr>
        <w:spacing w:after="0" w:line="19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we expect to be entitled to in exchange for those goods and services. Revenue associated with products holding rights of return are recognized when we conclude there is no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receive payments at the onset of the contract and before delivery of goods for customers in the retail channel. In such instances, we record a customer deposit liability. Payment terms for distributors and OEMs are due within 30-60 days after shipment. We recognize these contract liabilities as sales after the revenue criteria are met. As of June 30, 2022, the contract liability related to our customer deposits approximated $251 compared to approximately $434 as of December 31, 2021. The entire contract liability balance as of December 31, 2021 was recognized as revenue during the six months ended June 30,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Inventories,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All our facilities are leased and none are owned. Depreciation and amortization are calculated by the straight-line method over the estimated useful lives for owned property, or, for leasehold improvements, over the shorter of the asset’s useful life or term of the lease. Depreciation expense for the six months ended June 30,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2022 and 2021 was $389 and $272, respectively. Depreciation expense for the years ended December 31, 2021 and 2020 was $617 and $198, respectively. The various classes of property and equipment and estimated useful lives are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Remaining Term of Lease</w:t>
            </w:r>
          </w:p>
        </w:tc>
      </w:tr>
    </w:tbl>
    <w:p>
      <w:pPr>
        <w:spacing w:after="0" w:line="17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we add to our production capabilities and make related capital expenditures (including with respect to our solid-state battery capabilities) we expect our depreciation expenses to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 We expect our research and development costs to increase as we continue to develop our proprietary solid-state cell technology and manufacturing processes.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issued accounting pronouncements and recently adopted accounting pronouncements, please see Note 2, Summary of Significant Accounting Policies, to our consolidated financial statements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Dragonfly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the CNTQ IPO, (ii) the last day of the fiscal year in which we have total annual gross revenue of at least $1.235 billion, (iii) the last day of the fiscal year in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CNTQ’S MANAGEMENT’S DISCUSSION AND ANALYSIS OF</w:t>
      </w:r>
    </w:p>
    <w:p>
      <w:pPr>
        <w:spacing w:after="0" w:line="3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Except where noted or the context otherwise requires, as used in this section, the terms “we,” “us,” “our,” “our company,” “our business” and similar terms refer to CNTQ before giving effect to the Business Combination. The following discussion and analysis of CNTQ’s results of operations and financial condition should be read in conjunction with CNTQ’s financial statements and related notes and other information included elsewhere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Prior to the Closing, we were a blank check company formed under the laws of the State of Delaware on June 23, 2020, for the purpose of effecting a merger, capital stock exchange, asset acquisition, stock purchase, reorganization or other similar business combination with one or more businesses. We effectuated our initial business combination using cash from the proceeds of the CNTQ IPO and the sale of the private warrants, the proceeds of the sale of our securities in connection with our initial business combination (pursuant to forward purchase agreements or backstop agreements we may enter into following the consummation of the CNTQ IPO or otherwise), shares issued to the owners of the target, debt issued to bank or other lenders or the owners of the target, or a combination of the foregoing.</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Financial information included in this section are as of June 30, 2022 and for the year ended December 31, 2020 as in our December 31, 2021 Form 10-K filed with the SEC on March 29,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223"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color w:val="auto"/>
        </w:rPr>
        <w:t>On August 5, 2022, we held a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holders of 11,331,512 shares of CNTQ Common Stock, were present in person or by proxy, representing approximately 71.66% of the voting power of the 15,812,500 shares of CNTQ Common Stock issued and outstanding entitled to vote at the Special Meeting at the close of business on July 11, 2022, which was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Stockholders of record as of the close of business on the Record Date are referred to herein as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Special Meeting, the Stockholders approved the proposal to amend CNTQ’s Amended and Restated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provide CNTQ’s officers, directors, initial stockholders and Warrant Holdings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the ability to extend the date by which CNTQ must complete a business combination up to three (3) times for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(1) month each time (for a maximum of three (3) one-month extensions) upon the deposit into the Trust Account by the Insiders,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affiliates or designees of $200,000 upon five days’ advance notice prior to August 13, 2022 (or such other applicable deadline)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On July 29, 2022, to effectuate the Charter Amendment,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CNTQ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and adopted the Second Amended and Restated Certificate of Incorporation of CNTQ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A&amp;R Charter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CNTQ Common Stock, representing approximately 60.44% of the issued and outstanding shares of CNTQ Common Stock and 75.55% of the issued outstanding CNTQ Common Stock sold in the CNTQ IPO.</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CNTQ and Continental Stock Transfer &amp;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authorize the Extension and its implementation by CNTQ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On July 29, 2022, to effectuate the Trust Amendment Proposal, the Board approved and adopted Amendment No. 1 to the Investment Management Trust Agreement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Amendment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w:t>
      </w:r>
    </w:p>
    <w:p>
      <w:pPr>
        <w:spacing w:after="0" w:line="227" w:lineRule="exact"/>
        <w:rPr>
          <w:sz w:val="20"/>
          <w:szCs w:val="20"/>
          <w:color w:val="auto"/>
        </w:rPr>
      </w:pPr>
    </w:p>
    <w:p>
      <w:pPr>
        <w:jc w:val="both"/>
        <w:ind w:right="3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the Insiders notified CNTQ on August 8, 2022 of the Insiders’ intention to extend the date by which CNTQ must complete a business combination for an additional one (1) month by depositing $200,000 into the Trust Account.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Also in connection with the Extension, CNTQ and Warrant Holdings entered into a promissory note on August 11, 2022 (the “</w:t>
      </w:r>
      <w:r>
        <w:rPr>
          <w:rFonts w:ascii="Times New Roman" w:cs="Times New Roman" w:eastAsia="Times New Roman" w:hAnsi="Times New Roman"/>
          <w:sz w:val="18"/>
          <w:szCs w:val="18"/>
          <w:b w:val="1"/>
          <w:bCs w:val="1"/>
          <w:color w:val="auto"/>
        </w:rPr>
        <w:t>Extension Note</w:t>
      </w:r>
      <w:r>
        <w:rPr>
          <w:rFonts w:ascii="Times New Roman" w:cs="Times New Roman" w:eastAsia="Times New Roman" w:hAnsi="Times New Roman"/>
          <w:sz w:val="18"/>
          <w:szCs w:val="18"/>
          <w:color w:val="auto"/>
        </w:rPr>
        <w:t>”), whereby CNTQ agreed to pay $200,000 to Warrant Holdings.</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Insiders notified CNTQ on September 6, 2022 of the Insiders’ intention to extend the date by which CNTQ must complete a business combination for an additional one (1) month by depositing $200,000 into the Trust Account (the “</w:t>
      </w:r>
      <w:r>
        <w:rPr>
          <w:rFonts w:ascii="Times New Roman" w:cs="Times New Roman" w:eastAsia="Times New Roman" w:hAnsi="Times New Roman"/>
          <w:sz w:val="18"/>
          <w:szCs w:val="18"/>
          <w:b w:val="1"/>
          <w:bCs w:val="1"/>
          <w:color w:val="auto"/>
        </w:rPr>
        <w:t>Extension No.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No. 2, CNTQ and Warrant Holdings entered into a promissory note on September 8, 2022 (the “</w:t>
      </w:r>
      <w:r>
        <w:rPr>
          <w:rFonts w:ascii="Times New Roman" w:cs="Times New Roman" w:eastAsia="Times New Roman" w:hAnsi="Times New Roman"/>
          <w:sz w:val="18"/>
          <w:szCs w:val="18"/>
          <w:b w:val="1"/>
          <w:bCs w:val="1"/>
          <w:color w:val="auto"/>
        </w:rPr>
        <w:t>Extension Note 2</w:t>
      </w:r>
      <w:r>
        <w:rPr>
          <w:rFonts w:ascii="Times New Roman" w:cs="Times New Roman" w:eastAsia="Times New Roman" w:hAnsi="Times New Roman"/>
          <w:sz w:val="18"/>
          <w:szCs w:val="18"/>
          <w:color w:val="auto"/>
        </w:rPr>
        <w:t>”), whereby CNTQ agreed to pay $200,000 to Warrant Holdings.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w:t>
      </w:r>
    </w:p>
    <w:p>
      <w:pPr>
        <w:spacing w:after="0" w:line="22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2024 and should be applied on a full or modified retrospective basis, with early adoption permitted beginning on January 1, 2021. We have adopted ASU 2020-06 effective January 1, 2021 using the full retrospective method of transition. We are currently assessing the impact, if any, that ASU 2020-06 would have on our financial position, results of operations or cash flows. The adoption of ASU 2020-06 did not have a material impact on the financial statements for the quarter ended June 30, 2022 or the fiscal year ended December 31, 2021.</w:t>
      </w:r>
    </w:p>
    <w:p>
      <w:pPr>
        <w:spacing w:after="0" w:line="19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other recently issued, but not yet effective, accounting standards, if currently adopted, would have a material effect on the accompanying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for the six months ended June 30, 2022 and for the period from June 23, 2020 (inception) through June 30, 2022 were organizational activities, those necessary to prepare for the CNTQ IPO, described below, and, after the CNTQ IPO, activities related to identifying a target company for a business combination. We do not expect to generate any operating revenues until after the completion of our initial business combination. We generate non-operating income in the form of interest income on cash and cash equivalents held after the CNTQ IPO. We incur expenses as a result of being a public company (for legal, financial reporting, accounting and auditing compliance), as well as for due diligence expenses.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we had a net loss of $570,333, which resulted from a net gain on marketable securities held in Trust Account in the amount of $173,416, which was partially offset by the change in fair value of warrant liabilities of $277,671, operating and formation costs of $416,078, and franchise tax expense of $50,000.</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had net income of $621,507, which resulted from a gain on change in the fair value of warrant liabilities of $1,156,965, and a net gain on investments held in Trust Account in the amount of $189,482, which was partially offset by operating and formation costs of $624,284, and franchise tax expense of $100,656.</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2021, we had a net loss of $834 which resulted entirely from formation and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we had $349,716 and $799,808 in cash held outside of the Trust Account, respectively, and a working capital surplus of $263,247 and $998,187, respectively.</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was $450,092, which was due to the change in fair value of warrants of $1,156,965, changes in operating assets and liabilities of $274,848, and net gain on investments in the Trust Account of $189,482, partially offset by our net income of $621,507.</w:t>
      </w:r>
    </w:p>
    <w:p>
      <w:pPr>
        <w:sectPr>
          <w:pgSz w:w="11900" w:h="16838" w:orient="portrait"/>
          <w:cols w:equalWidth="0" w:num="1">
            <w:col w:w="9900"/>
          </w:cols>
          <w:pgMar w:left="980" w:top="12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was $834, which was due to our net loss of $834.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cash flows from financing activities for the six months ended June 30, 2022.</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net cash used in financing activities was $7,239, which was due to offering costs paid of $157,239, partially offset by proceeds from promissory note — related party of $150,000.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13, 2021, we consummated the CNTQ IPO of 11,000,000 units, at $10.00 per unit, generating gross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$110,000,000. Each unit consisted of one public share and three-quarters of one public warrant. Each public warrant entitles the holder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one share of common stock at an exercise price of $11.50 per whole share.</w:t>
      </w:r>
    </w:p>
    <w:p>
      <w:pPr>
        <w:spacing w:after="0" w:line="207"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CNTQ IPO, Warrant Holdings, an affiliate of the Sponsor, purchased an aggregate of 4,361,456 private warrants at a price of $0.93 per warrant ($4,052,000 in the aggregate). Each private warrant entitles the holder to purchase one share of common stock at an exercise price of $11.50 per share.</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June 30, 2022 or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we did not have any long-term debt, capital or operating lease obligations. We entered into an administrative services agreement pursuant to which we will pay our Sponsor for office space and secretarial and administrative services provided to members of our management team, in an amount not to exceed $10,000 per month.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Stockholder Rights Agreement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are entitled to registration rights pursuant to a registration rights agreement dated as of August 10, 2021, by and between CNTQ, the Sponsor, Warrant Holdings, and the other parties thereto. The holders of a majority of these securities are entitled to make up to two demands that CNTQ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CNTQ consummates a business combination. In addition, the holders have certain “piggy-back” registration rights with respect to registration statements filed subsequent to the consummation of a business combination. CNTQ will bear the expenses incurred in connection with the filing of any such registration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granted the underwriters a 45-day option to purchase up to 1,650,000 additional units to cover over-allotments at the CNTQ IPO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CNTQ IPO.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engaged CCM as an advisor in connection with the Business Combination to assist us in holding meetings with the stockholders to discuss the potential Business Combination and the target business’ attributes, introduce us to potential investors that would be interested in purchasing our securities, assist us in obtaining stockholder approval for the Business Combination and assist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us with press releases and public filings in connection with the Business Combination. CCM was entitled to a cash fee for such services upon the consummation of the initial Business Combination in an amount equal to, in the aggregate, $4,427,500, being 3.5% of the gross proceeds of the CNTQ IPO. CCM was not entitled to such fee unless we consummated the initial Business Combination. Mr. Grossman is the Chief Executive Officer of, and Mr. Weil is Managing Director and Co-Head of Fintech Investment Banking of, CCM, an affiliate of the Sponsor. Mr. Grossman and Mr. Propper are also members of the board of directors of CCM. CCM was also entitled to a cash fee of $1,170,000 for providing services for a private placement and for arranging the Term Loan.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and ASC 815, Derivatives and Hedging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account for the Private Warrants issued concurrently in connection with the CNTQ IPO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with changes in fair value recognized in the statements of operations in the period of change.</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22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our control) is classified as temporary equity. At all other times, common stock is classified as stockholders’ equity. Our common stock feature certain redemption rights that are considered to be outside of our control and subject to the occurrence of uncertain future events. Accordingly, as of June 30, 2022 and December 31, 2021, 12,650,000 shares of common stock subject to possible redemption are presented as temporary equity, outside of the stockholders’ equity section of our balance sheet. Effective with the closing of the CNTQ IPO, we recognized the accretion from the initial book value to redemption amount, which resulted in charges against additional paid-in capital (to the extent available) and accumulated deficit.</w:t>
      </w:r>
    </w:p>
    <w:p>
      <w:pPr>
        <w:spacing w:after="0" w:line="19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 the carrying value of redeemable common stock to equal the redemption value at the end of each reporting period. Increases or decreases in the carrying amount of redeemable common stock are affected by charges against additional paid-in capital and accumulated deficit.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 of Common Stock</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We have not considered the effect of the warrants sold in the CNTQ IPO and private placement to purchase an aggregate of 14,115,358 shares in the calculation of diluted income per share, since the exercise of the warrants are contingent upon the occurrence of future events and the inclusion of such warrants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directors as of the date of this prospectus.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 Held</w:t>
            </w:r>
          </w:p>
        </w:tc>
      </w:tr>
      <w:tr>
        <w:trPr>
          <w:trHeight w:val="278"/>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Co-Founder, Chief Executive Officer and Chairman of the Board</w:t>
            </w:r>
          </w:p>
        </w:tc>
      </w:tr>
      <w:tr>
        <w:trPr>
          <w:trHeight w:val="224"/>
        </w:trPr>
        <w:tc>
          <w:tcPr>
            <w:tcW w:w="390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Sean Nichols</w:t>
            </w:r>
            <w:r>
              <w:rPr>
                <w:rFonts w:ascii="Times New Roman" w:cs="Times New Roman" w:eastAsia="Times New Roman" w:hAnsi="Times New Roman"/>
                <w:sz w:val="25"/>
                <w:szCs w:val="25"/>
                <w:color w:val="auto"/>
                <w:vertAlign w:val="superscript"/>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Co-Founder and Chief Operating Officer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Compliance Officer and Corporate Secretary</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On November 4, 2022, Dragonfly announced that Mr. Nichols would be leaving Dragonfly on November 7,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Denis Phares </w:t>
      </w:r>
      <w:r>
        <w:rPr>
          <w:rFonts w:ascii="Times New Roman" w:cs="Times New Roman" w:eastAsia="Times New Roman" w:hAnsi="Times New Roman"/>
          <w:sz w:val="18"/>
          <w:szCs w:val="18"/>
          <w:color w:val="auto"/>
        </w:rPr>
        <w:t>has served as Dragonfly’s Chief Executive Officer and Chairman of the Board since it was incorporated in 2012.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2005 until 2012 Dr. Phares served as a faculty member of the Aerospace &amp; Mechanical Engineering Department at the University of Southern California, where he worked extensively on renewable energy technologies and received tenure in 2010. Dr. Phares holds a M.B.A. from University of Nevada — Reno, a Ph.D. in Engineering from the California Institute of Technology and a B.S. in Physics from Villanova University. Dr. Phares is qualified to serve on the Dragonfly Board based on his substantial business, leadership, and management experience as the CEO and Chairman of the Board of Dragonfly.</w:t>
      </w:r>
    </w:p>
    <w:p>
      <w:pPr>
        <w:spacing w:after="0" w:line="182" w:lineRule="exact"/>
        <w:rPr>
          <w:sz w:val="20"/>
          <w:szCs w:val="20"/>
          <w:color w:val="auto"/>
        </w:rPr>
      </w:pPr>
    </w:p>
    <w:p>
      <w:pPr>
        <w:ind w:right="100" w:firstLine="324"/>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Nichols </w:t>
      </w:r>
      <w:r>
        <w:rPr>
          <w:rFonts w:ascii="Times New Roman" w:cs="Times New Roman" w:eastAsia="Times New Roman" w:hAnsi="Times New Roman"/>
          <w:sz w:val="18"/>
          <w:szCs w:val="18"/>
          <w:color w:val="auto"/>
        </w:rPr>
        <w:t>has served as Dragonfly’s Chief Operating Officer since 2013. From 2008 until 2016, Mr. Nichols served as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Sales and Operations of AIMS Power, Inc., a power inverter company, focusing on off-grid power systems. From 2007 to 2009, Mr. Nichols served as Customer Relationship Manager of Metamation, Inc., a CAD/CAM manufacturing software provider. From 2004 to 2007, Mr. Nichols served as Vice President of Sales of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Time LLC dba The Mobile Team, a mobile phone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Nichols holds a M.B.A. and a B.A. in Business from University of Nevada — Reno.</w:t>
      </w: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Marchetti </w:t>
      </w:r>
      <w:r>
        <w:rPr>
          <w:rFonts w:ascii="Times New Roman" w:cs="Times New Roman" w:eastAsia="Times New Roman" w:hAnsi="Times New Roman"/>
          <w:sz w:val="18"/>
          <w:szCs w:val="18"/>
          <w:color w:val="auto"/>
        </w:rPr>
        <w:t>has served as Dragonfly’s Chief Financial Officer since September 2021. Mr. Marchetti has over 20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technology and financial services industries. Prior to joining Dragonfly, Mr. Marchetti served as a Managing Director and senior research analyst at Stifel, focused on communications infrastructure and applied technology markets, including advanced battery technologies. From 2016 to 2018, Mr. Marchetti served as Senior Vice President for Strategy and Business Development of Cloudbus and, from 2012 to 2015, he served as Chief Strategy Officer and Executive Vice President at Fabrinet.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Nicole Harvey </w:t>
      </w:r>
      <w:r>
        <w:rPr>
          <w:rFonts w:ascii="Times New Roman" w:cs="Times New Roman" w:eastAsia="Times New Roman" w:hAnsi="Times New Roman"/>
          <w:sz w:val="18"/>
          <w:szCs w:val="18"/>
          <w:color w:val="auto"/>
        </w:rPr>
        <w:t>has served as Dragonfly’s General Counsel and Compliance Officer since October 2021, and as Dragonfly’s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Secretary since April 2022. From 2017 through 2019, Ms. Harvey served Harley-Davidson Financial Services as an American Bankers’ Association Certified Compliance and Risk Manager. In 2018, Ms. Harvey worked for Corix Group of Companies as Senior Corporate Counsel, overseeing the development and implementation of corporate policies, and providing legal services to affiliate and subsidiary companies. In 2020, Ms. Harvey returned to private practice with the law firm of Blanchard, Krasner &amp; French, where she focused on business transactions and litigation, including outside counsel services for Dragonfly. In 2021, Ms. Harvey had the opportunity to serve Northern Nevada HOPES, a non-profit providing medical and social services in Northern Nevada, as its General Counsel and Compliance Officer prior to joining Dragonfly as its full time General Counsel in October 2021. Ms. Harvey holds a J.D. from Arizona State University Sandra Day O’Connor College of Law, and a B.S. in Economics from the University of Nevada, Reno. She has been licensed to practice law in the State of Nevada since 2008.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jc w:val="both"/>
        <w:ind w:right="1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Luisa Ingargiola </w:t>
      </w:r>
      <w:r>
        <w:rPr>
          <w:rFonts w:ascii="Times New Roman" w:cs="Times New Roman" w:eastAsia="Times New Roman" w:hAnsi="Times New Roman"/>
          <w:sz w:val="18"/>
          <w:szCs w:val="18"/>
          <w:color w:val="auto"/>
        </w:rPr>
        <w:t>has served as a member of Dragonfly’s board of directors since August 5, 2021. Since 2017, Ms. Ingargiola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Avalon GlobalCare Corp., a publicly listed bio-tech health care company. Prior to joining Avalon GlobalCare Corp., Ms. Ingargiola served as the Chief Financial Officer and Co-Founder of MagneGas Corporation from 2007 to 2016. Ms. Ingargiola has also served as Board Director and Audit Committee Chair for various over-the-counter and Nasdaq companies.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Ms. Ingargiola has served as a member of the Board of Directors and as Audit Committee Chair for Progress Acquisition Corporation since 2020, as a member of the Board of Directors and as Audit Committee Chair for AgEagle Aerial Systems since 2019, and as a member of the Board Directors and as Audit Committee Chair for Electra Meccanica since 2018. Ms. Ingargiola holds a M.B.A. in Health from the University of South Florida and a B.S. in Finance from Boston University. Ms. Ingargiola is qualified to serve on the Dragonfly Board based on her previous roles serving as Chief Financial Officer for multiple companies and extensive experience serving on multiple boards of directors for Nasdaq companies.</w:t>
      </w:r>
    </w:p>
    <w:p>
      <w:pPr>
        <w:spacing w:after="0" w:line="18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Nelson </w:t>
      </w:r>
      <w:r>
        <w:rPr>
          <w:rFonts w:ascii="Times New Roman" w:cs="Times New Roman" w:eastAsia="Times New Roman" w:hAnsi="Times New Roman"/>
          <w:sz w:val="18"/>
          <w:szCs w:val="18"/>
          <w:color w:val="auto"/>
        </w:rPr>
        <w:t>has served as a member of Dragonfly’s board of directors since April 18, 2022. Mr. Nelson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the Dragonfly Board based on his years of business experience as President and Chief Executive Officer of Precision Surfacing Solutions Group and Lapmaster.</w:t>
      </w:r>
    </w:p>
    <w:p>
      <w:pPr>
        <w:spacing w:after="0" w:line="18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Perry Boyle</w:t>
      </w:r>
      <w:r>
        <w:rPr>
          <w:rFonts w:ascii="Times New Roman" w:cs="Times New Roman" w:eastAsia="Times New Roman" w:hAnsi="Times New Roman"/>
          <w:sz w:val="18"/>
          <w:szCs w:val="18"/>
          <w:color w:val="auto"/>
        </w:rPr>
        <w:t>. Mr. Boyle has served as a member of the Dragonfly Board since the consummation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Boyle was with Point 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LaunchPoint Program, and helped drive the internationalization of the Point72, overseeing offices in London, Hong Kong, Tokyo and Singapore.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1 upon the effectiveness of its registration statement.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He has lectured on investing at Brown, Yale, Dartmouth, Columbia, Tufts, Harvard, Cambridge and the University of North Carolina, and delivered testimony to Congress on financial regulation. Mr. Boyle is qualified to serve on the Dragonfly Board based on his industry leadership and capital markets experience from research to fundraising.</w:t>
      </w:r>
    </w:p>
    <w:p>
      <w:pPr>
        <w:spacing w:after="0" w:line="188" w:lineRule="exact"/>
        <w:rPr>
          <w:sz w:val="20"/>
          <w:szCs w:val="20"/>
          <w:color w:val="auto"/>
        </w:rPr>
      </w:pPr>
    </w:p>
    <w:p>
      <w:pPr>
        <w:ind w:right="100" w:firstLine="32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Jonathan Bellows</w:t>
      </w:r>
      <w:r>
        <w:rPr>
          <w:rFonts w:ascii="Times New Roman" w:cs="Times New Roman" w:eastAsia="Times New Roman" w:hAnsi="Times New Roman"/>
          <w:sz w:val="17"/>
          <w:szCs w:val="17"/>
          <w:color w:val="auto"/>
        </w:rPr>
        <w:t>. Mr. Bellows has served as a member of the Dragonfly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Mr. Bellows currently serves as President of KORE Power, which acquired Northern Reliability in March 2022. He has served as President and Chief Executive Officer of Northern Reliability since April 2015. KORE Power is a fully integrated energy storage manufacturer, combining Northern Reliability’s energy storage technology with KORE Power’s cell manufacturing capabilities. Mr. Bellows is also President and CEO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the Dragonfly Board based on his energy storage industry expertise and operating and leadership experience.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Rick Parod</w:t>
      </w:r>
      <w:r>
        <w:rPr>
          <w:rFonts w:ascii="Times New Roman" w:cs="Times New Roman" w:eastAsia="Times New Roman" w:hAnsi="Times New Roman"/>
          <w:sz w:val="18"/>
          <w:szCs w:val="18"/>
          <w:color w:val="auto"/>
        </w:rPr>
        <w:t>. Mr. Parod has served as a member of the Dragonfly Board since the consummation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of Alamo Group Inc., a designer, manufacturer, distributor, and servicer of equipment for infrastructure maintenance and agriculture, since 2017.</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Mr. Parod is qualified to serve on the Dragonfly Board based on his experience in manufacturing operations, product development and sales and marketing.</w:t>
      </w:r>
    </w:p>
    <w:p>
      <w:pPr>
        <w:spacing w:after="0" w:line="17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Karina Edmonds</w:t>
      </w:r>
      <w:r>
        <w:rPr>
          <w:rFonts w:ascii="Times New Roman" w:cs="Times New Roman" w:eastAsia="Times New Roman" w:hAnsi="Times New Roman"/>
          <w:sz w:val="18"/>
          <w:szCs w:val="18"/>
          <w:color w:val="auto"/>
        </w:rPr>
        <w:t>. Dr. Edmonds has served as a member of the Dragonfly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a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the Dragonfly Board based on her industry leadership and expertise in technology transfer and commercialization.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the Dragonfly Board. The Amended and Restated Charter provide for a staggered, or classified, Board consisting of three classes of directors, each serving a staggered three-year term and with one class being elected at each year’s annual meeting of stockholders, as follows:</w:t>
      </w:r>
    </w:p>
    <w:p>
      <w:pPr>
        <w:spacing w:after="0" w:line="176" w:lineRule="exact"/>
        <w:rPr>
          <w:sz w:val="20"/>
          <w:szCs w:val="20"/>
          <w:color w:val="auto"/>
        </w:rPr>
      </w:pPr>
    </w:p>
    <w:p>
      <w:pPr>
        <w:ind w:left="660" w:right="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Edmonds, whose terms will expire at the first annual meeting of stockholders to be held after the consummation of the Business Combination;</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the second annual meeting of stockholders to be held after the consummation of the Business Combination; and</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third annual meeting of stockholders to be held after the consummation of the Business Combination.</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the Dragonfly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the Dragonfly Board may have the effect of delaying or preventing changes in Dragonfly’s control or management. Dragonfly’s directors may be removed for cause by the affirmative vote of the holders of at least two-thirds of Dragonfly’s voting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Dr. Denis Phares serves as the chairman of the Dragonfly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w:t>
      </w:r>
    </w:p>
    <w:p>
      <w:pPr>
        <w:sectPr>
          <w:pgSz w:w="11900" w:h="16838" w:orient="portrait"/>
          <w:cols w:equalWidth="0" w:num="1">
            <w:col w:w="9920"/>
          </w:cols>
          <w:pgMar w:left="980" w:top="12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delegate. Luisa Ingargiola also serves as the independent Lead Director of Dragonfly.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Dragonfly Board has determined that each of the directors on the Dragonfly Board other than Denis Phares qualifies as independent directors, as defined under the rules of the Nasdaq, and the Dragonfly Board consists of a majority of “independent directors,” as defined under the rules of the SEC and the Nasdaq relating to director independence requirements. In addition, Dragonfly is subject to the rules of the SEC and the Nasdaq relating to the membership, qualifications, and operations of the audit committee, as discussed below. Luisa Ingargiola is the Dragonfly lead independent director under the Nasdaq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Dragonfly Board in Risk Oversight/Risk Committee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One of the key functions of the Dragonfly Board is informed oversight of Dragonfly’s risk management process. The Dragonfly Board does not anticipate having a standing risk management committee, but rather anticipates administering this oversight function directly through the Dragonfly Board as a whole, as well as through various standing committees of the Dragonfly Board that address risks inherent in their respective areas of oversight. In particular, the Dragonfly Board is responsible for monitoring and assessing strategic risk exposure and Dragonfly’s audit committee has the responsibility to consider and discuss Dragonfly’s major financial risk exposures and the steps our management will take to monitor and control such exposures, including guidelines and policies to govern the process by which risk assessment and management is undertaken.</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Dragonfly’s compensation committee also assess and monitors whether Dragonfly’s compensation plans, policies and programs comply with applicable legal and regulatory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Dragonfly Board has three standing committees — an audit committee, a compensation committee, and a nominating and corporate governance committee. Copies of the charters for each committee are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Luisa Ingargiola, Rick Parod and Perry Boyle. The Dragonfly Board determined that each of the members of the audit committee satisfy the independence requirements of the Nasdaq and Rule 10A-3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are able to read and understand fundamental financial statements in accordance with the Nasdaq audit committee requirements. In arriving at this determination, the Dragonfly Board examined each audit committee member’s scope of experience and the nature of their prior and/or current employment.</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Dragonfly Board determined that Luisa Ingargiola qualifies as an audit committee financial expert within the meaning of SEC regulations and meets the financial sophistication requirements of the Nasdaq rules. In making this determination, the Dragonfly Board considered Luisa Ingargiola’s formal education and previous experience in financial roles. Both Dragonfly’s independent registered public accounting firm and management will periodically meet privately with Dragonfly’s audit committee.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225" w:lineRule="exact"/>
        <w:rPr>
          <w:sz w:val="20"/>
          <w:szCs w:val="20"/>
          <w:color w:val="auto"/>
        </w:rPr>
      </w:pPr>
    </w:p>
    <w:p>
      <w:pPr>
        <w:ind w:left="680" w:right="14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Dragonfly’s independent auditors and determining whether to retain Dragonfly’s existing independent auditors or engage new independent auditors;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Dragonfly’s independent auditors to perform audit services and any permissible non-audit services;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Dragonfly’s internal control policies and procedures;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Dragonfly;</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Dragonfly’s independent auditors describing the independent auditors’ internal quality control procedures and any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Dragonfly’s independent auditors and consider regular rotation of the accounting firm serving as Dragonfly’s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annual and financial statements and reports and discussing the statements and reports with Dragonfly’s independent auditors and management;</w:t>
      </w:r>
    </w:p>
    <w:p>
      <w:pPr>
        <w:spacing w:after="0" w:line="161"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Dragonfly’s independent auditors and management significant issues that arise regarding accounting principles and financial statement presentation and matters concerning the scope, adequacy, and effectiveness of Dragonfly’s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Dragonfly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Dragonfly’s annual proxy statement;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significant risk exposures;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all applicable U.S. Securities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 and regulations. We will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Luisa Ingargiola, Brian Nelson and Rick Parod. Brian Nelson serves as the chair of the compensation committee. The Dragonfly Board determined that each of the members of the compensation committee are a non-employee director, as defined in Rule 16b-3 promulgated under the Exchange Act and satisfies the independence requirements of the Nasdaq.</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the committee are expected to include, among other things:</w:t>
      </w:r>
    </w:p>
    <w:p>
      <w:pPr>
        <w:spacing w:after="0" w:line="225" w:lineRule="exact"/>
        <w:rPr>
          <w:sz w:val="20"/>
          <w:szCs w:val="20"/>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Dragonfly’s executive officers;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Dragonfly’s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assessing the CEO’s performance against these goals and objectives;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Dragonfly Board regarding the adoption, termination, amendment of equity and cash incentive plans and approving amendments to such plans to the extent authorized by the Dragonfly Board;</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CEO and other executives;</w:t>
      </w:r>
    </w:p>
    <w:p>
      <w:pPr>
        <w:spacing w:after="0" w:line="159" w:lineRule="exact"/>
        <w:rPr>
          <w:rFonts w:ascii="Times New Roman" w:cs="Times New Roman" w:eastAsia="Times New Roman" w:hAnsi="Times New Roman"/>
          <w:sz w:val="18"/>
          <w:szCs w:val="18"/>
          <w:color w:val="auto"/>
        </w:rPr>
      </w:pPr>
    </w:p>
    <w:p>
      <w:pPr>
        <w:ind w:left="680" w:right="100" w:hanging="321"/>
        <w:spacing w:after="0" w:line="267"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Dragonfly’s disclosures under the caption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w:t>
      </w:r>
      <w:r>
        <w:rPr>
          <w:rFonts w:ascii="Times New Roman" w:cs="Times New Roman" w:eastAsia="Times New Roman" w:hAnsi="Times New Roman"/>
          <w:sz w:val="18"/>
          <w:szCs w:val="18"/>
          <w:color w:val="auto"/>
        </w:rPr>
        <w:t>” in Dragonfly’s periodic reports or proxy statements to be filed with the SEC, to the extent such caption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report or proxy statement;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Dragonfly’s annual proxy statement; and</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Dragonfly Board for executive officer development and retention and corporate succession plans.</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nominating committee consists of Brian Nelson, Jonathan Bellows and Karina Edmonds. Karina Edmonds serves as the chair of the nominating governance committee. The Dragonfly Board determined that each of the members of the nominating governance committee satisfies the independence requirements of the Nasdaq.</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225"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Dragonfly Board;</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the Dragonfly’s proxy statement;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the Dragonfly Board;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the Dragonfly Board’s committees and making recommendations to the Dragonfly Board for approvals;</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Dragonfly Board any changes to such policies and principles;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will comply with all applicable requirements of the Sarbanes-Oxley Act and all applicable SEC and the Nasdaq rules and regulations. Dragonfly will comply with future requirements to the extent they become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the Dragonfly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Code of Ethics</w:t>
      </w:r>
    </w:p>
    <w:p>
      <w:pPr>
        <w:spacing w:after="0" w:line="225" w:lineRule="exact"/>
        <w:rPr>
          <w:sz w:val="20"/>
          <w:szCs w:val="20"/>
          <w:color w:val="auto"/>
        </w:rPr>
      </w:pPr>
    </w:p>
    <w:p>
      <w:pPr>
        <w:jc w:val="both"/>
        <w:ind w:right="80" w:firstLine="324"/>
        <w:spacing w:after="0" w:line="286" w:lineRule="auto"/>
        <w:rPr>
          <w:sz w:val="20"/>
          <w:szCs w:val="20"/>
          <w:color w:val="auto"/>
        </w:rPr>
      </w:pPr>
      <w:r>
        <w:rPr>
          <w:rFonts w:ascii="Times New Roman" w:cs="Times New Roman" w:eastAsia="Times New Roman" w:hAnsi="Times New Roman"/>
          <w:sz w:val="18"/>
          <w:szCs w:val="18"/>
          <w:color w:val="auto"/>
        </w:rPr>
        <w:t>The Dragonfly Board adopted a code of conduct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and a code of ethics (“</w:t>
      </w:r>
      <w:r>
        <w:rPr>
          <w:rFonts w:ascii="Times New Roman" w:cs="Times New Roman" w:eastAsia="Times New Roman" w:hAnsi="Times New Roman"/>
          <w:sz w:val="18"/>
          <w:szCs w:val="18"/>
          <w:b w:val="1"/>
          <w:bCs w:val="1"/>
          <w:color w:val="auto"/>
        </w:rPr>
        <w:t>Code of Ethics</w:t>
      </w:r>
      <w:r>
        <w:rPr>
          <w:rFonts w:ascii="Times New Roman" w:cs="Times New Roman" w:eastAsia="Times New Roman" w:hAnsi="Times New Roman"/>
          <w:sz w:val="18"/>
          <w:szCs w:val="18"/>
          <w:color w:val="auto"/>
        </w:rPr>
        <w:t>”) that applies to all of Dragonfly’s directors, officers and employees. The full text of the Code of Conduct and Code of Ethics is posted on the investor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relations page on our website at https://dragonflyenergy.com/investors/. We will disclose any amendments to our Code of Conduct and Code of Ethics, or waivers of its requirements on our website identified above, or in filings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76"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Dragonfly’s directors for monetary damages will be eliminated or limited to the fullest extent permitted by the DGCL, as so amended. Additionally, the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Further, we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plan to maintain a directors’ and officers’ insurance policy pursuant to which our directors and officers are insured against liability for actions taken in their capacities as directors and officers. We believe these provisions in the Amended and Restated Charter and the Amended and Restated Bylaws and these indemnification agreements are necessary to attract and retain qualified persons as directors and officers.</w:t>
      </w:r>
    </w:p>
    <w:p>
      <w:pPr>
        <w:spacing w:after="0" w:line="180"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spacing w:after="0" w:line="13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the long-term success of the company.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compensation earned by, or awarded to, our NEOs for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00" w:type="dxa"/>
            <w:vAlign w:val="bottom"/>
          </w:tcPr>
          <w:p>
            <w:pPr>
              <w:jc w:val="right"/>
              <w:ind w:right="118"/>
              <w:spacing w:after="0" w:line="17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(1)</w:t>
            </w:r>
          </w:p>
        </w:tc>
        <w:tc>
          <w:tcPr>
            <w:tcW w:w="1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(3)</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579,593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963,964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Sean Nichols</w:t>
            </w:r>
            <w:r>
              <w:rPr>
                <w:rFonts w:ascii="Times New Roman" w:cs="Times New Roman" w:eastAsia="Times New Roman" w:hAnsi="Times New Roman"/>
                <w:sz w:val="22"/>
                <w:szCs w:val="22"/>
                <w:color w:val="auto"/>
                <w:vertAlign w:val="superscript"/>
              </w:rPr>
              <w:t>(4)</w:t>
            </w:r>
          </w:p>
        </w:tc>
        <w:tc>
          <w:tcPr>
            <w:tcW w:w="5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7"/>
                <w:szCs w:val="17"/>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579,593</w:t>
            </w:r>
          </w:p>
        </w:tc>
        <w:tc>
          <w:tcPr>
            <w:tcW w:w="140" w:type="dxa"/>
            <w:vAlign w:val="bottom"/>
          </w:tcPr>
          <w:p>
            <w:pPr>
              <w:spacing w:after="0"/>
              <w:rPr>
                <w:sz w:val="17"/>
                <w:szCs w:val="17"/>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362,137</w:t>
            </w:r>
          </w:p>
        </w:tc>
        <w:tc>
          <w:tcPr>
            <w:tcW w:w="140" w:type="dxa"/>
            <w:vAlign w:val="bottom"/>
          </w:tcPr>
          <w:p>
            <w:pPr>
              <w:spacing w:after="0"/>
              <w:rPr>
                <w:sz w:val="17"/>
                <w:szCs w:val="17"/>
                <w:color w:val="auto"/>
              </w:rPr>
            </w:pPr>
          </w:p>
        </w:tc>
        <w:tc>
          <w:tcPr>
            <w:tcW w:w="640" w:type="dxa"/>
            <w:vAlign w:val="bottom"/>
            <w:gridSpan w:val="2"/>
          </w:tcPr>
          <w:p>
            <w:pPr>
              <w:ind w:left="2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20,244</w:t>
            </w:r>
          </w:p>
        </w:tc>
        <w:tc>
          <w:tcPr>
            <w:tcW w:w="140" w:type="dxa"/>
            <w:vAlign w:val="bottom"/>
          </w:tcPr>
          <w:p>
            <w:pPr>
              <w:spacing w:after="0"/>
              <w:rPr>
                <w:sz w:val="17"/>
                <w:szCs w:val="17"/>
                <w:color w:val="auto"/>
              </w:rPr>
            </w:pPr>
          </w:p>
        </w:tc>
        <w:tc>
          <w:tcPr>
            <w:tcW w:w="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961,974</w:t>
            </w:r>
          </w:p>
        </w:tc>
        <w:tc>
          <w:tcPr>
            <w:tcW w:w="0" w:type="dxa"/>
            <w:vAlign w:val="bottom"/>
          </w:tcPr>
          <w:p>
            <w:pPr>
              <w:spacing w:after="0"/>
              <w:rPr>
                <w:sz w:val="1"/>
                <w:szCs w:val="1"/>
                <w:color w:val="auto"/>
              </w:rPr>
            </w:pPr>
          </w:p>
        </w:tc>
      </w:tr>
      <w:tr>
        <w:trPr>
          <w:trHeight w:val="23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Marchetti</w:t>
            </w:r>
            <w:r>
              <w:rPr>
                <w:rFonts w:ascii="Times New Roman" w:cs="Times New Roman" w:eastAsia="Times New Roman" w:hAnsi="Times New Roman"/>
                <w:sz w:val="25"/>
                <w:szCs w:val="25"/>
                <w:color w:val="auto"/>
                <w:vertAlign w:val="superscript"/>
              </w:rPr>
              <w:t>(5)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855,154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292215"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41" w:lineRule="exact"/>
        <w:rPr>
          <w:sz w:val="20"/>
          <w:szCs w:val="20"/>
          <w:color w:val="auto"/>
        </w:rPr>
      </w:pPr>
    </w:p>
    <w:p>
      <w:pPr>
        <w:ind w:left="340" w:right="28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2021. Pursuant to Mr. Marchetti’s employment agreement with Dragonfly and subject to his continued employment, he is guaranteed to receive at least his target bonus amount of $75,000 per quarter for the first four quarters of his employment.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2021 under the Dragonfly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F-55 of Dragonfly’s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Dragonfly’s matching contribution to the executive’s account under the Dragonfly’s 401(k)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Dragonfly announced that Mr. Nichols would be leaving Dragonfly on November 7,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Dragonfly’s Chief Financial Officer on September 6,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18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Dragonfly common stock held by each of the NEOs as of December 31, 2021, including the vesting dates for the portions of these awards that had not vested as of that date. The NEOs did not hold any other outstanding equity awards as of that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4780" w:type="dxa"/>
            <w:vAlign w:val="bottom"/>
            <w:gridSpan w:val="3"/>
            <w:vMerge w:val="continue"/>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60" w:type="dxa"/>
            <w:vAlign w:val="bottom"/>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Sean Nichols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 xml:space="preserve">250,000 </w:t>
            </w:r>
            <w:r>
              <w:rPr>
                <w:rFonts w:ascii="Times New Roman" w:cs="Times New Roman" w:eastAsia="Times New Roman" w:hAnsi="Times New Roman"/>
                <w:sz w:val="25"/>
                <w:szCs w:val="25"/>
                <w:color w:val="auto"/>
                <w:vertAlign w:val="superscript"/>
              </w:rPr>
              <w:t>(1)</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 xml:space="preserve">200,000 </w:t>
            </w:r>
            <w:r>
              <w:rPr>
                <w:rFonts w:ascii="Times New Roman" w:cs="Times New Roman" w:eastAsia="Times New Roman" w:hAnsi="Times New Roman"/>
                <w:sz w:val="25"/>
                <w:szCs w:val="25"/>
                <w:color w:val="auto"/>
                <w:vertAlign w:val="superscript"/>
              </w:rPr>
              <w:t>(2)</w:t>
            </w:r>
          </w:p>
        </w:tc>
        <w:tc>
          <w:tcPr>
            <w:tcW w:w="10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9/12/31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in 20 monthly installments from January 12, 2022 and August 12, 2023.</w:t>
      </w:r>
    </w:p>
    <w:p>
      <w:pPr>
        <w:spacing w:after="0" w:line="6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as to 25% of the option on September 10, 2022 and as to 75% of the option in 36 monthly installments from October 10, 2022 through September 10,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Grants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2021, Mr. Marchetti received an option to purchase 200,000 shares of our common stock at a price of $3.41 per share. This option was granted under Dragonfly’s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Pre-Closing Stock Incentive Plans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we maintained the 2019 Plan and the 2021 Plan. Under these plans,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 of the Business Combination</w:t>
      </w:r>
    </w:p>
    <w:p>
      <w:pPr>
        <w:spacing w:after="0" w:line="187"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225"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We maintain the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for purposes of granting equity-based awards to attract, motivate, retain and reward selected employees and other eligible persons. Our compensation committee administers the 2022 Plan. The compensation committee has broad authority to (without limitation):</w:t>
      </w:r>
    </w:p>
    <w:p>
      <w:pPr>
        <w:spacing w:after="0" w:line="175"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2022 Plan and any agreements relating to the plan;</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161"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2022 Plan, make certain adjustments to an outstanding award and authorize the termination, conversion, substitution or succession of an award; and</w:t>
      </w:r>
    </w:p>
    <w:p>
      <w:pPr>
        <w:spacing w:after="0" w:line="161"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total 2,785,950 shares of our common stock are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the date of this prospectus, no awards have been granted under the 2022 Plan, and the full number of shares authorized under the 2022 Plan is available for award purposes.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plan will terminate on May 13, 2032. However, the plan administrator will retain its authority until all outstanding awards are exercised or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5"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We maintain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 total of 2,464,400 shares of our common stock will initially be available for issuance under the ESPP. The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80"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We currently expect the ESPP will have a series of successive six-month offering periods. However,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Individuals scheduled to work more than 20 hours per week for more than five calendar months per year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 an offering period on the start date of that period. Employees may participate in only one offering period at a time.</w:t>
      </w:r>
    </w:p>
    <w:p>
      <w:pPr>
        <w:spacing w:after="0" w:line="15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A participant may contribute up to 15% of his or her cash earnings through payroll deductions,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If we are acquired by merger or sale of all or substantially all of our assets or more than 50% of our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183"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plan provisions</w:t>
      </w:r>
      <w:r>
        <w:rPr>
          <w:rFonts w:ascii="Times New Roman" w:cs="Times New Roman" w:eastAsia="Times New Roman" w:hAnsi="Times New Roman"/>
          <w:sz w:val="18"/>
          <w:szCs w:val="18"/>
          <w:color w:val="auto"/>
        </w:rPr>
        <w:t>. No new offering periods will commence on or after May 13, 2032. The board of directors may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suspend or discontinue the ESPP. However, certain amendments may require stockholder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Company has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the Company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the executive’s employment is terminated by the Company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the Company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of the Company and ending 12 months after a change in control, the executive’s employment is terminated by the Company without cause (or as a result of the Company’s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the Company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his providing a release of claims to the Company and his continued compliance with the restrictive covenants in favor of the Company in the agreement.</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 Operating Officer, would be leaving the Company to pursue other interests. His last day of employment will be November 7, 2022. Mr. Nichols and the Company have entered into a separation and release agreement (the “Separation Agreement”) that became effective and fully irrevocable on November 2, 2022. Pursuant to the Separation Agreement, 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non-competition and non-solicitation covenants for 12 months following his termination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part of our overall compensation program, Dragonfly provides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Dragonfly’s current practice is to match 100% of an employee’s contributions to the plan up to 4% of the employee’s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Closing, we adopted a policy that provides for cash and equity compensation for members of the Board who are not employed by us or any of our subsidiaries (our </w:t>
      </w:r>
      <w:r>
        <w:rPr>
          <w:rFonts w:ascii="Calibri" w:cs="Calibri" w:eastAsia="Calibri" w:hAnsi="Calibri"/>
          <w:sz w:val="18"/>
          <w:szCs w:val="18"/>
          <w:color w:val="auto"/>
        </w:rPr>
        <w:t>“</w:t>
      </w:r>
      <w:r>
        <w:rPr>
          <w:rFonts w:ascii="Times New Roman" w:cs="Times New Roman" w:eastAsia="Times New Roman" w:hAnsi="Times New Roman"/>
          <w:sz w:val="18"/>
          <w:szCs w:val="18"/>
          <w:b w:val="1"/>
          <w:bCs w:val="1"/>
          <w:color w:val="auto"/>
        </w:rPr>
        <w:t>Non-Employee Directors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The policy provides that each Non-Employee Director is entitled to receive the following cash compensation for Board service, as applicable:</w:t>
      </w:r>
    </w:p>
    <w:p>
      <w:pPr>
        <w:spacing w:after="0" w:line="175" w:lineRule="exact"/>
        <w:rPr>
          <w:sz w:val="20"/>
          <w:szCs w:val="20"/>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184"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Board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restricted stock units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Dragonfly for their reasonable travel (including airfare and ground transportation), lodging and meal expenses incident to meetings of the Board or committees thereof or in connection with other Board-related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may change the terms of our director compensation policy from time to time.</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Director Compensation Table </w:t>
      </w:r>
      <w:r>
        <w:rPr>
          <w:rFonts w:ascii="Calibri" w:cs="Calibri" w:eastAsia="Calibri" w:hAnsi="Calibri"/>
          <w:sz w:val="18"/>
          <w:szCs w:val="18"/>
          <w:b w:val="1"/>
          <w:bCs w:val="1"/>
          <w:color w:val="auto"/>
        </w:rPr>
        <w:t>—</w:t>
      </w:r>
      <w:r>
        <w:rPr>
          <w:rFonts w:ascii="Times New Roman" w:cs="Times New Roman" w:eastAsia="Times New Roman" w:hAnsi="Times New Roman"/>
          <w:sz w:val="18"/>
          <w:szCs w:val="18"/>
          <w:b w:val="1"/>
          <w:bCs w:val="1"/>
          <w:color w:val="auto"/>
        </w:rPr>
        <w:t xml:space="preserve"> Fiscal 2021</w:t>
      </w:r>
    </w:p>
    <w:p>
      <w:pPr>
        <w:spacing w:after="0" w:line="23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paid to Ms. Ingargiola for her services on the Dragonfly Board during 2021. Messrs. Phares and Nichols did not receive any additional compensation for their service on the Dragonfly Board during 2021. The other members of our board did not serve on the Dragonfly board during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80" w:type="dxa"/>
            <w:vAlign w:val="bottom"/>
            <w:gridSpan w:val="2"/>
            <w:vMerge w:val="continue"/>
          </w:tcPr>
          <w:p>
            <w:pPr>
              <w:spacing w:after="0"/>
              <w:rPr>
                <w:sz w:val="12"/>
                <w:szCs w:val="12"/>
                <w:color w:val="auto"/>
              </w:rPr>
            </w:pPr>
          </w:p>
        </w:tc>
        <w:tc>
          <w:tcPr>
            <w:tcW w:w="9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4560" w:type="dxa"/>
            <w:vAlign w:val="bottom"/>
            <w:gridSpan w:val="3"/>
            <w:vMerge w:val="continue"/>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900" w:type="dxa"/>
            <w:vAlign w:val="bottom"/>
          </w:tcPr>
          <w:p>
            <w:pPr>
              <w:ind w:left="2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(1)(2)</w:t>
            </w:r>
          </w:p>
        </w:tc>
        <w:tc>
          <w:tcPr>
            <w:tcW w:w="16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281,325</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281,325</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140" w:hanging="332"/>
        <w:spacing w:after="0" w:line="258"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Ingargiola was granted an option to purchase 82,500 shares of Dragonfly common stock in August 2021 with an exercise price of $3.41 per share and that was scheduled to vest in monthly installments over a three-year period after the grant date. The option has a five-year term and will fully vest and be exercisable if a change in control of Dragonfly or an initial public offering of Dragonfly’s stock occurs and Ms. Ingargiola is asked to resign from the Board through no fault of her own. As of December 31, 2021, Ms. Ingargiola did not hold any outstanding equity awards from Dragonfly other than this option to purchase 82,500 shares.</w:t>
      </w:r>
    </w:p>
    <w:p>
      <w:pPr>
        <w:spacing w:after="0" w:line="21" w:lineRule="exact"/>
        <w:rPr>
          <w:rFonts w:ascii="Times New Roman" w:cs="Times New Roman" w:eastAsia="Times New Roman" w:hAnsi="Times New Roman"/>
          <w:sz w:val="18"/>
          <w:szCs w:val="18"/>
          <w:color w:val="auto"/>
        </w:rPr>
      </w:pPr>
    </w:p>
    <w:p>
      <w:pPr>
        <w:ind w:left="340" w:right="40" w:hanging="332"/>
        <w:spacing w:after="0" w:line="281" w:lineRule="auto"/>
        <w:tabs>
          <w:tab w:leader="none" w:pos="3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reported in this column reflects the grant date fair value of the stock option granted to Ms. Ingargiola during 2021 under the Dragonfly Energy Corp. stock incentive plan as described above and is accounted for in accordance with FASB ASC Topic 718. Please see the section titled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beginning on page F-55 of Dragonfly’s Notes to Consolidated Financial Statements included elsewhere in this prospectus for a discussion of the relevant assumptions used in calculating this amount.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Arrangements with Dragonfly’s Executive Officers, Directors, 5% or more holders or their Immediate Family Members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John Marchetti.</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an inducement to hire Mr. John Marchetti as our Chief Financial Officer,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the Amended and Restated Charter and the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believes that these charter provisions and indemnification agreements are necessary to attract and retain qualified persons as directors and officers.</w:t>
      </w:r>
    </w:p>
    <w:p>
      <w:pPr>
        <w:spacing w:after="0" w:line="187"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Amended and Restated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CNTQ Related Party Transactions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CNTQ, the Sponsor and certain other CNTQ shareholders parties thereto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Legacy Dragonfly, and certain Legacy Dragonfly stockholders entered into an Amended and Restated Registration Rights Agreement (the “</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LLC pursuant to the terms of the Subscription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Consistent with the Debt Commitment Letter, in connection with the Closing, CNTQ, Legacy Dragonfly and the Initial Term Loan Lenders entered into the Term Loan Agreement setting forth the terms of the Term Loan. The Chardan Lender backstopped its commitment under the Debt Commitment Letter by entering into the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In addition, the Company entered into the Pledge Agreement pursuant to which the Company pledged to the Administrative Agent its equity interests in Legacy Dragonfly as further collateral security for the obligations under the Term Loan Agreement.</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the Company’s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w:t>
      </w:r>
    </w:p>
    <w:p>
      <w:pPr>
        <w:spacing w:after="0" w:line="27" w:lineRule="exact"/>
        <w:rPr>
          <w:sz w:val="20"/>
          <w:szCs w:val="20"/>
          <w:color w:val="auto"/>
        </w:rPr>
      </w:pPr>
    </w:p>
    <w:p>
      <w:pPr>
        <w:ind w:left="220" w:hanging="212"/>
        <w:spacing w:after="0"/>
        <w:tabs>
          <w:tab w:leader="none" w:pos="2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Penny Warrants and (ii) the $10 Warrants. The $10 Warrants were exercised on a cashless basis on October 10, 2022, with the</w:t>
      </w:r>
    </w:p>
    <w:p>
      <w:pPr>
        <w:spacing w:after="0" w:line="9"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agreeing to issue 457,142 shares of Common Stock in connection with such exercise. The additional shares of common stock will dilute the pro forma ownership of the other Company stockholders of proportionately.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$10 Warrants have been exercised in full and are no longer outstanding.</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Company’s $150 million ChEF Equity Facility (or replacement thereof) sold at a per share price above $5.00.</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shares issuable upon exercise of the Penny Warrants, and the shares issued upon exercise of the $10 Warrants have customary registration rights, which are contained in the respective forms of the Penny Warrants and the $10 Warrants, requiring the Company to file and keep effective a resale registration statement registering the resale of the shares of common stock underlying the Penny Warrants and the $10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the Company and CCM entered into the Purchase Agreement and the ChEF RRA in connection with the Closing. In addition, the Company appointed LifeSci Capital, LLC as “qualified independent underwriter” with respect to the transactions contemplated by the Purchase Agreement.</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The Dragonfly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w:t>
      </w:r>
    </w:p>
    <w:p>
      <w:pPr>
        <w:spacing w:after="0" w:line="2" w:lineRule="exact"/>
        <w:rPr>
          <w:sz w:val="20"/>
          <w:szCs w:val="20"/>
          <w:color w:val="auto"/>
        </w:rPr>
      </w:pPr>
    </w:p>
    <w:p>
      <w:pPr>
        <w:ind w:right="280" w:firstLine="8"/>
        <w:spacing w:after="0" w:line="260" w:lineRule="auto"/>
        <w:tabs>
          <w:tab w:leader="none" w:pos="2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(including any of our subsidiaries, if any) was, is or will be a participant, (ii) the aggregate amount involved exceeds or may be expected to exceed $120,000, and (iii) a related person has or will have a direct or indirect material interest.</w:t>
      </w:r>
    </w:p>
    <w:p>
      <w:pPr>
        <w:spacing w:after="0" w:line="18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8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certain significant stockholders. In considering related person transactions, our audit committee will take into account the relevant available facts and circumstances, which may include, but are not limited to:</w:t>
      </w:r>
    </w:p>
    <w:p>
      <w:pPr>
        <w:spacing w:after="0" w:line="162" w:lineRule="exact"/>
        <w:rPr>
          <w:sz w:val="20"/>
          <w:szCs w:val="20"/>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You are encouraged to read the applicable provisions of the DGCL, the Amended and Restated Charter and Bylaws in their entirety for a complete description of the rights and preferences of the Company’s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170,000,000 shares of common stock, par value $0.0001 per share, and 5,000,000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170,000,000 shares of Dragonfly common stock, par value $0.0001 per share.</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Dragonfly common stock are entitled to receive proportionately any dividends as may be declared by the Dragonfly Board, subject to any preferential dividend rights of any series of preferred stock that we may designate and issue in the future.</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Dragonfly common stock are entitled to receive proportionately our net assets available for distribution to stockholders after the payment of all debts and other liabilities and subject to the prior rights of any outstanding preferred stock.</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Holders of Dragonfly common stock have no preemptive, subscription, redemption or conversion rights. The rights, preferences and privileges of holders of Dragonfly common stock are subject to and may be adversely affected by the rights of the holders of shares of any series of preferred stock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Each whole redeemable warrant entitles the registered holder to purchase one share of common stock at a price of $11.50 per share, subject to adjustment as discussed below, at any time commencing 30 days after the completion of the Business Combination. Pursuant to the amended and restated warrant agreement, a warrant holder may exercise its warrants only for a whole number of shares of common stock. The warrants will expire five years after the completion of the Business Combination, at 5:00 p.m., New York City time, or earlier upon redemption or liquidation.</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9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amended and restated warrant agreement, we have agreed that as soon as practicable, but in no event later than 15 business days after the closing of the Business Combination, we will use our best efforts to file with the SEC a registration statement for the registration under the Securities Act of the offer and sale of the shares of common stock issuable upon exercise of the warrants and thereafter will use our best efforts to cause the same to become effective within 60 business days following the Business Combination and to maintain a current prospectus relating to the common stock issuable upon exercise of the warrants, until the</w:t>
      </w:r>
    </w:p>
    <w:p>
      <w:pPr>
        <w:sectPr>
          <w:pgSz w:w="11900" w:h="16838" w:orient="portrait"/>
          <w:cols w:equalWidth="0" w:num="1">
            <w:col w:w="9900"/>
          </w:cols>
          <w:pgMar w:left="980" w:top="121" w:right="101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expiration of the warrants in accordance with the provisions of the amended and restated warrant agreement. If we do not maintain in effect a registration statement covering the offer and sale of the issuance of shares of common stock upon exercise of the warrants, we will be required to permit registered holders to exercise their warrants on a cashless basis. However, no warrant will be exercisable for cash or on a cashless basis, and we will not be obligated to issue any shares to registered holders seeking to exercise their warrants, unless the issuance of the shares upon such exercise is registered or qualified under the securities laws of the state of the exercising registered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registered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9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(except as described herein with respect to the private placement warrants):</w:t>
      </w:r>
    </w:p>
    <w:p>
      <w:pPr>
        <w:spacing w:after="0" w:line="162" w:lineRule="exact"/>
        <w:rPr>
          <w:sz w:val="20"/>
          <w:szCs w:val="20"/>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CNTQ IPO. However, there may be instances in which registered holders of our public warrants may be unable to exercise such public warrants but registered holders of our private warrants may be able to exercise such private warrants.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our management will have the option to require all holders that wish to exercise warrants to do so on a cashless basis. In the event of an exercise on a cashless basis, a holder would pay the warrant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the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warrants have certain anti-dilution and adjustment rights upon certain events.</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exercise of the private warrants) will not be transferable, assignable or salable until 30 days after the completion of the Business Combination (except, among other limited exceptions, to our officers and directors and other persons or entities affiliated with our sponsor) and they will not be redeemable by us so long as they are held by our sponsor or its permitted transferees. Our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our sponsor or its permitted transferees, the private warrants will be redeemable by us and exercisable by the holders on the same basis as the public warrants.</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7"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holders of our private warrants are entitled to certain registration rights and any private warrants purchased by Warrant Holdings will not be exercisable more than five years from August 10, 2021, the effective date of the registration statement on Form S-1 for the Business Combination, in accordance with FINRA Rule 5110(g), as long as CNTQ or any of its related persons beneficially own these private warrants.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Pursuant to letter agreements that we have entered into with our sponsor, officers and directors, the private warrants (including the common stock issuable upon exercise of any of the private warrants) are not transferable or salable until 30 days after the completion of the Business Combination, except (a) to our officers or directors, any affiliates or family members of any of our officers or directors, any members of Warrant Holdings, our sponsor,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the Business Combination; or (g) by virtue of the laws of Delaware or the applicable limited liability company agreement upon dissolution of Warrant Holdings,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Warrant Holdings, our sponsor, officers, and directors of the Company, as the case may be, with respect to such securities (including provisions relating to voting, the trust account and liquidation distributions described in the prospectus relating to the CNTQ IPO).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and are exercisable for an aggregate of 2,593,056 shares of Common Stock, representing 5.6% of fully-diluted outstanding shares of common stock calculated as of immediately following the Closing Date. The calculation of ownership of common stock “on a fully diluted basis” included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the Company’s planned $150 million equity line of credit (or replacement thereof) sold at a per share price above $5.00. The shares issuable upon exercise of the Penny Warrants have customary registration rights requiring the Company to file and keep effective a resale registration statement registering the resale of the shares of common stock underlying the Penny Warrants.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American Stock Transfer &amp; Trust Company,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5,000,000 shares of preferred stock, par value $0.0001 per share.</w:t>
      </w:r>
    </w:p>
    <w:p>
      <w:pPr>
        <w:spacing w:after="0" w:line="162" w:lineRule="exact"/>
        <w:rPr>
          <w:sz w:val="20"/>
          <w:szCs w:val="20"/>
          <w:color w:val="auto"/>
        </w:rPr>
      </w:pPr>
    </w:p>
    <w:p>
      <w:pPr>
        <w:ind w:right="420" w:firstLine="324"/>
        <w:spacing w:after="0" w:line="312" w:lineRule="auto"/>
        <w:rPr>
          <w:sz w:val="20"/>
          <w:szCs w:val="20"/>
          <w:color w:val="auto"/>
        </w:rPr>
      </w:pPr>
      <w:r>
        <w:rPr>
          <w:rFonts w:ascii="Times New Roman" w:cs="Times New Roman" w:eastAsia="Times New Roman" w:hAnsi="Times New Roman"/>
          <w:sz w:val="17"/>
          <w:szCs w:val="17"/>
          <w:color w:val="auto"/>
        </w:rPr>
        <w:t>Under the terms of the amended and restated certificate of incorporation, the Dragonfly board of directors is authorized to issue shares of preferred stock in one or more series without stockholder approval. The Dragonfly board of directors has the discretion to</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determine the terms, rights, preferences, privileges and restrictions, including voting rights, dividend rights, conversion rights, redemption privileges and liquidation preferences, of each series of preferred stock.</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amended and restated bylaws provide that, unless Dragonfly consents in writing to the selection of an alternative forum, (A) (i) any derivative action or proceeding brought on behalf of Dragonfly, (ii) any action asserting a claim of breach of a fiduciary duty owed by any current or former director, officer, other employee or stockholder of Dragonfly to Dragonfly or Dragonfly’s stockholders, (iii) any action asserting a claim arising pursuant to any provision of the DGCL, the amended and restated certificate of incorporation or the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of America shall, to the fullest extent permitted by applicable law, be the exclusive forum for the resolution of any complaint asserting a cause of action arising under the Securities Act of 1933, as amended. Although we believe these provisions benefit us by providing increased consistency in the application of Delaware law in the types of lawsuits to which it applies, these provisions may have the effect of discouraging lawsuits against our directors and officers.</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the Amended and Restated Certificate of Incorporation, the Amended and Restated Bylaws and Delaware Law</w:t>
      </w:r>
    </w:p>
    <w:p>
      <w:pPr>
        <w:spacing w:after="0" w:line="15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62" w:lineRule="exact"/>
        <w:rPr>
          <w:sz w:val="20"/>
          <w:szCs w:val="20"/>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680" w:right="82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161"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includes a merger or a sale of more than 10% of our assets. However, the above provisions of Section 203 do not apply if:</w:t>
      </w:r>
    </w:p>
    <w:p>
      <w:pPr>
        <w:spacing w:after="0" w:line="161"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either the business combination or transaction that made the stockholder an “interested stockholder,” prior to the date of such business combination;</w:t>
      </w:r>
    </w:p>
    <w:p>
      <w:pPr>
        <w:spacing w:after="0" w:line="161" w:lineRule="exact"/>
        <w:rPr>
          <w:rFonts w:ascii="Times New Roman" w:cs="Times New Roman" w:eastAsia="Times New Roman" w:hAnsi="Times New Roman"/>
          <w:sz w:val="18"/>
          <w:szCs w:val="18"/>
          <w:color w:val="auto"/>
        </w:rPr>
      </w:pPr>
    </w:p>
    <w:p>
      <w:pPr>
        <w:jc w:val="both"/>
        <w:ind w:left="680" w:right="360" w:hanging="321"/>
        <w:spacing w:after="0" w:line="266"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75"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such business combination,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amended and restated certificate of incorporation provides otherwise. The amended and restated certificate of incorporation precludes stockholder action by written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amended and restated certificate of incorporation further provides that the affirmative vote of holders of at least 66 2/3% of the voting power of all of the then outstanding shares of voting stock, voting as a single class, is required to amend certain provisions of our amended and restated certificate of incorporation, including provisions relating to the size of the board, removal of directors, special meetings and actions by written consent. The affirmative vote of holders of at least 66 2/3% of the voting power of all of the then outstanding shares of voting stock, voting as a single class, is required to adopt, amend, alter or repeal our proposed bylaws, although our proposed bylaws may be amended by a majority vote of the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Company’s common stock as of October 7, 2022, except as otherwise set forth below, by:</w:t>
      </w:r>
    </w:p>
    <w:p>
      <w:pPr>
        <w:spacing w:after="0" w:line="121" w:lineRule="exact"/>
        <w:rPr>
          <w:sz w:val="20"/>
          <w:szCs w:val="20"/>
          <w:color w:val="auto"/>
        </w:rPr>
      </w:pPr>
    </w:p>
    <w:p>
      <w:pPr>
        <w:ind w:left="680" w:right="60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the Company to be the beneficial owner of more than 5% of the outstanding shares of the Company’s common stock;</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18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which includes the power to dispose of or to direct the disposition of the security or has the right to acquire such powers within 60 days. In computing the number of shares of the Company’s common stock beneficially owned by a person or entity and the percentage ownership, the Company deemed outstanding shares of its common stock subject to options and warrants held by that person or entity that are currently exercisable or exercisable within 60 days of the Closing Date. The Company did not deem these shares outstanding, however, for the purpose of computing the percentage ownership of any other person or entity.</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3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 and other equity securities.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beneficial ownership of the Company’s common stock is based on 44,848,686 shares of the Company’s common stock issued and outstanding immediately following consummation of the Transactions, including the redemption of public shares of the Company’s common stock as described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8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80" w:type="dxa"/>
            <w:vAlign w:val="bottom"/>
            <w:gridSpan w:val="4"/>
            <w:vMerge w:val="continue"/>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Dynavolt Technology (HK) Ltd.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11,820,900</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Jonas Grossman</w:t>
            </w:r>
            <w:r>
              <w:rPr>
                <w:rFonts w:ascii="Times New Roman" w:cs="Times New Roman" w:eastAsia="Times New Roman" w:hAnsi="Times New Roman"/>
                <w:sz w:val="25"/>
                <w:szCs w:val="25"/>
                <w:color w:val="auto"/>
                <w:vertAlign w:val="superscript"/>
              </w:rPr>
              <w:t>(1)(2)(3)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Chardan NexTech Investments 2 LLC</w:t>
            </w:r>
            <w:r>
              <w:rPr>
                <w:rFonts w:ascii="Times New Roman" w:cs="Times New Roman" w:eastAsia="Times New Roman" w:hAnsi="Times New Roman"/>
                <w:sz w:val="25"/>
                <w:szCs w:val="25"/>
                <w:color w:val="auto"/>
                <w:vertAlign w:val="superscript"/>
              </w:rPr>
              <w:t>(1)(2)(3)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Gong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2,364,180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Dr. Denis Phares</w:t>
            </w:r>
            <w:r>
              <w:rPr>
                <w:rFonts w:ascii="Times New Roman" w:cs="Times New Roman" w:eastAsia="Times New Roman" w:hAnsi="Times New Roman"/>
                <w:sz w:val="25"/>
                <w:szCs w:val="25"/>
                <w:color w:val="auto"/>
                <w:vertAlign w:val="superscript"/>
              </w:rPr>
              <w:t>(4)(5)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15,899,110</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Sean Nichols</w:t>
            </w:r>
            <w:r>
              <w:rPr>
                <w:rFonts w:ascii="Times New Roman" w:cs="Times New Roman" w:eastAsia="Times New Roman" w:hAnsi="Times New Roman"/>
                <w:sz w:val="25"/>
                <w:szCs w:val="25"/>
                <w:color w:val="auto"/>
                <w:vertAlign w:val="superscript"/>
              </w:rPr>
              <w:t>(4)(6)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3,558,683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Perry Boyle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Rick Parod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gridSpan w:val="2"/>
          </w:tcPr>
          <w:p>
            <w:pPr>
              <w:spacing w:after="0"/>
              <w:rPr>
                <w:sz w:val="9"/>
                <w:szCs w:val="9"/>
                <w:color w:val="auto"/>
              </w:rPr>
            </w:pPr>
          </w:p>
        </w:tc>
        <w:tc>
          <w:tcPr>
            <w:tcW w:w="440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Less than one percent.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20" w:hanging="332"/>
        <w:spacing w:after="0" w:line="254"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10004.</w:t>
      </w:r>
    </w:p>
    <w:p>
      <w:pPr>
        <w:spacing w:after="0" w:line="1" w:lineRule="exact"/>
        <w:rPr>
          <w:rFonts w:ascii="Times New Roman" w:cs="Times New Roman" w:eastAsia="Times New Roman" w:hAnsi="Times New Roman"/>
          <w:sz w:val="18"/>
          <w:szCs w:val="18"/>
          <w:color w:val="auto"/>
        </w:rPr>
      </w:pPr>
    </w:p>
    <w:p>
      <w:pPr>
        <w:ind w:left="340" w:right="100" w:hanging="332"/>
        <w:spacing w:after="0" w:line="270" w:lineRule="auto"/>
        <w:tabs>
          <w:tab w:leader="none" w:pos="3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Schedule 13D filed by the Sponsor on October 12, 2022.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w:t>
      </w:r>
    </w:p>
    <w:p>
      <w:pPr>
        <w:spacing w:after="0" w:line="54" w:lineRule="exact"/>
        <w:rPr>
          <w:rFonts w:ascii="Times New Roman" w:cs="Times New Roman" w:eastAsia="Times New Roman" w:hAnsi="Times New Roman"/>
          <w:sz w:val="17"/>
          <w:szCs w:val="17"/>
          <w:color w:val="auto"/>
        </w:rPr>
      </w:pPr>
    </w:p>
    <w:p>
      <w:pPr>
        <w:jc w:val="both"/>
        <w:ind w:left="340" w:hanging="332"/>
        <w:spacing w:after="0" w:line="269" w:lineRule="auto"/>
        <w:tabs>
          <w:tab w:leader="none" w:pos="3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New York, NY 10004.</w:t>
      </w:r>
    </w:p>
    <w:p>
      <w:pPr>
        <w:spacing w:after="0" w:line="2"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103"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 On November 4, 2022, Dragonfly announced that Mr. Nichols would be leaving Dragonfly on November 7,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We are registering the offer and sale of these securities to satisfy certain registration rights we have granted to the selling securityholders pursuant to the terms of the Registration Rights Agreement, the Private Warrants, the Public Warrants, the $10 Warrants and the Penny Warrants. The selling securityholders may offer and sell, from time to time, any or all of the shares of common stock or Private Warrants, Public Warrants, $10 Warrants and Penny Warrants being offered for resale by this prospectus, which consists of up to:</w:t>
      </w:r>
    </w:p>
    <w:p>
      <w:pPr>
        <w:spacing w:after="0" w:line="164" w:lineRule="exact"/>
        <w:rPr>
          <w:sz w:val="20"/>
          <w:szCs w:val="20"/>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31,290,514 Consideration Shares;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3,664,975 Option Shares;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3,162,500 Founder Shares;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Public Warrants;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Warrants;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 Shares;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1,600,000 $10 Warrant Shares;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Penny Warrant Shares;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PIPE Investment Shares.</w:t>
      </w:r>
    </w:p>
    <w:p>
      <w:pPr>
        <w:spacing w:after="0" w:line="198" w:lineRule="exact"/>
        <w:rPr>
          <w:sz w:val="20"/>
          <w:szCs w:val="20"/>
          <w:color w:val="auto"/>
        </w:rPr>
      </w:pPr>
    </w:p>
    <w:p>
      <w:pPr>
        <w:ind w:right="140" w:firstLine="324"/>
        <w:spacing w:after="0" w:line="276" w:lineRule="auto"/>
        <w:rPr>
          <w:sz w:val="20"/>
          <w:szCs w:val="20"/>
          <w:color w:val="auto"/>
        </w:rPr>
      </w:pPr>
      <w:r>
        <w:rPr>
          <w:rFonts w:ascii="Times New Roman" w:cs="Times New Roman" w:eastAsia="Times New Roman" w:hAnsi="Times New Roman"/>
          <w:sz w:val="17"/>
          <w:szCs w:val="17"/>
          <w:color w:val="auto"/>
        </w:rPr>
        <w:t>The selling securityholders may from time to time offer and sell any or all of the shares of common stock or Private Warrants, $10 Warrants and Penny Warrants set forth below pursuant to this prospectus. In this prospectus, the term “selling securityholders” includes</w:t>
      </w:r>
    </w:p>
    <w:p>
      <w:pPr>
        <w:spacing w:after="0" w:line="1" w:lineRule="exact"/>
        <w:rPr>
          <w:sz w:val="20"/>
          <w:szCs w:val="20"/>
          <w:color w:val="auto"/>
        </w:rPr>
      </w:pPr>
    </w:p>
    <w:p>
      <w:pPr>
        <w:ind w:right="280" w:firstLine="8"/>
        <w:spacing w:after="0" w:line="253"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provides, as of October 18, 2022, information regarding the beneficial ownership of our common stock and Private Warrants, $10 Warrants and Penny Warrants of each selling securityholder, the number of shares of common stock and number of Private Warrants, $10 Warrants and Penny Warrants that may be sold by each selling securityholder under this prospectus and that each selling securityholder will beneficially own after this offering. The immediately following table also sets forth the percentage of common stock beneficially owned by a selling securityholder after giving effect to the sale by the selling securityholder of all offered securities, based on 44,848,686 shares of common stock outstanding on October 7, 2022.</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the table below, we have assumed that (i) no holders of Public Warrants exercise any of the outstanding Warrants,</w:t>
      </w:r>
    </w:p>
    <w:p>
      <w:pPr>
        <w:spacing w:after="0" w:line="27" w:lineRule="exact"/>
        <w:rPr>
          <w:sz w:val="20"/>
          <w:szCs w:val="20"/>
          <w:color w:val="auto"/>
        </w:rPr>
      </w:pPr>
    </w:p>
    <w:p>
      <w:pPr>
        <w:ind w:right="200" w:firstLine="8"/>
        <w:spacing w:after="0" w:line="253" w:lineRule="auto"/>
        <w:tabs>
          <w:tab w:leader="none" w:pos="2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termination of this offering, none of the shares of common stock covered by this prospectus will be beneficially owned by the selling securityholders and (iii) the selling securityholders will not acquire beneficial ownership of any additional securities during the offering. In addition, we assume that the selling securityholders have not sold, transferred or otherwise disposed of, our securities in transactions exempt from the registration requirements of the Securities Act. See “</w:t>
      </w:r>
      <w:r>
        <w:rPr>
          <w:rFonts w:ascii="Times New Roman" w:cs="Times New Roman" w:eastAsia="Times New Roman" w:hAnsi="Times New Roman"/>
          <w:sz w:val="18"/>
          <w:szCs w:val="18"/>
          <w:i w:val="1"/>
          <w:iCs w:val="1"/>
          <w:color w:val="auto"/>
        </w:rPr>
        <w:t>Certain Relationships and Related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Certain of the selling securityholders have an incentive to sell because they purchased shares and/or warrants at prices below the initial public offering price of $10 per share and/or below the recent trading prices of our securities. Sales by such investors may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prevent the trading price of our securities from exceeding the initial public offering price and may cause the trading prices of our securities to experience a further decline. Since many of our public stockholders purchased shares at prices above, and the exercise price of our warrants exceeds, the recent trading prices for shares of our common stock, other of our securityholders may not experience a positive rate of return if they were to sell at the same prices.</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Selling securityholders information for each additional selling securityholders, if any, will be set forth by a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securityholders and the number of shares of common stock or Private Warrants, shares underlying the $10 Warrants and Penny Warrants registered on its behalf.</w:t>
      </w:r>
    </w:p>
    <w:p>
      <w:pPr>
        <w:spacing w:after="0" w:line="141"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shares of common stock and Private Warrants, $10 Warrants and Penny Warrants.</w:t>
      </w:r>
    </w:p>
    <w:p>
      <w:pPr>
        <w:spacing w:after="0" w:line="13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selling securityholders is c/o Dragonfly Energy Holdings Corp., 1190 Trademark Drive #108, Reno, Nevada 89521.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5"/>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Securities Being</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left="557"/>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left="233"/>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 Securities</w:t>
            </w: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the Offering</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0" w:type="dxa"/>
            <w:vAlign w:val="bottom"/>
          </w:tcPr>
          <w:p>
            <w:pPr>
              <w:spacing w:after="0"/>
              <w:rPr>
                <w:sz w:val="1"/>
                <w:szCs w:val="1"/>
                <w:color w:val="auto"/>
              </w:rPr>
            </w:pPr>
          </w:p>
        </w:tc>
      </w:tr>
      <w:tr>
        <w:trPr>
          <w:trHeight w:val="117"/>
        </w:trPr>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vMerge w:val="restart"/>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vMerge w:val="restart"/>
          </w:tcPr>
          <w:p>
            <w:pPr>
              <w:spacing w:after="0"/>
              <w:rPr>
                <w:sz w:val="12"/>
                <w:szCs w:val="12"/>
                <w:color w:val="auto"/>
              </w:rPr>
            </w:pP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73"/>
        </w:trPr>
        <w:tc>
          <w:tcPr>
            <w:tcW w:w="1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Dr. Denis Phares</w:t>
            </w:r>
            <w:r>
              <w:rPr>
                <w:rFonts w:ascii="Times New Roman" w:cs="Times New Roman" w:eastAsia="Times New Roman" w:hAnsi="Times New Roman"/>
                <w:sz w:val="24"/>
                <w:szCs w:val="24"/>
                <w:color w:val="auto"/>
                <w:vertAlign w:val="superscript"/>
              </w:rPr>
              <w:t>(1)(2)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15,899,110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15,899,110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8"/>
        </w:trPr>
        <w:tc>
          <w:tcPr>
            <w:tcW w:w="2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Dynavolt Technology</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(HK) Ltd.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11,820,900</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11,820,900</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Jonas Grossman</w:t>
            </w:r>
            <w:r>
              <w:rPr>
                <w:rFonts w:ascii="Times New Roman" w:cs="Times New Roman" w:eastAsia="Times New Roman" w:hAnsi="Times New Roman"/>
                <w:sz w:val="25"/>
                <w:szCs w:val="25"/>
                <w:color w:val="auto"/>
                <w:vertAlign w:val="superscript"/>
              </w:rPr>
              <w:t>(3)(4)(5)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3,030,500</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0"/>
        </w:trPr>
        <w:tc>
          <w:tcPr>
            <w:tcW w:w="2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Chardan NexTech</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40" w:type="dxa"/>
            <w:vAlign w:val="bottom"/>
            <w:gridSpan w:val="2"/>
          </w:tcPr>
          <w:p>
            <w:pPr>
              <w:ind w:left="140"/>
              <w:spacing w:after="0" w:line="242" w:lineRule="exact"/>
              <w:rPr>
                <w:sz w:val="20"/>
                <w:szCs w:val="20"/>
                <w:color w:val="auto"/>
              </w:rPr>
            </w:pPr>
            <w:r>
              <w:rPr>
                <w:rFonts w:ascii="Times New Roman" w:cs="Times New Roman" w:eastAsia="Times New Roman" w:hAnsi="Times New Roman"/>
                <w:sz w:val="18"/>
                <w:szCs w:val="18"/>
                <w:color w:val="auto"/>
              </w:rPr>
              <w:t>Investments 2 LLC</w:t>
            </w:r>
            <w:r>
              <w:rPr>
                <w:rFonts w:ascii="Times New Roman" w:cs="Times New Roman" w:eastAsia="Times New Roman" w:hAnsi="Times New Roman"/>
                <w:sz w:val="26"/>
                <w:szCs w:val="26"/>
                <w:color w:val="auto"/>
                <w:vertAlign w:val="superscript"/>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3,030,500</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Chardan NexTech 2</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40" w:type="dxa"/>
            <w:vAlign w:val="bottom"/>
            <w:gridSpan w:val="2"/>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6"/>
                <w:szCs w:val="26"/>
                <w:color w:val="auto"/>
                <w:vertAlign w:val="superscript"/>
              </w:rPr>
              <w:t>(6)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4,627,858</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4,627,858</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Sean Nichols</w:t>
            </w:r>
            <w:r>
              <w:rPr>
                <w:rFonts w:ascii="Times New Roman" w:cs="Times New Roman" w:eastAsia="Times New Roman" w:hAnsi="Times New Roman"/>
                <w:sz w:val="25"/>
                <w:szCs w:val="25"/>
                <w:color w:val="auto"/>
                <w:vertAlign w:val="superscript"/>
              </w:rPr>
              <w:t>(1)(7)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3,558,683</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3,558,683</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Marchetti</w:t>
            </w:r>
            <w:r>
              <w:rPr>
                <w:rFonts w:ascii="Times New Roman" w:cs="Times New Roman" w:eastAsia="Times New Roman" w:hAnsi="Times New Roman"/>
                <w:sz w:val="25"/>
                <w:szCs w:val="25"/>
                <w:color w:val="auto"/>
                <w:vertAlign w:val="superscript"/>
              </w:rPr>
              <w:t>(8)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236,417</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Chardan Capital Markets</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40" w:type="dxa"/>
            <w:vAlign w:val="bottom"/>
            <w:gridSpan w:val="2"/>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26"/>
                <w:szCs w:val="26"/>
                <w:color w:val="auto"/>
                <w:vertAlign w:val="superscript"/>
              </w:rPr>
              <w:t>(9)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485,000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Biele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Roderick Hardamon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Jory Des Jardins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Hitesh Thakrar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Thomson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BP Holdings XVII LP</w:t>
            </w:r>
            <w:r>
              <w:rPr>
                <w:rFonts w:ascii="Times New Roman" w:cs="Times New Roman" w:eastAsia="Times New Roman" w:hAnsi="Times New Roman"/>
                <w:sz w:val="25"/>
                <w:szCs w:val="25"/>
                <w:color w:val="auto"/>
                <w:vertAlign w:val="superscript"/>
              </w:rPr>
              <w:t>(10)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274,285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1,555,834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0"/>
        </w:trPr>
        <w:tc>
          <w:tcPr>
            <w:tcW w:w="20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Energy Impact Credit</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40" w:type="dxa"/>
            <w:vAlign w:val="bottom"/>
            <w:gridSpan w:val="2"/>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Fund II LP</w:t>
            </w:r>
            <w:r>
              <w:rPr>
                <w:rFonts w:ascii="Times New Roman" w:cs="Times New Roman" w:eastAsia="Times New Roman" w:hAnsi="Times New Roman"/>
                <w:sz w:val="26"/>
                <w:szCs w:val="26"/>
                <w:color w:val="auto"/>
                <w:vertAlign w:val="superscript"/>
              </w:rPr>
              <w:t>(11)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121,920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691,568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0"/>
        </w:trPr>
        <w:tc>
          <w:tcPr>
            <w:tcW w:w="2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Energy Impact Credit</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Fund I LP</w:t>
            </w:r>
            <w:r>
              <w:rPr>
                <w:rFonts w:ascii="Times New Roman" w:cs="Times New Roman" w:eastAsia="Times New Roman" w:hAnsi="Times New Roman"/>
                <w:sz w:val="26"/>
                <w:szCs w:val="26"/>
                <w:color w:val="auto"/>
                <w:vertAlign w:val="superscript"/>
              </w:rPr>
              <w:t>(12)</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60,937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345,654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568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65"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one percent.</w:t>
      </w:r>
    </w:p>
    <w:p>
      <w:pPr>
        <w:spacing w:after="0" w:line="63"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63" w:lineRule="exact"/>
        <w:rPr>
          <w:rFonts w:ascii="Times New Roman" w:cs="Times New Roman" w:eastAsia="Times New Roman" w:hAnsi="Times New Roman"/>
          <w:sz w:val="18"/>
          <w:szCs w:val="18"/>
          <w:color w:val="auto"/>
        </w:rPr>
      </w:pPr>
    </w:p>
    <w:p>
      <w:pPr>
        <w:ind w:left="340" w:right="180" w:hanging="332"/>
        <w:spacing w:after="0" w:line="258"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21st Floor, New York, NY 10004.</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120" w:hanging="332"/>
        <w:spacing w:after="0" w:line="277" w:lineRule="auto"/>
        <w:tabs>
          <w:tab w:leader="none" w:pos="3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Schedule 13D filed by the Sponsor on October 12, 2022.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w:t>
      </w:r>
    </w:p>
    <w:p>
      <w:pPr>
        <w:spacing w:after="0" w:line="5" w:lineRule="exact"/>
        <w:rPr>
          <w:rFonts w:ascii="Times New Roman" w:cs="Times New Roman" w:eastAsia="Times New Roman" w:hAnsi="Times New Roman"/>
          <w:sz w:val="17"/>
          <w:szCs w:val="17"/>
          <w:color w:val="auto"/>
        </w:rPr>
      </w:pPr>
    </w:p>
    <w:p>
      <w:pPr>
        <w:ind w:left="340" w:right="20" w:hanging="332"/>
        <w:spacing w:after="0" w:line="261"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Warrant Holdings is an affiliate of the Sponsor. The business address of Warrant Holdings is 17 State Street, 21st Floor, New York, NY 10004.</w:t>
      </w:r>
    </w:p>
    <w:p>
      <w:pPr>
        <w:spacing w:after="0" w:line="1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13" w:lineRule="exact"/>
        <w:rPr>
          <w:rFonts w:ascii="Times New Roman" w:cs="Times New Roman" w:eastAsia="Times New Roman" w:hAnsi="Times New Roman"/>
          <w:sz w:val="18"/>
          <w:szCs w:val="18"/>
          <w:color w:val="auto"/>
        </w:rPr>
      </w:pPr>
    </w:p>
    <w:p>
      <w:pPr>
        <w:ind w:left="340" w:right="260" w:hanging="332"/>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 On November 4, 2022, Dragonfly announced that Mr. Nichols would be leaving Dragonfly on November 7, 2022.</w:t>
      </w:r>
    </w:p>
    <w:p>
      <w:pPr>
        <w:spacing w:after="0" w:line="1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236,417 shares of common stock issuable upon the exercise of stock options.</w:t>
      </w:r>
    </w:p>
    <w:p>
      <w:pPr>
        <w:spacing w:after="0" w:line="63" w:lineRule="exact"/>
        <w:rPr>
          <w:rFonts w:ascii="Times New Roman" w:cs="Times New Roman" w:eastAsia="Times New Roman" w:hAnsi="Times New Roman"/>
          <w:sz w:val="18"/>
          <w:szCs w:val="18"/>
          <w:color w:val="auto"/>
        </w:rPr>
      </w:pPr>
    </w:p>
    <w:p>
      <w:pPr>
        <w:ind w:left="340" w:hanging="332"/>
        <w:spacing w:after="0" w:line="253"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 We have excluded from the number of shares beneficially owned prior to the offering all of the shares that CCM may be required to purchase upon the terms of the ChEF Equity Facility, because the issuance of such shares of common stock is solely at our discretion and is subject to conditions and limitations contained in the Purchase Agreement, the satisfaction of which are entirely outside of CCM’s control.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274,285 shares purchased upon exercise of the $10 Warrants and 1,555,834 shares underlying the Penny Warrants.</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426,720 shares purchased upon exercise of the $10 Warrants and 691,568 shares underlying the Penny Warrants.</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213,280 shares purchased upon exercise of the $10 Warrants and 345,654 shares underlying the Penny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securityholders pursuant to this offering and hold the common stock as a capital asset within the meaning of Section 1221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3" w:lineRule="exact"/>
        <w:rPr>
          <w:sz w:val="20"/>
          <w:szCs w:val="20"/>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“applicable financial statement” accounting rules under Section 451(b) of the Code;</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6"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8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who or that is for U.S. federal income tax purposes:</w:t>
      </w:r>
    </w:p>
    <w:p>
      <w:pPr>
        <w:spacing w:after="0" w:line="162" w:lineRule="exact"/>
        <w:rPr>
          <w:sz w:val="20"/>
          <w:szCs w:val="20"/>
          <w:color w:val="auto"/>
        </w:rPr>
      </w:pPr>
    </w:p>
    <w:p>
      <w:pPr>
        <w:ind w:left="680" w:right="52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 — Gain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Our Common Stock</w:t>
      </w:r>
      <w:r>
        <w:rPr>
          <w:rFonts w:ascii="Times New Roman" w:cs="Times New Roman" w:eastAsia="Times New Roman" w:hAnsi="Times New Roman"/>
          <w:sz w:val="18"/>
          <w:szCs w:val="18"/>
          <w:color w:val="auto"/>
        </w:rPr>
        <w:t>” below. In addition, if we determine that we are likely to be classified as a “United States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holding corporation” (see “</w:t>
      </w:r>
      <w:r>
        <w:rPr>
          <w:rFonts w:ascii="Times New Roman" w:cs="Times New Roman" w:eastAsia="Times New Roman" w:hAnsi="Times New Roman"/>
          <w:sz w:val="18"/>
          <w:szCs w:val="18"/>
          <w:i w:val="1"/>
          <w:iCs w:val="1"/>
          <w:color w:val="auto"/>
        </w:rPr>
        <w:t>Non-U.S. Holders — Gain on Sale, Taxable Exchange or Other Taxable Disposition of 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9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Our Common Stock</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80" w:right="120" w:hanging="321"/>
        <w:spacing w:after="0" w:line="266"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75" w:lineRule="exact"/>
        <w:rPr>
          <w:rFonts w:ascii="Times New Roman" w:cs="Times New Roman" w:eastAsia="Times New Roman" w:hAnsi="Times New Roman"/>
          <w:sz w:val="18"/>
          <w:szCs w:val="18"/>
          <w:color w:val="auto"/>
        </w:rPr>
      </w:pPr>
    </w:p>
    <w:p>
      <w:pPr>
        <w:ind w:left="680" w:hanging="321"/>
        <w:spacing w:after="0" w:line="274" w:lineRule="auto"/>
        <w:tabs>
          <w:tab w:leader="none" w:pos="6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Each selling securityholder and any of their pledgees, assignees, transferees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securityholder may use any one or more of the following methods when selling securities:</w:t>
      </w:r>
    </w:p>
    <w:p>
      <w:pPr>
        <w:spacing w:after="0" w:line="153" w:lineRule="exact"/>
        <w:rPr>
          <w:sz w:val="20"/>
          <w:szCs w:val="20"/>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subscribers;</w:t>
      </w:r>
    </w:p>
    <w:p>
      <w:pPr>
        <w:spacing w:after="0" w:line="184"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98"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securityholders to sell a specified number of such securities at a stipulated price per security;</w:t>
      </w:r>
    </w:p>
    <w:p>
      <w:pPr>
        <w:spacing w:after="0" w:line="12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3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8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securityholders may also sell securities under Rule 144 or any other exemption from registration under the Securities Act, if available, rather than under this prospectus.</w:t>
      </w:r>
    </w:p>
    <w:p>
      <w:pPr>
        <w:spacing w:after="0" w:line="13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4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1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all of the securities have been sold pursuant to this prospectus or Rule 144 under the Securities Act or any other rule of similar effect or (ii) they may be sold pursuant to Rule 144 without volume or manner-of-sale restrictions, as determined by the Company.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4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or Public Warrants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or Public Warrants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O’Melveny &amp; Myers LLP has passed upon the validity of the securities offered by this prospectus and certain other legal matters related to this 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Dragonfly and its subsidiaries as of December 31, 2021 and December 31, 2020, and for the years then ended, included in this prospectus and in this Registration Statement, have been so included in reliance on the reports of BDO USA, LLP, an independent registered public accounting firm, given on the authority of said firms as experts in auditing and accounting.</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CNTQ as of December 31, 2021 and 2020, and for the year ended December 31, 2021 and for the period from June 23, 2020 (inception) through December 31, 2020 included in this prospectus have been audited by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an independent registered public accounting firm, as set forth in their report thereon, appearing elsewhere in this prospectus, and are included in reliance on such report given upon such firm as experts in auditing and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On October 7, 2022, the Audit Committee informed Withum, the Company’s independent registered public accounting firm prior to the Transactions, that Withum will be dismissed effective following the completion of the Company’s review for the nine month period ended September 30, 2022, which consists only of the pre-Transactions accounts of CNTQ.</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report of Withum on CNTQ’s financial statements as of September 30, 2022,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 (v) of Regulation S-K under the Exchange Act other than the previously disclosed material weakness over financial reporting.</w:t>
      </w:r>
    </w:p>
    <w:p>
      <w:pPr>
        <w:spacing w:after="0" w:line="18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provided Withum with a copy of the foregoing disclosures prior to the filing of this prospectus and requested that Withum furnish a letter addressed to the SEC, which is attached hereto as Exhibit 16.1, stating whether it agrees with such disclosures, and, if not, stating the respects in which is does not agree.</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the Closing Date, the Audit Committee approved the engagement of BDO as the Company’s independent registered public accounting firm to audit the Company’s consolidated financial statements for the year ending December 31, 2022. BDO served as the independent registered public accounting firm of Legacy Dragonfly prior to the Transactions, including the audit of the consolidated financial statements of Legacy Dragonfly for the fiscal year ending December 31, 2021. During the fiscal years ended December 31, 2020 and December 31, 2021, Legacy Dragonfly did not consult with BDO with respect to (i) the application of accounting principles to a specified transaction, either completed or proposed, the type of audit opinion that might be rendered on Legacy Dragonfly’s financial statements, and neither a written report nor oral advice was provided to Legacy Dragonfly that BDO concluded was an important factor considered by BDO in reaching a decision as to any accounting, auditing or financial reporting issue, or (ii) any other matter that was the subject of a disagreement or a reportable event (each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https://www.dragonflyenergy.com/</w:t>
      </w:r>
      <w:r>
        <w:rPr>
          <w:rFonts w:ascii="Times New Roman" w:cs="Times New Roman" w:eastAsia="Times New Roman" w:hAnsi="Times New Roman"/>
          <w:sz w:val="18"/>
          <w:szCs w:val="18"/>
          <w:color w:val="auto"/>
        </w:rPr>
        <w:t>. Through our website, we make available, free of charge, annual, quarterly and current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00" w:type="dxa"/>
            <w:vAlign w:val="bottom"/>
            <w:gridSpan w:val="1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9"/>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CHARDAN NEXTECH ACQUISITION 2 CORP.</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December 31, 2020</w:t>
            </w:r>
          </w:p>
        </w:tc>
        <w:tc>
          <w:tcPr>
            <w:tcW w:w="4260" w:type="dxa"/>
            <w:vAlign w:val="bottom"/>
            <w:tcBorders>
              <w:bottom w:val="single" w:sz="8" w:color="CCEEFF"/>
            </w:tcBorders>
            <w:gridSpan w:val="14"/>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862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 ended December 31, 2021 and for the period from June 23, 2020 (inception)</w:t>
            </w:r>
          </w:p>
        </w:tc>
        <w:tc>
          <w:tcPr>
            <w:tcW w:w="560" w:type="dxa"/>
            <w:vAlign w:val="bottom"/>
            <w:gridSpan w:val="5"/>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through December 31, 2020</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Equity (Deficit) for the year ended December 31, 2021 and for the period from</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4080" w:type="dxa"/>
            <w:vAlign w:val="bottom"/>
            <w:tcBorders>
              <w:top w:val="single" w:sz="8" w:color="0000EE"/>
              <w:bottom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June 23, 2020 (inception) through December 31, 2020</w:t>
            </w:r>
          </w:p>
        </w:tc>
        <w:tc>
          <w:tcPr>
            <w:tcW w:w="492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868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 ended December 31, 2021 and for the period from June 23, 2020 (inception)</w:t>
            </w:r>
          </w:p>
        </w:tc>
        <w:tc>
          <w:tcPr>
            <w:tcW w:w="500" w:type="dxa"/>
            <w:vAlign w:val="bottom"/>
            <w:gridSpan w:val="4"/>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through December 31, 2020</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June 30, 2022 (unaudited) and December 31, 2021</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Operations for the six months ended June 30, 2022 and 2021</w:t>
            </w:r>
          </w:p>
        </w:tc>
        <w:tc>
          <w:tcPr>
            <w:tcW w:w="1820" w:type="dxa"/>
            <w:vAlign w:val="bottom"/>
            <w:tcBorders>
              <w:bottom w:val="single" w:sz="8" w:color="CCEEFF"/>
            </w:tcBorders>
            <w:gridSpan w:val="9"/>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898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(Deficit) Equity for the six months ended June 30, 2022</w:t>
            </w:r>
          </w:p>
        </w:tc>
        <w:tc>
          <w:tcPr>
            <w:tcW w:w="200" w:type="dxa"/>
            <w:vAlign w:val="bottom"/>
            <w:gridSpan w:val="3"/>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Cash Flows for the six months ended June 30, 2022 and 2021</w:t>
            </w:r>
          </w:p>
        </w:tc>
        <w:tc>
          <w:tcPr>
            <w:tcW w:w="1760" w:type="dxa"/>
            <w:vAlign w:val="bottom"/>
            <w:tcBorders>
              <w:bottom w:val="single" w:sz="8" w:color="CCEEFF"/>
            </w:tcBorders>
            <w:gridSpan w:val="8"/>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5220" w:type="dxa"/>
            <w:vAlign w:val="bottom"/>
            <w:gridSpan w:val="17"/>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00" w:type="dxa"/>
            <w:vAlign w:val="bottom"/>
            <w:gridSpan w:val="18"/>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December 31, 2020</w:t>
            </w:r>
          </w:p>
        </w:tc>
        <w:tc>
          <w:tcPr>
            <w:tcW w:w="4260" w:type="dxa"/>
            <w:vAlign w:val="bottom"/>
            <w:tcBorders>
              <w:bottom w:val="single" w:sz="8" w:color="CCEEFF"/>
            </w:tcBorders>
            <w:gridSpan w:val="14"/>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2021 and December 31, 2020</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Equity (Deficit) for the years ended December 31, 2021 and December 31, 2020</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December 31, 2020</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at June 30, 2022 and December 31, 2021 (unaudited)</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Six Months Ended June 30, 2022 and 2021 (unaudited)</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for the Six Months Ended June 30, 2022 and 2021 (unaudited)</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Six Months Ended June 30, 2022 and 2021 (unaudited)</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3080" w:type="dxa"/>
            <w:vAlign w:val="bottom"/>
            <w:tcBorders>
              <w:top w:val="single" w:sz="8" w:color="0000EE"/>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Financial Statements</w:t>
            </w:r>
          </w:p>
        </w:tc>
        <w:tc>
          <w:tcPr>
            <w:tcW w:w="4500" w:type="dxa"/>
            <w:vAlign w:val="bottom"/>
            <w:tcBorders>
              <w:top w:val="single" w:sz="8" w:color="0000EE"/>
            </w:tcBorders>
            <w:gridSpan w:val="12"/>
          </w:tcPr>
          <w:p>
            <w:pPr>
              <w:spacing w:after="0"/>
              <w:rPr>
                <w:sz w:val="15"/>
                <w:szCs w:val="15"/>
                <w:color w:val="auto"/>
              </w:rPr>
            </w:pPr>
          </w:p>
        </w:tc>
        <w:tc>
          <w:tcPr>
            <w:tcW w:w="1600" w:type="dxa"/>
            <w:vAlign w:val="bottom"/>
            <w:tcBorders>
              <w:top w:val="single" w:sz="8" w:color="CCEEFF"/>
            </w:tcBorders>
            <w:gridSpan w:val="6"/>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sheets of Chardan NexTech Acquisition 2 Corp. (the “Company”) as of December 31, 2021 and 2020, the related statements of operations, changes in stockholders’ equity and cash flows for the year ended December 31, 2021 and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June 23, 2020 (inception) through December 31, 2020,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23,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302,590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2,150,469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12,650,000 and 0 shares at redemption value of $10.15 at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 shares authorized; 3,162,500 shares issued and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(excluding 12,650,000 and 12,650,000 shares subject to possible redemption) at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(1,024,673)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(1,024,356)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w:t>
            </w:r>
          </w:p>
        </w:tc>
        <w:tc>
          <w:tcPr>
            <w:tcW w:w="4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160" w:type="dxa"/>
            <w:vAlign w:val="bottom"/>
          </w:tcPr>
          <w:p>
            <w:pPr>
              <w:spacing w:after="0"/>
              <w:rPr>
                <w:sz w:val="15"/>
                <w:szCs w:val="15"/>
                <w:color w:val="auto"/>
              </w:rPr>
            </w:pPr>
          </w:p>
        </w:tc>
        <w:tc>
          <w:tcPr>
            <w:tcW w:w="420" w:type="dxa"/>
            <w:vAlign w:val="bottom"/>
            <w:gridSpan w:val="2"/>
            <w:vMerge w:val="restart"/>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4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2"/>
                <w:szCs w:val="12"/>
                <w:color w:val="auto"/>
              </w:rPr>
            </w:pPr>
          </w:p>
        </w:tc>
        <w:tc>
          <w:tcPr>
            <w:tcW w:w="130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June 23, 2020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5"/>
                <w:szCs w:val="15"/>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1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8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(18,797)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(1,253,928)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1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7,991,952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STATEMENTS OF CHANGES IN STOCKHOLDERS’ EQUITY (DEFICIT) FOR THE YEAR ENDED DECEMBER 31, 2021 AND THE PERIOD FROM JUNE 23, 2020 (INCEPTION) THROUGH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23, 2020 (inception)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Issuance of common stock to Sponsor</w:t>
            </w:r>
            <w:r>
              <w:rPr>
                <w:rFonts w:ascii="Times New Roman" w:cs="Times New Roman" w:eastAsia="Times New Roman" w:hAnsi="Times New Roman"/>
                <w:sz w:val="23"/>
                <w:szCs w:val="23"/>
                <w:color w:val="auto"/>
                <w:vertAlign w:val="superscript"/>
              </w:rPr>
              <w:t>(1)(2)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3,162,500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3,162,500</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Initial Public Offering Costs allocated to Public</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 (net of offering costs)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15,052,646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15,052,646</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Accretion of common stock to redemption amount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(15,077,329)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(2,934,160)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(18,011,489)</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1,910,487</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317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(1,024,673)</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(1,024,356)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8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412,500 shares of common stock subject to forfeiture if the over-allotment option is not exercised in full or in part by the underwriter. On August 18, 2021, the underwriters’ exercised the over-allotment option in full, thus these shares are no longer subject to forfeiture (see Note 6).</w:t>
      </w:r>
    </w:p>
    <w:p>
      <w:pPr>
        <w:spacing w:after="0" w:line="94"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18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June 23,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(3,517,171)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(302,590)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(128,397,500)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Proceeds from promissory note</w:t>
            </w: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45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Founder Shares to Sponsor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129,719,360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799,808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year ended December 31, 2021 and for the period from June 23, 2020 (inception) through December 31, 2020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described in Note 4.</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Act</w:t>
      </w:r>
      <w:r>
        <w:rPr>
          <w:rFonts w:ascii="Times New Roman" w:cs="Times New Roman" w:eastAsia="Times New Roman" w:hAnsi="Times New Roman"/>
          <w:sz w:val="18"/>
          <w:szCs w:val="18"/>
          <w:color w:val="auto"/>
        </w:rPr>
        <w:t>”), with a maturity of 185 days or in money market funds meeting certain conditions under Rule 2a-7 promulgated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Company Act which invest only in direct U.S. government treasury obligations, until the earlier of: (i) the completion of a Business Combination and (ii) the distribution of the funds held in the Trust Account, as described below.</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color w:val="auto"/>
        </w:rPr>
        <w:t xml:space="preserve">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w:t>
      </w:r>
    </w:p>
    <w:p>
      <w:pPr>
        <w:spacing w:after="0" w:line="17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ind w:right="620" w:firstLine="8"/>
        <w:spacing w:after="0" w:line="255" w:lineRule="auto"/>
        <w:tabs>
          <w:tab w:leader="none" w:pos="1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9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2021, the Company had $799,808 in cash held outside of the Trust Account and working capital of $988,186. The Company has incurred and expects to continue to incur significant costs in pursuit of its acquisition plans. In connection with our assessment of going concern considerations in accordance with FASB ASC Topic 205-40, “Presentation of Financial Statements — Going Concern,” the Company has until February 13,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conformity with accounting principles generally accepted in the United States of America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w:t>
      </w:r>
    </w:p>
    <w:p>
      <w:pPr>
        <w:spacing w:after="0" w:line="27" w:lineRule="exact"/>
        <w:rPr>
          <w:sz w:val="20"/>
          <w:szCs w:val="20"/>
          <w:color w:val="auto"/>
        </w:rPr>
      </w:pPr>
    </w:p>
    <w:p>
      <w:pPr>
        <w:ind w:left="360" w:hanging="35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with a maturity of 185 days or less, or investments in money market funds that invest in U.S.</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(loss) from investments held in Trust Account in the accompanying statement of operations. The estimated fair values of investments held in the Trust Account are determined using available market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December 31, 2021, 12,650,000 shares of common stock subject to possible redemption is presented as temporary equity, outside of the stockholders’ equity section of the Company’s balance sheet. Effective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accumulated deficit.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the common stock reflected in the balance sheet is reconciled in the following table:</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allocated to common stock</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(933,989)</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18,011,489</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0"/>
        </w:trPr>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4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complies with the requirements of ASC 340-10-S99-1 and SEC Staff Accounting Bulletin Topic 5A — </w:t>
      </w:r>
      <w:r>
        <w:rPr>
          <w:rFonts w:ascii="Times New Roman" w:cs="Times New Roman" w:eastAsia="Times New Roman" w:hAnsi="Times New Roman"/>
          <w:sz w:val="18"/>
          <w:szCs w:val="18"/>
          <w:i w:val="1"/>
          <w:iCs w:val="1"/>
          <w:color w:val="auto"/>
        </w:rPr>
        <w:t>Expenses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Offering costs consist principally of professional and registration fees incurred through the balance sheet date that are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with changes in fair value recognized in the statements of operations in the period of change.</w:t>
      </w:r>
    </w:p>
    <w:p>
      <w:pPr>
        <w:spacing w:after="0" w:line="18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effective tax rate is less than the U.S. statutory corporate tax rate of 21% because of the unrealized change in fair value of warrant liabilities, which was the biggest factor in net income and is not taxable. The Company had a loss from operations during the year ended December 31, 2021. The Company is subject to income tax examinations by major taxing authorities since inception.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from June 23,</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2020 (inception)</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320" w:type="dxa"/>
            <w:vAlign w:val="bottom"/>
            <w:gridSpan w:val="3"/>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7,991,952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 for current assets and current liabilities approximate fair value due to their short-term nature.</w:t>
      </w:r>
    </w:p>
    <w:p>
      <w:pPr>
        <w:spacing w:after="0" w:line="162"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adopted ASU 2020-06 effective January 1, 2021 using the full retrospective method of transition. The adoption of ASU 2020-06 did not have a material impact on the financial statements for the fiscal year ended December 31, 2021.</w:t>
      </w:r>
    </w:p>
    <w:p>
      <w:pPr>
        <w:spacing w:after="0" w:line="19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completed its Initial Public Offering of 11,000,000 Units, at $10.00 per Unit, generating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$110,000,000. Each Unit consisted of one Public Share, and three-quarters of one Public Warrant. Each Public Warrant entitles the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 (see Note 7).</w:t>
      </w:r>
    </w:p>
    <w:p>
      <w:pPr>
        <w:spacing w:after="0" w:line="20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76"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68"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8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With certain limited exceptions,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December 31, 2021 and December 31, 2020, there was no outstanding balance under the note. The Company cannot make any additional draws under this promissory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8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To date, the Company has not exercised its option to use such services.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2021 and December 31, 2020, the Company had no working capital loans outstanding.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2021 and December 31, 2020 there was 9,487,500 and no Public Warrants and 4,627,858 and no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8"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6"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7"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71"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225"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par value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December 31, 2021 and December 31, 2020, the Company had no issued or outstanding shares of preferred stock.</w:t>
      </w:r>
    </w:p>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Common stock —</w:t>
      </w:r>
      <w:r>
        <w:rPr>
          <w:rFonts w:ascii="Times New Roman" w:cs="Times New Roman" w:eastAsia="Times New Roman" w:hAnsi="Times New Roman"/>
          <w:sz w:val="18"/>
          <w:szCs w:val="18"/>
          <w:color w:val="auto"/>
        </w:rPr>
        <w:t>The Company is authorized to issue 50,000,000 shares of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December 31, 2021 and December 31, 2020,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CHARDAN NEXTECH ACQUISITION 2 CORP.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NOTES TO FINANCIAL STATEMENTS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INCOME TAX</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Company’s net deferred tax assets (liabilities) as of December 31, 2021 is as follows: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63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7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allowance</w:t>
            </w:r>
          </w:p>
        </w:tc>
        <w:tc>
          <w:tcPr>
            <w:tcW w:w="4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2021 consists of the following:</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63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74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63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U.S. federal operating loss carry forwards of approximately $357,674 that may be carried forward indefinitely.</w:t>
      </w:r>
    </w:p>
    <w:p>
      <w:pPr>
        <w:spacing w:after="0" w:line="162" w:lineRule="exact"/>
        <w:rPr>
          <w:sz w:val="20"/>
          <w:szCs w:val="20"/>
          <w:color w:val="auto"/>
        </w:rPr>
      </w:pPr>
    </w:p>
    <w:p>
      <w:pPr>
        <w:jc w:val="both"/>
        <w:ind w:right="200" w:firstLine="324"/>
        <w:spacing w:after="0" w:line="257"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valuation allowance was $354,792.</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2021 is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tax assets were deemed to be de minimis as of December 31,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8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as of December 31, 2020.</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Private Warrants: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60" w:type="dxa"/>
            <w:vAlign w:val="bottom"/>
          </w:tcPr>
          <w:p>
            <w:pPr>
              <w:spacing w:after="0"/>
              <w:rPr>
                <w:sz w:val="13"/>
                <w:szCs w:val="13"/>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Pr>
          <w:p>
            <w:pPr>
              <w:spacing w:after="0"/>
              <w:rPr>
                <w:sz w:val="18"/>
                <w:szCs w:val="18"/>
                <w:color w:val="auto"/>
              </w:rPr>
            </w:pPr>
          </w:p>
        </w:tc>
        <w:tc>
          <w:tcPr>
            <w:tcW w:w="3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0.81 %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5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Warrant</w:t>
            </w:r>
          </w:p>
        </w:tc>
      </w:tr>
      <w:tr>
        <w:trPr>
          <w:trHeight w:val="173"/>
        </w:trPr>
        <w:tc>
          <w:tcPr>
            <w:tcW w:w="1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5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10"/>
        </w:trPr>
        <w:tc>
          <w:tcPr>
            <w:tcW w:w="10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23, 2020 (inception)</w:t>
            </w:r>
          </w:p>
        </w:tc>
        <w:tc>
          <w:tcPr>
            <w:tcW w:w="27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5,553,429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c>
          <w:tcPr>
            <w:tcW w:w="980" w:type="dxa"/>
            <w:vAlign w:val="bottom"/>
          </w:tcPr>
          <w:p>
            <w:pPr>
              <w:spacing w:after="0"/>
              <w:rPr>
                <w:sz w:val="18"/>
                <w:szCs w:val="18"/>
                <w:color w:val="auto"/>
              </w:rPr>
            </w:pPr>
          </w:p>
        </w:tc>
      </w:tr>
      <w:tr>
        <w:trPr>
          <w:trHeight w:val="210"/>
        </w:trPr>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27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F-20</w:t>
            </w:r>
          </w:p>
        </w:tc>
      </w:tr>
      <w:tr>
        <w:trPr>
          <w:trHeight w:val="547"/>
        </w:trPr>
        <w:tc>
          <w:tcPr>
            <w:tcW w:w="10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December 31, 2021.</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gains in connection with changes in the fair value of warrant liabilities of $3,517,171 within change in fair value of warrant liabilities in the Statements of Operations for the year ended December 31, 2021 and $0 for the period from June 23, 2020 (inception) through December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349,716</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128,610,697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0" w:type="dxa"/>
            <w:vAlign w:val="bottom"/>
          </w:tcPr>
          <w:p>
            <w:pPr>
              <w:spacing w:after="0"/>
              <w:rPr>
                <w:sz w:val="1"/>
                <w:szCs w:val="1"/>
                <w:color w:val="auto"/>
              </w:rPr>
            </w:pPr>
          </w:p>
        </w:tc>
      </w:tr>
      <w:tr>
        <w:trPr>
          <w:trHeight w:val="24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129,191,164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50,470</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879,293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1,196,513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2,150,469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12,650,000 and 12,650,000 shares at redemption value of</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 at June 30, 2022 and December 31, 2021, respectively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 shares authorized; 3,162,500 shares issued and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(excluding 12,650,000 and 12,650,000 shares subject to possible redemption) at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(403,166)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(402,849)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(1,024,356)</w:t>
            </w:r>
          </w:p>
        </w:tc>
        <w:tc>
          <w:tcPr>
            <w:tcW w:w="0" w:type="dxa"/>
            <w:vAlign w:val="bottom"/>
          </w:tcPr>
          <w:p>
            <w:pPr>
              <w:spacing w:after="0"/>
              <w:rPr>
                <w:sz w:val="1"/>
                <w:szCs w:val="1"/>
                <w:color w:val="auto"/>
              </w:rPr>
            </w:pPr>
          </w:p>
        </w:tc>
      </w:tr>
      <w:tr>
        <w:trPr>
          <w:trHeight w:val="20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129,191,164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(466,078)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(724,940)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(277,671)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(570,333)</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621,507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15,812,500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15,812,500</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15,812,500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15,812,500</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 (DEFICIT)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0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60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9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2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(1,024,673)</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(1,024,356)</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1,191,840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1,191,840</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 (unaudited)</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167,167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167,484</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(570,333)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(570,333)</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2022 (unaudited)</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(403,166)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(402,849)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580" w:type="dxa"/>
            <w:vAlign w:val="bottom"/>
          </w:tcPr>
          <w:p>
            <w:pPr>
              <w:spacing w:after="0"/>
              <w:rPr>
                <w:sz w:val="24"/>
                <w:szCs w:val="24"/>
                <w:color w:val="auto"/>
              </w:rPr>
            </w:pPr>
          </w:p>
        </w:tc>
        <w:tc>
          <w:tcPr>
            <w:tcW w:w="160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60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9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2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24,683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24,000</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2021 (unaudited)</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24,683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24,000</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(834)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2021 (unaudited)</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24,683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23,166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621,507</w:t>
            </w:r>
          </w:p>
        </w:tc>
        <w:tc>
          <w:tcPr>
            <w:tcW w:w="100" w:type="dxa"/>
            <w:vAlign w:val="bottom"/>
          </w:tcPr>
          <w:p>
            <w:pPr>
              <w:spacing w:after="0"/>
              <w:rPr>
                <w:sz w:val="18"/>
                <w:szCs w:val="18"/>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(1,156,965)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(450,092)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 —related party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(450,092)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349,716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not yet commenced any operations. All activity for the period from June 23, 2020 (Inception) through June 30,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83"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(“Warrant Holdings” or “Holdings”), an affiliate of Chardan NexTech Investments 2 LLC, a Delaware limited liability company (the “Sponsor”), generating gross proceeds of $4,052,000, which is described in Note 4.</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w:t>
      </w:r>
    </w:p>
    <w:p>
      <w:pPr>
        <w:spacing w:after="0" w:line="18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ind w:right="620" w:firstLine="8"/>
        <w:spacing w:after="0" w:line="255" w:lineRule="auto"/>
        <w:tabs>
          <w:tab w:leader="none" w:pos="1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subject to the Sponsor or its affiliates or designees, upon five days advance notice prior to the applicable deadline, depositing $1,265,000 (or $0.10 per share) into the Trust Account for each of the available three months extensions (totaling $2,530,000 in aggregate)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9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May 15, 2022, Chardan entered into an Agreement and Plan of Merger (the “Merger Agreement”) with Dragonfly Energy Corp., a Nevada corporation (“Dragonfly”), and Bronco Merger Sub, Inc., a Nevada corporation and a direct, wholly owned subsidiary of Chardan (“Merger Sub”). The Merger Agreement provides that, among other things and upon the terms and subject to the conditions thereof, the following transactions will occur:</w:t>
      </w:r>
    </w:p>
    <w:p>
      <w:pPr>
        <w:spacing w:after="0" w:line="180" w:lineRule="exact"/>
        <w:rPr>
          <w:sz w:val="20"/>
          <w:szCs w:val="20"/>
          <w:color w:val="auto"/>
        </w:rPr>
      </w:pPr>
    </w:p>
    <w:p>
      <w:pPr>
        <w:ind w:left="680" w:right="20" w:hanging="321"/>
        <w:spacing w:after="0" w:line="258"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the Merger Agreement (the “Closing”), upon the terms and subject to the conditions of the Merger Agreement, in accordance with applicable provisions of the Nevada Revised Statutes (“NRS”) and the Delaware General Corporation Law (“DGCL”), Merger Sub will merge with and into Dragonfly, the separate corporate existence of Merger Sub will cease and Dragonfly will be the surviving corporation and a wholly owned subsidiary of Chardan (the “Merger”);</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Chardan will be renamed “Dragonfly Energy Holdings Corp.” and is referred to herein as “New Dragonfly”;</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among other things, all shares of capital stock of Dragonfly outstanding as of immediately prior to the effective time of the Merger will be canceled in exchange for the right to receive shares of common stock, par value $0.0001 per share, of New Dragonfly (“New Dragonfly Common Stock”);</w:t>
      </w:r>
    </w:p>
    <w:p>
      <w:pPr>
        <w:spacing w:after="0" w:line="17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each Dragonfly option outstanding as of immediately prior to the effective time of the Merger will be converted into the right to receive a New Dragonfly option, subject to certain exceptions and conditions as set forth in the Merger Agreement;</w:t>
      </w:r>
    </w:p>
    <w:p>
      <w:pPr>
        <w:spacing w:after="0" w:line="17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40,000,000 shares of New Dragonfly Common Stock shall be issuable to existing holders of Dragonfly capital stock or pursuant to the aforementioned converted options;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existing holders of Dragonfly capital stock will have the right to receive up to an aggregate of</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additional shares of New Dragonfly Common Stock in three tranches as follows:</w:t>
      </w:r>
    </w:p>
    <w:p>
      <w:pPr>
        <w:spacing w:after="0" w:line="206"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“SEC”), New Dragonfly’s (x) total audited revenue for the year ended December 31, 2023 is equal to or greater than $250,000,000, and (y) audited operating income for the year ended December 31, 2023 is equal to or greater than $35,000,000;</w:t>
      </w:r>
    </w:p>
    <w:p>
      <w:pPr>
        <w:spacing w:after="0" w:line="183"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“Second Earnout”), if at any time during the period beginning on the Closing Date and ending on December 31, 2026, the VWAP of the New Dragonfly common stock over any 20 Trading Days (which may or may not be consecutive) within any 30 consecutive Trading Day period is greater than or equal to $22.50 per share of New Dragonfly common stock (the “Second Milestone”); and</w:t>
      </w:r>
    </w:p>
    <w:p>
      <w:pPr>
        <w:spacing w:after="0" w:line="18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“Third Earnout”), if at any time during the period beginning on the Closing Date and ending on December 31, 2028, the VWAP of the New Dragonfly common stock over any 20 Trading Days (which may or may not be consecutive) within</w:t>
      </w:r>
    </w:p>
    <w:p>
      <w:pPr>
        <w:sectPr>
          <w:pgSz w:w="11900" w:h="16838" w:orient="portrait"/>
          <w:cols w:equalWidth="0" w:num="1">
            <w:col w:w="9900"/>
          </w:cols>
          <w:pgMar w:left="980" w:top="513"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any 30 consecutive Trading Day period is greater than or equal to $32.50 per share of New Dragonfly common stock (the “Third Milestone”).</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8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of Chardan (the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76"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Board will be composed of seven members, five of whom will be designated by Dragonfly and two of whom will be designated by Chardan.</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80"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“Extended Termination Date”);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&amp; Certain Restrictions on Transfer</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Merger Agreement contemplates that, at the Closing, New Dragonfly, Chardan NexTech Investments 2 LLC, a Delaware limited liability company (the “Sponsor”), Chardan’s initial stockholders, certain shareholders of Dragonfly and certain of each of their respective affiliates, as applicable, and the other parties thereto, will enter into an Amended and Restated Registration Rights Agreement (the “Registration Rights Agreement”), pursuant to which New Dragonfly will agree to register for resale, pursuant to Rule 415 under the Securities Act of 1933, as amended (the “Securities Act”),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280" w:hanging="272"/>
        <w:spacing w:after="0"/>
        <w:tabs>
          <w:tab w:leader="none" w:pos="2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Earnout Shares (as defined in the Merger Agreement) issued within six (6) months of the closing date and any shares of New</w:t>
      </w:r>
    </w:p>
    <w:p>
      <w:pPr>
        <w:spacing w:after="0" w:line="27"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 Common Stock issued with respect to or in exchange for such Earnout Shares (the “Lock-up Shares”). Such restrictions begin at the Closing and end on the date that is six months after Closing.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15, 2022, the Sponsor, Chardan and Dragonfly entered into the Sponsor Support Agreement (the “Sponsor Support Agreement”),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set forth in the Subscription Agreement, the PIPE Investor may purchase shares of the Chardan common stock, par value $0.0001 per share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PIPE Investment will be consummated substantially concurrently with the Closing.</w:t>
      </w:r>
    </w:p>
    <w:p>
      <w:pPr>
        <w:spacing w:after="0" w:line="22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Subscription Agreement will terminate with no further force and effect upon the earliest to occur of: (i) such date and time as the Merger Agreement is terminated in accordance with its terms, (ii) the mutual written agreement of the parties to the Subscription Agreement, (iii) if the conditions to closing set forth in the Subscription Agreement are not satisfied at, or are not capable of being satisfied on or prior to, the Closing and, as a result thereof, the transactions contemplated by the Subscription Agreement will not be or are not consummated at the Closing and (iv) May 15, 2023, if the Closing has not occurred on or before such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Commitment Letter</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15, 2022, Chardan and Dragonfly entered into a commitment letter (the “Debt Commitment Letter”), with EICF Agent LLC (“EIP”) and CCM Investments 5 LLC, an affiliate of the Sponsor (“CCM 5”, and collectively with EIP, the “Initial Lenders”), pursuant to which the Initial Lenders have agreed to provide Dragonfly with a senior secured term loan facility in an aggregate principal amount of $75,000,000 (the “Term Loan Facility”) subject to the satisfaction of a number of specified conditions set forth in the Debt Commitment Letter. CCM 5 intends to backstop its commitment under the Debt Commitment Letter by entering into a backstop commitment letter (the “Backstop Commitment Letter”) with certain third party financing sources prior to the Closing Date.</w:t>
      </w:r>
    </w:p>
    <w:p>
      <w:pPr>
        <w:spacing w:after="0" w:line="187" w:lineRule="exact"/>
        <w:rPr>
          <w:sz w:val="20"/>
          <w:szCs w:val="20"/>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w:t>
      </w:r>
    </w:p>
    <w:p>
      <w:pPr>
        <w:spacing w:after="0" w:line="1" w:lineRule="exact"/>
        <w:rPr>
          <w:sz w:val="20"/>
          <w:szCs w:val="20"/>
          <w:color w:val="auto"/>
        </w:rPr>
      </w:pPr>
    </w:p>
    <w:p>
      <w:pPr>
        <w:ind w:right="200" w:firstLine="8"/>
        <w:spacing w:after="0" w:line="255" w:lineRule="auto"/>
        <w:tabs>
          <w:tab w:leader="none" w:pos="2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“Penny Warrants”) exercisable to purchase 3.6% of New Dragonfly’s common stock on a fully-diluted basis, calculated as of the Closing Date, and (ii) warrants (the “$10 Per Share Warrants”)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Facility Letter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15, 2022, Chardan, Dragonfly and CCM 5 (the “Equity Facility Investor”) entered into a letter agreement (together with the Summary of Indicative Terms attached as an exhibit thereto, the “Equity Facility Letter Agreement”) pursuant to which Chardan and Dragonfly agreed to enter into definitive documentation (the “Equity Facility Definitive Documentation”) to establish a committed equity facility (the “Equity Facility”)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19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are filed with this Current Report on Form 8-K, and the terms of which are incorporated by reference herein.</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$349,716 in cash held outside of the Trust Account and working capital surplus of $263,247. The Company has incurred and expects to continue to incur significant costs in pursuit of its acquisition plans. These conditions raise substantial doubt about the Company’s ability to continue as a going concern through February 13, 2023, the date at which the Company must consummate a business combination after taking into the effect of both extensions being filed, as described below. Management plans to address the uncertainty through a Business Combination, which is not guaranteed.</w:t>
      </w:r>
    </w:p>
    <w:p>
      <w:pPr>
        <w:spacing w:after="0" w:line="183"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FASB ASC Topic 205-40, “Presentation of Financial Statements — Going Concern,” the Company will have 12 months, or August 13, 2022, from the closing of the Initial Public Offering to consummate an initial Business Combination. However, if the Company anticipates that it may not be able to consummate an initial Business Combination within 12 months, the Company’s Sponsor or their affiliates or designees may, but are not obligated to, extend the period of time to consummate a Business Combination up to two times by an additional three months each time (for a total of up to 18 months, or February 13, 2023, to complete a Business Combination), by depositing into the Trust Account $1,265,000 for each extension ($0.10 per share or $2,530,000 in aggregate), on or prior to date of applicable deadline. If a Business Combination is not consummated by this date, there will be a mandatory liquidation and subsequent dissolution of the Company. Although the Company plans to complete a Business Combination before the date of liquidation, the Company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condensed financial statements. The condensed financial statements do not include any adjustments that might result from the outcome of this uncertainty.</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condensed financial statements. The specific impact on the Company’s financial condition, results of operations, and cash flows is also not determinable as of the date of these condensed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accompanying condensed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condensed financial statements include all adjustments, consisting of a normal recurring nature, which are necessary for a fair presentation of the financial position, operating results and cash flows for the periods presented. The accompanying condensed financial statements should be read in conjunction with the Company’s annual report on Form 10-K as filed with the SEC on March 29, 2022. The interim results for the three and six months ended June 30, 2022 are not necessarily indicative of the results to be expected for the year ending December 31, 2022 or for any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periods.</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financial statements, which management considered in formulating its estimate, could change in the near term due to one or more future confirming events. Accordingly, the actual results could differ significantly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June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w:t>
      </w:r>
    </w:p>
    <w:p>
      <w:pPr>
        <w:spacing w:after="0" w:line="27" w:lineRule="exact"/>
        <w:rPr>
          <w:sz w:val="20"/>
          <w:szCs w:val="20"/>
          <w:color w:val="auto"/>
        </w:rPr>
      </w:pPr>
    </w:p>
    <w:p>
      <w:pPr>
        <w:ind w:left="360" w:hanging="352"/>
        <w:spacing w:after="0"/>
        <w:tabs>
          <w:tab w:leader="none" w:pos="3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with a maturity of 185 days or less, or investments in money market funds that invest in U.S.</w:t>
      </w:r>
    </w:p>
    <w:p>
      <w:pPr>
        <w:spacing w:after="0" w:line="9" w:lineRule="exact"/>
        <w:rPr>
          <w:rFonts w:ascii="Times New Roman" w:cs="Times New Roman" w:eastAsia="Times New Roman" w:hAnsi="Times New Roman"/>
          <w:sz w:val="18"/>
          <w:szCs w:val="18"/>
          <w:color w:val="auto"/>
        </w:rPr>
      </w:pPr>
    </w:p>
    <w:p>
      <w:pPr>
        <w:ind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 Account in the accompanying statement of operations. The estimated fair values of investments held in the Trust Account are determined using available market information. At June 30, 2022 and December 31, 2021, the assets held in the Trust Account were $128,610,697 and $128,421,215,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ind w:right="240" w:firstLine="324"/>
        <w:spacing w:after="0" w:line="277"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w:t>
      </w:r>
    </w:p>
    <w:p>
      <w:pPr>
        <w:sectPr>
          <w:pgSz w:w="11900" w:h="16838" w:orient="portrait"/>
          <w:cols w:equalWidth="0" w:num="1">
            <w:col w:w="9900"/>
          </w:cols>
          <w:pgMar w:left="980" w:top="513"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common stock feature certain redemption rights that is considered to be outside of the Company’s control and subject to the occurrence of uncertain future events. Accordingly, as of June 30, 2022 and December 31, 2021, 12,650,000 shares of common stock subject to possible redemption is presented as temporary equity, outside of the stockholders’ equity section of the Company’s condensed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common stock reflected in the condensed balance sheets are reconciled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allocated to common stock</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(933,989)</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18,011,489</w:t>
            </w:r>
          </w:p>
        </w:tc>
      </w:tr>
      <w:tr>
        <w:trPr>
          <w:trHeight w:val="209"/>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0"/>
        </w:trPr>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Expenses of Offering.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4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unaudited condensed statements of operations.</w:t>
      </w:r>
    </w:p>
    <w:p>
      <w:pPr>
        <w:spacing w:after="0" w:line="183"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The Company accounts for the Private Warrants issued concurrently in connection with the Initial Public Offering in accordance with ASC 815-40, under which the Private Warrants will not meet the criteria for equity classification and must be recorded as</w:t>
      </w:r>
    </w:p>
    <w:p>
      <w:pPr>
        <w:sectPr>
          <w:pgSz w:w="11900" w:h="16838" w:orient="portrait"/>
          <w:cols w:equalWidth="0" w:num="1">
            <w:col w:w="9900"/>
          </w:cols>
          <w:pgMar w:left="980" w:top="513" w:right="10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unaudited condensed statements of operations in the period of change.</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condensed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condensed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income taxes was deemed to be de minimis for the three and six months ended June 30,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accounting and disclosure requirements of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18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Pr>
          <w:p>
            <w:pPr>
              <w:spacing w:after="0"/>
              <w:rPr>
                <w:sz w:val="13"/>
                <w:szCs w:val="13"/>
                <w:color w:val="auto"/>
              </w:rPr>
            </w:pPr>
          </w:p>
        </w:tc>
        <w:tc>
          <w:tcPr>
            <w:tcW w:w="9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(570,333)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846"/>
        </w:trPr>
        <w:tc>
          <w:tcPr>
            <w:tcW w:w="4040" w:type="dxa"/>
            <w:vAlign w:val="bottom"/>
          </w:tcPr>
          <w:p>
            <w:pPr>
              <w:spacing w:after="0"/>
              <w:rPr>
                <w:sz w:val="24"/>
                <w:szCs w:val="24"/>
                <w:color w:val="auto"/>
              </w:rPr>
            </w:pP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F-35</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 Insurance Corporation coverage limit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condensed balance sheet for current assets and current liabilities approximate fair value due to their short-term nature.</w:t>
      </w:r>
    </w:p>
    <w:p>
      <w:pPr>
        <w:spacing w:after="0" w:line="162" w:lineRule="exact"/>
        <w:rPr>
          <w:sz w:val="20"/>
          <w:szCs w:val="20"/>
          <w:color w:val="auto"/>
        </w:rPr>
      </w:pPr>
    </w:p>
    <w:p>
      <w:pPr>
        <w:ind w:left="340" w:right="840"/>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left="340" w:right="340"/>
        <w:spacing w:after="0" w:line="266"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6"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completed its Initial Public Offering of 11,000,000 Units, at $10.00 per Unit, generating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$110,000,000. Each Unit consisted of one Public Share, and three-quarters of one Public Warrant. Each Public Warrant entitles the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 (see Note 7).</w:t>
      </w:r>
    </w:p>
    <w:p>
      <w:pPr>
        <w:spacing w:after="0" w:line="20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condensed balance sheet in accordance with the guidance contained in ASC 815-40.</w:t>
      </w:r>
    </w:p>
    <w:p>
      <w:pPr>
        <w:spacing w:after="0" w:line="18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condensed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9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June 30, 2022 and December 31, 2021, there was no outstanding balance under the note. The Promissory Note is no longer available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June 30, 2022, the Company has not exercised its option to use such services.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ind w:right="140" w:firstLine="324"/>
        <w:spacing w:after="0" w:line="273" w:lineRule="auto"/>
        <w:rPr>
          <w:sz w:val="20"/>
          <w:szCs w:val="20"/>
          <w:color w:val="auto"/>
        </w:rPr>
      </w:pPr>
      <w:r>
        <w:rPr>
          <w:rFonts w:ascii="Times New Roman" w:cs="Times New Roman" w:eastAsia="Times New Roman" w:hAnsi="Times New Roman"/>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June 30, 2022 and December 31, 2021, the Company had no working capital loans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stockholders and their affiliates or designees are not obligated to fund the Trust Account to extend the time for the Company to complete an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June 30, 2022 and December 31, 2021 there was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6"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7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7" w:lineRule="exact"/>
        <w:rPr>
          <w:sz w:val="20"/>
          <w:szCs w:val="20"/>
          <w:color w:val="auto"/>
        </w:rPr>
      </w:pPr>
    </w:p>
    <w:p>
      <w:pPr>
        <w:ind w:right="140" w:firstLine="324"/>
        <w:spacing w:after="0" w:line="273"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 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88"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22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Company is authorized to issue 1,000,000 shares of preferred stock, par value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June 30, 2022 and December 31, 2021, the Company had no issued or outstanding shares of preferred stock.</w:t>
      </w:r>
    </w:p>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50,000,000 shares of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30, 2022 and December 31, 2021,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June 30, 2022 was 0.0%. The effective tax rate for the three and six months ended June 30, 2021 was 0.0%. The Company’s effective tax rate differs from the statutory income tax rate of 21% primarily due to the recognition of gains or losses from the changes in the fair value of warrant liabilities and unrealized gains on the investments held in the Trust Account, which are not recognized for tax purposes. The Company has historically calculated the provision for income taxes during interim reporting periods by applying an estimate of the annual effective tax rate for the full fiscal year to income or loss for the reporting period. The Company has used a discrete effective tax rate method to calculate taxes for the three and six months ended June 30, 2022. The Company believes that, at this time, the use of the discrete method for the three and six months ended June 30, 2022 is more appropriate than the estimated annual effective tax rate method as the estimated annual effective tax rate method is not reliable due to a high degree of uncertainty in estimating annual pretax earnings.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liabilities that are measured at fair value on a recurring basis as of June 30, 2022 and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128,610,697</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128,610,697</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879,293</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879,293</w:t>
            </w:r>
          </w:p>
        </w:tc>
        <w:tc>
          <w:tcPr>
            <w:tcW w:w="0" w:type="dxa"/>
            <w:vAlign w:val="bottom"/>
          </w:tcPr>
          <w:p>
            <w:pPr>
              <w:spacing w:after="0"/>
              <w:rPr>
                <w:sz w:val="1"/>
                <w:szCs w:val="1"/>
                <w:color w:val="auto"/>
              </w:rPr>
            </w:pPr>
          </w:p>
        </w:tc>
      </w:tr>
      <w:tr>
        <w:trPr>
          <w:trHeight w:val="335"/>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2,036,258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Private Warrants: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60" w:type="dxa"/>
            <w:vAlign w:val="bottom"/>
          </w:tcPr>
          <w:p>
            <w:pPr>
              <w:spacing w:after="0"/>
              <w:rPr>
                <w:sz w:val="13"/>
                <w:szCs w:val="13"/>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78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Term to Business Combination (years)</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11.8 %</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3.00 %</w:t>
            </w:r>
          </w:p>
        </w:tc>
        <w:tc>
          <w:tcPr>
            <w:tcW w:w="1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shd w:val="clear" w:color="auto" w:fill="CCEEFF"/>
          </w:tcPr>
          <w:p>
            <w:pPr>
              <w:spacing w:after="0"/>
              <w:rPr>
                <w:sz w:val="18"/>
                <w:szCs w:val="18"/>
                <w:color w:val="auto"/>
              </w:rPr>
            </w:pPr>
          </w:p>
        </w:tc>
      </w:tr>
      <w:tr>
        <w:trPr>
          <w:trHeight w:val="864"/>
        </w:trPr>
        <w:tc>
          <w:tcPr>
            <w:tcW w:w="3780" w:type="dxa"/>
            <w:vAlign w:val="bottom"/>
          </w:tcPr>
          <w:p>
            <w:pPr>
              <w:spacing w:after="0"/>
              <w:rPr>
                <w:sz w:val="24"/>
                <w:szCs w:val="24"/>
                <w:color w:val="auto"/>
              </w:rPr>
            </w:pPr>
          </w:p>
        </w:tc>
        <w:tc>
          <w:tcPr>
            <w:tcW w:w="274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F-41</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23, 2020 (inception)</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5,553,429</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r>
      <w:tr>
        <w:trPr>
          <w:trHeight w:val="250"/>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December 31, 2021</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r>
      <w:tr>
        <w:trPr>
          <w:trHeight w:val="197"/>
        </w:trPr>
        <w:tc>
          <w:tcPr>
            <w:tcW w:w="8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5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1,434,636</w:t>
            </w:r>
          </w:p>
        </w:tc>
      </w:tr>
      <w:tr>
        <w:trPr>
          <w:trHeight w:val="209"/>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March 31, 2022</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601,622</w:t>
            </w:r>
          </w:p>
        </w:tc>
      </w:tr>
      <w:tr>
        <w:trPr>
          <w:trHeight w:val="20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(277,671)</w:t>
            </w:r>
          </w:p>
        </w:tc>
      </w:tr>
      <w:tr>
        <w:trPr>
          <w:trHeight w:val="21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2022</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879,293</w:t>
            </w: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a loss in connection with changes in the fair value of warrant liabilities of $277,671 within change in fair value of warrant liabilities in the unaudited condensed statement of operations for the three months ended June 30, 2022. The Company recognized a gain in connection with changes in the fair value of warrant liabilities of $1,156,965 within change in fair value of warrant liabilities in the unaudited condensed statement of operations for the six months ended June 30, 2022. For the three and six months ended June 30, 2021, there were no warrants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financial statements were issued. Based upon this review, except as noted below, the Company did not identify any subsequent events that would have required adjustment or disclosure in the unaudited condensed financial statements.</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July 12, 2022, the Company, Dragonfly and Merger Sub entered into that certain Amendment to the Agreement and Plan of Merger, between the Company, Dragonfly and Merger Sub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which amended the Merger Agreement to, among other things, reflect a $15 million increase in the consideration to be issued in the business combination in connection with Dragonfly entering into a Stock Purchase Agreement with THOR Industries, Inc.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dated as of July 12, 2022, whereby for $15 million in cash, THOR purchased 1,267,502 shares of Dragonfly common stock (the “</w:t>
      </w:r>
      <w:r>
        <w:rPr>
          <w:rFonts w:ascii="Times New Roman" w:cs="Times New Roman" w:eastAsia="Times New Roman" w:hAnsi="Times New Roman"/>
          <w:sz w:val="18"/>
          <w:szCs w:val="18"/>
          <w:b w:val="1"/>
          <w:bCs w:val="1"/>
          <w:color w:val="auto"/>
        </w:rPr>
        <w:t>THOR Investment</w:t>
      </w:r>
      <w:r>
        <w:rPr>
          <w:rFonts w:ascii="Times New Roman" w:cs="Times New Roman" w:eastAsia="Times New Roman" w:hAnsi="Times New Roman"/>
          <w:sz w:val="18"/>
          <w:szCs w:val="18"/>
          <w:color w:val="auto"/>
        </w:rPr>
        <w:t>”). In connection with the THOR Investment, THOR and Dragonfly will enter into a commercial arrangement pursuant to which (i) THOR and certain of THOR’s affiliates will, among other things, transition to lithium-ion batteries manufactured and sold by Dragonfly, and (ii) Dragonfly will, among other things, grant certain board observer rights (with customary limitations) to THOR.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than as expressly modified by the Amendment, the Merger Agreement remains in full force and effect.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22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On August 5, 2022, Chardan held a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holders of 11,331,512 shares of common stock of Chardan, par value $0.0001 per share (“</w:t>
      </w:r>
      <w:r>
        <w:rPr>
          <w:rFonts w:ascii="Times New Roman" w:cs="Times New Roman" w:eastAsia="Times New Roman" w:hAnsi="Times New Roman"/>
          <w:sz w:val="18"/>
          <w:szCs w:val="18"/>
          <w:b w:val="1"/>
          <w:bCs w:val="1"/>
          <w:color w:val="auto"/>
        </w:rPr>
        <w:t>Chardan Common Stock</w:t>
      </w:r>
      <w:r>
        <w:rPr>
          <w:rFonts w:ascii="Times New Roman" w:cs="Times New Roman" w:eastAsia="Times New Roman" w:hAnsi="Times New Roman"/>
          <w:sz w:val="18"/>
          <w:szCs w:val="18"/>
          <w:color w:val="auto"/>
        </w:rPr>
        <w:t>”), were present in person or by proxy, representing approximately 71.66% of the voting power of the 15,812,500 shares of Chardan Common Stock issued and outstanding entitled to vote at the Special Meeting at the close of business on July 11, 2022, which was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Stockholders of record as of the close of business on the Record Date are referred to herein as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At the Special Meeting, the Stockholders approved the proposal to amend the Company’s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provide the Company’s officers, directors, initial stockholders and Chardan NexTech 2 Warrant Holdings, LLC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the ability to extend the date by which the Company must complete a business combination up to three (3) times for an additional one (1) month each time (for a maximum of three (3) one-month extensions) upon the deposit into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by the Insiders, their affiliates or designees of $200,000 upon five days’ advance notice prior to August 13, 2022 (or such other applicable deadline) (the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On July 29, 2022, to effectuate the Charter Amendment,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and adopted the Second Amended and Restated Certificate of Incorporation of the Company (the “</w:t>
      </w:r>
      <w:r>
        <w:rPr>
          <w:rFonts w:ascii="Times New Roman" w:cs="Times New Roman" w:eastAsia="Times New Roman" w:hAnsi="Times New Roman"/>
          <w:sz w:val="18"/>
          <w:szCs w:val="18"/>
          <w:b w:val="1"/>
          <w:bCs w:val="1"/>
          <w:color w:val="auto"/>
        </w:rPr>
        <w:t>Second A&amp;R Charter</w:t>
      </w:r>
      <w:r>
        <w:rPr>
          <w:rFonts w:ascii="Times New Roman" w:cs="Times New Roman" w:eastAsia="Times New Roman" w:hAnsi="Times New Roman"/>
          <w:sz w:val="18"/>
          <w:szCs w:val="18"/>
          <w:color w:val="auto"/>
        </w:rPr>
        <w:t>”). The foregoing description of the Second A&amp;R Charter does not purport to be complete and is qualified in its entirety by the terms of the Second A&amp;R Charter, a copy of which is attached hereto as Exhibit 3.1 and incorporated herein by reference.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 resulting in the distribution of $97,194,950 from the Trust Account to the redeeming Stockholders. Following such redemptions, approximately $31,460,579 remains in the Trust Account and 6,255,848 shares of Chardan Common Stock will remain issued and outstanding.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the Company and Continental Stock Transfer &amp;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authorize the Extension and its implementation by the Company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On July 29,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effectuate the Trust Amendment Proposal, the Board approved and adopted Amendment No. 1 to the Investment Management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Trust Agreement Amendment</w:t>
      </w:r>
      <w:r>
        <w:rPr>
          <w:rFonts w:ascii="Times New Roman" w:cs="Times New Roman" w:eastAsia="Times New Roman" w:hAnsi="Times New Roman"/>
          <w:sz w:val="18"/>
          <w:szCs w:val="18"/>
          <w:color w:val="auto"/>
        </w:rPr>
        <w:t>”). The foregoing description of the Trust Agreement Amendment does not purport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complete and is qualified in its entirety by the terms of the Trust Agreement Amendment, a copy of which is attached hereto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10.6 and incorporated herein 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Extension, the Insiders notified the Company on August 8, 2022 of the Insiders’ intention to extend the date by which the Company must complete a business combination for an additional one (1) month by depositing $200,000 into the Trust Account.</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Also in connection with the Extension, the Company and Chardan NexTech 2 Warrant Holdings, LLC (“CNTQ Warrant Holdings”) entered into a promissory note on August 11, 2022 (the “Extension Note”), whereby the Company agreed to pay $200,000 to CNTQ Warrant Holdings.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Insiders notified the Company on September 6, 2022 of the Insiders’ intention to extend the date by which the Company must complete a business combination for an additional one (1) month by depositing $200,000 into the Trust Account (the “Extension No. 2”).</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No. 2, the Company and CNTQ Warrant Holdings entered into a promissory note on September 8, 2022 (the “Extension Note 2”), whereby the Company agreed to pay $200,000 to CNTQ Warrant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26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FINANCIAL STATEMENT FOR THE YEARS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6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7240" w:type="dxa"/>
            <w:vAlign w:val="bottom"/>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420" w:type="dxa"/>
            <w:vAlign w:val="bottom"/>
            <w:tcBorders>
              <w:top w:val="single" w:sz="8" w:color="CCEEFF"/>
            </w:tcBorders>
          </w:tcPr>
          <w:p>
            <w:pPr>
              <w:spacing w:after="0"/>
              <w:rPr>
                <w:sz w:val="15"/>
                <w:szCs w:val="15"/>
                <w:color w:val="auto"/>
              </w:rPr>
            </w:pPr>
          </w:p>
        </w:tc>
        <w:tc>
          <w:tcPr>
            <w:tcW w:w="7240" w:type="dxa"/>
            <w:vAlign w:val="bottom"/>
            <w:tcBorders>
              <w:top w:val="single" w:sz="8" w:color="CCEEFF"/>
            </w:tcBorders>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Income</w:t>
            </w:r>
          </w:p>
        </w:tc>
        <w:tc>
          <w:tcPr>
            <w:tcW w:w="1020" w:type="dxa"/>
            <w:vAlign w:val="bottom"/>
            <w:tcBorders>
              <w:bottom w:val="single" w:sz="8" w:color="CCEEFF"/>
            </w:tcBorders>
            <w:gridSpan w:val="3"/>
            <w:shd w:val="clear" w:color="auto" w:fill="CCEEFF"/>
          </w:tcPr>
          <w:p>
            <w:pPr>
              <w:spacing w:after="0"/>
              <w:rPr>
                <w:sz w:val="17"/>
                <w:szCs w:val="17"/>
                <w:color w:val="auto"/>
              </w:rPr>
            </w:pPr>
          </w:p>
        </w:tc>
        <w:tc>
          <w:tcPr>
            <w:tcW w:w="7240" w:type="dxa"/>
            <w:vAlign w:val="bottom"/>
            <w:tcBorders>
              <w:bottom w:val="single" w:sz="8" w:color="CCEEFF"/>
            </w:tcBorders>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Statements of Shareholders’ Equity</w:t>
            </w:r>
          </w:p>
        </w:tc>
        <w:tc>
          <w:tcPr>
            <w:tcW w:w="7240" w:type="dxa"/>
            <w:vAlign w:val="bottom"/>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7240" w:type="dxa"/>
            <w:vAlign w:val="bottom"/>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40" w:type="dxa"/>
            <w:vAlign w:val="bottom"/>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Dragonfly Energy Corp. (the “Company”) as of December 31, 2021 and 2020, the related statements of income, shareholders’ equity,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$ 25,586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0" w:type="dxa"/>
            <w:vAlign w:val="bottom"/>
          </w:tcPr>
          <w:p>
            <w:pPr>
              <w:spacing w:after="0"/>
              <w:rPr>
                <w:sz w:val="1"/>
                <w:szCs w:val="1"/>
                <w:color w:val="auto"/>
              </w:rPr>
            </w:pPr>
          </w:p>
        </w:tc>
      </w:tr>
      <w:tr>
        <w:trPr>
          <w:trHeight w:val="209"/>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Vehicle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$ 76,251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payable-noncurrent, net of debt issuance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10,000,000 shares at $0.0002 par value, authorized, 10,000,000 shares issued and outstanding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40,000,000 shares at $0.0002 par value, authorized, 20,875,475 shares issued and outstanding as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December 31, 2021, 20,040,470 shares issued and outstanding as of December 31, 2020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Shareholders’ Equity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$ 76,251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197"/>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 Basic</w:t>
            </w:r>
          </w:p>
        </w:tc>
        <w:tc>
          <w:tcPr>
            <w:tcW w:w="2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0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tcBorders>
              <w:bottom w:val="single" w:sz="8" w:color="CCEEFF"/>
            </w:tcBorders>
            <w:vMerge w:val="continue"/>
          </w:tcPr>
          <w:p>
            <w:pPr>
              <w:spacing w:after="0"/>
              <w:rPr>
                <w:sz w:val="20"/>
                <w:szCs w:val="20"/>
                <w:color w:val="auto"/>
              </w:rPr>
            </w:pPr>
          </w:p>
        </w:tc>
        <w:tc>
          <w:tcPr>
            <w:tcW w:w="20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 Basic</w:t>
            </w:r>
          </w:p>
        </w:tc>
        <w:tc>
          <w:tcPr>
            <w:tcW w:w="2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20,101,129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20,040,470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21,931,108</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21,388,785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20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Redeemable Preferred Stock</w:t>
            </w:r>
          </w:p>
        </w:tc>
        <w:tc>
          <w:tcPr>
            <w:tcW w:w="60" w:type="dxa"/>
            <w:vAlign w:val="bottom"/>
          </w:tcPr>
          <w:p>
            <w:pPr>
              <w:spacing w:after="0"/>
              <w:rPr>
                <w:sz w:val="15"/>
                <w:szCs w:val="15"/>
                <w:color w:val="auto"/>
              </w:rPr>
            </w:pPr>
          </w:p>
        </w:tc>
        <w:tc>
          <w:tcPr>
            <w:tcW w:w="13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 payable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revolving note agreement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Repayments of revolving note agreement</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5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3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r>
      <w:tr>
        <w:trPr>
          <w:trHeight w:val="196"/>
        </w:trPr>
        <w:tc>
          <w:tcPr>
            <w:tcW w:w="7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of options exercised</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bl>
    <w:p>
      <w:pPr>
        <w:spacing w:after="0" w:line="19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These accompanying financial statements have been prepared pursuant to the rules and regulations of the Securities and Exchange Commission (“SEC”) and in accordance with generally accepted accounting principles in the United States of America (“GAAP”).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amounts disclosed in prior period financial statements have been reclassified to conform to the current period presentation.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had no effect on reported income, cash flows, total assets, or shareholders’ equity as previously reported.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The new standard reduces the complexity of accounting for income taxes by eliminating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Company adopted this guidance effective January 1, 2021 which did not have a material impact on the accompanying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2021-04 are effective January 1, 2022. This ASU shall be applied on a prospective basis. The Company determined that the change in guidance did not have a material impact to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20" w:right="242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Restricted Cash, and Cash Equivalents</w:t>
      </w:r>
    </w:p>
    <w:p>
      <w:pPr>
        <w:spacing w:after="0" w:line="22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December 31, 2021 or 2020. The Company also maintains a restricted cash balance to satisfy its note payable requirements (Refer to Note 5).</w:t>
      </w:r>
    </w:p>
    <w:p>
      <w:pPr>
        <w:spacing w:after="0" w:line="176"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December 31, 2021 and 2020 of $50 and $0,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ind w:right="120" w:firstLine="324"/>
        <w:spacing w:after="0" w:line="272" w:lineRule="auto"/>
        <w:rPr>
          <w:sz w:val="20"/>
          <w:szCs w:val="20"/>
          <w:color w:val="auto"/>
        </w:rPr>
      </w:pPr>
      <w:r>
        <w:rPr>
          <w:rFonts w:ascii="Times New Roman" w:cs="Times New Roman" w:eastAsia="Times New Roman" w:hAnsi="Times New Roman"/>
          <w:sz w:val="17"/>
          <w:szCs w:val="17"/>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Depreciation expense for the years ended December 31, 2021 and 2020 was $617 and $198, respectively. The various classes of property and equipment and estimated useful lives are as follows:</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Remaining Term of Lease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The Company does not have any finance leases as of December 31, 2021 or 2020.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 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Income.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In such instances, the Company records a customer deposit liability. Payment terms for distributors and OEMs are due within 30-60 days after shipment. The Company recognizes these contract liabilities as sales after the revenue criteria are met. As of December 31, 2021 and 2020, the contract liability related to the Company’s customer deposits approximated $434 and $1,779, respectively. The entire contract liability balance as of December 31, 2020 was recognized as revenue during the year ended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47,187</w:t>
            </w: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$5,105 and $2,568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2021 and 2020 are immaterial to the Company’s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and Sales Allowances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provision for returns and sales allowances is determined by an analysis of the historical rate of returns and sales allowances over recent quarters and adjusted to reflect management’s future expectations. The Company has accrued for sales allowances as of December 31, 2021 in the amount of $170. There was no accrual for sales allowances as of December 31,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significant revenue concentrations for the years ended December 31, 2021 and 2020.</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Receivables from two customers comprised approximately 42% and 16%, respectively, of accounts receivable as of December 31, 2021. Receivables from one customer comprised approximately 22% of accounts receivable as of December 31, 2020. There are no other significant accounts receivable concentrations.</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three vendors accounted for approximately 27%, 10% and 10% of the Company’s total purchases, respectively. For the year ended December 31, 2020, four vendors accounted for approximately 19%, 14%, 11% and 10% of the Company’s total purchases,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$1,690 and $1,069 for the years ending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 consultants using a fair value method which requires the recognition of compensation expense for costs related to all stock-based payments, including stock options (Note 8). The fair value method requires the Company to estimate the fair value of stock-based payment awards to employees and non-employees on the date of grant using an option pricing model.</w:t>
      </w:r>
    </w:p>
    <w:p>
      <w:pPr>
        <w:spacing w:after="0" w:line="180"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costs are based on the fair value of the underlying option calculated using the Black Scholes option pricing model and recognized as expense on a straight-line basis over the requisite service period, which is the vesting period. The Company measures equity-based compensation awards granted to non-employees at fair value as the awards vest and recognizes the resulting value as compensation expense at each financial reporting period.</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7)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$0 and $19 as of December 31, 2021 and 2020, respectively, of uncertain tax positions.</w:t>
      </w:r>
    </w:p>
    <w:p>
      <w:pPr>
        <w:spacing w:after="0" w:line="17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available for distribution</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6,878</w:t>
            </w: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 Net</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0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1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0"/>
        </w:trPr>
        <w:tc>
          <w:tcPr>
            <w:tcW w:w="5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34"/>
        </w:trPr>
        <w:tc>
          <w:tcPr>
            <w:tcW w:w="5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20,101,129</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20,040,470</w:t>
            </w: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20,101,129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1,829,979</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1,348,315</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21,931,108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21,388,785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5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all periods presented, there were no outstanding shares that were potentially anti-dilutive.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provides a substantial stimulus and assistance package intended to address the impact of COVID-19, including tax relief and government loans, grants, and investments. The CARES Act did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20" w:right="242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We have experienced longer lead times in the supply of our components because of global supply chain disruptions caused in-part by the ongoing COVID-19 pandemic, which have led to the build-up in inventory as well as the significant increase in prepaid inventory as suppliers are requiring upfront deposits. While there was not a material impact to the Company’s financial statements as of and for the years ended December 31, 2021 and 2020, respectively, COVID-19 could result in material impacts to the Company’s financial statements in future reporting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INVENTORY</w:t>
            </w: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Inventory consists of the following as of:</w:t>
            </w: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740" w:type="dxa"/>
            <w:vAlign w:val="bottom"/>
            <w:gridSpan w:val="3"/>
          </w:tcPr>
          <w:p>
            <w:pPr>
              <w:ind w:left="1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inventory</w:t>
            </w:r>
          </w:p>
        </w:tc>
        <w:tc>
          <w:tcPr>
            <w:tcW w:w="18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OPERATING LEASES</w:t>
            </w: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As of December 31, 2020, the Company had a main office, warehouse space, research and development lab, engineering office, and sales office all located in Reno, Nevada that required annual escalating monthly payments ranging from $4 to $11. In December of 2020, the Company entered a fourth amendment lease and effective April 30, 2021, the Company moved its main office, warehouse, and sales office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54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CCEEFF"/>
            </w:tcBorders>
          </w:tcPr>
          <w:p>
            <w:pPr>
              <w:spacing w:after="0"/>
              <w:rPr>
                <w:sz w:val="15"/>
                <w:szCs w:val="15"/>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shd w:val="clear" w:color="auto" w:fill="CCEEFF"/>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20" w:type="dxa"/>
            <w:vAlign w:val="bottom"/>
            <w:shd w:val="clear" w:color="auto" w:fill="CCEEFF"/>
          </w:tcPr>
          <w:p>
            <w:pPr>
              <w:spacing w:after="0"/>
              <w:rPr>
                <w:sz w:val="18"/>
                <w:szCs w:val="18"/>
                <w:color w:val="auto"/>
              </w:rPr>
            </w:pPr>
          </w:p>
        </w:tc>
      </w:tr>
      <w:tr>
        <w:trPr>
          <w:trHeight w:val="250"/>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3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20" w:type="dxa"/>
            <w:vAlign w:val="bottom"/>
            <w:tcBorders>
              <w:bottom w:val="single" w:sz="8" w:color="CCEEFF"/>
            </w:tcBorders>
          </w:tcPr>
          <w:p>
            <w:pPr>
              <w:spacing w:after="0"/>
              <w:rPr>
                <w:sz w:val="21"/>
                <w:szCs w:val="21"/>
                <w:color w:val="auto"/>
              </w:rPr>
            </w:pPr>
          </w:p>
        </w:tc>
      </w:tr>
      <w:tr>
        <w:trPr>
          <w:trHeight w:val="197"/>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6.0 %</w:t>
            </w:r>
          </w:p>
        </w:tc>
      </w:tr>
    </w:tbl>
    <w:p>
      <w:pPr>
        <w:spacing w:after="0" w:line="17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 (continued)</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$952 and $148 for the years ended December 31, 2021 and 2020, respectively. These amounts are included in operating cash flows.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2021, the future minimum lease payments under these operating leases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231F20"/>
              </w:rPr>
              <w:t>Total lease payments</w:t>
            </w:r>
          </w:p>
        </w:tc>
        <w:tc>
          <w:tcPr>
            <w:tcW w:w="2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6,524</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000" w:type="dxa"/>
            <w:vAlign w:val="bottom"/>
          </w:tcPr>
          <w:p>
            <w:pPr>
              <w:spacing w:after="0"/>
              <w:rPr>
                <w:sz w:val="17"/>
                <w:szCs w:val="17"/>
                <w:color w:val="auto"/>
              </w:rPr>
            </w:pPr>
          </w:p>
        </w:tc>
        <w:tc>
          <w:tcPr>
            <w:tcW w:w="42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Less imputed interest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right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231F20"/>
              </w:rPr>
              <w:t>748</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231F20"/>
              </w:rPr>
              <w:t>Total operating lease liabilities</w:t>
            </w: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5,776</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20" w:type="dxa"/>
            <w:vAlign w:val="bottom"/>
          </w:tcPr>
          <w:p>
            <w:pPr>
              <w:spacing w:after="0"/>
              <w:rPr>
                <w:sz w:val="24"/>
                <w:szCs w:val="24"/>
                <w:color w:val="auto"/>
              </w:rPr>
            </w:pPr>
          </w:p>
        </w:tc>
        <w:tc>
          <w:tcPr>
            <w:tcW w:w="20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24"/>
                <w:szCs w:val="24"/>
                <w:color w:val="auto"/>
              </w:rPr>
            </w:pPr>
          </w:p>
        </w:tc>
        <w:tc>
          <w:tcPr>
            <w:tcW w:w="12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 lease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a prepaid loan monitoring fee of $60,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included in debt issuance costs, and $1,553 in other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20" w:right="242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principle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will make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w:t>
      </w:r>
    </w:p>
    <w:p>
      <w:pPr>
        <w:spacing w:after="0" w:line="18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76"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a total of $390 of interest expense was incurred under the debt. Amortization of the debt issuance costs under the interest method amounted to $77 during the year ended December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Reserve Accounts</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Deposits into the reserve accounts consisted of the following items: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Reserve Fund</w:t>
            </w:r>
          </w:p>
        </w:tc>
        <w:tc>
          <w:tcPr>
            <w:tcW w:w="16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Interest Fund</w:t>
            </w:r>
          </w:p>
        </w:tc>
        <w:tc>
          <w:tcPr>
            <w:tcW w:w="1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Payment Reserve Fund is a debt service fund to be maintained by UMB Bank, and the initial deposit is equal to the maximum amount of monthly interest and principal debt service payment due on the Series 2021-6 notes, plus interest earned on special redemptions (see </w:t>
      </w:r>
      <w:r>
        <w:rPr>
          <w:rFonts w:ascii="Times New Roman" w:cs="Times New Roman" w:eastAsia="Times New Roman" w:hAnsi="Times New Roman"/>
          <w:sz w:val="18"/>
          <w:szCs w:val="18"/>
          <w:i w:val="1"/>
          <w:iCs w:val="1"/>
          <w:color w:val="auto"/>
        </w:rPr>
        <w:t>Special Redemptions</w:t>
      </w:r>
      <w:r>
        <w:rPr>
          <w:rFonts w:ascii="Times New Roman" w:cs="Times New Roman" w:eastAsia="Times New Roman" w:hAnsi="Times New Roman"/>
          <w:sz w:val="18"/>
          <w:szCs w:val="18"/>
          <w:color w:val="auto"/>
        </w:rPr>
        <w:t xml:space="preserve"> below).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w:t>
      </w:r>
    </w:p>
    <w:p>
      <w:pPr>
        <w:spacing w:after="0" w:line="18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for the period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Redemptions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fails to make a scheduled payments of principal and interest as required under the loan agreements on the due dates, and fails to cure such non-payment within 10 days, UMB Bank may, upon the direction of the registered noteholders of at least 75% of the principal amount outstanding under the Series 2021-6 Notes, declare that an event of “Special Redemption” has occurred, and such failure shall trigger the provisions of the Insurance Policy. These provisions include filing of a claim notice with the insurer, withdrawal of the unpaid amount from the Payment Reserve Fund and pay such amount to the holders of those Series 2021-6 Notes, and acceleration of the Series 2021-6 Notes that remain outstanding after the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all substantially all of the assets of the Company.</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Trust Indenture, the Insurance Policy is required as additional collateral guaranteeing the payments under the debt by the Company. The Company determined this was not a direct incremental cost of the financing. The premium costs were recognized as a debt issuance cost. The term of the policy aligns with the term of the debt (three years, unless reduced due to default provisions). The secured party (UMB Bank, as trustee) would not have the right to sell or repledge either the intellectual property or the insurance collateral unless and until the Company defaults and a claim is made.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Monitoring Fees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will incur ongoing monitoring service by NewLight Capital LLC for 24 months at $180 total expense. These services entail monitoring of financial records and information related to collateral enforcement on an ongoing basis. The $60 prepayment funded at closing was recognized as a prepaid expense and will be amortized straight-line over the first 8 months of the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must comply with certain financial covenants, including minimum adjusted EBITDA, capital expenditures and minimum fixed charge coverage ratio. These covenants are not effective as of December 31, 2021 but will begin to take effect with the fiscal quarter ending March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Maturities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2021, the future debt maturities are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02"/>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20,625</w:t>
            </w:r>
          </w:p>
        </w:tc>
      </w:tr>
      <w:tr>
        <w:trPr>
          <w:trHeight w:val="196"/>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r>
      <w:tr>
        <w:trPr>
          <w:trHeight w:val="196"/>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debt</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38,928</w:t>
            </w:r>
          </w:p>
        </w:tc>
      </w:tr>
      <w:tr>
        <w:trPr>
          <w:trHeight w:val="19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196"/>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37,053</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80" w:right="236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Series 2021-6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9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49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(Sec. 263A)</w:t>
            </w:r>
          </w:p>
        </w:tc>
        <w:tc>
          <w:tcPr>
            <w:tcW w:w="1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5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is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Tax</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0.94 %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r>
      <w:tr>
        <w:trPr>
          <w:trHeight w:val="20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27.08 %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is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Tax</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w:t>
            </w:r>
          </w:p>
        </w:tc>
      </w:tr>
      <w:tr>
        <w:trPr>
          <w:trHeight w:val="21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21.52 %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federal tax returns are open for the Company for 2018, 2019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August 12, 2019, the Board of Directors approved the 2019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3,000,000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83"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1,000,000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 (continued)</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an incentive award granted under the Plan expires, terminates, is unexercised or is forfeited, or if any shares are surrendered to us in connection with an incentive award, the shares subject to such award and the surrendered shares will become available for future awards under the Plan. The number of shares subject to the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4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Share-based compensation expense for options totaling $734 and $324 was recognized in our statements of income for the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2021 and 2020, respectively. Of the $734 of share-based compensation incurred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$252 is allocated to cost of goods sold, $95 to research and development, $156 to selling and marketing, and $231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Of the $324 of share-based compensation incurred during the year ended December 31, 2020, $48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allocated to cost of goods sold, $23 to research and development, $61 to selling and marketing, and $192 to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The Company did not receive payment for 615,124 of the 835,005 options exercised during the period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accordingly a receivable of $250 was recognized and included in other current assets on the balance sheet. This payment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on January 4, 2022.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there were 10,327 shares of unissued authorized and available for future awards under the plans.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stock-based compensation expense of $3,646, related to unvested stock options not yet recognized that are expected to be recognized over an estimated weighted average period of 2.9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 (continued)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risk-free interest rate, and the weighted average expected life of the options. The fair value of the underlying stock is determined by the Board of Directors. Given the absence of a public trading market, the Board of Directors utilizes a 409A valuation which considers numerous objective and subjective factors to determine the fair value of our common stock. These factors included but are not limited to: (i) the rights, preferences and privileges of convertible preferred stock relative to common stock;</w:t>
      </w:r>
    </w:p>
    <w:p>
      <w:pPr>
        <w:spacing w:after="0" w:line="5" w:lineRule="exact"/>
        <w:rPr>
          <w:sz w:val="20"/>
          <w:szCs w:val="20"/>
          <w:color w:val="auto"/>
        </w:rPr>
      </w:pPr>
    </w:p>
    <w:p>
      <w:pPr>
        <w:ind w:right="40" w:firstLine="8"/>
        <w:spacing w:after="0" w:line="253" w:lineRule="auto"/>
        <w:tabs>
          <w:tab w:leader="none" w:pos="2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common stock; (iii) stage and development of the Company’s business; (iv) general economic conditions; and (v) the likelihood of achieving a liquidity event, such as an initial public offering (“IPO”) or sale of the Company, given prevailing market conditions. To evaluate the fair value of the underlying shares for grants between two independent valuations and after the last independent valuation, a linear interpolation framework is used to evaluate the fair value of the underlying shares. The expected term was estimated using the simplified method.</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8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0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 – 2.18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 – 2.39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0.46 %</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52.6 %</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52.5 %</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holders of record of the shares of Series A Preferred Stock, exclusively and as a separate class, shall be entitled to elect one director of the Corporation (the “Series A Director”). The Series A Director shall be given two votes on any action requiring the vote or approval of the Board of Directors.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holders of record of the shares of Common Stock, exclusively and as a separate class, shall be entitled to elect two directors of the Corporation, the “Common Stock Director A” and the “Common Stock Director B”).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Dissolution or Winding Up; Certain Mergers, Consolidations and Assets Sales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the holders of shares of Series A Preferred Stock then outstanding (the “Series A shareholders”) shall be entitled to be paid out of the assets of the Corporation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Corporation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Corporation available for distribution to its stockholders shall be distributed among the holders of shares of Common Stock, pro rata based on the number of shares held by each such holder.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Corporation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Corporation under Nevada Law with ninety days after a deemed liquidation event is not within the control of the Company. As such the Preferred Stock is precluded from permanent equity classification and has been presented as mezzanine equity.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at a price of at least $1 per share, in a firm- commitment underwritten public offering pursuant to an effective registration statement under the Securities Act of 1933, as amended, resulting in at least $25,000 of gross proceeds to the Corporation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40,000,000 shares of common stock with $0.0002 par value. At December 31, 2021 and 2020, there were 20,875,475 and 20,040,470 shares issued and outstanding.</w:t>
      </w:r>
    </w:p>
    <w:p>
      <w:pPr>
        <w:spacing w:after="0" w:line="16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December 31, 2021 and 2020, no dividends on common stock had been declared by the Company. At December 31, 2021 and 2020, the Company had reserved shares of common stock for issuance as follows: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2,563,080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404,650</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34,008,200</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33,008,200</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November of 2020, the board of directors approved and granted 8,200 common shares to consultants for historical services provided. The shares were fair valued at $3.41 per share for total compensation of $27. The amount was expensed immediately and is included in selling,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from December 31, 2021 through April 20, 2022, which is the date the financial statements were available for issuance and has determined that there are no subsequent events requiring adjustment to or disclosure in the financial statements, other than as follows: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6020" w:type="dxa"/>
            <w:vAlign w:val="bottom"/>
            <w:gridSpan w:val="5"/>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20" w:type="dxa"/>
            <w:vAlign w:val="bottom"/>
            <w:gridSpan w:val="5"/>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94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at June 30, 2022 and December 31, 2021 (unaudited)</w:t>
            </w: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F-69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28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Six Months Ended June 30, 2022 and 2021 (unaudited)</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8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Statements of Changes in Stockholders’ Equity for the Six Months Ended June 30, 2022 and 2021 (unaudited)</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Six Months Ended June 30, 2022 and 2021 (unaudited)</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Financial Statements</w:t>
            </w: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F-73-F-84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25,586</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27,127</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inventory</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Prepaid income tax</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59,801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66,081</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(1,147)</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Accrued payroll and other liabilities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2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0" w:type="dxa"/>
            <w:vAlign w:val="bottom"/>
          </w:tcPr>
          <w:p>
            <w:pPr>
              <w:spacing w:after="0"/>
              <w:rPr>
                <w:sz w:val="1"/>
                <w:szCs w:val="1"/>
                <w:color w:val="auto"/>
              </w:rPr>
            </w:pPr>
          </w:p>
        </w:tc>
      </w:tr>
      <w:tr>
        <w:trPr>
          <w:trHeight w:val="196"/>
        </w:trPr>
        <w:tc>
          <w:tcPr>
            <w:tcW w:w="7100" w:type="dxa"/>
            <w:vAlign w:val="bottom"/>
          </w:tcPr>
          <w:p>
            <w:pPr>
              <w:spacing w:after="0" w:line="184" w:lineRule="exact"/>
              <w:rPr>
                <w:sz w:val="20"/>
                <w:szCs w:val="20"/>
                <w:color w:val="auto"/>
              </w:rPr>
            </w:pPr>
            <w:r>
              <w:rPr>
                <w:rFonts w:ascii="Times New Roman" w:cs="Times New Roman" w:eastAsia="Times New Roman" w:hAnsi="Times New Roman"/>
                <w:sz w:val="16"/>
                <w:szCs w:val="16"/>
                <w:b w:val="1"/>
                <w:bCs w:val="1"/>
                <w:color w:val="auto"/>
              </w:rPr>
              <w:t>Long</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Term Liabilities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Notes payable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noncurrent, net of debt issuance costs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37,053</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6"/>
                <w:szCs w:val="16"/>
                <w:color w:val="auto"/>
              </w:rPr>
              <w:t>Total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39,028</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42,200</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60,190</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2)</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Redeemable Preferred Stock</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10,000,000 shares at $0.0002 par value, authorized, 10,000,000 shares issued and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40,000,000 shares at $0.0002 par value, authorized, 21,090,876 shares issued and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as of June 30, 2022, 20,875,475 shares issued and outstanding as of December 31, 2021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12,438</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Redeemable Preferred Stock and Shareholders’ Equity</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74,154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76,251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both"/>
        <w:ind w:left="2460" w:right="2440" w:hanging="13"/>
        <w:spacing w:after="0" w:line="317" w:lineRule="auto"/>
        <w:rPr>
          <w:sz w:val="20"/>
          <w:szCs w:val="20"/>
          <w:color w:val="auto"/>
        </w:rPr>
      </w:pPr>
      <w:r>
        <w:rPr>
          <w:rFonts w:ascii="Times New Roman" w:cs="Times New Roman" w:eastAsia="Times New Roman" w:hAnsi="Times New Roman"/>
          <w:sz w:val="17"/>
          <w:szCs w:val="17"/>
          <w:b w:val="1"/>
          <w:bCs w:val="1"/>
          <w:color w:val="auto"/>
        </w:rPr>
        <w:t>UNAUDITED CONDENSED STATEMENTS OF OPERATIONS (IN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39,925</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38,973</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22,939</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w:t>
            </w: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(2,450)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(Expense) Income</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(Loss) Income Before Taxes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(Benefit) Provision for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0" w:type="dxa"/>
            <w:vAlign w:val="bottom"/>
          </w:tcPr>
          <w:p>
            <w:pPr>
              <w:spacing w:after="0"/>
              <w:rPr>
                <w:sz w:val="1"/>
                <w:szCs w:val="1"/>
                <w:color w:val="auto"/>
              </w:rPr>
            </w:pPr>
          </w:p>
        </w:tc>
      </w:tr>
      <w:tr>
        <w:trPr>
          <w:trHeight w:val="183"/>
        </w:trPr>
        <w:tc>
          <w:tcPr>
            <w:tcW w:w="7580" w:type="dxa"/>
            <w:vAlign w:val="bottom"/>
            <w:tcBorders>
              <w:bottom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(Loss) Earnings Per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Basic</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(Loss) Earnings Per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Diluted</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183"/>
        </w:trPr>
        <w:tc>
          <w:tcPr>
            <w:tcW w:w="7580" w:type="dxa"/>
            <w:vAlign w:val="bottom"/>
            <w:tcBorders>
              <w:bottom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Weighted Average Number of Shares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Basic</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20,952,757</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20,053,843</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Weighted Average Number of Shares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20,952,757</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21,643,596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STATEMENTS OF SHAREHOLDERS’ EQUITY FOR THE SIX MONTHS ENDED JUNE 30, 2022 AND 2021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3020" w:type="dxa"/>
            <w:vAlign w:val="bottom"/>
          </w:tcPr>
          <w:p>
            <w:pPr>
              <w:spacing w:after="0"/>
              <w:rPr>
                <w:sz w:val="3"/>
                <w:szCs w:val="3"/>
                <w:color w:val="auto"/>
              </w:rPr>
            </w:pPr>
          </w:p>
        </w:tc>
        <w:tc>
          <w:tcPr>
            <w:tcW w:w="19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Redeemable Preferred Stock</w:t>
            </w:r>
          </w:p>
        </w:tc>
        <w:tc>
          <w:tcPr>
            <w:tcW w:w="20" w:type="dxa"/>
            <w:vAlign w:val="bottom"/>
          </w:tcPr>
          <w:p>
            <w:pPr>
              <w:spacing w:after="0"/>
              <w:rPr>
                <w:sz w:val="3"/>
                <w:szCs w:val="3"/>
                <w:color w:val="auto"/>
              </w:rPr>
            </w:pPr>
          </w:p>
        </w:tc>
        <w:tc>
          <w:tcPr>
            <w:tcW w:w="13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3020" w:type="dxa"/>
            <w:vAlign w:val="bottom"/>
          </w:tcPr>
          <w:p>
            <w:pPr>
              <w:spacing w:after="0"/>
              <w:rPr>
                <w:sz w:val="10"/>
                <w:szCs w:val="10"/>
                <w:color w:val="auto"/>
              </w:rPr>
            </w:pPr>
          </w:p>
        </w:tc>
        <w:tc>
          <w:tcPr>
            <w:tcW w:w="194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2"/>
                <w:szCs w:val="2"/>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020" w:type="dxa"/>
            <w:vAlign w:val="bottom"/>
          </w:tcPr>
          <w:p>
            <w:pPr>
              <w:spacing w:after="0"/>
              <w:rPr>
                <w:sz w:val="13"/>
                <w:szCs w:val="13"/>
                <w:color w:val="auto"/>
              </w:rPr>
            </w:pPr>
          </w:p>
        </w:tc>
        <w:tc>
          <w:tcPr>
            <w:tcW w:w="920" w:type="dxa"/>
            <w:vAlign w:val="bottom"/>
            <w:tcBorders>
              <w:top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980" w:type="dxa"/>
            <w:vAlign w:val="bottom"/>
            <w:tcBorders>
              <w:top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January 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7"/>
        </w:trPr>
        <w:tc>
          <w:tcPr>
            <w:tcW w:w="3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June 30, 2021</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98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20,072,728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12,927</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January 1, 2022</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20,875,475</w:t>
            </w:r>
          </w:p>
        </w:tc>
        <w:tc>
          <w:tcPr>
            <w:tcW w:w="1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1,619</w:t>
            </w: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12,438</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197"/>
        </w:trPr>
        <w:tc>
          <w:tcPr>
            <w:tcW w:w="3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0" w:type="dxa"/>
            <w:vAlign w:val="bottom"/>
            <w:tcBorders>
              <w:lef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June 30, 2022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21,090,876</w:t>
            </w:r>
          </w:p>
        </w:tc>
        <w:tc>
          <w:tcPr>
            <w:tcW w:w="1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2,540</w:t>
            </w:r>
          </w:p>
        </w:tc>
        <w:tc>
          <w:tcPr>
            <w:tcW w:w="1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8,671</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11,215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STATEMENTS OF CASH FLOWS FOR THE SIX MONTHS ENDED JUNE 30, 2022 AND 2021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(Used in) Provided by Operating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(15,141)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(24,531)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58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1,254</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Items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Receivable of options exercised</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24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notes have been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The financial statements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unaudited condensed consolidated financial statements and notes should be read in conjunction with the audited consolidated financial statements and accompanying notes for the year ended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 04 are effective January 1, 2022. This ASU shall be applied on a prospective basis. The adoption of this guidance did not have a material impact on the accompanying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2022, with early application permitted. This ASU is applicable to the Company’s fiscal year beginning in the first quarter of fiscal 2024. The Company is currently evaluating the impact the adoption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 Debt with Conversion and Other Options (Subtopic 470-20) and Derivatives and Hedging — Contracts in Entity’s Own Equity (Subtopic 815-40) </w:t>
      </w:r>
      <w:r>
        <w:rPr>
          <w:rFonts w:ascii="Times New Roman" w:cs="Times New Roman" w:eastAsia="Times New Roman" w:hAnsi="Times New Roman"/>
          <w:sz w:val="18"/>
          <w:szCs w:val="18"/>
          <w:color w:val="auto"/>
        </w:rPr>
        <w:t>(“ASU 2020-06”) to simplify accounting for certain financial instruments. ASU 2020-06 eliminates the current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Restricted Cash, and Cash Equivalents</w:t>
      </w:r>
    </w:p>
    <w:p>
      <w:pPr>
        <w:spacing w:after="0" w:line="22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June 30, 2022 and December 31, 2021. The Company also maintains a restricted cash balance to satisfy its note payable requirements (Refer to Note 5).</w:t>
      </w:r>
    </w:p>
    <w:p>
      <w:pPr>
        <w:spacing w:after="0" w:line="17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June 30, 2022 and December 31, 2021 of $54 and $50,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Inventories (Note 3), which consist of raw materials, work in process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June 30, 2022 and December 31, 2021, no such reserves were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six months ended June 30, 2022 and 2021 was $389 and $272, respectively. The various classes of property and equipment and estimated useful lives are as follows: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2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2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Remaining Term of Lease</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 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Operations.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June 30, 2022 and December 31, 2021, the contract liability related to the Company’s customer deposits approximated $251 and $434, respectively. The entire contract liability balance as of December 31, 2021 was recognized as revenue during the six months ended June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disaggregated revenues by distribution channel:</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5"/>
                <w:szCs w:val="15"/>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$2,534 and $2,558 for the six months ended June 30, 2022 and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0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Receivables from one customer comprised approximately 57% of accounts receivable as of June 30, 2022. Receivables from two customers comprised approximately 42% and 16%, respectively, of accounts receivable as of December 31, 2021.</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one customer accounted for approximately 11% of the Company’s total revenue. There are no significant revenue concentrations for the six months ended June 30, 2021.</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one vendor accounted for approximately 26% of the Company’s total purchases. For the six months ended June 30, 2022, two vendors accounted for approximately 20% and 13% of the Company’s total purchases.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$1,262 and $630 for the six months ended June 30,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 employee consultants using a fair value method which requires the recognition of compensation expense for costs related to all stock based payments, including stock options (Note 6). The fair value method requires the Company to estimate the fair value of stock-based payment awards to employees and non employees on the date of grant using an option pricing model.</w:t>
      </w:r>
    </w:p>
    <w:p>
      <w:pPr>
        <w:spacing w:after="0" w:line="180"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Stock based compensation costs are based on the fair value of the underlying option calculated using the Black Scholes option pricing model and recognized as expense on a straight line basis over the requisite service period, which is the vesting period. The Company measures equity based compensation awards granted to non employees at fair value as the awards vest and recognizes the resulting value as compensation expense at each financial reporting period.</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480" w:type="dxa"/>
            <w:vAlign w:val="bottom"/>
            <w:tcBorders>
              <w:bottom w:val="single" w:sz="8" w:color="CCEEFF"/>
            </w:tcBorders>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196"/>
        </w:trPr>
        <w:tc>
          <w:tcPr>
            <w:tcW w:w="6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Income available for distribution</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(3,767)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4,177</w:t>
            </w:r>
          </w:p>
        </w:tc>
      </w:tr>
      <w:tr>
        <w:trPr>
          <w:trHeight w:val="216"/>
        </w:trPr>
        <w:tc>
          <w:tcPr>
            <w:tcW w:w="6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Income allocated to participating securities </w:t>
            </w:r>
            <w:r>
              <w:rPr>
                <w:rFonts w:ascii="Times New Roman" w:cs="Times New Roman" w:eastAsia="Times New Roman" w:hAnsi="Times New Roman"/>
                <w:sz w:val="25"/>
                <w:szCs w:val="25"/>
                <w:color w:val="auto"/>
                <w:vertAlign w:val="superscript"/>
              </w:rPr>
              <w:t>(1)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09"/>
        </w:trPr>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0"/>
        </w:trPr>
        <w:tc>
          <w:tcPr>
            <w:tcW w:w="2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9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Preferred Series A holders do not have a contractual obligation to share in losses.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0"/>
        </w:trPr>
        <w:tc>
          <w:tcPr>
            <w:tcW w:w="24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480" w:type="dxa"/>
            <w:vAlign w:val="bottom"/>
            <w:tcBorders>
              <w:bottom w:val="single" w:sz="8" w:color="CCEEFF"/>
            </w:tcBorders>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9"/>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197"/>
        </w:trPr>
        <w:tc>
          <w:tcPr>
            <w:tcW w:w="6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basic</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20,952,757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20,053,843</w:t>
            </w:r>
          </w:p>
        </w:tc>
      </w:tr>
      <w:tr>
        <w:trPr>
          <w:trHeight w:val="25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Earnings per share, basic</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197"/>
        </w:trPr>
        <w:tc>
          <w:tcPr>
            <w:tcW w:w="6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16"/>
        </w:trPr>
        <w:tc>
          <w:tcPr>
            <w:tcW w:w="670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Weighted average number of common shares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basic</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20,952,757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20,053,843</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1,589,753</w:t>
            </w: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20,952,757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21,643,596</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Earnings per share, diluted</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2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per share net (loss) income per share because their effect was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7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0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2,675,378</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Weighted average number of common shares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basic</w:t>
            </w: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2,675,378</w:t>
            </w:r>
          </w:p>
        </w:tc>
        <w:tc>
          <w:tcPr>
            <w:tcW w:w="200" w:type="dxa"/>
            <w:vAlign w:val="bottom"/>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w:t>
      </w:r>
    </w:p>
    <w:p>
      <w:pPr>
        <w:spacing w:after="0" w:line="162"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 varying degrees, the COVID-19 pandemic continues to affect our operating businesses. Significant government and private sector actions have been taken since 2020 to control the spread and mitigate the economic effects of the virus. Actions in the latter part of 2021 and during 2022 included temporary business closures or restrictions of business activities in various parts of the world in response to the emergence of variants of the virus. Notwithstanding these efforts, significant disruptions of supply chains and higher costs have persisted in 2022. Further, the development of geopolitical conflicts in 2022 have contributed to disruptions of supply chains, resulting in cost increases for commodities, goods and services in many parts of the world. The economic effects from these events over longer terms cannot be reasonably estimated at this time. Accordingly, significant estimates used in the preparation of our financial statements, including those associated with evaluations of certain long-lived assets, expected credit losses on amounts owed to us, may be subject to significant adjustments in future periods.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INVENTORY</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On June 30, 2022 and December 31, 2021 inventory consists of the following: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31,407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10,861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42,268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OPERATING LEASES</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58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The Company originally had leases related to the main office, warehouse space, research and development lab, engineering office, and sales office, all located in Reno, Nevada. The original leases required annual escalating monthly payments ranging from $4 to $11. In December of 2020, the Company entered a fourth amendment lease and effective April 30, 2021, the Company terminated its original main office, warehouse and sales office lease and moved these spaces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20" w:type="dxa"/>
            <w:vAlign w:val="bottom"/>
          </w:tcPr>
          <w:p>
            <w:pPr>
              <w:spacing w:after="0"/>
              <w:rPr>
                <w:sz w:val="15"/>
                <w:szCs w:val="15"/>
                <w:color w:val="auto"/>
              </w:rPr>
            </w:pPr>
          </w:p>
        </w:tc>
        <w:tc>
          <w:tcPr>
            <w:tcW w:w="200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5"/>
                <w:szCs w:val="15"/>
                <w:color w:val="auto"/>
              </w:rPr>
            </w:pPr>
          </w:p>
        </w:tc>
      </w:tr>
      <w:tr>
        <w:trPr>
          <w:trHeight w:val="209"/>
        </w:trPr>
        <w:tc>
          <w:tcPr>
            <w:tcW w:w="42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w:t>
            </w:r>
          </w:p>
        </w:tc>
        <w:tc>
          <w:tcPr>
            <w:tcW w:w="1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$ 5,158</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400" w:type="dxa"/>
            <w:vAlign w:val="bottom"/>
            <w:tcBorders>
              <w:top w:val="single" w:sz="8" w:color="CCEEFF"/>
            </w:tcBorders>
            <w:shd w:val="clear" w:color="auto" w:fill="CCEEFF"/>
          </w:tcPr>
          <w:p>
            <w:pPr>
              <w:spacing w:after="0"/>
              <w:rPr>
                <w:sz w:val="18"/>
                <w:szCs w:val="18"/>
                <w:color w:val="auto"/>
              </w:rPr>
            </w:pPr>
          </w:p>
        </w:tc>
      </w:tr>
      <w:tr>
        <w:trPr>
          <w:trHeight w:val="210"/>
        </w:trPr>
        <w:tc>
          <w:tcPr>
            <w:tcW w:w="42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operating lease liabilities</w:t>
            </w:r>
          </w:p>
        </w:tc>
        <w:tc>
          <w:tcPr>
            <w:tcW w:w="1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4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operating lease liabilities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400" w:type="dxa"/>
            <w:vAlign w:val="bottom"/>
            <w:shd w:val="clear" w:color="auto" w:fill="CCEEFF"/>
          </w:tcPr>
          <w:p>
            <w:pPr>
              <w:spacing w:after="0"/>
              <w:rPr>
                <w:sz w:val="18"/>
                <w:szCs w:val="18"/>
                <w:color w:val="auto"/>
              </w:rPr>
            </w:pPr>
          </w:p>
        </w:tc>
      </w:tr>
      <w:tr>
        <w:trPr>
          <w:trHeight w:val="24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$ 5,247</w:t>
            </w:r>
          </w:p>
        </w:tc>
        <w:tc>
          <w:tcPr>
            <w:tcW w:w="4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400" w:type="dxa"/>
            <w:vAlign w:val="bottom"/>
            <w:tcBorders>
              <w:bottom w:val="single" w:sz="8" w:color="CCEEFF"/>
            </w:tcBorders>
          </w:tcPr>
          <w:p>
            <w:pPr>
              <w:spacing w:after="0"/>
              <w:rPr>
                <w:sz w:val="21"/>
                <w:szCs w:val="21"/>
                <w:color w:val="auto"/>
              </w:rPr>
            </w:pPr>
          </w:p>
        </w:tc>
      </w:tr>
      <w:tr>
        <w:trPr>
          <w:trHeight w:val="197"/>
        </w:trPr>
        <w:tc>
          <w:tcPr>
            <w:tcW w:w="4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5.2 %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5.2 %</w:t>
            </w:r>
          </w:p>
        </w:tc>
      </w:tr>
    </w:tbl>
    <w:p>
      <w:pPr>
        <w:spacing w:after="0" w:line="17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June 30, 2022, the future minimum lease payments under these operating leases are as follows: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0"/>
        </w:trPr>
        <w:tc>
          <w:tcPr>
            <w:tcW w:w="7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a prepaid loan monitoring fee of $60 and $1,553 in debt issuance costs.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is making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 (the “Maturity Date”).</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17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2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 total of $1,254, respectively, of interest expense was incurred under the debt. Amortization of the debt issuance costs under the interest method amounted to $1,197 during the six months ended June 30, 2022. The net balance of $40,124 at June 30, 2022 consists of $45,000 in principal less $4,876 in unamortized debt discount.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Accounts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Initial deposits into the reserve accounts consisted of the following items: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Reserve Fund</w:t>
            </w:r>
          </w:p>
        </w:tc>
        <w:tc>
          <w:tcPr>
            <w:tcW w:w="1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Interest Fund</w:t>
            </w:r>
          </w:p>
        </w:tc>
        <w:tc>
          <w:tcPr>
            <w:tcW w:w="1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 The balance at June 30, 2022 remained at $3,044.</w:t>
      </w:r>
    </w:p>
    <w:p>
      <w:pPr>
        <w:spacing w:after="0" w:line="13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 therefore the balance as of June 30, 2022 was $0.</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at June 30, 2022 or December 31,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17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certain financial covenants which include maintaining minimum adjusted EBITDA, Capital Expenditures and Minimum Fixed Charge Coverage Ratio requirements.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 was in compliance with all financial covenants as of June 30, 2022 and December 31, 2021.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 Term Debt Maturities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 June 30, 2022, the future debt maturities are as follows: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 noncurrent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 net of debt discount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Total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ttprime rate announced by Bank from time to time, as and when such rate changes. The revolving credit amount is collateralized by all assets of the Corporation. In October of 2021, the Company drew an initial amount of $5,000 under the facility, which it subsequently re-paid and the revolving note was terminated as a closing condition of the senior note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 which approximated fair market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COMMON STOCK</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June 30, 2022 and December 31, 2021, no dividends on common stock had been declared by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reserved shares of common stock for issuance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40" w:type="dxa"/>
            <w:vAlign w:val="bottom"/>
          </w:tcPr>
          <w:p>
            <w:pPr>
              <w:spacing w:after="0"/>
              <w:rPr>
                <w:sz w:val="15"/>
                <w:szCs w:val="15"/>
                <w:color w:val="auto"/>
              </w:rPr>
            </w:pPr>
          </w:p>
        </w:tc>
        <w:tc>
          <w:tcPr>
            <w:tcW w:w="4740" w:type="dxa"/>
            <w:vAlign w:val="bottom"/>
            <w:gridSpan w:val="2"/>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1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36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3,390,722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4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21,090,876</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526,602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r>
      <w:tr>
        <w:trPr>
          <w:trHeight w:val="209"/>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35,008,200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34,008,200</w:t>
            </w:r>
          </w:p>
        </w:tc>
      </w:tr>
      <w:tr>
        <w:trPr>
          <w:trHeight w:val="20"/>
        </w:trPr>
        <w:tc>
          <w:tcPr>
            <w:tcW w:w="3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58"/>
        </w:trPr>
        <w:tc>
          <w:tcPr>
            <w:tcW w:w="3840" w:type="dxa"/>
            <w:vAlign w:val="bottom"/>
          </w:tcPr>
          <w:p>
            <w:pPr>
              <w:spacing w:after="0"/>
              <w:rPr>
                <w:sz w:val="24"/>
                <w:szCs w:val="24"/>
                <w:color w:val="auto"/>
              </w:rPr>
            </w:pPr>
          </w:p>
        </w:tc>
        <w:tc>
          <w:tcPr>
            <w:tcW w:w="49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F-82</w:t>
            </w:r>
          </w:p>
        </w:tc>
        <w:tc>
          <w:tcPr>
            <w:tcW w:w="1160" w:type="dxa"/>
            <w:vAlign w:val="bottom"/>
          </w:tcPr>
          <w:p>
            <w:pPr>
              <w:spacing w:after="0"/>
              <w:rPr>
                <w:sz w:val="24"/>
                <w:szCs w:val="24"/>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vMerge w:val="restart"/>
          </w:tcPr>
          <w:p>
            <w:pPr>
              <w:jc w:val="right"/>
              <w:ind w:right="18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28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restart"/>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(246,814)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2,489,996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(215,401)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30, 2022</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721,719</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2,669,003</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Share-based compensation expense for options totaling $719 and $178 was recognized in our statements of income for the</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six months ended June 30, 2022 and 2021, respectively. Of the $719 of share-based compensation incurred during the six months ended June 30, 2022, $143 is allocated to cost of goods sold, $171 to research and development, $192 to selling and marketing, and $213 to general and administrative expenses. Of the $178 of share-based compensation incurred during the three months ended June 30, 2021, $55 is allocated to cost of goods sold, $24 to research and development, $33 to selling and marketing, and $66 to general and administrative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there were 526,602 shares of unissued authorized and available for future awards under the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PLAN OF MERGER</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May 15, 2022, the Company entered into an agreement and plan of merger with Chardan NexTech Acquisition Corp. (“CNTQ”), which, among other things, provides for CNTQ to be merged with and into the Company with the Company being the surviving company in the merger. The aggregated consideration to be paid to the equity holders of the company will be equal to the sum of (a) the aggregate merger consideration plus (b) the earnout consideration, if any. As a result of the Merger, CNTQ, will immediately be renamed Dragonfly Energy (“New Dragonfly”). Immediately prior to the consummation of the Merger, the Company’s outstanding preferred stock will automatically convert into shares of the Company’s common stock at the then-effective conversion ratio. Concurrent with the agreement and plan of merger, the Company and CCM Investments 5 LLC, an affiliate of Chardan Capital Markets (the “Equity Facility Investor”), entered into an equity facility letter agreement (the “Equity Facility”), pursuant to which New Dragonfly will have the right from time to time at its option to direct the Equity Facility Investor to purchase up to a specified maximum amount of shares of New Dragonfly’s common stock, up to a maximum aggregate purchase price of $150,000,000 over the 36-month term of the Equity Facility. The Equity Facility will be structured to allow New Dragonfly, on the terms and subject to the conditions thereof, to raise funds from the issuance of equity on a periodic basis outside the context of a traditional underwritten follow-on offering. The boards of directors of both CNTQ and the Company have approved the proposed Merger. Completion of the Merger is subject to approval of CNTQ’s shareholders and the satisfaction or waiver of certain other customary closing conditions.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August 31, 2022 for recognition purposes, the date that the condensed financial statements were available to be issued, and November 4, 2022 for disclosure purposes. Based upon this review, the Company did not identify any subsequent events that would have required adjustment to or, other than as noted below, disclosure in the condensed financial statements.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On July 12, 2022, Dragonfly entered into a certain Stock Purchase Agreement with THOR Industries, whereby THOR purchased 1,267,502 shares of Dragonfly common stock for $15,000,000 in cash. The Company entered into a commercial agreement with THOR, however, the terms have not been finalized as of the date of this filing.</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 Operating Officer, would be leaving the Company. Mr. Nichols and the Company have entered into a separation and release agreement (the “Separation Agreement”) on November 2, 2022. Pursuant to the Separation Agreement, 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non-competition and non-solicitation covenants for 12 months following his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$51,843.74</w:t>
            </w:r>
          </w:p>
        </w:tc>
      </w:tr>
      <w:tr>
        <w:trPr>
          <w:trHeight w:val="216"/>
        </w:trPr>
        <w:tc>
          <w:tcPr>
            <w:tcW w:w="100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2740" w:type="dxa"/>
            <w:vAlign w:val="bottom"/>
          </w:tcPr>
          <w:p>
            <w:pPr>
              <w:spacing w:after="0"/>
              <w:rPr>
                <w:sz w:val="9"/>
                <w:szCs w:val="9"/>
                <w:color w:val="auto"/>
              </w:rPr>
            </w:pPr>
          </w:p>
        </w:tc>
      </w:tr>
    </w:tbl>
    <w:p>
      <w:pPr>
        <w:spacing w:after="0" w:line="76"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w:t>
      </w:r>
    </w:p>
    <w:p>
      <w:pPr>
        <w:spacing w:after="0" w:line="176"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Amended and Restated Charter provides for indemnification of our directors, officers, employees and other agents to the maximum extent permitted by the Delaware General Corporation Law, and the Bylaws provide for indemnification of our directors, officers, employees and other agents to the maximum extent permitted by the Delaware General Corporation Law.</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entered or will enter into indemnification agreements with our directors, officers, and some employees containing provisions which are in some respects broader than the specific indemnification provisions contained in the Delaware General Corporation Law. The indemnification agreements will require us, among other things, to indemnify our directors against certain liabilities that may arise by reason of their status or service as directors and to advance their expenses incurred as a result of any proceeding against them as to which they could be indemnified.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August 13, 2021, simultaneously with the closing of the CNTQ IPO, CNTQ completed the private sale of an aggregate of 4,361,456 Private Warrants to Warrant Holdings at a purchase price of approximately $0.93 per Private Warrant, generating gross proceeds to CNTQ of $4,052,000. The Private Warrants are identical to the warrants sold in the IPO except that the Private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Transactions, and (iii) may be exercised by the holders on a cashless basis. No underwriting discounts or commissions were paid with respect to such sale. The issuance of the Private Warrants was made pursuant to the exemption from registration contained in Section 4(a)(2) of the Securities Act of 1933, as amended.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firstLine="324"/>
        <w:spacing w:after="0" w:line="312" w:lineRule="auto"/>
        <w:rPr>
          <w:sz w:val="20"/>
          <w:szCs w:val="20"/>
          <w:color w:val="auto"/>
        </w:rPr>
      </w:pPr>
      <w:r>
        <w:rPr>
          <w:rFonts w:ascii="Times New Roman" w:cs="Times New Roman" w:eastAsia="Times New Roman" w:hAnsi="Times New Roman"/>
          <w:sz w:val="17"/>
          <w:szCs w:val="17"/>
          <w:color w:val="auto"/>
        </w:rPr>
        <w:t>At the Closing, the Company issued an additional 15,000 shares to CCM pursuant to the terms of the Subscription Agreement. See “</w:t>
      </w:r>
      <w:r>
        <w:rPr>
          <w:rFonts w:ascii="Times New Roman" w:cs="Times New Roman" w:eastAsia="Times New Roman" w:hAnsi="Times New Roman"/>
          <w:sz w:val="17"/>
          <w:szCs w:val="17"/>
          <w:i w:val="1"/>
          <w:iCs w:val="1"/>
          <w:color w:val="auto"/>
        </w:rPr>
        <w:t>Unaudited Pro Forma Condensed Combined Financial Information — Description of the Business Combination — PIPE Investment</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At Closing, in connection with the entry into the Term Loan Agreement, the Company entered into (i) the Penny Warrants and (ii) the $10 Warrants. See “</w:t>
      </w:r>
      <w:r>
        <w:rPr>
          <w:rFonts w:ascii="Times New Roman" w:cs="Times New Roman" w:eastAsia="Times New Roman" w:hAnsi="Times New Roman"/>
          <w:sz w:val="18"/>
          <w:szCs w:val="18"/>
          <w:i w:val="1"/>
          <w:iCs w:val="1"/>
          <w:color w:val="auto"/>
        </w:rPr>
        <w:t>Certain Relationships and Related Person Transactions — Debt Financing — Warrant Agreements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3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20"/>
        <w:spacing w:after="0"/>
        <w:tabs>
          <w:tab w:leader="none" w:pos="34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3719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ind w:left="800" w:right="20" w:hanging="782"/>
        <w:spacing w:after="0" w:line="264"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241">
        <w:r>
          <w:rPr>
            <w:rFonts w:ascii="Times New Roman" w:cs="Times New Roman" w:eastAsia="Times New Roman" w:hAnsi="Times New Roman"/>
            <w:sz w:val="17"/>
            <w:szCs w:val="17"/>
            <w:u w:val="single" w:color="auto"/>
            <w:color w:val="0000EE"/>
          </w:rPr>
          <w:t>Agreement and Plan of Merger, dated as of May 15, 2022, by and among Chardan</w:t>
        </w:r>
      </w:hyperlink>
      <w:r>
        <w:rPr>
          <w:rFonts w:ascii="Times New Roman" w:cs="Times New Roman" w:eastAsia="Times New Roman" w:hAnsi="Times New Roman"/>
          <w:sz w:val="17"/>
          <w:szCs w:val="17"/>
          <w:u w:val="single" w:color="auto"/>
          <w:color w:val="0000EE"/>
        </w:rPr>
        <w:t xml:space="preserve"> </w:t>
      </w:r>
      <w:hyperlink r:id="rId241">
        <w:r>
          <w:rPr>
            <w:rFonts w:ascii="Times New Roman" w:cs="Times New Roman" w:eastAsia="Times New Roman" w:hAnsi="Times New Roman"/>
            <w:sz w:val="17"/>
            <w:szCs w:val="17"/>
            <w:u w:val="single" w:color="auto"/>
            <w:color w:val="0000EE"/>
          </w:rPr>
          <w:t>NexTech Acquisition 2 Corp., Bronco Merger Sub, Inc. and Dragonfly Energy Corp.</w:t>
        </w:r>
      </w:hyperlink>
    </w:p>
    <w:p>
      <w:pPr>
        <w:ind w:left="800" w:right="30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2.1(a)</w:t>
      </w:r>
      <w:r>
        <w:rPr>
          <w:sz w:val="20"/>
          <w:szCs w:val="20"/>
          <w:color w:val="auto"/>
        </w:rPr>
        <w:tab/>
      </w:r>
      <w:hyperlink r:id="rId242">
        <w:r>
          <w:rPr>
            <w:rFonts w:ascii="Times New Roman" w:cs="Times New Roman" w:eastAsia="Times New Roman" w:hAnsi="Times New Roman"/>
            <w:sz w:val="18"/>
            <w:szCs w:val="18"/>
            <w:u w:val="single" w:color="auto"/>
            <w:color w:val="0000EE"/>
          </w:rPr>
          <w:t>Amendment to Agreement and Plan of Merger, dated as of July 12, 2022, by and</w:t>
        </w:r>
      </w:hyperlink>
      <w:r>
        <w:rPr>
          <w:rFonts w:ascii="Times New Roman" w:cs="Times New Roman" w:eastAsia="Times New Roman" w:hAnsi="Times New Roman"/>
          <w:sz w:val="18"/>
          <w:szCs w:val="18"/>
          <w:u w:val="single" w:color="auto"/>
          <w:color w:val="0000EE"/>
        </w:rPr>
        <w:t xml:space="preserve"> </w:t>
      </w:r>
      <w:hyperlink r:id="rId242">
        <w:r>
          <w:rPr>
            <w:rFonts w:ascii="Times New Roman" w:cs="Times New Roman" w:eastAsia="Times New Roman" w:hAnsi="Times New Roman"/>
            <w:sz w:val="18"/>
            <w:szCs w:val="18"/>
            <w:u w:val="single" w:color="auto"/>
            <w:color w:val="0000EE"/>
          </w:rPr>
          <w:t>among Chardan NexTech Acquisition 2 Corp., Bronco Merger Sub, Inc. and</w:t>
        </w:r>
      </w:hyperlink>
      <w:r>
        <w:rPr>
          <w:rFonts w:ascii="Times New Roman" w:cs="Times New Roman" w:eastAsia="Times New Roman" w:hAnsi="Times New Roman"/>
          <w:sz w:val="18"/>
          <w:szCs w:val="18"/>
          <w:u w:val="single" w:color="auto"/>
          <w:color w:val="0000EE"/>
        </w:rPr>
        <w:t xml:space="preserve"> </w:t>
      </w:r>
      <w:hyperlink r:id="rId242">
        <w:r>
          <w:rPr>
            <w:rFonts w:ascii="Times New Roman" w:cs="Times New Roman" w:eastAsia="Times New Roman" w:hAnsi="Times New Roman"/>
            <w:sz w:val="18"/>
            <w:szCs w:val="18"/>
            <w:u w:val="single" w:color="auto"/>
            <w:color w:val="0000EE"/>
          </w:rPr>
          <w:t>Dragonfly Energy Corp.</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243">
        <w:r>
          <w:rPr>
            <w:rFonts w:ascii="Times New Roman" w:cs="Times New Roman" w:eastAsia="Times New Roman" w:hAnsi="Times New Roman"/>
            <w:sz w:val="17"/>
            <w:szCs w:val="17"/>
            <w:u w:val="single" w:color="auto"/>
            <w:color w:val="0000EE"/>
          </w:rPr>
          <w:t>Amended and Restated Certificate of Incorporation.</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244">
        <w:r>
          <w:rPr>
            <w:rFonts w:ascii="Times New Roman" w:cs="Times New Roman" w:eastAsia="Times New Roman" w:hAnsi="Times New Roman"/>
            <w:sz w:val="17"/>
            <w:szCs w:val="17"/>
            <w:u w:val="single" w:color="auto"/>
            <w:color w:val="0000EE"/>
          </w:rPr>
          <w:t>Amended and Restated Bylaws.</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45">
        <w:r>
          <w:rPr>
            <w:rFonts w:ascii="Times New Roman" w:cs="Times New Roman" w:eastAsia="Times New Roman" w:hAnsi="Times New Roman"/>
            <w:sz w:val="17"/>
            <w:szCs w:val="17"/>
            <w:u w:val="single" w:color="auto"/>
            <w:color w:val="0000EE"/>
          </w:rPr>
          <w:t>Specimen Common Share Certificate of the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46">
        <w:r>
          <w:rPr>
            <w:rFonts w:ascii="Times New Roman" w:cs="Times New Roman" w:eastAsia="Times New Roman" w:hAnsi="Times New Roman"/>
            <w:sz w:val="17"/>
            <w:szCs w:val="17"/>
            <w:u w:val="single" w:color="auto"/>
            <w:color w:val="0000EE"/>
          </w:rPr>
          <w:t>Form of $10 Warrant of the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47">
        <w:r>
          <w:rPr>
            <w:rFonts w:ascii="Times New Roman" w:cs="Times New Roman" w:eastAsia="Times New Roman" w:hAnsi="Times New Roman"/>
            <w:sz w:val="17"/>
            <w:szCs w:val="17"/>
            <w:u w:val="single" w:color="auto"/>
            <w:color w:val="0000EE"/>
          </w:rPr>
          <w:t>Form of Penny Warrant of the Company.</w:t>
        </w:r>
      </w:hyperlink>
    </w:p>
    <w:p>
      <w:pPr>
        <w:spacing w:after="0" w:line="9" w:lineRule="exact"/>
        <w:rPr>
          <w:rFonts w:ascii="Times New Roman" w:cs="Times New Roman" w:eastAsia="Times New Roman" w:hAnsi="Times New Roman"/>
          <w:sz w:val="18"/>
          <w:szCs w:val="18"/>
          <w:u w:val="single" w:color="auto"/>
          <w:color w:val="0000EE"/>
        </w:rPr>
      </w:pPr>
    </w:p>
    <w:p>
      <w:pPr>
        <w:ind w:left="800" w:right="48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248">
        <w:r>
          <w:rPr>
            <w:rFonts w:ascii="Times New Roman" w:cs="Times New Roman" w:eastAsia="Times New Roman" w:hAnsi="Times New Roman"/>
            <w:sz w:val="17"/>
            <w:szCs w:val="17"/>
            <w:u w:val="single" w:color="auto"/>
            <w:color w:val="0000EE"/>
          </w:rPr>
          <w:t>Warrant Agreement, dated as of October 19, 2022, between Dragonfly Energy</w:t>
        </w:r>
      </w:hyperlink>
      <w:r>
        <w:rPr>
          <w:rFonts w:ascii="Times New Roman" w:cs="Times New Roman" w:eastAsia="Times New Roman" w:hAnsi="Times New Roman"/>
          <w:sz w:val="17"/>
          <w:szCs w:val="17"/>
          <w:u w:val="single" w:color="auto"/>
          <w:color w:val="0000EE"/>
        </w:rPr>
        <w:t xml:space="preserve"> </w:t>
      </w:r>
      <w:hyperlink r:id="rId248">
        <w:r>
          <w:rPr>
            <w:rFonts w:ascii="Times New Roman" w:cs="Times New Roman" w:eastAsia="Times New Roman" w:hAnsi="Times New Roman"/>
            <w:sz w:val="17"/>
            <w:szCs w:val="17"/>
            <w:u w:val="single" w:color="auto"/>
            <w:color w:val="0000EE"/>
          </w:rPr>
          <w:t>Holdings Corp. and American Stock Transfer &amp; Trust Company, LLC.</w:t>
        </w:r>
      </w:hyperlink>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249">
        <w:r>
          <w:rPr>
            <w:rFonts w:ascii="Times New Roman" w:cs="Times New Roman" w:eastAsia="Times New Roman" w:hAnsi="Times New Roman"/>
            <w:sz w:val="17"/>
            <w:szCs w:val="17"/>
            <w:u w:val="single" w:color="auto"/>
            <w:color w:val="0000EE"/>
          </w:rPr>
          <w:t>Specimen Warrant Certificate of the Company.</w:t>
        </w:r>
      </w:hyperlink>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O’Melveny &amp; Myers LLP.</w:t>
      </w:r>
    </w:p>
    <w:p>
      <w:pPr>
        <w:spacing w:after="0" w:line="9" w:lineRule="exact"/>
        <w:rPr>
          <w:sz w:val="20"/>
          <w:szCs w:val="20"/>
          <w:color w:val="auto"/>
        </w:rPr>
      </w:pPr>
    </w:p>
    <w:p>
      <w:pPr>
        <w:ind w:left="800" w:right="38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250">
        <w:r>
          <w:rPr>
            <w:rFonts w:ascii="Times New Roman" w:cs="Times New Roman" w:eastAsia="Times New Roman" w:hAnsi="Times New Roman"/>
            <w:sz w:val="17"/>
            <w:szCs w:val="17"/>
            <w:u w:val="single" w:color="auto"/>
            <w:color w:val="0000EE"/>
          </w:rPr>
          <w:t>Sponsor Support Agreement, dated as of May 15, 2022, by and among Chardan</w:t>
        </w:r>
      </w:hyperlink>
      <w:r>
        <w:rPr>
          <w:rFonts w:ascii="Times New Roman" w:cs="Times New Roman" w:eastAsia="Times New Roman" w:hAnsi="Times New Roman"/>
          <w:sz w:val="17"/>
          <w:szCs w:val="17"/>
          <w:u w:val="single" w:color="auto"/>
          <w:color w:val="0000EE"/>
        </w:rPr>
        <w:t xml:space="preserve"> </w:t>
      </w:r>
      <w:hyperlink r:id="rId250">
        <w:r>
          <w:rPr>
            <w:rFonts w:ascii="Times New Roman" w:cs="Times New Roman" w:eastAsia="Times New Roman" w:hAnsi="Times New Roman"/>
            <w:sz w:val="17"/>
            <w:szCs w:val="17"/>
            <w:u w:val="single" w:color="auto"/>
            <w:color w:val="0000EE"/>
          </w:rPr>
          <w:t>NexTech Investments 2 LLC, Dragonfly Energy Corp. and Chardan NexTech</w:t>
        </w:r>
      </w:hyperlink>
      <w:r>
        <w:rPr>
          <w:rFonts w:ascii="Times New Roman" w:cs="Times New Roman" w:eastAsia="Times New Roman" w:hAnsi="Times New Roman"/>
          <w:sz w:val="17"/>
          <w:szCs w:val="17"/>
          <w:u w:val="single" w:color="auto"/>
          <w:color w:val="0000EE"/>
        </w:rPr>
        <w:t xml:space="preserve"> </w:t>
      </w:r>
      <w:hyperlink r:id="rId250">
        <w:r>
          <w:rPr>
            <w:rFonts w:ascii="Times New Roman" w:cs="Times New Roman" w:eastAsia="Times New Roman" w:hAnsi="Times New Roman"/>
            <w:sz w:val="17"/>
            <w:szCs w:val="17"/>
            <w:u w:val="single" w:color="auto"/>
            <w:color w:val="0000EE"/>
          </w:rPr>
          <w:t>Investments 2 LLC (included as Annex E to the proxy statement/prospectus).</w:t>
        </w:r>
      </w:hyperlink>
    </w:p>
    <w:p>
      <w:pPr>
        <w:ind w:left="800" w:right="18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251">
        <w:r>
          <w:rPr>
            <w:rFonts w:ascii="Times New Roman" w:cs="Times New Roman" w:eastAsia="Times New Roman" w:hAnsi="Times New Roman"/>
            <w:sz w:val="18"/>
            <w:szCs w:val="18"/>
            <w:u w:val="single" w:color="auto"/>
            <w:color w:val="0000EE"/>
          </w:rPr>
          <w:t>Commitment Letter, dated as of May 15, 2022, by and among Chardan NexTech</w:t>
        </w:r>
      </w:hyperlink>
      <w:r>
        <w:rPr>
          <w:rFonts w:ascii="Times New Roman" w:cs="Times New Roman" w:eastAsia="Times New Roman" w:hAnsi="Times New Roman"/>
          <w:sz w:val="18"/>
          <w:szCs w:val="18"/>
          <w:u w:val="single" w:color="auto"/>
          <w:color w:val="0000EE"/>
        </w:rPr>
        <w:t xml:space="preserve"> </w:t>
      </w:r>
      <w:hyperlink r:id="rId251">
        <w:r>
          <w:rPr>
            <w:rFonts w:ascii="Times New Roman" w:cs="Times New Roman" w:eastAsia="Times New Roman" w:hAnsi="Times New Roman"/>
            <w:sz w:val="18"/>
            <w:szCs w:val="18"/>
            <w:u w:val="single" w:color="auto"/>
            <w:color w:val="0000EE"/>
          </w:rPr>
          <w:t>Acquisition 2 Corp., Dragonfly Energy Corp., CCM Investments 5 LLC and EICF</w:t>
        </w:r>
      </w:hyperlink>
      <w:r>
        <w:rPr>
          <w:rFonts w:ascii="Times New Roman" w:cs="Times New Roman" w:eastAsia="Times New Roman" w:hAnsi="Times New Roman"/>
          <w:sz w:val="18"/>
          <w:szCs w:val="18"/>
          <w:u w:val="single" w:color="auto"/>
          <w:color w:val="0000EE"/>
        </w:rPr>
        <w:t xml:space="preserve"> </w:t>
      </w:r>
      <w:hyperlink r:id="rId251">
        <w:r>
          <w:rPr>
            <w:rFonts w:ascii="Times New Roman" w:cs="Times New Roman" w:eastAsia="Times New Roman" w:hAnsi="Times New Roman"/>
            <w:sz w:val="18"/>
            <w:szCs w:val="18"/>
            <w:u w:val="single" w:color="auto"/>
            <w:color w:val="0000EE"/>
          </w:rPr>
          <w:t>Agent LLC (included as Annex J to the proxy statement/prospectus).</w:t>
        </w:r>
      </w:hyperlink>
    </w:p>
    <w:p>
      <w:pPr>
        <w:spacing w:after="0" w:line="1" w:lineRule="exact"/>
        <w:rPr>
          <w:rFonts w:ascii="Times New Roman" w:cs="Times New Roman" w:eastAsia="Times New Roman" w:hAnsi="Times New Roman"/>
          <w:sz w:val="18"/>
          <w:szCs w:val="18"/>
          <w:u w:val="single" w:color="auto"/>
          <w:color w:val="0000EE"/>
        </w:rPr>
      </w:pPr>
    </w:p>
    <w:p>
      <w:pPr>
        <w:ind w:left="800" w:right="52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252">
        <w:r>
          <w:rPr>
            <w:rFonts w:ascii="Times New Roman" w:cs="Times New Roman" w:eastAsia="Times New Roman" w:hAnsi="Times New Roman"/>
            <w:sz w:val="17"/>
            <w:szCs w:val="17"/>
            <w:u w:val="single" w:color="auto"/>
            <w:color w:val="0000EE"/>
          </w:rPr>
          <w:t>Equity Facility Letter Agreement, dated as of May 15, 2022, by and among</w:t>
        </w:r>
      </w:hyperlink>
      <w:r>
        <w:rPr>
          <w:rFonts w:ascii="Times New Roman" w:cs="Times New Roman" w:eastAsia="Times New Roman" w:hAnsi="Times New Roman"/>
          <w:sz w:val="17"/>
          <w:szCs w:val="17"/>
          <w:u w:val="single" w:color="auto"/>
          <w:color w:val="0000EE"/>
        </w:rPr>
        <w:t xml:space="preserve"> </w:t>
      </w:r>
      <w:hyperlink r:id="rId252">
        <w:r>
          <w:rPr>
            <w:rFonts w:ascii="Times New Roman" w:cs="Times New Roman" w:eastAsia="Times New Roman" w:hAnsi="Times New Roman"/>
            <w:sz w:val="17"/>
            <w:szCs w:val="17"/>
            <w:u w:val="single" w:color="auto"/>
            <w:color w:val="0000EE"/>
          </w:rPr>
          <w:t>Dragonfly Energy Corp., Chardan NexTech Acquisition 2 Corp. and CCM</w:t>
        </w:r>
      </w:hyperlink>
      <w:r>
        <w:rPr>
          <w:rFonts w:ascii="Times New Roman" w:cs="Times New Roman" w:eastAsia="Times New Roman" w:hAnsi="Times New Roman"/>
          <w:sz w:val="17"/>
          <w:szCs w:val="17"/>
          <w:u w:val="single" w:color="auto"/>
          <w:color w:val="0000EE"/>
        </w:rPr>
        <w:t xml:space="preserve"> </w:t>
      </w:r>
      <w:hyperlink r:id="rId252">
        <w:r>
          <w:rPr>
            <w:rFonts w:ascii="Times New Roman" w:cs="Times New Roman" w:eastAsia="Times New Roman" w:hAnsi="Times New Roman"/>
            <w:sz w:val="17"/>
            <w:szCs w:val="17"/>
            <w:u w:val="single" w:color="auto"/>
            <w:color w:val="0000EE"/>
          </w:rPr>
          <w:t>Investments 5 LLC (included as Annex K to the proxy statement/prospectus).</w:t>
        </w:r>
      </w:hyperlink>
    </w:p>
    <w:p>
      <w:pPr>
        <w:ind w:left="80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253">
        <w:r>
          <w:rPr>
            <w:rFonts w:ascii="Times New Roman" w:cs="Times New Roman" w:eastAsia="Times New Roman" w:hAnsi="Times New Roman"/>
            <w:sz w:val="18"/>
            <w:szCs w:val="18"/>
            <w:u w:val="single" w:color="auto"/>
            <w:color w:val="0000EE"/>
          </w:rPr>
          <w:t>Subscription Agreement, dated as of May 15, 2022, between Chardan NexTech</w:t>
        </w:r>
      </w:hyperlink>
      <w:r>
        <w:rPr>
          <w:rFonts w:ascii="Times New Roman" w:cs="Times New Roman" w:eastAsia="Times New Roman" w:hAnsi="Times New Roman"/>
          <w:sz w:val="18"/>
          <w:szCs w:val="18"/>
          <w:u w:val="single" w:color="auto"/>
          <w:color w:val="0000EE"/>
        </w:rPr>
        <w:t xml:space="preserve"> </w:t>
      </w:r>
      <w:hyperlink r:id="rId253">
        <w:r>
          <w:rPr>
            <w:rFonts w:ascii="Times New Roman" w:cs="Times New Roman" w:eastAsia="Times New Roman" w:hAnsi="Times New Roman"/>
            <w:sz w:val="18"/>
            <w:szCs w:val="18"/>
            <w:u w:val="single" w:color="auto"/>
            <w:color w:val="0000EE"/>
          </w:rPr>
          <w:t>Acquisition 2 Corp. and Chardan NexTech Investments 2 LLC (included as Annex F</w:t>
        </w:r>
      </w:hyperlink>
      <w:r>
        <w:rPr>
          <w:rFonts w:ascii="Times New Roman" w:cs="Times New Roman" w:eastAsia="Times New Roman" w:hAnsi="Times New Roman"/>
          <w:sz w:val="18"/>
          <w:szCs w:val="18"/>
          <w:u w:val="single" w:color="auto"/>
          <w:color w:val="0000EE"/>
        </w:rPr>
        <w:t xml:space="preserve"> </w:t>
      </w:r>
      <w:hyperlink r:id="rId253">
        <w:r>
          <w:rPr>
            <w:rFonts w:ascii="Times New Roman" w:cs="Times New Roman" w:eastAsia="Times New Roman" w:hAnsi="Times New Roman"/>
            <w:sz w:val="18"/>
            <w:szCs w:val="18"/>
            <w:u w:val="single" w:color="auto"/>
            <w:color w:val="0000EE"/>
          </w:rPr>
          <w:t>to the proxy statement/prospectus).</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254">
        <w:r>
          <w:rPr>
            <w:rFonts w:ascii="Times New Roman" w:cs="Times New Roman" w:eastAsia="Times New Roman" w:hAnsi="Times New Roman"/>
            <w:sz w:val="17"/>
            <w:szCs w:val="17"/>
            <w:u w:val="single" w:color="auto"/>
            <w:color w:val="0000EE"/>
          </w:rPr>
          <w:t>Dragonfly Energy Holdings Corp.’s 2022 Equity Incentive Plan.</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255">
        <w:r>
          <w:rPr>
            <w:rFonts w:ascii="Times New Roman" w:cs="Times New Roman" w:eastAsia="Times New Roman" w:hAnsi="Times New Roman"/>
            <w:sz w:val="17"/>
            <w:szCs w:val="17"/>
            <w:u w:val="single" w:color="auto"/>
            <w:color w:val="0000EE"/>
          </w:rPr>
          <w:t>Dragonfly Energy Holdings Corp.’s Employee Stock Purchase Plan.</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56">
        <w:r>
          <w:rPr>
            <w:rFonts w:ascii="Times New Roman" w:cs="Times New Roman" w:eastAsia="Times New Roman" w:hAnsi="Times New Roman"/>
            <w:sz w:val="17"/>
            <w:szCs w:val="17"/>
            <w:u w:val="single" w:color="auto"/>
            <w:color w:val="0000EE"/>
          </w:rPr>
          <w:t>Form of Director Indemnification Agreement.</w:t>
        </w:r>
      </w:hyperlink>
    </w:p>
    <w:p>
      <w:pPr>
        <w:spacing w:after="0" w:line="9" w:lineRule="exact"/>
        <w:rPr>
          <w:rFonts w:ascii="Times New Roman" w:cs="Times New Roman" w:eastAsia="Times New Roman" w:hAnsi="Times New Roman"/>
          <w:sz w:val="18"/>
          <w:szCs w:val="18"/>
          <w:u w:val="single" w:color="auto"/>
          <w:color w:val="0000EE"/>
        </w:rPr>
      </w:pPr>
    </w:p>
    <w:p>
      <w:pPr>
        <w:ind w:left="800" w:right="48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57">
        <w:r>
          <w:rPr>
            <w:rFonts w:ascii="Times New Roman" w:cs="Times New Roman" w:eastAsia="Times New Roman" w:hAnsi="Times New Roman"/>
            <w:sz w:val="17"/>
            <w:szCs w:val="17"/>
            <w:u w:val="single" w:color="auto"/>
            <w:color w:val="0000EE"/>
          </w:rPr>
          <w:t>Multi-tenant Industrial Triple Net Lease, dated as of March 1, 2021, between</w:t>
        </w:r>
      </w:hyperlink>
      <w:r>
        <w:rPr>
          <w:rFonts w:ascii="Times New Roman" w:cs="Times New Roman" w:eastAsia="Times New Roman" w:hAnsi="Times New Roman"/>
          <w:sz w:val="17"/>
          <w:szCs w:val="17"/>
          <w:u w:val="single" w:color="auto"/>
          <w:color w:val="0000EE"/>
        </w:rPr>
        <w:t xml:space="preserve"> </w:t>
      </w:r>
      <w:hyperlink r:id="rId257">
        <w:r>
          <w:rPr>
            <w:rFonts w:ascii="Times New Roman" w:cs="Times New Roman" w:eastAsia="Times New Roman" w:hAnsi="Times New Roman"/>
            <w:sz w:val="17"/>
            <w:szCs w:val="17"/>
            <w:u w:val="single" w:color="auto"/>
            <w:color w:val="0000EE"/>
          </w:rPr>
          <w:t>Dragonfly Energy Corp. and Icon Reno Property Owner Pool 3 Nevada, LLC.</w:t>
        </w:r>
      </w:hyperlink>
    </w:p>
    <w:p>
      <w:pPr>
        <w:ind w:left="800" w:right="6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258">
        <w:r>
          <w:rPr>
            <w:rFonts w:ascii="Times New Roman" w:cs="Times New Roman" w:eastAsia="Times New Roman" w:hAnsi="Times New Roman"/>
            <w:sz w:val="18"/>
            <w:szCs w:val="18"/>
            <w:u w:val="single" w:color="auto"/>
            <w:color w:val="0000EE"/>
          </w:rPr>
          <w:t>Lease, dated as of February 8, 2022, between Dragonfly Energy Corp. and Prologis,</w:t>
        </w:r>
      </w:hyperlink>
      <w:r>
        <w:rPr>
          <w:rFonts w:ascii="Times New Roman" w:cs="Times New Roman" w:eastAsia="Times New Roman" w:hAnsi="Times New Roman"/>
          <w:sz w:val="18"/>
          <w:szCs w:val="18"/>
          <w:u w:val="single" w:color="auto"/>
          <w:color w:val="0000EE"/>
        </w:rPr>
        <w:t xml:space="preserve"> </w:t>
      </w:r>
      <w:hyperlink r:id="rId258">
        <w:r>
          <w:rPr>
            <w:rFonts w:ascii="Times New Roman" w:cs="Times New Roman" w:eastAsia="Times New Roman" w:hAnsi="Times New Roman"/>
            <w:sz w:val="18"/>
            <w:szCs w:val="18"/>
            <w:u w:val="single" w:color="auto"/>
            <w:color w:val="0000EE"/>
          </w:rPr>
          <w:t>L.P.</w:t>
        </w:r>
      </w:hyperlink>
    </w:p>
    <w:p>
      <w:pPr>
        <w:spacing w:after="0" w:line="1"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259">
        <w:r>
          <w:rPr>
            <w:rFonts w:ascii="Times New Roman" w:cs="Times New Roman" w:eastAsia="Times New Roman" w:hAnsi="Times New Roman"/>
            <w:sz w:val="17"/>
            <w:szCs w:val="17"/>
            <w:u w:val="single" w:color="auto"/>
            <w:color w:val="0000EE"/>
          </w:rPr>
          <w:t>Purchase Agreement, dated as of October 7, 2022, between the Company and CCM.</w:t>
        </w:r>
      </w:hyperlink>
    </w:p>
    <w:p>
      <w:pPr>
        <w:spacing w:after="0" w:line="9" w:lineRule="exact"/>
        <w:rPr>
          <w:sz w:val="20"/>
          <w:szCs w:val="20"/>
          <w:color w:val="auto"/>
        </w:rPr>
      </w:pPr>
    </w:p>
    <w:p>
      <w:pPr>
        <w:ind w:left="800" w:right="10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260">
        <w:r>
          <w:rPr>
            <w:rFonts w:ascii="Times New Roman" w:cs="Times New Roman" w:eastAsia="Times New Roman" w:hAnsi="Times New Roman"/>
            <w:sz w:val="18"/>
            <w:szCs w:val="18"/>
            <w:u w:val="single" w:color="auto"/>
            <w:color w:val="0000EE"/>
          </w:rPr>
          <w:t>Registration Rights Agreement, dated as of October 7, 2022, between the Company</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and CCM.</w:t>
        </w:r>
      </w:hyperlink>
    </w:p>
    <w:p>
      <w:pPr>
        <w:spacing w:after="0" w:line="1" w:lineRule="exact"/>
        <w:rPr>
          <w:sz w:val="20"/>
          <w:szCs w:val="20"/>
          <w:color w:val="auto"/>
        </w:rPr>
      </w:pPr>
    </w:p>
    <w:p>
      <w:pPr>
        <w:ind w:left="800" w:right="24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261">
        <w:r>
          <w:rPr>
            <w:rFonts w:ascii="Times New Roman" w:cs="Times New Roman" w:eastAsia="Times New Roman" w:hAnsi="Times New Roman"/>
            <w:sz w:val="18"/>
            <w:szCs w:val="18"/>
            <w:u w:val="single" w:color="auto"/>
            <w:color w:val="0000EE"/>
          </w:rPr>
          <w:t>Term Loan Agreement, dated as of October 7, 2022, by and among the Company,</w:t>
        </w:r>
      </w:hyperlink>
      <w:r>
        <w:rPr>
          <w:rFonts w:ascii="Times New Roman" w:cs="Times New Roman" w:eastAsia="Times New Roman" w:hAnsi="Times New Roman"/>
          <w:sz w:val="18"/>
          <w:szCs w:val="18"/>
          <w:u w:val="single" w:color="auto"/>
          <w:color w:val="0000EE"/>
        </w:rPr>
        <w:t xml:space="preserve"> </w:t>
      </w:r>
      <w:hyperlink r:id="rId261">
        <w:r>
          <w:rPr>
            <w:rFonts w:ascii="Times New Roman" w:cs="Times New Roman" w:eastAsia="Times New Roman" w:hAnsi="Times New Roman"/>
            <w:sz w:val="18"/>
            <w:szCs w:val="18"/>
            <w:u w:val="single" w:color="auto"/>
            <w:color w:val="0000EE"/>
          </w:rPr>
          <w:t>Dragonfly Energy Corp., the lenders from time to time party thereto and Alter</w:t>
        </w:r>
      </w:hyperlink>
      <w:r>
        <w:rPr>
          <w:rFonts w:ascii="Times New Roman" w:cs="Times New Roman" w:eastAsia="Times New Roman" w:hAnsi="Times New Roman"/>
          <w:sz w:val="18"/>
          <w:szCs w:val="18"/>
          <w:u w:val="single" w:color="auto"/>
          <w:color w:val="0000EE"/>
        </w:rPr>
        <w:t xml:space="preserve"> </w:t>
      </w:r>
      <w:hyperlink r:id="rId261">
        <w:r>
          <w:rPr>
            <w:rFonts w:ascii="Times New Roman" w:cs="Times New Roman" w:eastAsia="Times New Roman" w:hAnsi="Times New Roman"/>
            <w:sz w:val="18"/>
            <w:szCs w:val="18"/>
            <w:u w:val="single" w:color="auto"/>
            <w:color w:val="0000EE"/>
          </w:rPr>
          <w:t>Domus (US) LLC.</w:t>
        </w:r>
      </w:hyperlink>
    </w:p>
    <w:p>
      <w:pPr>
        <w:spacing w:after="0" w:line="1" w:lineRule="exact"/>
        <w:rPr>
          <w:rFonts w:ascii="Times New Roman" w:cs="Times New Roman" w:eastAsia="Times New Roman" w:hAnsi="Times New Roman"/>
          <w:sz w:val="18"/>
          <w:szCs w:val="18"/>
          <w:u w:val="single" w:color="auto"/>
          <w:color w:val="0000EE"/>
        </w:rPr>
      </w:pPr>
    </w:p>
    <w:p>
      <w:pPr>
        <w:ind w:left="800" w:right="28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262">
        <w:r>
          <w:rPr>
            <w:rFonts w:ascii="Times New Roman" w:cs="Times New Roman" w:eastAsia="Times New Roman" w:hAnsi="Times New Roman"/>
            <w:sz w:val="18"/>
            <w:szCs w:val="18"/>
            <w:u w:val="single" w:color="auto"/>
            <w:color w:val="0000EE"/>
          </w:rPr>
          <w:t>Pledge Agreement, dated as of October 7, 2022, by and among the Company and</w:t>
        </w:r>
      </w:hyperlink>
      <w:r>
        <w:rPr>
          <w:rFonts w:ascii="Times New Roman" w:cs="Times New Roman" w:eastAsia="Times New Roman" w:hAnsi="Times New Roman"/>
          <w:sz w:val="18"/>
          <w:szCs w:val="18"/>
          <w:u w:val="single" w:color="auto"/>
          <w:color w:val="0000EE"/>
        </w:rPr>
        <w:t xml:space="preserve"> </w:t>
      </w:r>
      <w:hyperlink r:id="rId262">
        <w:r>
          <w:rPr>
            <w:rFonts w:ascii="Times New Roman" w:cs="Times New Roman" w:eastAsia="Times New Roman" w:hAnsi="Times New Roman"/>
            <w:sz w:val="18"/>
            <w:szCs w:val="18"/>
            <w:u w:val="single" w:color="auto"/>
            <w:color w:val="0000EE"/>
          </w:rPr>
          <w:t>Alter Domus (US) LLC.</w:t>
        </w:r>
      </w:hyperlink>
    </w:p>
    <w:p>
      <w:pPr>
        <w:spacing w:after="0" w:line="1" w:lineRule="exact"/>
        <w:rPr>
          <w:sz w:val="20"/>
          <w:szCs w:val="20"/>
          <w:color w:val="auto"/>
        </w:rPr>
      </w:pPr>
    </w:p>
    <w:p>
      <w:pPr>
        <w:ind w:left="800" w:right="480" w:hanging="782"/>
        <w:spacing w:after="0" w:line="26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263">
        <w:r>
          <w:rPr>
            <w:rFonts w:ascii="Times New Roman" w:cs="Times New Roman" w:eastAsia="Times New Roman" w:hAnsi="Times New Roman"/>
            <w:sz w:val="18"/>
            <w:szCs w:val="18"/>
            <w:u w:val="single" w:color="auto"/>
            <w:color w:val="0000EE"/>
          </w:rPr>
          <w:t>Employment Agreement, dated as of January 1, 2022, by and between Legacy</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Dragonfly and Denis Phares.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8256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5"/>
                <w:szCs w:val="15"/>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42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6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2.1(a)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10/21/2022</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08/05/2021</w:t>
            </w:r>
          </w:p>
        </w:tc>
      </w:tr>
      <w:tr>
        <w:trPr>
          <w:trHeight w:val="8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6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09/14/2022</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bl>
    <w:p>
      <w:pPr>
        <w:sectPr>
          <w:pgSz w:w="11900" w:h="16838" w:orient="portrait"/>
          <w:cols w:equalWidth="0" w:num="2">
            <w:col w:w="6900" w:space="140"/>
            <w:col w:w="288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380" w:type="dxa"/>
            <w:vAlign w:val="bottom"/>
            <w:gridSpan w:val="1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9"/>
                <w:szCs w:val="9"/>
                <w:color w:val="auto"/>
              </w:rPr>
            </w:pP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9"/>
                <w:szCs w:val="9"/>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15"/>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auto"/>
            </w:tcBorders>
            <w:gridSpan w:val="24"/>
          </w:tcPr>
          <w:p>
            <w:pPr>
              <w:spacing w:after="0" w:line="169"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Amendment to Employment Agreement, dated as of May 15, 2022, by and</w:t>
              </w:r>
            </w:hyperlink>
          </w:p>
        </w:tc>
        <w:tc>
          <w:tcPr>
            <w:tcW w:w="2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between Legacy Dragonfly and Denis Phares.</w:t>
              </w:r>
            </w:hyperlink>
          </w:p>
        </w:tc>
        <w:tc>
          <w:tcPr>
            <w:tcW w:w="2080" w:type="dxa"/>
            <w:vAlign w:val="bottom"/>
            <w:tcBorders>
              <w:top w:val="single" w:sz="8" w:color="0000EE"/>
            </w:tcBorders>
            <w:gridSpan w:val="9"/>
          </w:tcPr>
          <w:p>
            <w:pPr>
              <w:spacing w:after="0"/>
              <w:rPr>
                <w:sz w:val="17"/>
                <w:szCs w:val="17"/>
                <w:color w:val="auto"/>
              </w:rPr>
            </w:pPr>
          </w:p>
        </w:tc>
        <w:tc>
          <w:tcPr>
            <w:tcW w:w="480" w:type="dxa"/>
            <w:vAlign w:val="bottom"/>
            <w:gridSpan w:val="4"/>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7"/>
                <w:szCs w:val="17"/>
                <w:color w:val="auto"/>
              </w:rPr>
            </w:pPr>
          </w:p>
        </w:tc>
        <w:tc>
          <w:tcPr>
            <w:tcW w:w="5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Employment Agreement, dated as of January 1, 2022, by and between Legacy</w:t>
              </w:r>
            </w:hyperlink>
          </w:p>
        </w:tc>
        <w:tc>
          <w:tcPr>
            <w:tcW w:w="24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Dragonfly and Sean Nichols.</w:t>
              </w:r>
            </w:hyperlink>
          </w:p>
        </w:tc>
        <w:tc>
          <w:tcPr>
            <w:tcW w:w="3760" w:type="dxa"/>
            <w:vAlign w:val="bottom"/>
            <w:gridSpan w:val="18"/>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Amendment to Employment Agreement, dated as of May 15, 2022, by and</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between Legacy Dragonfly and Sean Nichols.</w:t>
              </w:r>
            </w:hyperlink>
          </w:p>
        </w:tc>
        <w:tc>
          <w:tcPr>
            <w:tcW w:w="480" w:type="dxa"/>
            <w:vAlign w:val="bottom"/>
            <w:gridSpan w:val="4"/>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Employment Agreement, dated as of August 17, 2021, by and between Legacy</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Dragonfly and John Marchetti.</w:t>
              </w:r>
            </w:hyperlink>
          </w:p>
        </w:tc>
        <w:tc>
          <w:tcPr>
            <w:tcW w:w="3440" w:type="dxa"/>
            <w:vAlign w:val="bottom"/>
            <w:tcBorders>
              <w:top w:val="single" w:sz="8" w:color="0000EE"/>
            </w:tcBorders>
            <w:gridSpan w:val="14"/>
          </w:tcPr>
          <w:p>
            <w:pPr>
              <w:spacing w:after="0"/>
              <w:rPr>
                <w:sz w:val="17"/>
                <w:szCs w:val="17"/>
                <w:color w:val="auto"/>
              </w:rPr>
            </w:pPr>
          </w:p>
        </w:tc>
        <w:tc>
          <w:tcPr>
            <w:tcW w:w="200" w:type="dxa"/>
            <w:vAlign w:val="bottom"/>
            <w:gridSpan w:val="2"/>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Dragonfly Energy Corp.’s 2019 Stock Incentive Plan.</w:t>
              </w:r>
            </w:hyperlink>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Dragonfly Energy Corp.’s 2021 Stock Incentive Plan.</w:t>
              </w:r>
            </w:hyperlink>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Amended and Restated Registration Rights Agreement, by and among the</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Company and each of the stockholders thereto.</w:t>
              </w:r>
            </w:hyperlink>
          </w:p>
        </w:tc>
        <w:tc>
          <w:tcPr>
            <w:tcW w:w="1940" w:type="dxa"/>
            <w:vAlign w:val="bottom"/>
            <w:tcBorders>
              <w:top w:val="single" w:sz="8" w:color="0000EE"/>
            </w:tcBorders>
            <w:gridSpan w:val="7"/>
          </w:tcPr>
          <w:p>
            <w:pPr>
              <w:spacing w:after="0"/>
              <w:rPr>
                <w:sz w:val="17"/>
                <w:szCs w:val="17"/>
                <w:color w:val="auto"/>
              </w:rPr>
            </w:pPr>
          </w:p>
        </w:tc>
        <w:tc>
          <w:tcPr>
            <w:tcW w:w="540" w:type="dxa"/>
            <w:vAlign w:val="bottom"/>
            <w:gridSpan w:val="5"/>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 Policy</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Employment Agreement, dated as of October 11, 2022, by and between</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Dragonfly and Denis Phares.</w:t>
            </w:r>
          </w:p>
        </w:tc>
        <w:tc>
          <w:tcPr>
            <w:tcW w:w="3060" w:type="dxa"/>
            <w:vAlign w:val="bottom"/>
            <w:tcBorders>
              <w:top w:val="single" w:sz="8" w:color="0000EE"/>
            </w:tcBorders>
            <w:gridSpan w:val="13"/>
          </w:tcPr>
          <w:p>
            <w:pPr>
              <w:spacing w:after="0"/>
              <w:rPr>
                <w:sz w:val="17"/>
                <w:szCs w:val="17"/>
                <w:color w:val="auto"/>
              </w:rPr>
            </w:pPr>
          </w:p>
        </w:tc>
        <w:tc>
          <w:tcPr>
            <w:tcW w:w="72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Employment Agreement, dated as of October 11, 2022, by and between</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Dragonfly and John Marchetti.</w:t>
            </w:r>
          </w:p>
        </w:tc>
        <w:tc>
          <w:tcPr>
            <w:tcW w:w="2920" w:type="dxa"/>
            <w:vAlign w:val="bottom"/>
            <w:tcBorders>
              <w:top w:val="single" w:sz="8" w:color="0000EE"/>
            </w:tcBorders>
            <w:gridSpan w:val="10"/>
          </w:tcPr>
          <w:p>
            <w:pPr>
              <w:spacing w:after="0"/>
              <w:rPr>
                <w:sz w:val="17"/>
                <w:szCs w:val="17"/>
                <w:color w:val="auto"/>
              </w:rPr>
            </w:pPr>
          </w:p>
        </w:tc>
        <w:tc>
          <w:tcPr>
            <w:tcW w:w="72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Dragonfly Energy Holdings Corp. Code of Conduct.</w:t>
              </w:r>
            </w:hyperlink>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7"/>
                <w:szCs w:val="17"/>
                <w:color w:val="auto"/>
              </w:rPr>
            </w:pPr>
          </w:p>
        </w:tc>
        <w:tc>
          <w:tcPr>
            <w:tcW w:w="37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Dragonfly Energy Holdings Corp. Code of Ethics.</w:t>
              </w:r>
            </w:hyperlink>
          </w:p>
        </w:tc>
        <w:tc>
          <w:tcPr>
            <w:tcW w:w="2100" w:type="dxa"/>
            <w:vAlign w:val="bottom"/>
            <w:gridSpan w:val="9"/>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Letter from WithumSmith+Brown, PC to the SEC.</w:t>
              </w:r>
            </w:hyperlink>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76">
              <w:r>
                <w:rPr>
                  <w:rFonts w:ascii="Times New Roman" w:cs="Times New Roman" w:eastAsia="Times New Roman" w:hAnsi="Times New Roman"/>
                  <w:sz w:val="18"/>
                  <w:szCs w:val="18"/>
                  <w:color w:val="0000EE"/>
                  <w:w w:val="98"/>
                </w:rPr>
                <w:t>List of Subsidiaries.</w:t>
              </w:r>
            </w:hyperlink>
          </w:p>
        </w:tc>
        <w:tc>
          <w:tcPr>
            <w:tcW w:w="2200" w:type="dxa"/>
            <w:vAlign w:val="bottom"/>
            <w:tcBorders>
              <w:top w:val="single" w:sz="8" w:color="0000EE"/>
            </w:tcBorders>
            <w:gridSpan w:val="12"/>
          </w:tcPr>
          <w:p>
            <w:pPr>
              <w:spacing w:after="0"/>
              <w:rPr>
                <w:sz w:val="17"/>
                <w:szCs w:val="17"/>
                <w:color w:val="auto"/>
              </w:rPr>
            </w:pPr>
          </w:p>
        </w:tc>
        <w:tc>
          <w:tcPr>
            <w:tcW w:w="2220" w:type="dxa"/>
            <w:vAlign w:val="bottom"/>
            <w:gridSpan w:val="10"/>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Consent of WithumSmith+Brown, PC.</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7"/>
                <w:szCs w:val="17"/>
                <w:color w:val="auto"/>
              </w:rPr>
            </w:pPr>
          </w:p>
        </w:tc>
        <w:tc>
          <w:tcPr>
            <w:tcW w:w="27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Consent of BDO USA, LLP.</w:t>
            </w:r>
          </w:p>
        </w:tc>
        <w:tc>
          <w:tcPr>
            <w:tcW w:w="308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Consent of O’Melveny &amp; Myers LLP (included in Exhibit 5.1 hereto).</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7"/>
                <w:szCs w:val="17"/>
                <w:color w:val="auto"/>
              </w:rPr>
            </w:pPr>
          </w:p>
        </w:tc>
        <w:tc>
          <w:tcPr>
            <w:tcW w:w="5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to the prospectus which forms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part of this registration statement).</w:t>
            </w:r>
          </w:p>
        </w:tc>
        <w:tc>
          <w:tcPr>
            <w:tcW w:w="336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5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8"/>
                <w:szCs w:val="18"/>
                <w:color w:val="auto"/>
              </w:rPr>
            </w:pPr>
          </w:p>
        </w:tc>
        <w:tc>
          <w:tcPr>
            <w:tcW w:w="5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8"/>
                <w:szCs w:val="18"/>
                <w:color w:val="auto"/>
              </w:rPr>
            </w:pPr>
          </w:p>
        </w:tc>
        <w:tc>
          <w:tcPr>
            <w:tcW w:w="5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18"/>
                <w:szCs w:val="18"/>
                <w:color w:val="auto"/>
              </w:rPr>
            </w:pPr>
          </w:p>
        </w:tc>
        <w:tc>
          <w:tcPr>
            <w:tcW w:w="5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18"/>
                <w:szCs w:val="18"/>
                <w:color w:val="auto"/>
              </w:rPr>
            </w:pPr>
          </w:p>
        </w:tc>
        <w:tc>
          <w:tcPr>
            <w:tcW w:w="5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18"/>
                <w:szCs w:val="18"/>
                <w:color w:val="auto"/>
              </w:rPr>
            </w:pPr>
          </w:p>
        </w:tc>
        <w:tc>
          <w:tcPr>
            <w:tcW w:w="5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5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6"/>
                <w:szCs w:val="16"/>
                <w:color w:val="auto"/>
              </w:rPr>
            </w:pPr>
          </w:p>
        </w:tc>
        <w:tc>
          <w:tcPr>
            <w:tcW w:w="586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Filing Fee Exhibit.</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320" w:type="dxa"/>
            <w:vAlign w:val="bottom"/>
            <w:tcBorders>
              <w:top w:val="single" w:sz="8" w:color="0000EE"/>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117" w:lineRule="exact"/>
        <w:rPr>
          <w:rFonts w:ascii="Times New Roman" w:cs="Times New Roman" w:eastAsia="Times New Roman" w:hAnsi="Times New Roman"/>
          <w:sz w:val="18"/>
          <w:szCs w:val="18"/>
          <w:color w:val="auto"/>
        </w:rPr>
      </w:pPr>
    </w:p>
    <w:p>
      <w:pPr>
        <w:ind w:right="6840"/>
        <w:spacing w:after="0" w:line="3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exhibit have been omitted. * Filed herewith.</w:t>
      </w:r>
    </w:p>
    <w:p>
      <w:pPr>
        <w:spacing w:after="0" w:line="1" w:lineRule="exact"/>
        <w:rPr>
          <w:sz w:val="20"/>
          <w:szCs w:val="20"/>
          <w:color w:val="auto"/>
        </w:rPr>
      </w:pPr>
    </w:p>
    <w:p>
      <w:pPr>
        <w:ind w:left="340" w:right="340" w:hanging="332"/>
        <w:spacing w:after="0" w:line="267"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filed as a part of this registration statement are listed in the index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immediately preceding such financial statements, which index to the financial statements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right="240" w:hanging="328"/>
        <w:spacing w:after="0" w:line="501" w:lineRule="auto"/>
        <w:tabs>
          <w:tab w:leader="none" w:pos="6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during any period in which offers or sales are being made, a post-effective amendment to this registration statement: i. To include any prospectus required by Section 10(a)(3) of the Securities Act of 1933, as amended (the </w:t>
      </w:r>
      <w:r>
        <w:rPr>
          <w:rFonts w:ascii="Calibri" w:cs="Calibri" w:eastAsia="Calibri" w:hAnsi="Calibri"/>
          <w:sz w:val="18"/>
          <w:szCs w:val="18"/>
          <w:color w:val="auto"/>
        </w:rPr>
        <w:t>“</w:t>
      </w:r>
      <w:r>
        <w:rPr>
          <w:rFonts w:ascii="Times New Roman" w:cs="Times New Roman" w:eastAsia="Times New Roman" w:hAnsi="Times New Roman"/>
          <w:sz w:val="18"/>
          <w:szCs w:val="18"/>
          <w:b w:val="1"/>
          <w:bCs w:val="1"/>
          <w:color w:val="auto"/>
        </w:rPr>
        <w:t>Securities Act</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hanging="324"/>
        <w:spacing w:after="0" w:line="257" w:lineRule="auto"/>
        <w:tabs>
          <w:tab w:leader="none" w:pos="98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Calculation of Registration Fee</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table in the effective registration statement; and</w:t>
      </w:r>
    </w:p>
    <w:p>
      <w:pPr>
        <w:spacing w:after="0" w:line="184"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w:t>
      </w:r>
    </w:p>
    <w:p>
      <w:pPr>
        <w:spacing w:after="0" w:line="27" w:lineRule="exact"/>
        <w:rPr>
          <w:rFonts w:ascii="Times New Roman" w:cs="Times New Roman" w:eastAsia="Times New Roman" w:hAnsi="Times New Roman"/>
          <w:sz w:val="18"/>
          <w:szCs w:val="18"/>
          <w:color w:val="auto"/>
        </w:rPr>
      </w:pPr>
    </w:p>
    <w:p>
      <w:pPr>
        <w:ind w:left="660" w:right="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5"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340" w:right="20" w:hanging="332"/>
        <w:spacing w:after="0" w:line="254"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New York, State of New York, on the 4th day of November 2022.</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Name:Denis Phares</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Denis Phares and Nicole Harvey, each acting alone or together with another attorney-in-fact, as his or her true and lawful attorney-in-fact, with full power of substitution and resubstitution, for such person and in his or her name, place and stead, in any and all capacities, to sign any and all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31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00" w:type="dxa"/>
            <w:vAlign w:val="bottom"/>
          </w:tcPr>
          <w:p>
            <w:pPr>
              <w:spacing w:after="0"/>
              <w:rPr>
                <w:sz w:val="15"/>
                <w:szCs w:val="15"/>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3180" w:type="dxa"/>
            <w:vAlign w:val="bottom"/>
          </w:tcPr>
          <w:p>
            <w:pPr>
              <w:spacing w:after="0"/>
              <w:rPr>
                <w:sz w:val="24"/>
                <w:szCs w:val="24"/>
                <w:color w:val="auto"/>
              </w:rPr>
            </w:pP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President and Chief Executive</w:t>
            </w:r>
          </w:p>
        </w:tc>
        <w:tc>
          <w:tcPr>
            <w:tcW w:w="316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Denis Phares</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Officer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Marchetti</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Luisa Ingargiola</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Nelson</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Perry Boyle</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Bellows</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Rick Parod</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Rick Parod</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Karina Edmonds</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ind w:left="906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499745</wp:posOffset>
            </wp:positionV>
            <wp:extent cx="6283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156845</wp:posOffset>
            </wp:positionV>
            <wp:extent cx="1028700" cy="205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O’Melveny &amp; Myers LLP</w:t>
            </w:r>
          </w:p>
        </w:tc>
        <w:tc>
          <w:tcPr>
            <w:tcW w:w="158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3"/>
              </w:rPr>
              <w:t>T: +1-212-326-2000</w:t>
            </w: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7 Times Square Tower</w:t>
            </w:r>
          </w:p>
        </w:tc>
        <w:tc>
          <w:tcPr>
            <w:tcW w:w="1580" w:type="dxa"/>
            <w:vAlign w:val="bottom"/>
          </w:tcPr>
          <w:p>
            <w:pPr>
              <w:ind w:left="560"/>
              <w:spacing w:after="0" w:line="135" w:lineRule="exact"/>
              <w:rPr>
                <w:sz w:val="20"/>
                <w:szCs w:val="20"/>
                <w:color w:val="auto"/>
              </w:rPr>
            </w:pPr>
            <w:r>
              <w:rPr>
                <w:rFonts w:ascii="Times New Roman" w:cs="Times New Roman" w:eastAsia="Times New Roman" w:hAnsi="Times New Roman"/>
                <w:sz w:val="13"/>
                <w:szCs w:val="13"/>
                <w:color w:val="auto"/>
                <w:w w:val="94"/>
              </w:rPr>
              <w:t>F: +1-212-326-2061</w:t>
            </w:r>
          </w:p>
        </w:tc>
      </w:tr>
      <w:tr>
        <w:trPr>
          <w:trHeight w:val="164"/>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New York, NY 10036</w:t>
            </w:r>
          </w:p>
        </w:tc>
        <w:tc>
          <w:tcPr>
            <w:tcW w:w="15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omm.com</w:t>
            </w: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4,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Dragonfly Energy Holdings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1190 Trademark Drive #108</w:t>
      </w:r>
    </w:p>
    <w:p>
      <w:pPr>
        <w:spacing w:after="0"/>
        <w:rPr>
          <w:sz w:val="20"/>
          <w:szCs w:val="20"/>
          <w:color w:val="auto"/>
        </w:rPr>
      </w:pPr>
      <w:r>
        <w:rPr>
          <w:rFonts w:ascii="Times New Roman" w:cs="Times New Roman" w:eastAsia="Times New Roman" w:hAnsi="Times New Roman"/>
          <w:sz w:val="20"/>
          <w:szCs w:val="20"/>
          <w:color w:val="auto"/>
        </w:rPr>
        <w:t>Reno, Nevada 89521</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i w:val="1"/>
          <w:iCs w:val="1"/>
          <w:u w:val="single" w:color="auto"/>
          <w:color w:val="auto"/>
        </w:rPr>
        <w:t>Dragonfly Energy Holdings Corp. – Registration Statement on Form S-1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have acted as special counsel to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 connection with its filing on the date hereof with the Securities and Exchange Commission (the “</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of a Registration Statement on Form S-1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under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including a related prospectus filed with the Registration Statement (the “</w:t>
      </w:r>
      <w:r>
        <w:rPr>
          <w:rFonts w:ascii="Times New Roman" w:cs="Times New Roman" w:eastAsia="Times New Roman" w:hAnsi="Times New Roman"/>
          <w:sz w:val="20"/>
          <w:szCs w:val="20"/>
          <w:u w:val="single" w:color="auto"/>
          <w:color w:val="auto"/>
        </w:rPr>
        <w:t>Prospectus</w:t>
      </w:r>
      <w:r>
        <w:rPr>
          <w:rFonts w:ascii="Times New Roman" w:cs="Times New Roman" w:eastAsia="Times New Roman" w:hAnsi="Times New Roman"/>
          <w:sz w:val="20"/>
          <w:szCs w:val="20"/>
          <w:color w:val="auto"/>
        </w:rPr>
        <w:t>”), relating to the registration of:</w:t>
      </w:r>
    </w:p>
    <w:p>
      <w:pPr>
        <w:spacing w:after="0" w:line="185"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resale, from time to time in one or more offerings, of:</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31,290,514 outstanding shares (the “</w:t>
      </w:r>
      <w:r>
        <w:rPr>
          <w:rFonts w:ascii="Times New Roman" w:cs="Times New Roman" w:eastAsia="Times New Roman" w:hAnsi="Times New Roman"/>
          <w:sz w:val="20"/>
          <w:szCs w:val="20"/>
          <w:u w:val="single" w:color="auto"/>
          <w:color w:val="auto"/>
        </w:rPr>
        <w:t>Consideration Shares</w:t>
      </w:r>
      <w:r>
        <w:rPr>
          <w:rFonts w:ascii="Times New Roman" w:cs="Times New Roman" w:eastAsia="Times New Roman" w:hAnsi="Times New Roman"/>
          <w:sz w:val="20"/>
          <w:szCs w:val="20"/>
          <w:color w:val="auto"/>
        </w:rPr>
        <w:t>”) of common stock, par value $0.0001 per share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that were issued as consideration in connection with the consummation of the Transactions (as defined in the Prospectus);</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3,664,975 shares of Common Stock subject to vesting and/or exercise of Dragonfly Energy Corp. equity awards that were issued under the Dragonfly Energy Corp. 2019 Stock Incentive Plan and the Dragonfly Energy Corp. 2021 Stock Incentive Plan and assumed in connection with the Business Combination (as defined in the Prospectus) (the “</w:t>
      </w:r>
      <w:r>
        <w:rPr>
          <w:rFonts w:ascii="Times New Roman" w:cs="Times New Roman" w:eastAsia="Times New Roman" w:hAnsi="Times New Roman"/>
          <w:sz w:val="20"/>
          <w:szCs w:val="20"/>
          <w:u w:val="single" w:color="auto"/>
          <w:color w:val="auto"/>
        </w:rPr>
        <w:t>Option Shares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15,000 shares of Common Stock (the “</w:t>
      </w:r>
      <w:r>
        <w:rPr>
          <w:rFonts w:ascii="Times New Roman" w:cs="Times New Roman" w:eastAsia="Times New Roman" w:hAnsi="Times New Roman"/>
          <w:sz w:val="20"/>
          <w:szCs w:val="20"/>
          <w:u w:val="single" w:color="auto"/>
          <w:color w:val="auto"/>
        </w:rPr>
        <w:t>PIPE Investment Shares</w:t>
      </w:r>
      <w:r>
        <w:rPr>
          <w:rFonts w:ascii="Times New Roman" w:cs="Times New Roman" w:eastAsia="Times New Roman" w:hAnsi="Times New Roman"/>
          <w:sz w:val="20"/>
          <w:szCs w:val="20"/>
          <w:color w:val="auto"/>
        </w:rPr>
        <w:t>”) purchased by Chardan Capital Markets LLC in the PIPE Investment (as defined in the Prospectus);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3,162,500 outstanding shares of Common Stock (the “</w:t>
      </w:r>
      <w:r>
        <w:rPr>
          <w:rFonts w:ascii="Times New Roman" w:cs="Times New Roman" w:eastAsia="Times New Roman" w:hAnsi="Times New Roman"/>
          <w:sz w:val="20"/>
          <w:szCs w:val="20"/>
          <w:u w:val="single" w:color="auto"/>
          <w:color w:val="auto"/>
        </w:rPr>
        <w:t>Founder Shares</w:t>
      </w:r>
      <w:r>
        <w:rPr>
          <w:rFonts w:ascii="Times New Roman" w:cs="Times New Roman" w:eastAsia="Times New Roman" w:hAnsi="Times New Roman"/>
          <w:sz w:val="20"/>
          <w:szCs w:val="20"/>
          <w:color w:val="auto"/>
        </w:rPr>
        <w:t>” and, together with the Consideration Shares, the Option Shares and the PIPE Investment Shares,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that were originally issued in a private placement at the time of the Chardan NexTech Acquisition 2 Corp. initial public offering (the “</w:t>
      </w:r>
      <w:r>
        <w:rPr>
          <w:rFonts w:ascii="Times New Roman" w:cs="Times New Roman" w:eastAsia="Times New Roman" w:hAnsi="Times New Roman"/>
          <w:sz w:val="20"/>
          <w:szCs w:val="20"/>
          <w:u w:val="single" w:color="auto"/>
          <w:color w:val="auto"/>
        </w:rPr>
        <w:t>CNTQ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4,627,858 warrants (the “</w:t>
      </w:r>
      <w:r>
        <w:rPr>
          <w:rFonts w:ascii="Times New Roman" w:cs="Times New Roman" w:eastAsia="Times New Roman" w:hAnsi="Times New Roman"/>
          <w:sz w:val="20"/>
          <w:szCs w:val="20"/>
          <w:u w:val="single" w:color="auto"/>
          <w:color w:val="auto"/>
        </w:rPr>
        <w:t>Private Warrants</w:t>
      </w:r>
      <w:r>
        <w:rPr>
          <w:rFonts w:ascii="Times New Roman" w:cs="Times New Roman" w:eastAsia="Times New Roman" w:hAnsi="Times New Roman"/>
          <w:sz w:val="20"/>
          <w:szCs w:val="20"/>
          <w:color w:val="auto"/>
        </w:rPr>
        <w:t>”) that were originally issued in the CNTQ IPO;</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 Warrants (as defined in the Prospectus) to initially acquire 1,600,000 shares of Common Stock that were originally issued to the Term Loan Lenders (as defined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Austin • Century City • Dallas • Los Angeles • Newport Beach • New York • San Francisco • Silicon Valley • Washington, DC</w:t>
      </w:r>
    </w:p>
    <w:p>
      <w:pPr>
        <w:jc w:val="center"/>
        <w:spacing w:after="0"/>
        <w:rPr>
          <w:sz w:val="20"/>
          <w:szCs w:val="20"/>
          <w:color w:val="auto"/>
        </w:rPr>
      </w:pPr>
      <w:r>
        <w:rPr>
          <w:rFonts w:ascii="Times New Roman" w:cs="Times New Roman" w:eastAsia="Times New Roman" w:hAnsi="Times New Roman"/>
          <w:sz w:val="13"/>
          <w:szCs w:val="13"/>
          <w:color w:val="auto"/>
        </w:rPr>
        <w:t>Beijing • Brussels • Hong Kong • London • Seoul • Shanghai • Singapore • Tokyo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911860</wp:posOffset>
            </wp:positionV>
            <wp:extent cx="6283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page">
              <wp:posOffset>5883275</wp:posOffset>
            </wp:positionH>
            <wp:positionV relativeFrom="page">
              <wp:posOffset>568960</wp:posOffset>
            </wp:positionV>
            <wp:extent cx="1028700" cy="2057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line="219" w:lineRule="exact"/>
        <w:rPr>
          <w:sz w:val="20"/>
          <w:szCs w:val="20"/>
          <w:color w:val="auto"/>
        </w:rPr>
      </w:pPr>
    </w:p>
    <w:p>
      <w:pPr>
        <w:ind w:left="660" w:right="20" w:firstLine="644"/>
        <w:spacing w:after="0" w:line="269" w:lineRule="auto"/>
        <w:tabs>
          <w:tab w:leader="none" w:pos="19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Penny Warrants (as defined in the Prospectus) to initially acquire 2,593,056 shares of Common Stock that were originally issued to the Term Loan Lenders;</w:t>
      </w:r>
    </w:p>
    <w:p>
      <w:pPr>
        <w:spacing w:after="0" w:line="15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4,627,858 shares of Common Stock (the “</w:t>
      </w:r>
      <w:r>
        <w:rPr>
          <w:rFonts w:ascii="Times New Roman" w:cs="Times New Roman" w:eastAsia="Times New Roman" w:hAnsi="Times New Roman"/>
          <w:sz w:val="20"/>
          <w:szCs w:val="20"/>
          <w:u w:val="single" w:color="auto"/>
          <w:color w:val="auto"/>
        </w:rPr>
        <w:t>Private Warrant Shares</w:t>
      </w:r>
      <w:r>
        <w:rPr>
          <w:rFonts w:ascii="Times New Roman" w:cs="Times New Roman" w:eastAsia="Times New Roman" w:hAnsi="Times New Roman"/>
          <w:sz w:val="20"/>
          <w:szCs w:val="20"/>
          <w:color w:val="auto"/>
        </w:rPr>
        <w:t>”) issuable upon the exercise of the Private Warrants;</w:t>
      </w:r>
    </w:p>
    <w:p>
      <w:pPr>
        <w:spacing w:after="0" w:line="159"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9,487,500 shares of Common Stock (the “</w:t>
      </w:r>
      <w:r>
        <w:rPr>
          <w:rFonts w:ascii="Times New Roman" w:cs="Times New Roman" w:eastAsia="Times New Roman" w:hAnsi="Times New Roman"/>
          <w:sz w:val="20"/>
          <w:szCs w:val="20"/>
          <w:u w:val="single" w:color="auto"/>
          <w:color w:val="auto"/>
        </w:rPr>
        <w:t>Public Warrant Shares</w:t>
      </w:r>
      <w:r>
        <w:rPr>
          <w:rFonts w:ascii="Times New Roman" w:cs="Times New Roman" w:eastAsia="Times New Roman" w:hAnsi="Times New Roman"/>
          <w:sz w:val="20"/>
          <w:szCs w:val="20"/>
          <w:color w:val="auto"/>
        </w:rPr>
        <w:t>”) issuable upon the exercise of the Public Warrants (as defined below);</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1,600,000 shares of Common Stock (the “</w:t>
      </w:r>
      <w:r>
        <w:rPr>
          <w:rFonts w:ascii="Times New Roman" w:cs="Times New Roman" w:eastAsia="Times New Roman" w:hAnsi="Times New Roman"/>
          <w:sz w:val="20"/>
          <w:szCs w:val="20"/>
          <w:u w:val="single" w:color="auto"/>
          <w:color w:val="auto"/>
        </w:rPr>
        <w:t>$10 Warrant Shares</w:t>
      </w:r>
      <w:r>
        <w:rPr>
          <w:rFonts w:ascii="Times New Roman" w:cs="Times New Roman" w:eastAsia="Times New Roman" w:hAnsi="Times New Roman"/>
          <w:sz w:val="20"/>
          <w:szCs w:val="20"/>
          <w:color w:val="auto"/>
        </w:rPr>
        <w:t>”) issued upon the exercise of the $10 Warrants issued as part of the Term Loan (as defined in the Prospectus);</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2,593,056 shares of Common Stock (the “</w:t>
      </w:r>
      <w:r>
        <w:rPr>
          <w:rFonts w:ascii="Times New Roman" w:cs="Times New Roman" w:eastAsia="Times New Roman" w:hAnsi="Times New Roman"/>
          <w:sz w:val="20"/>
          <w:szCs w:val="20"/>
          <w:u w:val="single" w:color="auto"/>
          <w:color w:val="auto"/>
        </w:rPr>
        <w:t>Penny Warrant Shares</w:t>
      </w:r>
      <w:r>
        <w:rPr>
          <w:rFonts w:ascii="Times New Roman" w:cs="Times New Roman" w:eastAsia="Times New Roman" w:hAnsi="Times New Roman"/>
          <w:sz w:val="20"/>
          <w:szCs w:val="20"/>
          <w:color w:val="auto"/>
        </w:rPr>
        <w:t>”) issuable upon the exercise of the Penny Warrants issued as part of the Term Loan;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each case, by the selling securityholders (the “</w:t>
      </w:r>
      <w:r>
        <w:rPr>
          <w:rFonts w:ascii="Times New Roman" w:cs="Times New Roman" w:eastAsia="Times New Roman" w:hAnsi="Times New Roman"/>
          <w:sz w:val="20"/>
          <w:szCs w:val="20"/>
          <w:u w:val="single" w:color="auto"/>
          <w:color w:val="auto"/>
        </w:rPr>
        <w:t>Selling Securityholders</w:t>
      </w:r>
      <w:r>
        <w:rPr>
          <w:rFonts w:ascii="Times New Roman" w:cs="Times New Roman" w:eastAsia="Times New Roman" w:hAnsi="Times New Roman"/>
          <w:sz w:val="20"/>
          <w:szCs w:val="20"/>
          <w:color w:val="auto"/>
        </w:rPr>
        <w:t>”) named in the Prospectus; and</w:t>
      </w:r>
    </w:p>
    <w:p>
      <w:pPr>
        <w:spacing w:after="0" w:line="216" w:lineRule="exact"/>
        <w:rPr>
          <w:sz w:val="20"/>
          <w:szCs w:val="20"/>
          <w:color w:val="auto"/>
        </w:rPr>
      </w:pPr>
    </w:p>
    <w:p>
      <w:pPr>
        <w:jc w:val="both"/>
        <w:ind w:left="1300" w:hanging="644"/>
        <w:spacing w:after="0" w:line="243" w:lineRule="auto"/>
        <w:tabs>
          <w:tab w:leader="none" w:pos="1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by the Company of up to 18,308,414 shares of Common Stock (the “</w:t>
      </w:r>
      <w:r>
        <w:rPr>
          <w:rFonts w:ascii="Times New Roman" w:cs="Times New Roman" w:eastAsia="Times New Roman" w:hAnsi="Times New Roman"/>
          <w:sz w:val="20"/>
          <w:szCs w:val="20"/>
          <w:u w:val="single" w:color="auto"/>
          <w:color w:val="auto"/>
        </w:rPr>
        <w:t>Warrant Shares</w:t>
      </w:r>
      <w:r>
        <w:rPr>
          <w:rFonts w:ascii="Times New Roman" w:cs="Times New Roman" w:eastAsia="Times New Roman" w:hAnsi="Times New Roman"/>
          <w:sz w:val="20"/>
          <w:szCs w:val="20"/>
          <w:color w:val="auto"/>
        </w:rPr>
        <w:t>”), comprised of (a) the 9,487,500 Public Warrant Shares that are issuable by the Company upon the exercise of the public warrants sold as part of the units in the CNTQ IPO (the “</w:t>
      </w:r>
      <w:r>
        <w:rPr>
          <w:rFonts w:ascii="Times New Roman" w:cs="Times New Roman" w:eastAsia="Times New Roman" w:hAnsi="Times New Roman"/>
          <w:sz w:val="20"/>
          <w:szCs w:val="20"/>
          <w:u w:val="single" w:color="auto"/>
          <w:color w:val="auto"/>
        </w:rPr>
        <w:t>Public Warrants</w:t>
      </w:r>
      <w:r>
        <w:rPr>
          <w:rFonts w:ascii="Times New Roman" w:cs="Times New Roman" w:eastAsia="Times New Roman" w:hAnsi="Times New Roman"/>
          <w:sz w:val="20"/>
          <w:szCs w:val="20"/>
          <w:color w:val="auto"/>
        </w:rPr>
        <w:t>” and, together with, the Private Warrants, the $10 Warrants and the Penny Warrants, the “</w:t>
      </w: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rPr>
        <w:t>”), (b) the 4,627,858 Private Warrant Shares, (c) the 1,600,000 $10 Warrant Shares and (d) the 2,593,056 Penny Warrant Shares. The Public Warrants and Private Warrants entitle the holder thereof to purchase one share of our Common Stock for $11.50 per share. The $10 Warrants and Penny Warrants entitle the holder thereof to purchase one share of our Common Stock for $10 per share and $0.01 per share, respectively, subject to weighted average anti-dilution protection.</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All of the Shares and the Warrants are being registered on behalf of the Selling Securityholders. The (i) Private Warrants and Public Warrants were issued pursuant to a Warrant Agreement, dated October 19, 2022, between the Company and American Stock Transfer &amp; Trust Company, LLC, as warrant agent (the “</w:t>
      </w:r>
      <w:r>
        <w:rPr>
          <w:rFonts w:ascii="Times New Roman" w:cs="Times New Roman" w:eastAsia="Times New Roman" w:hAnsi="Times New Roman"/>
          <w:sz w:val="20"/>
          <w:szCs w:val="20"/>
          <w:u w:val="single" w:color="auto"/>
          <w:color w:val="auto"/>
        </w:rPr>
        <w:t>Warrant Agreement</w:t>
      </w:r>
      <w:r>
        <w:rPr>
          <w:rFonts w:ascii="Times New Roman" w:cs="Times New Roman" w:eastAsia="Times New Roman" w:hAnsi="Times New Roman"/>
          <w:sz w:val="20"/>
          <w:szCs w:val="20"/>
          <w:color w:val="auto"/>
        </w:rPr>
        <w:t>”) and (ii) $10 Warrants and Penny Warrants were issued upon the closing of the business combination on October 7, 2022 in connection with the Term Loan. The Warrant Agreement, form of warrant certificate, form of $10 Warrant and form of Penny Warrant are filed as exhibits to the Registration Statement.</w:t>
      </w:r>
    </w:p>
    <w:p>
      <w:pPr>
        <w:spacing w:after="0" w:line="18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connection with the opinions expressed herein, we have examined originals or copies, certified or otherwise identified to our satisfaction, of such documents, records and matters of law as we have deemed relevant or necessary for purposes of this opinion. In our examination, we have assumed the legal capacity of all natural persons, the genuineness of all signatures, the authenticity of all documents submitted to us as originals, the conformity to original documents of all documents submitted to us as copies and the authenticity of the originals of such copies. To the extent the Company’s obligations depend on the enforceability of any agreement against the other parties to such agreement, we have assumed that such agreement is enforceable against such other parties. As to any facts material to the opinions expressed herein which were not independently established or verified, we have relied upon oral or written statements and representations of officers and other representatives of the Company. In addition, we have obtained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911860</wp:posOffset>
            </wp:positionV>
            <wp:extent cx="6283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page">
              <wp:posOffset>5883275</wp:posOffset>
            </wp:positionH>
            <wp:positionV relativeFrom="page">
              <wp:posOffset>568960</wp:posOffset>
            </wp:positionV>
            <wp:extent cx="1028700" cy="205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relied upon those certificates of public officials we considered appropriate.</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In connection with each of the opinions expressed below, we have assumed that, at or prior to the time of delivery of any Shares, Warrant Shares or Warrants: (i) the Registration Statement has become effective and such effectiveness has not been terminated or rescinded; (ii) upon issuance of any Option Shares and/or Warrant Shares, the total number of shares of Common Stock issued and outstanding will not exceed the total number of shares of Common Stock that the Company is then authorized to issue under the Company’s Amended and Restated Certificate of Incorporation; (iii) there has not occurred any change in law or further action by the Company’s board of directors, in any case affecting the validity of such Shares, Warrant Shares or Warrants or enforceability of such Warrant Agreement; (iv) the Exercise Price (as defined in the Warrants) will not be adjusted to an amount below the par value per share of the shares of Common Stock; and (v) the exercise prices related to the Option Shares (as set forth in the Dragonfly Energy Corp. 2019 Stock Incentive Plan (the “</w:t>
      </w:r>
      <w:r>
        <w:rPr>
          <w:rFonts w:ascii="Times New Roman" w:cs="Times New Roman" w:eastAsia="Times New Roman" w:hAnsi="Times New Roman"/>
          <w:sz w:val="19"/>
          <w:szCs w:val="19"/>
          <w:u w:val="single" w:color="auto"/>
          <w:color w:val="auto"/>
        </w:rPr>
        <w:t>2019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and Dragonfly Energy Corp. 2021 Stock Incentive Plan (the “</w:t>
      </w:r>
      <w:r>
        <w:rPr>
          <w:rFonts w:ascii="Times New Roman" w:cs="Times New Roman" w:eastAsia="Times New Roman" w:hAnsi="Times New Roman"/>
          <w:sz w:val="19"/>
          <w:szCs w:val="19"/>
          <w:u w:val="single" w:color="auto"/>
          <w:color w:val="auto"/>
        </w:rPr>
        <w:t>2021 Plan</w:t>
      </w:r>
      <w:r>
        <w:rPr>
          <w:rFonts w:ascii="Times New Roman" w:cs="Times New Roman" w:eastAsia="Times New Roman" w:hAnsi="Times New Roman"/>
          <w:sz w:val="19"/>
          <w:szCs w:val="19"/>
          <w:color w:val="auto"/>
        </w:rPr>
        <w:t>”)) will not be adjusted to an amount below the par value per share of the shares of Common Stock. We have also assumed that none of the sale and delivery of such Shares, the issuance and delivery of the Option Shares and the Warrant Shares or the compliance by the Company with the terms of the Warrant Agreement, the $10 Warrants, the Penny Warrants, the 2019 Plan and the 2021 Plan will violate any applicable law or public policy or result in a violation of any provision of any instrument or agreement then binding upon the Company or any restriction imposed by any court or governmental body having jurisdiction over the Company.</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the basis of such examination, our reliance upon the assumptions in this opinion and our consideration of those questions of law we considered relevant, and subject to the limitations and qualifications in this opinion, we are of the opinion that:</w:t>
      </w:r>
    </w:p>
    <w:p>
      <w:pPr>
        <w:spacing w:after="0" w:line="188" w:lineRule="exact"/>
        <w:rPr>
          <w:sz w:val="20"/>
          <w:szCs w:val="20"/>
          <w:color w:val="auto"/>
        </w:rPr>
      </w:pPr>
    </w:p>
    <w:p>
      <w:pPr>
        <w:ind w:left="660" w:right="20" w:hanging="328"/>
        <w:spacing w:after="0" w:line="250"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Warrants constitute the legally valid and binding obligations of the Company, enforceable against the Company in accordance with their terms.</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39"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exercise of the Warrants, when the Warrant Shares are issued by the Company against payment therefor in accordance with the terms of the Warrant Agreement, the $10 Warrants and the Penny Warrants, as applicable, and in an amount not less than the par value per thereof, the Warrant Shares will be validly issued, fully paid and non-assessable.</w:t>
      </w:r>
    </w:p>
    <w:p>
      <w:pPr>
        <w:spacing w:after="0" w:line="1" w:lineRule="exact"/>
        <w:rPr>
          <w:rFonts w:ascii="Times New Roman" w:cs="Times New Roman" w:eastAsia="Times New Roman" w:hAnsi="Times New Roman"/>
          <w:sz w:val="20"/>
          <w:szCs w:val="20"/>
          <w:color w:val="auto"/>
        </w:rPr>
      </w:pPr>
    </w:p>
    <w:p>
      <w:pPr>
        <w:jc w:val="both"/>
        <w:ind w:left="660" w:right="20" w:hanging="328"/>
        <w:spacing w:after="0" w:line="239"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exercise of the equity awards underlying the Option Shares, when the Option Shares are issued by the Company against payment therefor in accordance with the terms of the 2019 Plan and 2021 Plan and in an amount not less than the par value thereof, the Option Shares will be validly issued, fully paid and non-assessable.</w:t>
      </w:r>
    </w:p>
    <w:p>
      <w:pPr>
        <w:spacing w:after="0" w:line="1"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have been duly authorized by all necessary corporate action on the part of the Company and are validly issued, fully paid and non-assessable.</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Our opinion as set forth in paragraph 1 above is subject to (a) the effects of bankruptcy, insolvency, reorganization, moratorium or similar laws relating to or affecting creditors’ rights generally (including, without limitation, fraudulent conveyance laws) and (b) general principles of equity including, without limitation, concepts of materiality, reasonableness, good faith and fair dealing and the possible unavailability of specific performance or injunctive relief, regardless of whether considered in a proceeding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214" w:name="page215"/>
    <w:bookmarkEnd w:id="2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911860</wp:posOffset>
            </wp:positionV>
            <wp:extent cx="6283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page">
              <wp:posOffset>5883275</wp:posOffset>
            </wp:positionH>
            <wp:positionV relativeFrom="page">
              <wp:posOffset>568960</wp:posOffset>
            </wp:positionV>
            <wp:extent cx="1028700"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express no opinion as to any provision of the Warrants that: (i) provides for economic remedies to the extent such provisions may constitute unlawful penalties, (ii) relates to advance waivers of claims, defenses, rights granted by law, or notice, opportunity for hearing, evidentiary requirements, statutes of limitations, trial by jury, or procedural rights, (iii) restricts non-written modifications and waivers, (iv) provides for the payment of legal and other professional fees where such payment is contrary to law or public policy, (v) relates to exclusivity, election or accumulation of rights or remedies,</w:t>
      </w:r>
    </w:p>
    <w:p>
      <w:pPr>
        <w:ind w:firstLine="8"/>
        <w:spacing w:after="0" w:line="246" w:lineRule="auto"/>
        <w:tabs>
          <w:tab w:leader="none" w:pos="34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authorizes or validates conclusive or discretionary determinations, or (vii) provides that provisions of the Warrants are severable to the extent an essential part of the agreed exchange is determined to be invalid and unenforceable.</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law covered by this opinion is limited to the present law of the State of New York and the current General Corporation Law of the State of Delaware. We express no opinion as to the laws of any other jurisdiction and no opinion regarding the statutes, administrative decisions, rules, regulations or requirements of any county, municipality, subdivision or local authority of any jurisdiction.</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This opinion is being furnished in accordance with the requirements of Item 601(b)(5) of Regulation S-K promulgated under the Securities Act, as amended, or the rules and regulations of the Commission promulgated thereunder, and no opinion is expressed herein as to any matter pertaining to the contents of the Registration Statement, the Prospectus included in the Registration Statement or any prospectus supplement, other than as expressly stated herein with respect to the Shares, the Warrants and the Warrant Shares.</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hereby consent to the filing of this opinion as Exhibit 5.1 to the Registration Statement, and to the reference to O’Melveny &amp; Myers LLP under the heading “Legal Matters” in the Prospectus. In giving such consent, we do not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Respectfully submitted,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 O’Melveny &amp; Myers LLP</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 Compensation Policy (“Policy”)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Purpose</w:t>
      </w:r>
    </w:p>
    <w:p>
      <w:pPr>
        <w:spacing w:after="0" w:line="229" w:lineRule="exact"/>
        <w:rPr>
          <w:sz w:val="20"/>
          <w:szCs w:val="20"/>
          <w:color w:val="auto"/>
        </w:rPr>
      </w:pPr>
    </w:p>
    <w:p>
      <w:pPr>
        <w:jc w:val="both"/>
        <w:ind w:left="20" w:right="20" w:hanging="8"/>
        <w:spacing w:after="0" w:line="282" w:lineRule="auto"/>
        <w:rPr>
          <w:sz w:val="20"/>
          <w:szCs w:val="20"/>
          <w:color w:val="auto"/>
        </w:rPr>
      </w:pPr>
      <w:r>
        <w:rPr>
          <w:rFonts w:ascii="Times New Roman" w:cs="Times New Roman" w:eastAsia="Times New Roman" w:hAnsi="Times New Roman"/>
          <w:sz w:val="18"/>
          <w:szCs w:val="18"/>
          <w:color w:val="auto"/>
        </w:rPr>
        <w:t>Dragonfly Energy Holdings Corp. (“Dragonfly”) believes in paying fair compensation for work performed, at every level of Dragonfly, including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w:t>
      </w:r>
    </w:p>
    <w:p>
      <w:pPr>
        <w:spacing w:after="0" w:line="229"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Directors of Dragonfly who are not employed (“non-employee directors”) by Dragonfly or one of its subsidiaries, if any, are entitled to the compensation set forth below for their service as a member of Dragonfly’s Board of Directors (the “Board”). The Board has the right to amend this policy from time to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5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Cash Compensation</w:t>
            </w:r>
          </w:p>
        </w:tc>
        <w:tc>
          <w:tcPr>
            <w:tcW w:w="1580" w:type="dxa"/>
            <w:vAlign w:val="bottom"/>
          </w:tcPr>
          <w:p>
            <w:pPr>
              <w:spacing w:after="0"/>
              <w:rPr>
                <w:sz w:val="20"/>
                <w:szCs w:val="20"/>
                <w:color w:val="auto"/>
              </w:rPr>
            </w:pPr>
          </w:p>
        </w:tc>
      </w:tr>
      <w:tr>
        <w:trPr>
          <w:trHeight w:val="392"/>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Annual Retainer:</w:t>
            </w:r>
          </w:p>
        </w:tc>
        <w:tc>
          <w:tcPr>
            <w:tcW w:w="158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8"/>
        </w:trPr>
        <w:tc>
          <w:tcPr>
            <w:tcW w:w="540" w:type="dxa"/>
            <w:vAlign w:val="bottom"/>
          </w:tcPr>
          <w:p>
            <w:pPr>
              <w:spacing w:after="0"/>
              <w:rPr>
                <w:sz w:val="18"/>
                <w:szCs w:val="18"/>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Post-IPO Annual Retainer: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$ 58,800</w:t>
            </w:r>
          </w:p>
        </w:tc>
      </w:tr>
      <w:tr>
        <w:trPr>
          <w:trHeight w:val="216"/>
        </w:trPr>
        <w:tc>
          <w:tcPr>
            <w:tcW w:w="540" w:type="dxa"/>
            <w:vAlign w:val="bottom"/>
          </w:tcPr>
          <w:p>
            <w:pPr>
              <w:spacing w:after="0"/>
              <w:rPr>
                <w:sz w:val="18"/>
                <w:szCs w:val="18"/>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Additional Lead Independent Director Retainer: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$ 20,000</w:t>
            </w:r>
          </w:p>
        </w:tc>
      </w:tr>
      <w:tr>
        <w:trPr>
          <w:trHeight w:val="194"/>
        </w:trPr>
        <w:tc>
          <w:tcPr>
            <w:tcW w:w="326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9"/>
              </w:rPr>
              <w:t>Additional Committee Chairperson Retainer:</w:t>
            </w:r>
          </w:p>
        </w:tc>
        <w:tc>
          <w:tcPr>
            <w:tcW w:w="29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8"/>
        </w:trPr>
        <w:tc>
          <w:tcPr>
            <w:tcW w:w="540" w:type="dxa"/>
            <w:vAlign w:val="bottom"/>
          </w:tcPr>
          <w:p>
            <w:pPr>
              <w:spacing w:after="0"/>
              <w:rPr>
                <w:sz w:val="18"/>
                <w:szCs w:val="18"/>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$ 20,000</w:t>
            </w:r>
          </w:p>
        </w:tc>
      </w:tr>
      <w:tr>
        <w:trPr>
          <w:trHeight w:val="216"/>
        </w:trPr>
        <w:tc>
          <w:tcPr>
            <w:tcW w:w="540" w:type="dxa"/>
            <w:vAlign w:val="bottom"/>
          </w:tcPr>
          <w:p>
            <w:pPr>
              <w:spacing w:after="0"/>
              <w:rPr>
                <w:sz w:val="18"/>
                <w:szCs w:val="18"/>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$ 15,000</w:t>
            </w:r>
          </w:p>
        </w:tc>
      </w:tr>
      <w:tr>
        <w:trPr>
          <w:trHeight w:val="234"/>
        </w:trPr>
        <w:tc>
          <w:tcPr>
            <w:tcW w:w="540" w:type="dxa"/>
            <w:vAlign w:val="bottom"/>
          </w:tcPr>
          <w:p>
            <w:pPr>
              <w:spacing w:after="0"/>
              <w:rPr>
                <w:sz w:val="20"/>
                <w:szCs w:val="20"/>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$ 10,000</w:t>
            </w:r>
          </w:p>
        </w:tc>
      </w:tr>
    </w:tbl>
    <w:p>
      <w:pPr>
        <w:spacing w:after="0" w:line="198" w:lineRule="exact"/>
        <w:rPr>
          <w:sz w:val="20"/>
          <w:szCs w:val="20"/>
          <w:color w:val="auto"/>
        </w:rPr>
      </w:pPr>
    </w:p>
    <w:p>
      <w:pPr>
        <w:ind w:left="20" w:right="140" w:hanging="8"/>
        <w:spacing w:after="0" w:line="282" w:lineRule="auto"/>
        <w:rPr>
          <w:sz w:val="20"/>
          <w:szCs w:val="20"/>
          <w:color w:val="auto"/>
        </w:rPr>
      </w:pPr>
      <w:r>
        <w:rPr>
          <w:rFonts w:ascii="Times New Roman" w:cs="Times New Roman" w:eastAsia="Times New Roman" w:hAnsi="Times New Roman"/>
          <w:sz w:val="18"/>
          <w:szCs w:val="18"/>
          <w:color w:val="auto"/>
        </w:rPr>
        <w:t>Each non-employee director will be entitled to a cash retainer while serving on the Board (the “Annual Retainer”). Upon a Listing, the Annual Retainer will be equal to the amount set forth above as the “PostIPO Annual Retainer.”</w:t>
      </w:r>
    </w:p>
    <w:p>
      <w:pPr>
        <w:spacing w:after="0" w:line="162" w:lineRule="exact"/>
        <w:rPr>
          <w:sz w:val="20"/>
          <w:szCs w:val="20"/>
          <w:color w:val="auto"/>
        </w:rPr>
      </w:pPr>
    </w:p>
    <w:p>
      <w:pPr>
        <w:ind w:left="20" w:right="40" w:hanging="8"/>
        <w:spacing w:after="0" w:line="261" w:lineRule="auto"/>
        <w:rPr>
          <w:sz w:val="20"/>
          <w:szCs w:val="20"/>
          <w:color w:val="auto"/>
        </w:rPr>
      </w:pPr>
      <w:r>
        <w:rPr>
          <w:rFonts w:ascii="Times New Roman" w:cs="Times New Roman" w:eastAsia="Times New Roman" w:hAnsi="Times New Roman"/>
          <w:sz w:val="18"/>
          <w:szCs w:val="18"/>
          <w:color w:val="auto"/>
        </w:rPr>
        <w:t>A non-employee director who serves as the Lead Independent Director will be entitled to an additional cash retainer while serving in that position in the amount set forth above (the “Additional Lead Independent Director Retainer”); provided that, unless otherwise provided by the Board, an Additional Lead Independent Director Retainer shall not be paid if such non-employee director serving as the Lead Independent Director is also then serving as Chairperson of the Board.</w:t>
      </w:r>
    </w:p>
    <w:p>
      <w:pPr>
        <w:spacing w:after="0" w:line="180" w:lineRule="exact"/>
        <w:rPr>
          <w:sz w:val="20"/>
          <w:szCs w:val="20"/>
          <w:color w:val="auto"/>
        </w:rPr>
      </w:pPr>
    </w:p>
    <w:p>
      <w:pPr>
        <w:ind w:left="20" w:right="240" w:hanging="8"/>
        <w:spacing w:after="0" w:line="289" w:lineRule="auto"/>
        <w:rPr>
          <w:sz w:val="20"/>
          <w:szCs w:val="20"/>
          <w:color w:val="auto"/>
        </w:rPr>
      </w:pPr>
      <w:r>
        <w:rPr>
          <w:rFonts w:ascii="Times New Roman" w:cs="Times New Roman" w:eastAsia="Times New Roman" w:hAnsi="Times New Roman"/>
          <w:sz w:val="17"/>
          <w:szCs w:val="17"/>
          <w:color w:val="auto"/>
        </w:rPr>
        <w:t>A non-employee director who serves as the Chairperson of the Audit Committee, the Chairperson of the Compensation Committee, or the Chairperson of the Nominating and Corporate Governance Committee of the Board will be entitled to an additional cash retainer while serving in that position in the applicable amount set forth above (each, an “Additional Committee Chairperson Retainer”).</w:t>
      </w:r>
    </w:p>
    <w:p>
      <w:pPr>
        <w:spacing w:after="0" w:line="158" w:lineRule="exact"/>
        <w:rPr>
          <w:sz w:val="20"/>
          <w:szCs w:val="20"/>
          <w:color w:val="auto"/>
        </w:rPr>
      </w:pPr>
    </w:p>
    <w:p>
      <w:pPr>
        <w:jc w:val="both"/>
        <w:ind w:left="20" w:right="180" w:hanging="8"/>
        <w:spacing w:after="0" w:line="266" w:lineRule="auto"/>
        <w:rPr>
          <w:sz w:val="20"/>
          <w:szCs w:val="20"/>
          <w:color w:val="auto"/>
        </w:rPr>
      </w:pPr>
      <w:r>
        <w:rPr>
          <w:rFonts w:ascii="Times New Roman" w:cs="Times New Roman" w:eastAsia="Times New Roman" w:hAnsi="Times New Roman"/>
          <w:sz w:val="18"/>
          <w:szCs w:val="18"/>
          <w:color w:val="auto"/>
        </w:rPr>
        <w:t>Non-employee directors must attend at least 75% of all meetings of the Board and all committees on which the non-employee director sits (including separate meetings of non-employee directors or independent directors) in any specified fiscal year in order to be eligible to receive any of the retainers specified above.</w:t>
      </w:r>
    </w:p>
    <w:p>
      <w:pPr>
        <w:spacing w:after="0" w:line="176" w:lineRule="exact"/>
        <w:rPr>
          <w:sz w:val="20"/>
          <w:szCs w:val="20"/>
          <w:color w:val="auto"/>
        </w:rPr>
      </w:pPr>
    </w:p>
    <w:p>
      <w:pPr>
        <w:ind w:left="20" w:right="260" w:hanging="8"/>
        <w:spacing w:after="0" w:line="261" w:lineRule="auto"/>
        <w:rPr>
          <w:sz w:val="20"/>
          <w:szCs w:val="20"/>
          <w:color w:val="auto"/>
        </w:rPr>
      </w:pPr>
      <w:r>
        <w:rPr>
          <w:rFonts w:ascii="Times New Roman" w:cs="Times New Roman" w:eastAsia="Times New Roman" w:hAnsi="Times New Roman"/>
          <w:sz w:val="18"/>
          <w:szCs w:val="18"/>
          <w:color w:val="auto"/>
        </w:rPr>
        <w:t>The amounts of the Annual Retainer, Additional Lead Independent Director Retainer and Additional Committee Chairperson Retainer reflected above are expressed as annualized amounts. These retainers will be paid in equal quarterly installments; provided that an installment will be pro-rated, based on calendar days, if a non-employee director commences service (or commences service in the corresponding position, as the case may be) after the start of the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6" w:name="page217"/>
    <w:bookmarkEnd w:id="216"/>
    <w:p>
      <w:pPr>
        <w:ind w:left="1040" w:hanging="728"/>
        <w:spacing w:after="0"/>
        <w:tabs>
          <w:tab w:leader="none" w:pos="10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w:t>
      </w:r>
    </w:p>
    <w:p>
      <w:pPr>
        <w:spacing w:after="0" w:line="225" w:lineRule="exact"/>
        <w:rPr>
          <w:sz w:val="20"/>
          <w:szCs w:val="20"/>
          <w:color w:val="auto"/>
        </w:rPr>
      </w:pPr>
    </w:p>
    <w:p>
      <w:pPr>
        <w:ind w:hanging="8"/>
        <w:spacing w:after="0" w:line="256" w:lineRule="auto"/>
        <w:rPr>
          <w:sz w:val="20"/>
          <w:szCs w:val="20"/>
          <w:color w:val="auto"/>
        </w:rPr>
      </w:pPr>
      <w:r>
        <w:rPr>
          <w:rFonts w:ascii="Times New Roman" w:cs="Times New Roman" w:eastAsia="Times New Roman" w:hAnsi="Times New Roman"/>
          <w:sz w:val="18"/>
          <w:szCs w:val="18"/>
          <w:color w:val="auto"/>
        </w:rPr>
        <w:t>As administrator of Dragonfly’s 2022 equity incentive plan (as may be amended, restated, supplemented or otherwise modified from time to time, the “2022 Plan”), the Board has discretion to grant directors equity-based incentive awards under and subject to the terms and conditions of the 2022 Plan or any successor equity compensation plan approved by Dragonfly’s stockholders and in effect at the time of grant. Such awards will be evidenced by, and subject to the terms and conditions of, an award agreement in the form approved by the Board to evidence such type of grant pursuant to this policy (the “Form of Award Agreement”). The foregoing general provisions are, in the case of a particular award, subject to the terms and conditions of the applicable Form of Award Agreement.</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 Grant: Options or RSU’s with a total value of</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$300,000</w:t>
            </w:r>
          </w:p>
        </w:tc>
      </w:tr>
      <w:tr>
        <w:trPr>
          <w:trHeight w:val="20"/>
        </w:trPr>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Annual Grant: Options or RSU’s with a total value of</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0"/>
        </w:trPr>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hanging="18"/>
        <w:spacing w:after="0" w:line="266" w:lineRule="auto"/>
        <w:rPr>
          <w:sz w:val="20"/>
          <w:szCs w:val="20"/>
          <w:color w:val="auto"/>
        </w:rPr>
      </w:pPr>
      <w:r>
        <w:rPr>
          <w:rFonts w:ascii="Times New Roman" w:cs="Times New Roman" w:eastAsia="Times New Roman" w:hAnsi="Times New Roman"/>
          <w:sz w:val="18"/>
          <w:szCs w:val="18"/>
          <w:color w:val="auto"/>
        </w:rPr>
        <w:t>For each award, the Board shall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Dragonfly’s equity compensation plan then in effect.</w:t>
      </w:r>
    </w:p>
    <w:p>
      <w:pPr>
        <w:spacing w:after="0" w:line="176" w:lineRule="exact"/>
        <w:rPr>
          <w:sz w:val="20"/>
          <w:szCs w:val="20"/>
          <w:color w:val="auto"/>
        </w:rPr>
      </w:pPr>
    </w:p>
    <w:p>
      <w:pPr>
        <w:ind w:left="960" w:hanging="648"/>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w:t>
      </w:r>
    </w:p>
    <w:p>
      <w:pPr>
        <w:spacing w:after="0" w:line="225" w:lineRule="exact"/>
        <w:rPr>
          <w:sz w:val="20"/>
          <w:szCs w:val="20"/>
          <w:color w:val="auto"/>
        </w:rPr>
      </w:pPr>
    </w:p>
    <w:p>
      <w:pPr>
        <w:ind w:right="140" w:hanging="18"/>
        <w:spacing w:after="0" w:line="258" w:lineRule="auto"/>
        <w:rPr>
          <w:sz w:val="20"/>
          <w:szCs w:val="20"/>
          <w:color w:val="auto"/>
        </w:rPr>
      </w:pPr>
      <w:r>
        <w:rPr>
          <w:rFonts w:ascii="Times New Roman" w:cs="Times New Roman" w:eastAsia="Times New Roman" w:hAnsi="Times New Roman"/>
          <w:sz w:val="18"/>
          <w:szCs w:val="18"/>
          <w:color w:val="auto"/>
        </w:rPr>
        <w:t>All directors are entitled to reimbursement from Dragonfly for their reasonable travel (including airfare and ground transportation), lodging and meal expenses incident to meetings of the Board or committees thereof or in connection with other Board-related business. Dragonfly will reimburse a director promptly following the submission by the director of reasonable written substantiation of his or her expenses (and, as required for purposes of Internal Revenue Code Section 409A, in all events not later than the end of the calendar year following the calendar year in which the related expense was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334010</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1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6"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(the “Agreement”) is made and entered into as of October 11, 2022, by and between Denis Phares, Ph.D. (the “Executive”) and Dragonfly Energy Holdings Corp., a Delaware corporation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Company desires to employ the Executive on the terms and conditions set forth 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Executive desires to be employed by the Company on such terms and conditions.</w:t>
      </w:r>
    </w:p>
    <w:p>
      <w:pPr>
        <w:spacing w:after="0" w:line="206"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promises, and obligations set forth herein, the parties agree as follows:</w:t>
      </w:r>
    </w:p>
    <w:p>
      <w:pPr>
        <w:spacing w:after="0" w:line="185" w:lineRule="exact"/>
        <w:rPr>
          <w:sz w:val="20"/>
          <w:szCs w:val="20"/>
          <w:color w:val="auto"/>
        </w:rPr>
      </w:pPr>
    </w:p>
    <w:p>
      <w:pPr>
        <w:ind w:right="160" w:firstLine="397"/>
        <w:spacing w:after="0" w:line="235" w:lineRule="auto"/>
        <w:tabs>
          <w:tab w:leader="none" w:pos="90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Section 5 of this Agreement, the Executive’s initial term of employment hereunder shall be from the period beginning on October 11, 2022 (the “Effective Date”) for a period of three years. (the “Initial Term”). Thereafter, the Agreement shall be deemed to be automatically extended, upon the same terms and conditions, for successive periods of three years, unless either party provides written notice of its intention not to extend the term at least 90 days prior to the end of the Initial Term or extension thereof. The period during which the Executive is employed by the Company hereunder is hereinafter referred to as the “Employment Term.”</w:t>
      </w:r>
    </w:p>
    <w:p>
      <w:pPr>
        <w:spacing w:after="0" w:line="223" w:lineRule="exact"/>
        <w:rPr>
          <w:rFonts w:ascii="Times New Roman" w:cs="Times New Roman" w:eastAsia="Times New Roman" w:hAnsi="Times New Roman"/>
          <w:sz w:val="22"/>
          <w:szCs w:val="22"/>
          <w:color w:val="auto"/>
        </w:rPr>
      </w:pPr>
    </w:p>
    <w:p>
      <w:pPr>
        <w:ind w:left="900" w:hanging="505"/>
        <w:spacing w:after="0"/>
        <w:tabs>
          <w:tab w:leader="none" w:pos="9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400" w:right="440" w:firstLine="518"/>
        <w:spacing w:after="0" w:line="23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During the Employment Term, the Executive shall serve as the Chief Executive Officer of the Company, reporting to the Dragonfly Energy Holdings Corp. Board of Directors. In such position, the Executive shall have such duties, authority, and responsibilities as are consistent with the Executive’s position.</w:t>
      </w:r>
    </w:p>
    <w:p>
      <w:pPr>
        <w:spacing w:after="0" w:line="221" w:lineRule="exact"/>
        <w:rPr>
          <w:sz w:val="20"/>
          <w:szCs w:val="20"/>
          <w:color w:val="auto"/>
        </w:rPr>
      </w:pPr>
    </w:p>
    <w:p>
      <w:pPr>
        <w:ind w:left="400" w:right="60" w:firstLine="518"/>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During the Employment Term, the Executive shall devote substantially all of the Executive’s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Board.</w:t>
      </w:r>
    </w:p>
    <w:p>
      <w:pPr>
        <w:spacing w:after="0" w:line="204" w:lineRule="exact"/>
        <w:rPr>
          <w:sz w:val="20"/>
          <w:szCs w:val="20"/>
          <w:color w:val="auto"/>
        </w:rPr>
      </w:pPr>
    </w:p>
    <w:p>
      <w:pPr>
        <w:ind w:right="160" w:firstLine="394"/>
        <w:spacing w:after="0" w:line="235" w:lineRule="auto"/>
        <w:tabs>
          <w:tab w:leader="none" w:pos="90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The principal place of Executive’s employment shall be the Company’s principal executive office currently located in Reno, Nevada; provided that, the Executive may be required to travel on Company business during the Employment Term. The Executive may work remotely from the Executive’s residence in Reno, Nevada so long as doing so does not interfere with the Executive’s responsibilities under this Agreement; provided, that, subject to any health or safety concerns related to the COVID-19 pandemic or other similar extraordinary circumstances, the Executive shall be required to spend on average 16 days per month in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648335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108" w:right="999" w:bottom="1440" w:gutter="0" w:footer="0" w:header="0"/>
        </w:sectPr>
      </w:pPr>
    </w:p>
    <w:bookmarkStart w:id="218" w:name="page219"/>
    <w:bookmarkEnd w:id="218"/>
    <w:p>
      <w:pPr>
        <w:ind w:left="620" w:hanging="505"/>
        <w:spacing w:after="0"/>
        <w:tabs>
          <w:tab w:leader="none" w:pos="6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20" w:firstLine="518"/>
        <w:spacing w:after="0" w:line="23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shall pay the Executive an annual rate of base salary of $622,000 in periodic installments in accordance with the Company’s customary payroll practices and applicable wage payment laws, but no less frequently than monthly. The Executive’s base salary shall be reviewed at least annually by the Board and the Board may increase but not decrease the Executive’s base salary during the Employment Term. The Executive’s annual base salary, as in effect from time to time, is hereinafter referred to as “Base Salary.”</w:t>
      </w:r>
    </w:p>
    <w:p>
      <w:pPr>
        <w:spacing w:after="0" w:line="222"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40" w:right="80" w:firstLine="643"/>
        <w:spacing w:after="0" w:line="238" w:lineRule="auto"/>
        <w:tabs>
          <w:tab w:leader="none" w:pos="193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fiscal year of the Employment Term, the Executive shall be eligible to receive an annual bonus (the “Annual Bonus”) of up to 100% of the Executive’s base annual salary. The decision to provide any Annual Bonus and the amount and terms of any Annual Bonus shall be in the sole and absolute discretion of the Compensation Committee of the Board (the “Compensation Committee”).</w:t>
      </w:r>
    </w:p>
    <w:p>
      <w:pPr>
        <w:spacing w:after="0" w:line="203" w:lineRule="exact"/>
        <w:rPr>
          <w:rFonts w:ascii="Times New Roman" w:cs="Times New Roman" w:eastAsia="Times New Roman" w:hAnsi="Times New Roman"/>
          <w:sz w:val="22"/>
          <w:szCs w:val="22"/>
          <w:color w:val="auto"/>
        </w:rPr>
      </w:pPr>
    </w:p>
    <w:p>
      <w:pPr>
        <w:ind w:left="640" w:right="180" w:firstLine="643"/>
        <w:spacing w:after="0" w:line="258" w:lineRule="auto"/>
        <w:tabs>
          <w:tab w:leader="none" w:pos="193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if any, will be paid within two and a half (2 1/2) months after the end of the applicable fiscal year.</w:t>
      </w:r>
    </w:p>
    <w:p>
      <w:pPr>
        <w:spacing w:after="0" w:line="198" w:lineRule="exact"/>
        <w:rPr>
          <w:rFonts w:ascii="Times New Roman" w:cs="Times New Roman" w:eastAsia="Times New Roman" w:hAnsi="Times New Roman"/>
          <w:sz w:val="22"/>
          <w:szCs w:val="22"/>
          <w:color w:val="auto"/>
        </w:rPr>
      </w:pPr>
    </w:p>
    <w:p>
      <w:pPr>
        <w:ind w:left="640" w:firstLine="643"/>
        <w:spacing w:after="0" w:line="282" w:lineRule="auto"/>
        <w:tabs>
          <w:tab w:leader="none" w:pos="19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5, in order to be eligible to receive an Annual Bonus, the Executive must be employed by the Company on the date that Annual Bonuses are paid.</w:t>
      </w:r>
    </w:p>
    <w:p>
      <w:pPr>
        <w:spacing w:after="0" w:line="175" w:lineRule="exact"/>
        <w:rPr>
          <w:sz w:val="20"/>
          <w:szCs w:val="20"/>
          <w:color w:val="auto"/>
        </w:rPr>
      </w:pPr>
    </w:p>
    <w:p>
      <w:pPr>
        <w:ind w:left="120" w:right="280" w:firstLine="518"/>
        <w:spacing w:after="0" w:line="23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With respect to each fiscal year of the Company ending during the Employment Term, the Executive shall be eligible to receive an annual long-term incentive award with a value of no less than $1,532,000 (based on the grant date value of any such award). All terms and conditions applicable to each such award shall be determined by the Compensation Committee.</w:t>
      </w:r>
    </w:p>
    <w:p>
      <w:pPr>
        <w:spacing w:after="0" w:line="207" w:lineRule="exact"/>
        <w:rPr>
          <w:sz w:val="20"/>
          <w:szCs w:val="20"/>
          <w:color w:val="auto"/>
        </w:rPr>
      </w:pPr>
    </w:p>
    <w:p>
      <w:pPr>
        <w:ind w:left="120" w:right="20" w:firstLine="518"/>
        <w:spacing w:after="0" w:line="24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Fringe Benefits and Perquisites</w:t>
      </w:r>
      <w:r>
        <w:rPr>
          <w:rFonts w:ascii="Times New Roman" w:cs="Times New Roman" w:eastAsia="Times New Roman" w:hAnsi="Times New Roman"/>
          <w:sz w:val="22"/>
          <w:szCs w:val="22"/>
          <w:color w:val="auto"/>
        </w:rPr>
        <w:t>. During the Employment Term, the Executive shall be entitled to fringe benefits and perquisites consistent with those provided to similarly situated executives of the Company.</w:t>
      </w:r>
    </w:p>
    <w:p>
      <w:pPr>
        <w:spacing w:after="0" w:line="214" w:lineRule="exact"/>
        <w:rPr>
          <w:sz w:val="20"/>
          <w:szCs w:val="20"/>
          <w:color w:val="auto"/>
        </w:rPr>
      </w:pPr>
    </w:p>
    <w:p>
      <w:pPr>
        <w:ind w:left="120" w:right="60" w:firstLine="518"/>
        <w:spacing w:after="0" w:line="235"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Employment Term, the Executive shall be entitled to participate in all employee benefit plans, practices, and programs maintained by the Company, as in effect from time to time (collectively, “Employee Benefit Plans”), on a basis which is no less favorable than is provided to other similarly situated executives of the Company,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224" w:lineRule="exact"/>
        <w:rPr>
          <w:sz w:val="20"/>
          <w:szCs w:val="20"/>
          <w:color w:val="auto"/>
        </w:rPr>
      </w:pPr>
    </w:p>
    <w:p>
      <w:pPr>
        <w:ind w:left="120" w:right="40" w:firstLine="518"/>
        <w:spacing w:after="0" w:line="239"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Vacation; Paid Time Off</w:t>
      </w:r>
      <w:r>
        <w:rPr>
          <w:rFonts w:ascii="Times New Roman" w:cs="Times New Roman" w:eastAsia="Times New Roman" w:hAnsi="Times New Roman"/>
          <w:sz w:val="22"/>
          <w:szCs w:val="22"/>
          <w:color w:val="auto"/>
        </w:rPr>
        <w:t>. During the Employment Term, the Executive shall be entitled to twenty (20) paid vacation days per calendar year (prorated for partial years) in accordance with the Company’s vacation policies, as in effect from time to time. The Executive shall receive other paid time off in accordance with the Company’s policies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646430</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19" w:name="page220"/>
    <w:bookmarkEnd w:id="219"/>
    <w:p>
      <w:pPr>
        <w:ind w:left="120"/>
        <w:spacing w:after="0"/>
        <w:rPr>
          <w:sz w:val="20"/>
          <w:szCs w:val="20"/>
          <w:color w:val="auto"/>
        </w:rPr>
      </w:pPr>
      <w:r>
        <w:rPr>
          <w:rFonts w:ascii="Times New Roman" w:cs="Times New Roman" w:eastAsia="Times New Roman" w:hAnsi="Times New Roman"/>
          <w:sz w:val="22"/>
          <w:szCs w:val="22"/>
          <w:color w:val="auto"/>
        </w:rPr>
        <w:t>executive officers as such policies may exist from time to time and as required by applicable law.</w:t>
      </w:r>
    </w:p>
    <w:p>
      <w:pPr>
        <w:spacing w:after="0" w:line="314" w:lineRule="exact"/>
        <w:rPr>
          <w:sz w:val="20"/>
          <w:szCs w:val="20"/>
          <w:color w:val="auto"/>
        </w:rPr>
      </w:pPr>
    </w:p>
    <w:p>
      <w:pPr>
        <w:ind w:left="120" w:right="260" w:firstLine="518"/>
        <w:spacing w:after="0" w:line="239"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221" w:lineRule="exact"/>
        <w:rPr>
          <w:sz w:val="20"/>
          <w:szCs w:val="20"/>
          <w:color w:val="auto"/>
        </w:rPr>
      </w:pPr>
    </w:p>
    <w:p>
      <w:pPr>
        <w:ind w:left="120" w:right="240" w:firstLine="518"/>
        <w:spacing w:after="0" w:line="244"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Company shall indemnify and hold the Executive harmless to the maximum extent permitted under applicable law and the Company’s bylaws for acts and omissions in the Executive’s capacity as an officer, director, or employee of the Company.</w:t>
      </w:r>
    </w:p>
    <w:p>
      <w:pPr>
        <w:spacing w:after="0" w:line="200" w:lineRule="exact"/>
        <w:rPr>
          <w:sz w:val="20"/>
          <w:szCs w:val="20"/>
          <w:color w:val="auto"/>
        </w:rPr>
      </w:pPr>
    </w:p>
    <w:p>
      <w:pPr>
        <w:ind w:left="120" w:right="20" w:firstLine="518"/>
        <w:spacing w:after="0" w:line="235"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Clawback Provisions</w:t>
      </w:r>
      <w:r>
        <w:rPr>
          <w:rFonts w:ascii="Times New Roman" w:cs="Times New Roman" w:eastAsia="Times New Roman" w:hAnsi="Times New Roman"/>
          <w:sz w:val="22"/>
          <w:szCs w:val="22"/>
          <w:color w:val="auto"/>
        </w:rPr>
        <w:t>. Notwithstanding any other provisions in this Agreement to the contrary, any incentive-based or other compensation paid to the Executive under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224" w:lineRule="exact"/>
        <w:rPr>
          <w:sz w:val="20"/>
          <w:szCs w:val="20"/>
          <w:color w:val="auto"/>
        </w:rPr>
      </w:pPr>
    </w:p>
    <w:p>
      <w:pPr>
        <w:ind w:left="-280" w:right="20" w:firstLine="397"/>
        <w:spacing w:after="0" w:line="235" w:lineRule="auto"/>
        <w:tabs>
          <w:tab w:leader="none" w:pos="62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30 days advance written notice of any termination of the Executive’s employment. Upon termination of the Executive’s employment during the Employment Term, the Executive shall be entitled to the compensation and benefits described in this Section 5 and shall have no further rights to any compensation or any other benefits from the Company or any of its affiliates.</w:t>
      </w:r>
    </w:p>
    <w:p>
      <w:pPr>
        <w:spacing w:after="0" w:line="224"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Expiration of the Term, For Cause, or Without Good Reason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40" w:right="40" w:firstLine="643"/>
        <w:spacing w:after="0" w:line="244" w:lineRule="auto"/>
        <w:tabs>
          <w:tab w:leader="none" w:pos="193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employment hereunder may be terminated upon either party’s failure to renew the Agreement in accordance with Section 1, by the Company for Cause or by the Executive without Good Reason and the Executive shall be entitled to receive:</w:t>
      </w:r>
    </w:p>
    <w:p>
      <w:pPr>
        <w:spacing w:after="0" w:line="200" w:lineRule="exact"/>
        <w:rPr>
          <w:rFonts w:ascii="Times New Roman" w:cs="Times New Roman" w:eastAsia="Times New Roman" w:hAnsi="Times New Roman"/>
          <w:sz w:val="22"/>
          <w:szCs w:val="22"/>
          <w:color w:val="auto"/>
        </w:rPr>
      </w:pPr>
    </w:p>
    <w:p>
      <w:pPr>
        <w:ind w:left="1280" w:right="540" w:firstLine="651"/>
        <w:spacing w:after="0" w:line="261" w:lineRule="auto"/>
        <w:tabs>
          <w:tab w:leader="none" w:pos="2575"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accrued but unpaid Base Salary and accrued but unused paid time off which shall be paid on the pay date immediately following the date of the Executive’s termination in accordance with the Company’s customary payroll procedures;</w:t>
      </w:r>
    </w:p>
    <w:p>
      <w:pPr>
        <w:spacing w:after="0" w:line="197" w:lineRule="exact"/>
        <w:rPr>
          <w:rFonts w:ascii="Times New Roman" w:cs="Times New Roman" w:eastAsia="Times New Roman" w:hAnsi="Times New Roman"/>
          <w:sz w:val="21"/>
          <w:szCs w:val="21"/>
          <w:color w:val="auto"/>
        </w:rPr>
      </w:pPr>
    </w:p>
    <w:p>
      <w:pPr>
        <w:jc w:val="both"/>
        <w:ind w:left="1280" w:firstLine="651"/>
        <w:spacing w:after="0" w:line="244" w:lineRule="auto"/>
        <w:tabs>
          <w:tab w:leader="none" w:pos="2576"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unreimbursed business expenses properly incurred by the Executive, which shall be subject to and paid in accordance with the Company’s expense reimbursement policy;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641985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20" w:name="page221"/>
    <w:bookmarkEnd w:id="220"/>
    <w:p>
      <w:pPr>
        <w:ind w:left="1280" w:right="160" w:firstLine="651"/>
        <w:spacing w:after="0" w:line="238" w:lineRule="auto"/>
        <w:tabs>
          <w:tab w:leader="none" w:pos="257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2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Items 5.1(a)(i) through 5.1(a)(iii) are referred to herein collectively as the “Accrued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Amounts.”</w:t>
      </w:r>
    </w:p>
    <w:p>
      <w:pPr>
        <w:spacing w:after="0" w:line="209" w:lineRule="exact"/>
        <w:rPr>
          <w:sz w:val="20"/>
          <w:szCs w:val="20"/>
          <w:color w:val="auto"/>
        </w:rPr>
      </w:pPr>
    </w:p>
    <w:p>
      <w:pPr>
        <w:ind w:left="1920" w:hanging="644"/>
        <w:spacing w:after="0"/>
        <w:tabs>
          <w:tab w:leader="none" w:pos="19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“Cause” shall mean:</w:t>
      </w:r>
    </w:p>
    <w:p>
      <w:pPr>
        <w:spacing w:after="0" w:line="246" w:lineRule="exact"/>
        <w:rPr>
          <w:rFonts w:ascii="Times New Roman" w:cs="Times New Roman" w:eastAsia="Times New Roman" w:hAnsi="Times New Roman"/>
          <w:sz w:val="22"/>
          <w:szCs w:val="22"/>
          <w:color w:val="auto"/>
        </w:rPr>
      </w:pPr>
    </w:p>
    <w:p>
      <w:pPr>
        <w:ind w:left="1280" w:firstLine="650"/>
        <w:spacing w:after="0" w:line="258" w:lineRule="auto"/>
        <w:tabs>
          <w:tab w:leader="none" w:pos="2577"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failure to perform the Executive’s duties (other than any such failure resulting from incapacity due to physical or mental illness);</w:t>
      </w:r>
    </w:p>
    <w:p>
      <w:pPr>
        <w:spacing w:after="0" w:line="198" w:lineRule="exact"/>
        <w:rPr>
          <w:rFonts w:ascii="Times New Roman" w:cs="Times New Roman" w:eastAsia="Times New Roman" w:hAnsi="Times New Roman"/>
          <w:sz w:val="22"/>
          <w:szCs w:val="22"/>
          <w:color w:val="auto"/>
        </w:rPr>
      </w:pPr>
    </w:p>
    <w:p>
      <w:pPr>
        <w:ind w:left="1280" w:right="200" w:firstLine="651"/>
        <w:spacing w:after="0" w:line="258" w:lineRule="auto"/>
        <w:tabs>
          <w:tab w:leader="none" w:pos="257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failure to comply with any valid and legal directive of the Dragonfly Energy Holdings Corp. Board of Directors;</w:t>
      </w:r>
    </w:p>
    <w:p>
      <w:pPr>
        <w:spacing w:after="0" w:line="198" w:lineRule="exact"/>
        <w:rPr>
          <w:rFonts w:ascii="Times New Roman" w:cs="Times New Roman" w:eastAsia="Times New Roman" w:hAnsi="Times New Roman"/>
          <w:sz w:val="22"/>
          <w:szCs w:val="22"/>
          <w:color w:val="auto"/>
        </w:rPr>
      </w:pPr>
    </w:p>
    <w:p>
      <w:pPr>
        <w:ind w:left="1280" w:right="440" w:firstLine="650"/>
        <w:spacing w:after="0" w:line="282" w:lineRule="auto"/>
        <w:tabs>
          <w:tab w:leader="none" w:pos="257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willful engagement in dishonesty, illegal conduct, or gross misconduct, which is, in each case, materially injurious to the Company or its affiliates;</w:t>
      </w:r>
    </w:p>
    <w:p>
      <w:pPr>
        <w:spacing w:after="0" w:line="161" w:lineRule="exact"/>
        <w:rPr>
          <w:rFonts w:ascii="Times New Roman" w:cs="Times New Roman" w:eastAsia="Times New Roman" w:hAnsi="Times New Roman"/>
          <w:sz w:val="21"/>
          <w:szCs w:val="21"/>
          <w:color w:val="auto"/>
        </w:rPr>
      </w:pPr>
    </w:p>
    <w:p>
      <w:pPr>
        <w:ind w:left="1280" w:right="480" w:firstLine="651"/>
        <w:spacing w:after="0" w:line="258" w:lineRule="auto"/>
        <w:tabs>
          <w:tab w:leader="none" w:pos="257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embezzlement, misappropriation, or fraud, whether or not related to the Executive’s employment with the Company;</w:t>
      </w:r>
    </w:p>
    <w:p>
      <w:pPr>
        <w:spacing w:after="0" w:line="198" w:lineRule="exact"/>
        <w:rPr>
          <w:rFonts w:ascii="Times New Roman" w:cs="Times New Roman" w:eastAsia="Times New Roman" w:hAnsi="Times New Roman"/>
          <w:sz w:val="22"/>
          <w:szCs w:val="22"/>
          <w:color w:val="auto"/>
        </w:rPr>
      </w:pPr>
    </w:p>
    <w:p>
      <w:pPr>
        <w:jc w:val="both"/>
        <w:ind w:left="1280" w:right="300" w:firstLine="651"/>
        <w:spacing w:after="0" w:line="244" w:lineRule="auto"/>
        <w:tabs>
          <w:tab w:leader="none" w:pos="257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nolo contendere to a crime that constitutes a felony (or state law equivalent) or a crime that constitutes a misdemeanor involving moral turpitude;</w:t>
      </w:r>
    </w:p>
    <w:p>
      <w:pPr>
        <w:spacing w:after="0" w:line="213" w:lineRule="exact"/>
        <w:rPr>
          <w:rFonts w:ascii="Times New Roman" w:cs="Times New Roman" w:eastAsia="Times New Roman" w:hAnsi="Times New Roman"/>
          <w:sz w:val="22"/>
          <w:szCs w:val="22"/>
          <w:color w:val="auto"/>
        </w:rPr>
      </w:pPr>
    </w:p>
    <w:p>
      <w:pPr>
        <w:jc w:val="both"/>
        <w:ind w:left="1280" w:right="200" w:firstLine="651"/>
        <w:spacing w:after="0" w:line="244" w:lineRule="auto"/>
        <w:tabs>
          <w:tab w:leader="none" w:pos="257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material violation of the Company’s written policies or codes of conduct, including written policies related to discrimination, harassment, performance of illegal or unethical activities, and ethical misconduct;</w:t>
      </w:r>
    </w:p>
    <w:p>
      <w:pPr>
        <w:spacing w:after="0" w:line="200" w:lineRule="exact"/>
        <w:rPr>
          <w:rFonts w:ascii="Times New Roman" w:cs="Times New Roman" w:eastAsia="Times New Roman" w:hAnsi="Times New Roman"/>
          <w:sz w:val="22"/>
          <w:szCs w:val="22"/>
          <w:color w:val="auto"/>
        </w:rPr>
      </w:pPr>
    </w:p>
    <w:p>
      <w:pPr>
        <w:ind w:left="1280" w:right="600" w:firstLine="651"/>
        <w:spacing w:after="0" w:line="282" w:lineRule="auto"/>
        <w:tabs>
          <w:tab w:leader="none" w:pos="2575"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material breach of any material obligation under this Agreement or any other written agreement between the Executive and the Company; or</w:t>
      </w:r>
    </w:p>
    <w:p>
      <w:pPr>
        <w:spacing w:after="0" w:line="175" w:lineRule="exact"/>
        <w:rPr>
          <w:rFonts w:ascii="Times New Roman" w:cs="Times New Roman" w:eastAsia="Times New Roman" w:hAnsi="Times New Roman"/>
          <w:sz w:val="21"/>
          <w:szCs w:val="21"/>
          <w:color w:val="auto"/>
        </w:rPr>
      </w:pPr>
    </w:p>
    <w:p>
      <w:pPr>
        <w:ind w:left="1280" w:right="500" w:firstLine="651"/>
        <w:spacing w:after="0" w:line="258" w:lineRule="auto"/>
        <w:tabs>
          <w:tab w:leader="none" w:pos="257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engagement in conduct that brings the Company negative publicity or into public disgrace, embarrassment, or disrepute.</w:t>
      </w:r>
    </w:p>
    <w:p>
      <w:pPr>
        <w:spacing w:after="0" w:line="199" w:lineRule="exact"/>
        <w:rPr>
          <w:sz w:val="20"/>
          <w:szCs w:val="20"/>
          <w:color w:val="auto"/>
        </w:rPr>
      </w:pPr>
    </w:p>
    <w:p>
      <w:pPr>
        <w:ind w:left="640" w:right="20" w:firstLine="1296"/>
        <w:spacing w:after="0" w:line="238" w:lineRule="auto"/>
        <w:rPr>
          <w:sz w:val="20"/>
          <w:szCs w:val="20"/>
          <w:color w:val="auto"/>
        </w:rPr>
      </w:pPr>
      <w:r>
        <w:rPr>
          <w:rFonts w:ascii="Times New Roman" w:cs="Times New Roman" w:eastAsia="Times New Roman" w:hAnsi="Times New Roman"/>
          <w:sz w:val="22"/>
          <w:szCs w:val="22"/>
          <w:color w:val="auto"/>
        </w:rPr>
        <w:t>For purposes of this provision, none of the Executive’s acts or failures to act shall be considered “willful” unless the Executive acts, or fails to act, in bad faith or without reasonable belief that the action or failure to act was in the best interests of the Company. The Executive’s actions, or failures to act, based upon authority given pursuant to a resolution duly adopted by the Board or upon the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643890</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21" w:name="page222"/>
    <w:bookmarkEnd w:id="221"/>
    <w:p>
      <w:pPr>
        <w:ind w:left="640" w:right="700"/>
        <w:spacing w:after="0" w:line="258" w:lineRule="auto"/>
        <w:rPr>
          <w:sz w:val="20"/>
          <w:szCs w:val="20"/>
          <w:color w:val="auto"/>
        </w:rPr>
      </w:pPr>
      <w:r>
        <w:rPr>
          <w:rFonts w:ascii="Times New Roman" w:cs="Times New Roman" w:eastAsia="Times New Roman" w:hAnsi="Times New Roman"/>
          <w:sz w:val="22"/>
          <w:szCs w:val="22"/>
          <w:color w:val="auto"/>
        </w:rPr>
        <w:t>of counsel for the Company shall be conclusively presumed to be in good faith and in the best interests of the Company.</w:t>
      </w:r>
    </w:p>
    <w:p>
      <w:pPr>
        <w:spacing w:after="0" w:line="199" w:lineRule="exact"/>
        <w:rPr>
          <w:sz w:val="20"/>
          <w:szCs w:val="20"/>
          <w:color w:val="auto"/>
        </w:rPr>
      </w:pPr>
    </w:p>
    <w:p>
      <w:pPr>
        <w:ind w:left="640" w:right="20" w:firstLine="1296"/>
        <w:spacing w:after="0" w:line="244" w:lineRule="auto"/>
        <w:rPr>
          <w:sz w:val="20"/>
          <w:szCs w:val="20"/>
          <w:color w:val="auto"/>
        </w:rPr>
      </w:pPr>
      <w:r>
        <w:rPr>
          <w:rFonts w:ascii="Times New Roman" w:cs="Times New Roman" w:eastAsia="Times New Roman" w:hAnsi="Times New Roman"/>
          <w:sz w:val="22"/>
          <w:szCs w:val="22"/>
          <w:color w:val="auto"/>
        </w:rPr>
        <w:t>Except for a failure, breach, or refusal which, by its nature, cannot reasonably be expected to be cured, the Executive shall have 40 business days from the delivery of written notice by the Company within which to cure any acts constituting Cause.</w:t>
      </w:r>
    </w:p>
    <w:p>
      <w:pPr>
        <w:spacing w:after="0" w:line="200" w:lineRule="exact"/>
        <w:rPr>
          <w:sz w:val="20"/>
          <w:szCs w:val="20"/>
          <w:color w:val="auto"/>
        </w:rPr>
      </w:pPr>
    </w:p>
    <w:p>
      <w:pPr>
        <w:ind w:left="640" w:right="180" w:firstLine="642"/>
        <w:spacing w:after="0" w:line="244" w:lineRule="auto"/>
        <w:tabs>
          <w:tab w:leader="none" w:pos="193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“Good Reason” shall mean the occurrence of any of the following, in each case during the Employment Term without the Executive’s prior written consent:</w:t>
      </w:r>
    </w:p>
    <w:p>
      <w:pPr>
        <w:spacing w:after="0" w:line="213" w:lineRule="exact"/>
        <w:rPr>
          <w:rFonts w:ascii="Times New Roman" w:cs="Times New Roman" w:eastAsia="Times New Roman" w:hAnsi="Times New Roman"/>
          <w:sz w:val="22"/>
          <w:szCs w:val="22"/>
          <w:color w:val="auto"/>
        </w:rPr>
      </w:pPr>
    </w:p>
    <w:p>
      <w:pPr>
        <w:jc w:val="both"/>
        <w:ind w:left="1280" w:firstLine="650"/>
        <w:spacing w:after="0" w:line="244" w:lineRule="auto"/>
        <w:tabs>
          <w:tab w:leader="none" w:pos="2577"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Executive’s Base Salary other than a general reduction in Base Salary that affects all similarly situated executives in substantially the same proportions;</w:t>
      </w:r>
    </w:p>
    <w:p>
      <w:pPr>
        <w:spacing w:after="0" w:line="213" w:lineRule="exact"/>
        <w:rPr>
          <w:rFonts w:ascii="Times New Roman" w:cs="Times New Roman" w:eastAsia="Times New Roman" w:hAnsi="Times New Roman"/>
          <w:sz w:val="22"/>
          <w:szCs w:val="22"/>
          <w:color w:val="auto"/>
        </w:rPr>
      </w:pPr>
    </w:p>
    <w:p>
      <w:pPr>
        <w:ind w:left="2580" w:hanging="650"/>
        <w:spacing w:after="0"/>
        <w:tabs>
          <w:tab w:leader="none" w:pos="2580"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relocation of the Executive’s principal place of employment by more than 50</w:t>
      </w:r>
    </w:p>
    <w:p>
      <w:pPr>
        <w:spacing w:after="0" w:line="25" w:lineRule="exact"/>
        <w:rPr>
          <w:rFonts w:ascii="Times New Roman" w:cs="Times New Roman" w:eastAsia="Times New Roman" w:hAnsi="Times New Roman"/>
          <w:sz w:val="21"/>
          <w:szCs w:val="21"/>
          <w:color w:val="auto"/>
        </w:rPr>
      </w:pPr>
    </w:p>
    <w:p>
      <w:pPr>
        <w:ind w:left="1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miles;</w:t>
      </w:r>
    </w:p>
    <w:p>
      <w:pPr>
        <w:spacing w:after="0" w:line="209" w:lineRule="exact"/>
        <w:rPr>
          <w:rFonts w:ascii="Times New Roman" w:cs="Times New Roman" w:eastAsia="Times New Roman" w:hAnsi="Times New Roman"/>
          <w:sz w:val="21"/>
          <w:szCs w:val="21"/>
          <w:color w:val="auto"/>
        </w:rPr>
      </w:pPr>
    </w:p>
    <w:p>
      <w:pPr>
        <w:ind w:left="1280" w:right="240" w:firstLine="650"/>
        <w:spacing w:after="0" w:line="244" w:lineRule="auto"/>
        <w:tabs>
          <w:tab w:leader="none" w:pos="2576"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by the Company of any material provision of this Agreement or any material provision of any other agreement between the Executive and the Company;</w:t>
      </w:r>
    </w:p>
    <w:p>
      <w:pPr>
        <w:spacing w:after="0" w:line="213" w:lineRule="exact"/>
        <w:rPr>
          <w:rFonts w:ascii="Times New Roman" w:cs="Times New Roman" w:eastAsia="Times New Roman" w:hAnsi="Times New Roman"/>
          <w:sz w:val="22"/>
          <w:szCs w:val="22"/>
          <w:color w:val="auto"/>
        </w:rPr>
      </w:pPr>
    </w:p>
    <w:p>
      <w:pPr>
        <w:ind w:left="1280" w:right="40" w:firstLine="651"/>
        <w:spacing w:after="0" w:line="239" w:lineRule="auto"/>
        <w:tabs>
          <w:tab w:leader="none" w:pos="257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w:t>
      </w:r>
    </w:p>
    <w:p>
      <w:pPr>
        <w:spacing w:after="0" w:line="220" w:lineRule="exact"/>
        <w:rPr>
          <w:rFonts w:ascii="Times New Roman" w:cs="Times New Roman" w:eastAsia="Times New Roman" w:hAnsi="Times New Roman"/>
          <w:sz w:val="22"/>
          <w:szCs w:val="22"/>
          <w:color w:val="auto"/>
        </w:rPr>
      </w:pPr>
    </w:p>
    <w:p>
      <w:pPr>
        <w:ind w:left="1280" w:right="120" w:firstLine="651"/>
        <w:spacing w:after="0" w:line="258" w:lineRule="auto"/>
        <w:tabs>
          <w:tab w:leader="none" w:pos="257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nominate the Executive for election to the Board and to use its best efforts to have him elected and re-elected, as applicable;</w:t>
      </w:r>
    </w:p>
    <w:p>
      <w:pPr>
        <w:spacing w:after="0" w:line="185" w:lineRule="exact"/>
        <w:rPr>
          <w:rFonts w:ascii="Times New Roman" w:cs="Times New Roman" w:eastAsia="Times New Roman" w:hAnsi="Times New Roman"/>
          <w:sz w:val="22"/>
          <w:szCs w:val="22"/>
          <w:color w:val="auto"/>
        </w:rPr>
      </w:pPr>
    </w:p>
    <w:p>
      <w:pPr>
        <w:jc w:val="both"/>
        <w:ind w:left="1280" w:right="820" w:firstLine="651"/>
        <w:spacing w:after="0" w:line="244" w:lineRule="auto"/>
        <w:tabs>
          <w:tab w:leader="none" w:pos="257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in the Executive’s title, authority, duties, or responsibilities (other than temporarily while the Executive is physically or mentally incapacitated or as required by applicable law); or</w:t>
      </w:r>
    </w:p>
    <w:p>
      <w:pPr>
        <w:spacing w:after="0" w:line="213" w:lineRule="exact"/>
        <w:rPr>
          <w:rFonts w:ascii="Times New Roman" w:cs="Times New Roman" w:eastAsia="Times New Roman" w:hAnsi="Times New Roman"/>
          <w:sz w:val="22"/>
          <w:szCs w:val="22"/>
          <w:color w:val="auto"/>
        </w:rPr>
      </w:pPr>
    </w:p>
    <w:p>
      <w:pPr>
        <w:ind w:left="2580" w:hanging="649"/>
        <w:spacing w:after="0"/>
        <w:tabs>
          <w:tab w:leader="none" w:pos="258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in the reporting structure applicable to the</w:t>
      </w:r>
    </w:p>
    <w:p>
      <w:pPr>
        <w:spacing w:after="0" w:line="14" w:lineRule="exact"/>
        <w:rPr>
          <w:rFonts w:ascii="Times New Roman" w:cs="Times New Roman" w:eastAsia="Times New Roman" w:hAnsi="Times New Roman"/>
          <w:sz w:val="22"/>
          <w:szCs w:val="22"/>
          <w:color w:val="auto"/>
        </w:rPr>
      </w:pPr>
    </w:p>
    <w:p>
      <w:pPr>
        <w:ind w:left="12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w:t>
      </w:r>
    </w:p>
    <w:p>
      <w:pPr>
        <w:spacing w:after="0" w:line="223" w:lineRule="exact"/>
        <w:rPr>
          <w:sz w:val="20"/>
          <w:szCs w:val="20"/>
          <w:color w:val="auto"/>
        </w:rPr>
      </w:pPr>
    </w:p>
    <w:p>
      <w:pPr>
        <w:ind w:left="640" w:right="40" w:firstLine="1296"/>
        <w:spacing w:after="0" w:line="235" w:lineRule="auto"/>
        <w:rPr>
          <w:sz w:val="20"/>
          <w:szCs w:val="20"/>
          <w:color w:val="auto"/>
        </w:rPr>
      </w:pPr>
      <w:r>
        <w:rPr>
          <w:rFonts w:ascii="Times New Roman" w:cs="Times New Roman" w:eastAsia="Times New Roman" w:hAnsi="Times New Roman"/>
          <w:sz w:val="22"/>
          <w:szCs w:val="22"/>
          <w:color w:val="auto"/>
        </w:rPr>
        <w:t>To terminate the Executive’s employment for Good Reason, the Executive must provide written notice to the Company of the existence of the circumstances providing grounds for termination for Good Reason within 15 days of the initial existence of such grounds and the Company must have at least 10 days from the date on which such notice is provided to cure such circumstances. If the Executive does not terminate the Executive’s employment for Good Reason within 40 days after the first occurrence of the applicable grounds, then the Executive will be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648335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22" w:name="page223"/>
    <w:bookmarkEnd w:id="222"/>
    <w:p>
      <w:pPr>
        <w:ind w:left="640"/>
        <w:spacing w:after="0"/>
        <w:rPr>
          <w:sz w:val="20"/>
          <w:szCs w:val="20"/>
          <w:color w:val="auto"/>
        </w:rPr>
      </w:pPr>
      <w:r>
        <w:rPr>
          <w:rFonts w:ascii="Times New Roman" w:cs="Times New Roman" w:eastAsia="Times New Roman" w:hAnsi="Times New Roman"/>
          <w:sz w:val="22"/>
          <w:szCs w:val="22"/>
          <w:color w:val="auto"/>
        </w:rPr>
        <w:t>have waived the Executive’s right to terminate for Good Reason with respect to such grounds.</w:t>
      </w:r>
    </w:p>
    <w:p>
      <w:pPr>
        <w:spacing w:after="0" w:line="247" w:lineRule="exact"/>
        <w:rPr>
          <w:sz w:val="20"/>
          <w:szCs w:val="20"/>
          <w:color w:val="auto"/>
        </w:rPr>
      </w:pPr>
    </w:p>
    <w:p>
      <w:pPr>
        <w:ind w:left="120" w:firstLine="518"/>
        <w:spacing w:after="0" w:line="23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Without Cause or for Good Reason</w:t>
      </w:r>
      <w:r>
        <w:rPr>
          <w:rFonts w:ascii="Times New Roman" w:cs="Times New Roman" w:eastAsia="Times New Roman" w:hAnsi="Times New Roman"/>
          <w:sz w:val="22"/>
          <w:szCs w:val="22"/>
          <w:color w:val="auto"/>
        </w:rPr>
        <w:t>. 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of this Agreement and the agreements referenced therein and the Executive’s execution, within 21 days following receipt, of a release of claims in favor of the Company, its affiliates and their respective officers and directors in a form provided by the Company (the “Release”) (such 21-day period, the “Release Execution Period”), and the Release becoming effective according to its terms, the Executive shall be entitled to receive the following:</w:t>
      </w:r>
    </w:p>
    <w:p>
      <w:pPr>
        <w:spacing w:after="0" w:line="286" w:lineRule="exact"/>
        <w:rPr>
          <w:sz w:val="20"/>
          <w:szCs w:val="20"/>
          <w:color w:val="auto"/>
        </w:rPr>
      </w:pPr>
    </w:p>
    <w:p>
      <w:pPr>
        <w:ind w:left="640" w:right="20" w:firstLine="642"/>
        <w:spacing w:after="0" w:line="234" w:lineRule="auto"/>
        <w:tabs>
          <w:tab w:leader="none" w:pos="19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equal installment payments payable in accordance with the Company’s normal payroll practices, but no less frequently than monthly, which are in the aggregate equal to one and a half (1½) times the Executive’s Base Salary for the year that includes the date of the Executive’s termination, which shall begin within 30 days following the date of the Executive’s termination and continue until the 2nd anniversary of the Executive’s date of termination; provided that, if the Release Execution Period begins in one taxable year and ends in another taxable year, payments shall not begin until the beginning of the second taxable year; provided further that, the first installment payment shall include all amounts that would otherwise have been paid to the Executive during the period beginning on the date of the Executive’s termination and ending on the first payment date if no delay had been imposed;</w:t>
      </w:r>
    </w:p>
    <w:p>
      <w:pPr>
        <w:spacing w:after="0" w:line="57" w:lineRule="exact"/>
        <w:rPr>
          <w:rFonts w:ascii="Times New Roman" w:cs="Times New Roman" w:eastAsia="Times New Roman" w:hAnsi="Times New Roman"/>
          <w:sz w:val="22"/>
          <w:szCs w:val="22"/>
          <w:color w:val="auto"/>
        </w:rPr>
      </w:pPr>
    </w:p>
    <w:p>
      <w:pPr>
        <w:ind w:left="640" w:right="120" w:firstLine="642"/>
        <w:spacing w:after="0" w:line="234" w:lineRule="auto"/>
        <w:tabs>
          <w:tab w:leader="none" w:pos="19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payment equal to the product of (i) one and a half (1½) times the Annual Bonus, if any, that the Executive otherwise would have earned for the fiscal year that includes the date of the Executive’s termination had no termination occurred, based on achievement of the applicable performance goals for such year and (ii) a fraction, the numerator of which is the number of days the Executive was employed by the Company during the year of termination and the denominator of which is the number of days in such year (the “Pro Rata Bonus”). This amount shall be paid on the date that annual bonuses are paid to similarly situated executives, but in no event later than two-and-a-half (2 1/2) months following the end of the fiscal year that includes the date of the Executive’s termination;</w:t>
      </w:r>
    </w:p>
    <w:p>
      <w:pPr>
        <w:spacing w:after="0" w:line="210" w:lineRule="exact"/>
        <w:rPr>
          <w:rFonts w:ascii="Times New Roman" w:cs="Times New Roman" w:eastAsia="Times New Roman" w:hAnsi="Times New Roman"/>
          <w:sz w:val="22"/>
          <w:szCs w:val="22"/>
          <w:color w:val="auto"/>
        </w:rPr>
      </w:pPr>
    </w:p>
    <w:p>
      <w:pPr>
        <w:ind w:left="640" w:right="80" w:firstLine="642"/>
        <w:spacing w:after="0" w:line="235" w:lineRule="auto"/>
        <w:tabs>
          <w:tab w:leader="none" w:pos="19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timely and properly elects health continuation coverage under the Consolidated Omnibus Budget Reconciliation Act of 1985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eighteen-month anniversary of the date of the Executive’s termination; (ii) the date the Executive is no longer eligible to receive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645160</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23" w:name="page224"/>
    <w:bookmarkEnd w:id="223"/>
    <w:p>
      <w:pPr>
        <w:ind w:left="640" w:right="140"/>
        <w:spacing w:after="0" w:line="235" w:lineRule="auto"/>
        <w:rPr>
          <w:sz w:val="20"/>
          <w:szCs w:val="20"/>
          <w:color w:val="auto"/>
        </w:rPr>
      </w:pPr>
      <w:r>
        <w:rPr>
          <w:rFonts w:ascii="Times New Roman" w:cs="Times New Roman" w:eastAsia="Times New Roman" w:hAnsi="Times New Roman"/>
          <w:sz w:val="22"/>
          <w:szCs w:val="22"/>
          <w:color w:val="auto"/>
        </w:rPr>
        <w:t>continuation coverage; and (iii) the date on which the Executive receives substantially similar coverage from another employer or other source. Notwithstanding the foregoing, if the Company’s making payments under this Section 5.2(c) would violate the nondiscrimination rules applicable to non-grandfathered, insured group health plans under the Affordable Care Act (the “ACA”), or result in the imposition of penalties under the ACA and the related regulations and guidance promulgated thereunder, the parties agree to reform this Section 5.2(c) in a manner as is necessary to comply with the ACA.</w:t>
      </w:r>
    </w:p>
    <w:p>
      <w:pPr>
        <w:spacing w:after="0" w:line="224" w:lineRule="exact"/>
        <w:rPr>
          <w:sz w:val="20"/>
          <w:szCs w:val="20"/>
          <w:color w:val="auto"/>
        </w:rPr>
      </w:pPr>
    </w:p>
    <w:p>
      <w:pPr>
        <w:ind w:left="640" w:right="200" w:firstLine="642"/>
        <w:spacing w:after="0" w:line="258" w:lineRule="auto"/>
        <w:tabs>
          <w:tab w:leader="none" w:pos="193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the Dragonfly Energy Holdings Corp. Equity Incentive Plan and all successor plans or any applicable award agreements:</w:t>
      </w:r>
    </w:p>
    <w:p>
      <w:pPr>
        <w:spacing w:after="0" w:line="185" w:lineRule="exact"/>
        <w:rPr>
          <w:rFonts w:ascii="Times New Roman" w:cs="Times New Roman" w:eastAsia="Times New Roman" w:hAnsi="Times New Roman"/>
          <w:sz w:val="22"/>
          <w:szCs w:val="22"/>
          <w:color w:val="auto"/>
        </w:rPr>
      </w:pPr>
    </w:p>
    <w:p>
      <w:pPr>
        <w:ind w:left="1280" w:right="20" w:firstLine="650"/>
        <w:spacing w:after="0" w:line="251" w:lineRule="auto"/>
        <w:tabs>
          <w:tab w:leader="none" w:pos="2576"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(“Section 409A”) of the Internal Revenue Code of 1986, as amended (the “Code”) shall remain in effect; and</w:t>
      </w:r>
    </w:p>
    <w:p>
      <w:pPr>
        <w:spacing w:after="0" w:line="208" w:lineRule="exact"/>
        <w:rPr>
          <w:rFonts w:ascii="Times New Roman" w:cs="Times New Roman" w:eastAsia="Times New Roman" w:hAnsi="Times New Roman"/>
          <w:sz w:val="21"/>
          <w:szCs w:val="21"/>
          <w:color w:val="auto"/>
        </w:rPr>
      </w:pPr>
    </w:p>
    <w:p>
      <w:pPr>
        <w:ind w:left="1280" w:right="160" w:firstLine="650"/>
        <w:spacing w:after="0" w:line="239" w:lineRule="auto"/>
        <w:tabs>
          <w:tab w:leader="none" w:pos="257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221"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40" w:firstLine="642"/>
        <w:spacing w:after="0" w:line="243" w:lineRule="auto"/>
        <w:tabs>
          <w:tab w:leader="none" w:pos="193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contained herein, if the Executive’s employment hereunder is terminated by the Executive for Good Reason or by the Company on account of its failure to renew the Agreement in accordance with Section 1 or without Cause (other than on account of the Executive’s death or Disability), in each case three months before or twelve (12) months following a Change in Control, the Executive shall be entitled to receive the Accrued Amounts and subject to the Executive’s compliance with Section 6 of this Agreement and the Executive’s execution of a Release which becomes effective within 21 days following the Termination Date, the Executive shall be entitled to receive a lump sum payment equal to one and a half (1½) times the sum of the Executive’s Base Salary for the year in which the Termination Date occurs (or if greater, the year immediately preceding the year in which the Change in Control occurs), which shall be paid within</w:t>
      </w:r>
    </w:p>
    <w:p>
      <w:pPr>
        <w:spacing w:after="0" w:line="9" w:lineRule="exact"/>
        <w:rPr>
          <w:rFonts w:ascii="Times New Roman" w:cs="Times New Roman" w:eastAsia="Times New Roman" w:hAnsi="Times New Roman"/>
          <w:sz w:val="21"/>
          <w:szCs w:val="21"/>
          <w:color w:val="auto"/>
        </w:rPr>
      </w:pPr>
    </w:p>
    <w:p>
      <w:pPr>
        <w:ind w:left="640" w:right="8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30 days following the Termination Date; provided that, if the Release Execution Period begins in one taxable year and ends in another taxable year, payment shall not be made until the beginning of the second taxable year.</w:t>
      </w:r>
    </w:p>
    <w:p>
      <w:pPr>
        <w:spacing w:after="0" w:line="204" w:lineRule="exact"/>
        <w:rPr>
          <w:rFonts w:ascii="Times New Roman" w:cs="Times New Roman" w:eastAsia="Times New Roman" w:hAnsi="Times New Roman"/>
          <w:sz w:val="21"/>
          <w:szCs w:val="21"/>
          <w:color w:val="auto"/>
        </w:rPr>
      </w:pPr>
    </w:p>
    <w:p>
      <w:pPr>
        <w:ind w:left="640" w:right="80" w:firstLine="642"/>
        <w:spacing w:after="0" w:line="239" w:lineRule="auto"/>
        <w:tabs>
          <w:tab w:leader="none" w:pos="193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timely and properly elects health plan continuation coverage under COBRA, the Company shall reimburse the Executive for the monthly COBRA premium paid by the Executive for the Executive and the Executive’s dependents. Such reimbursement shall be paid to the Executive on the first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646430</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24" w:name="page225"/>
    <w:bookmarkEnd w:id="224"/>
    <w:p>
      <w:pPr>
        <w:ind w:left="640" w:right="80"/>
        <w:spacing w:after="0" w:line="234" w:lineRule="auto"/>
        <w:rPr>
          <w:sz w:val="20"/>
          <w:szCs w:val="20"/>
          <w:color w:val="auto"/>
        </w:rPr>
      </w:pPr>
      <w:r>
        <w:rPr>
          <w:rFonts w:ascii="Times New Roman" w:cs="Times New Roman" w:eastAsia="Times New Roman" w:hAnsi="Times New Roman"/>
          <w:sz w:val="22"/>
          <w:szCs w:val="22"/>
          <w:color w:val="auto"/>
        </w:rPr>
        <w:t>month immediately following the month in which the Executive timely remits the premium payment. The Executive shall be eligible to receive such reimbursement until the earliest of: (i) the eighteen-month anniversary of the Termination Date; (ii) the date the Executive is no longer eligible to receive COBRA continuation coverage; and (iii) the date on which the Executive receives substantially similar coverage from another employer or other source. Notwithstanding the foregoing, if the Company’s payments under this Section 5.3(b) would violate the nondiscrimination rules applicable to non-grandfathered, insured group plans under the ACA, or result in the imposition of penalties under the ACA, the parties agree to reform this Section 5.3(b) in a manner as is necessary to comply with the ACA.</w:t>
      </w:r>
    </w:p>
    <w:p>
      <w:pPr>
        <w:spacing w:after="0" w:line="210" w:lineRule="exact"/>
        <w:rPr>
          <w:sz w:val="20"/>
          <w:szCs w:val="20"/>
          <w:color w:val="auto"/>
        </w:rPr>
      </w:pPr>
    </w:p>
    <w:p>
      <w:pPr>
        <w:ind w:left="1940" w:hanging="658"/>
        <w:spacing w:after="0"/>
        <w:tabs>
          <w:tab w:leader="none" w:pos="19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any equity incentive plan or award agreements, as</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222" w:lineRule="exact"/>
        <w:rPr>
          <w:rFonts w:ascii="Times New Roman" w:cs="Times New Roman" w:eastAsia="Times New Roman" w:hAnsi="Times New Roman"/>
          <w:sz w:val="22"/>
          <w:szCs w:val="22"/>
          <w:color w:val="auto"/>
        </w:rPr>
      </w:pPr>
    </w:p>
    <w:p>
      <w:pPr>
        <w:ind w:left="1280" w:right="320" w:firstLine="650"/>
        <w:spacing w:after="0" w:line="244" w:lineRule="auto"/>
        <w:tabs>
          <w:tab w:leader="none" w:pos="257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unvested stock options granted to the Executive during the Employment Term shall become fully vested and exercisable for the remainder of their full term;</w:t>
      </w:r>
    </w:p>
    <w:p>
      <w:pPr>
        <w:spacing w:after="0" w:line="200" w:lineRule="exact"/>
        <w:rPr>
          <w:rFonts w:ascii="Times New Roman" w:cs="Times New Roman" w:eastAsia="Times New Roman" w:hAnsi="Times New Roman"/>
          <w:sz w:val="22"/>
          <w:szCs w:val="22"/>
          <w:color w:val="auto"/>
        </w:rPr>
      </w:pPr>
    </w:p>
    <w:p>
      <w:pPr>
        <w:ind w:left="1280" w:firstLine="650"/>
        <w:spacing w:after="0" w:line="238" w:lineRule="auto"/>
        <w:tabs>
          <w:tab w:leader="none" w:pos="257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shall remain in effect; and</w:t>
      </w:r>
    </w:p>
    <w:p>
      <w:pPr>
        <w:spacing w:after="0" w:line="217" w:lineRule="exact"/>
        <w:rPr>
          <w:rFonts w:ascii="Times New Roman" w:cs="Times New Roman" w:eastAsia="Times New Roman" w:hAnsi="Times New Roman"/>
          <w:sz w:val="22"/>
          <w:szCs w:val="22"/>
          <w:color w:val="auto"/>
        </w:rPr>
      </w:pPr>
    </w:p>
    <w:p>
      <w:pPr>
        <w:ind w:left="1280" w:right="160" w:firstLine="650"/>
        <w:spacing w:after="0" w:line="239" w:lineRule="auto"/>
        <w:tabs>
          <w:tab w:leader="none" w:pos="257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220" w:lineRule="exact"/>
        <w:rPr>
          <w:rFonts w:ascii="Times New Roman" w:cs="Times New Roman" w:eastAsia="Times New Roman" w:hAnsi="Times New Roman"/>
          <w:sz w:val="22"/>
          <w:szCs w:val="22"/>
          <w:color w:val="auto"/>
        </w:rPr>
      </w:pPr>
    </w:p>
    <w:p>
      <w:pPr>
        <w:ind w:left="640" w:right="360" w:firstLine="642"/>
        <w:spacing w:after="0" w:line="258" w:lineRule="auto"/>
        <w:tabs>
          <w:tab w:leader="none" w:pos="193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“Change in Control” shall mean the occurrence of any of the following after the Effective Date:</w:t>
      </w:r>
    </w:p>
    <w:p>
      <w:pPr>
        <w:spacing w:after="0" w:line="185" w:lineRule="exact"/>
        <w:rPr>
          <w:rFonts w:ascii="Times New Roman" w:cs="Times New Roman" w:eastAsia="Times New Roman" w:hAnsi="Times New Roman"/>
          <w:sz w:val="22"/>
          <w:szCs w:val="22"/>
          <w:color w:val="auto"/>
        </w:rPr>
      </w:pPr>
    </w:p>
    <w:p>
      <w:pPr>
        <w:ind w:left="1280" w:right="160" w:firstLine="650"/>
        <w:spacing w:after="0" w:line="236" w:lineRule="auto"/>
        <w:tabs>
          <w:tab w:leader="none" w:pos="257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 Change in Control shall not occur if any person (or more than one person acting as a group) owns more than 50% of the total fair market value or total voting power of the Company’s stock and acquires additional stock;</w:t>
      </w:r>
    </w:p>
    <w:p>
      <w:pPr>
        <w:spacing w:after="0" w:line="221" w:lineRule="exact"/>
        <w:rPr>
          <w:rFonts w:ascii="Times New Roman" w:cs="Times New Roman" w:eastAsia="Times New Roman" w:hAnsi="Times New Roman"/>
          <w:sz w:val="22"/>
          <w:szCs w:val="22"/>
          <w:color w:val="auto"/>
        </w:rPr>
      </w:pPr>
    </w:p>
    <w:p>
      <w:pPr>
        <w:jc w:val="both"/>
        <w:ind w:left="1280" w:firstLine="650"/>
        <w:spacing w:after="0" w:line="239" w:lineRule="auto"/>
        <w:tabs>
          <w:tab w:leader="none" w:pos="2577"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person (or more than one person acting as a group) acquires (or has acquired during the twelve-month period ending on the date of the most recent acquisition) ownership of the Company’s stock possessing 30% or more of the total voting power of the Company’s stock;</w:t>
      </w:r>
    </w:p>
    <w:p>
      <w:pPr>
        <w:spacing w:after="0" w:line="220" w:lineRule="exact"/>
        <w:rPr>
          <w:rFonts w:ascii="Times New Roman" w:cs="Times New Roman" w:eastAsia="Times New Roman" w:hAnsi="Times New Roman"/>
          <w:sz w:val="22"/>
          <w:szCs w:val="22"/>
          <w:color w:val="auto"/>
        </w:rPr>
      </w:pPr>
    </w:p>
    <w:p>
      <w:pPr>
        <w:ind w:left="1280" w:firstLine="650"/>
        <w:spacing w:after="0" w:line="258" w:lineRule="auto"/>
        <w:tabs>
          <w:tab w:leader="none" w:pos="2577"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the Board are replaced during any twelve-month period by directors whose appointment or election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632460</wp:posOffset>
            </wp:positionV>
            <wp:extent cx="629221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25" w:name="page226"/>
    <w:bookmarkEnd w:id="225"/>
    <w:p>
      <w:pPr>
        <w:ind w:left="1280"/>
        <w:spacing w:after="0"/>
        <w:rPr>
          <w:sz w:val="20"/>
          <w:szCs w:val="20"/>
          <w:color w:val="auto"/>
        </w:rPr>
      </w:pPr>
      <w:r>
        <w:rPr>
          <w:rFonts w:ascii="Times New Roman" w:cs="Times New Roman" w:eastAsia="Times New Roman" w:hAnsi="Times New Roman"/>
          <w:sz w:val="22"/>
          <w:szCs w:val="22"/>
          <w:color w:val="auto"/>
        </w:rPr>
        <w:t>endorsed by a majority of the Board before the date of appointment or election; or</w:t>
      </w:r>
    </w:p>
    <w:p>
      <w:pPr>
        <w:spacing w:after="0" w:line="314" w:lineRule="exact"/>
        <w:rPr>
          <w:sz w:val="20"/>
          <w:szCs w:val="20"/>
          <w:color w:val="auto"/>
        </w:rPr>
      </w:pPr>
    </w:p>
    <w:p>
      <w:pPr>
        <w:ind w:left="2560" w:hanging="636"/>
        <w:spacing w:after="0"/>
        <w:tabs>
          <w:tab w:leader="none" w:pos="25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all or substantially all of the Company’s assets.</w:t>
      </w:r>
    </w:p>
    <w:p>
      <w:pPr>
        <w:spacing w:after="0" w:line="247" w:lineRule="exact"/>
        <w:rPr>
          <w:sz w:val="20"/>
          <w:szCs w:val="20"/>
          <w:color w:val="auto"/>
        </w:rPr>
      </w:pPr>
    </w:p>
    <w:p>
      <w:pPr>
        <w:ind w:left="640" w:right="20" w:firstLine="1296"/>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221"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40" w:right="360" w:firstLine="642"/>
        <w:spacing w:after="0" w:line="244" w:lineRule="auto"/>
        <w:tabs>
          <w:tab w:leader="none" w:pos="19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employment hereunder shall terminate automatically upon the Executive’s death during the Employment Term, and the Company may terminate the Executive’s employment on account of the Executive’s Disability.</w:t>
      </w:r>
    </w:p>
    <w:p>
      <w:pPr>
        <w:spacing w:after="0" w:line="200" w:lineRule="exact"/>
        <w:rPr>
          <w:rFonts w:ascii="Times New Roman" w:cs="Times New Roman" w:eastAsia="Times New Roman" w:hAnsi="Times New Roman"/>
          <w:sz w:val="22"/>
          <w:szCs w:val="22"/>
          <w:color w:val="auto"/>
        </w:rPr>
      </w:pPr>
    </w:p>
    <w:p>
      <w:pPr>
        <w:jc w:val="both"/>
        <w:ind w:left="640" w:right="20" w:firstLine="642"/>
        <w:spacing w:after="0" w:line="244" w:lineRule="auto"/>
        <w:tabs>
          <w:tab w:leader="none" w:pos="19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281" w:lineRule="exact"/>
        <w:rPr>
          <w:rFonts w:ascii="Times New Roman" w:cs="Times New Roman" w:eastAsia="Times New Roman" w:hAnsi="Times New Roman"/>
          <w:sz w:val="22"/>
          <w:szCs w:val="22"/>
          <w:color w:val="auto"/>
        </w:rPr>
      </w:pPr>
    </w:p>
    <w:p>
      <w:pPr>
        <w:ind w:left="2580" w:hanging="656"/>
        <w:spacing w:after="0"/>
        <w:tabs>
          <w:tab w:leader="none" w:pos="258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Amounts; and</w:t>
      </w:r>
    </w:p>
    <w:p>
      <w:pPr>
        <w:spacing w:after="0" w:line="260" w:lineRule="exact"/>
        <w:rPr>
          <w:rFonts w:ascii="Times New Roman" w:cs="Times New Roman" w:eastAsia="Times New Roman" w:hAnsi="Times New Roman"/>
          <w:sz w:val="22"/>
          <w:szCs w:val="22"/>
          <w:color w:val="auto"/>
        </w:rPr>
      </w:pPr>
    </w:p>
    <w:p>
      <w:pPr>
        <w:ind w:left="1280" w:right="200" w:firstLine="650"/>
        <w:spacing w:after="0" w:line="236" w:lineRule="auto"/>
        <w:tabs>
          <w:tab w:leader="none" w:pos="2576"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equal to the Annual Bonus, if any, that the Executive would have earned for the fiscal year that includes the date of the Executive’s termination based on the achievement of applicable performance goals for such year, which shall be payable on the date that annual bonuses are paid to the Company’s similarly situated executives, but in no event later than two-and-a-half (2 1/2) months following the end of the fiscal year that includes the date of the Executive’s termination.</w:t>
      </w:r>
    </w:p>
    <w:p>
      <w:pPr>
        <w:spacing w:after="0" w:line="208" w:lineRule="exact"/>
        <w:rPr>
          <w:sz w:val="20"/>
          <w:szCs w:val="20"/>
          <w:color w:val="auto"/>
        </w:rPr>
      </w:pPr>
    </w:p>
    <w:p>
      <w:pPr>
        <w:jc w:val="both"/>
        <w:ind w:left="1280" w:right="180" w:firstLine="1296"/>
        <w:spacing w:after="0" w:line="244" w:lineRule="auto"/>
        <w:rPr>
          <w:sz w:val="20"/>
          <w:szCs w:val="20"/>
          <w:color w:val="auto"/>
        </w:rPr>
      </w:pPr>
      <w:r>
        <w:rPr>
          <w:rFonts w:ascii="Times New Roman" w:cs="Times New Roman" w:eastAsia="Times New Roman" w:hAnsi="Times New Roman"/>
          <w:sz w:val="22"/>
          <w:szCs w:val="22"/>
          <w:color w:val="auto"/>
        </w:rPr>
        <w:t>Notwithstanding any other provision contained herein, all payments made in connection with the Executive’s Disability shall be provided in a manner which is consistent with federal and state law.</w:t>
      </w:r>
    </w:p>
    <w:p>
      <w:pPr>
        <w:spacing w:after="0" w:line="214" w:lineRule="exact"/>
        <w:rPr>
          <w:sz w:val="20"/>
          <w:szCs w:val="20"/>
          <w:color w:val="auto"/>
        </w:rPr>
      </w:pPr>
    </w:p>
    <w:p>
      <w:pPr>
        <w:ind w:left="640" w:firstLine="642"/>
        <w:spacing w:after="0" w:line="235" w:lineRule="auto"/>
        <w:tabs>
          <w:tab w:leader="none" w:pos="193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“Disability” shall mean the Executive’s inability, due to physical or mental incapacity, to perform the essential functions of the Executive’s job, with or without reasonable accommodation, for one hundred eighty (180) days out of any three hundred sixty-five (365) day period or one hundred twenty (120) consecutive days. Any question as to the existence of the Executive’s Disability as to which the Executive and the Company cannot agree shall be determined in writing by a qualified independent physician mutually acceptable to the Executive and the Company. The determination of Disability made in writing to the Company and the Executive shall be final and conclusive for all purposes of this Agreement.</w:t>
      </w:r>
    </w:p>
    <w:p>
      <w:pPr>
        <w:spacing w:after="0" w:line="205" w:lineRule="exact"/>
        <w:rPr>
          <w:sz w:val="20"/>
          <w:szCs w:val="20"/>
          <w:color w:val="auto"/>
        </w:rPr>
      </w:pPr>
    </w:p>
    <w:p>
      <w:pPr>
        <w:ind w:left="120" w:right="460" w:firstLine="518"/>
        <w:spacing w:after="0" w:line="258"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the Executive’s employment hereunder by the Company or by the Executive during the Employment Term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632460</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26" w:name="page227"/>
    <w:bookmarkEnd w:id="226"/>
    <w:p>
      <w:pPr>
        <w:ind w:left="120" w:right="20"/>
        <w:spacing w:after="0" w:line="253" w:lineRule="auto"/>
        <w:rPr>
          <w:sz w:val="20"/>
          <w:szCs w:val="20"/>
          <w:color w:val="auto"/>
        </w:rPr>
      </w:pPr>
      <w:r>
        <w:rPr>
          <w:rFonts w:ascii="Times New Roman" w:cs="Times New Roman" w:eastAsia="Times New Roman" w:hAnsi="Times New Roman"/>
          <w:sz w:val="21"/>
          <w:szCs w:val="21"/>
          <w:color w:val="auto"/>
        </w:rPr>
        <w:t>termination pursuant to Section 5.4(a) on account of the Executive’s death) shall be communicated by written notice of termination (“Notice of Termination”) to the other party hereto in accordance with Section</w:t>
      </w:r>
    </w:p>
    <w:p>
      <w:pPr>
        <w:spacing w:after="0" w:line="1" w:lineRule="exact"/>
        <w:rPr>
          <w:sz w:val="20"/>
          <w:szCs w:val="20"/>
          <w:color w:val="auto"/>
        </w:rPr>
      </w:pPr>
    </w:p>
    <w:p>
      <w:pPr>
        <w:ind w:left="440" w:hanging="324"/>
        <w:spacing w:after="0"/>
        <w:tabs>
          <w:tab w:leader="none" w:pos="4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Notice of Termination shall specify:</w:t>
      </w:r>
    </w:p>
    <w:p>
      <w:pPr>
        <w:spacing w:after="0" w:line="222" w:lineRule="exact"/>
        <w:rPr>
          <w:rFonts w:ascii="Times New Roman" w:cs="Times New Roman" w:eastAsia="Times New Roman" w:hAnsi="Times New Roman"/>
          <w:sz w:val="22"/>
          <w:szCs w:val="22"/>
          <w:color w:val="auto"/>
        </w:rPr>
      </w:pPr>
    </w:p>
    <w:p>
      <w:pPr>
        <w:ind w:left="1920" w:hanging="644"/>
        <w:spacing w:after="0"/>
        <w:tabs>
          <w:tab w:leader="none" w:pos="192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provision of this Agreement relied upon;</w:t>
      </w:r>
    </w:p>
    <w:p>
      <w:pPr>
        <w:spacing w:after="0" w:line="246" w:lineRule="exact"/>
        <w:rPr>
          <w:rFonts w:ascii="Times New Roman" w:cs="Times New Roman" w:eastAsia="Times New Roman" w:hAnsi="Times New Roman"/>
          <w:sz w:val="22"/>
          <w:szCs w:val="22"/>
          <w:color w:val="auto"/>
        </w:rPr>
      </w:pPr>
    </w:p>
    <w:p>
      <w:pPr>
        <w:ind w:left="640" w:right="400" w:firstLine="643"/>
        <w:spacing w:after="0" w:line="258" w:lineRule="auto"/>
        <w:tabs>
          <w:tab w:leader="none" w:pos="193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the facts and circumstances claimed to provide a basis for termination of the Executive’s employment under the provision so indicated; and</w:t>
      </w:r>
    </w:p>
    <w:p>
      <w:pPr>
        <w:spacing w:after="0" w:line="185" w:lineRule="exact"/>
        <w:rPr>
          <w:rFonts w:ascii="Times New Roman" w:cs="Times New Roman" w:eastAsia="Times New Roman" w:hAnsi="Times New Roman"/>
          <w:sz w:val="22"/>
          <w:szCs w:val="22"/>
          <w:color w:val="auto"/>
        </w:rPr>
      </w:pPr>
    </w:p>
    <w:p>
      <w:pPr>
        <w:ind w:left="640" w:firstLine="643"/>
        <w:spacing w:after="0" w:line="236" w:lineRule="auto"/>
        <w:tabs>
          <w:tab w:leader="none" w:pos="193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date of termination, which shall be no less than 30 days following the date on which the Notice of Termination is delivered if the Company terminates the Executive’s employment without Cause, or no less than 30 days following the date on which the Notice of Termination is delivered if the Executive terminates the Executive’s employment with or without Good Reason; provided that, the Company shall have the option to provide the Executive with a lump sum payment in lieu of such notice.</w:t>
      </w:r>
    </w:p>
    <w:p>
      <w:pPr>
        <w:spacing w:after="0" w:line="222" w:lineRule="exact"/>
        <w:rPr>
          <w:sz w:val="20"/>
          <w:szCs w:val="20"/>
          <w:color w:val="auto"/>
        </w:rPr>
      </w:pPr>
    </w:p>
    <w:p>
      <w:pPr>
        <w:ind w:left="120" w:firstLine="518"/>
        <w:spacing w:after="0" w:line="239"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Upon termination of the Executive’s employment hereunder for any reason, the Executive shall be deemed to have resigned from all positions that the Executive holds as an officer or member of the Board (or a committee thereof) of the Company or any of its affiliates.</w:t>
      </w:r>
    </w:p>
    <w:p>
      <w:pPr>
        <w:spacing w:after="0" w:line="221" w:lineRule="exact"/>
        <w:rPr>
          <w:sz w:val="20"/>
          <w:szCs w:val="20"/>
          <w:color w:val="auto"/>
        </w:rPr>
      </w:pPr>
    </w:p>
    <w:p>
      <w:pPr>
        <w:ind w:left="-280" w:right="40" w:firstLine="397"/>
        <w:spacing w:after="0" w:line="244" w:lineRule="auto"/>
        <w:tabs>
          <w:tab w:leader="none" w:pos="62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and Restrictive Covenants</w:t>
      </w:r>
      <w:r>
        <w:rPr>
          <w:rFonts w:ascii="Times New Roman" w:cs="Times New Roman" w:eastAsia="Times New Roman" w:hAnsi="Times New Roman"/>
          <w:sz w:val="22"/>
          <w:szCs w:val="22"/>
          <w:color w:val="auto"/>
        </w:rPr>
        <w:t>. As a condition of the Executive’s employment with the Company, the Executive shall enter into and abide by the Company’s Restrictive Covenant Agreement, attached hereto and incorporation herein as Exhibit A.</w:t>
      </w:r>
    </w:p>
    <w:p>
      <w:pPr>
        <w:spacing w:after="0" w:line="200" w:lineRule="exact"/>
        <w:rPr>
          <w:rFonts w:ascii="Times New Roman" w:cs="Times New Roman" w:eastAsia="Times New Roman" w:hAnsi="Times New Roman"/>
          <w:sz w:val="22"/>
          <w:szCs w:val="22"/>
          <w:color w:val="auto"/>
        </w:rPr>
      </w:pPr>
    </w:p>
    <w:p>
      <w:pPr>
        <w:ind w:left="-280" w:firstLine="397"/>
        <w:spacing w:after="0" w:line="235" w:lineRule="auto"/>
        <w:tabs>
          <w:tab w:leader="none" w:pos="62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and Venue</w:t>
      </w:r>
      <w:r>
        <w:rPr>
          <w:rFonts w:ascii="Times New Roman" w:cs="Times New Roman" w:eastAsia="Times New Roman" w:hAnsi="Times New Roman"/>
          <w:sz w:val="22"/>
          <w:szCs w:val="22"/>
          <w:color w:val="auto"/>
        </w:rPr>
        <w:t>. This Agreement, for all purposes, shall be construed in accordance with the laws of Nevada without regard to conflicts of law principles. Any action or proceeding by either of the parties to enforce this Agreement shall be brought only in a state or federal court located in the state of Nevada, county of Washoe. The parties hereby irrevocably submit to the exclusive jurisdiction of such courts and waive the defense of inconvenient forum to the maintenance of any such action or proceeding in such venue. This provision remains in full force and effect upon change of situs of the corporation to any other jurisdiction.</w:t>
      </w:r>
    </w:p>
    <w:p>
      <w:pPr>
        <w:spacing w:after="0" w:line="223" w:lineRule="exact"/>
        <w:rPr>
          <w:rFonts w:ascii="Times New Roman" w:cs="Times New Roman" w:eastAsia="Times New Roman" w:hAnsi="Times New Roman"/>
          <w:sz w:val="22"/>
          <w:szCs w:val="22"/>
          <w:color w:val="auto"/>
        </w:rPr>
      </w:pPr>
    </w:p>
    <w:p>
      <w:pPr>
        <w:ind w:left="-280" w:right="60" w:firstLine="397"/>
        <w:spacing w:after="0" w:line="255" w:lineRule="auto"/>
        <w:tabs>
          <w:tab w:leader="none" w:pos="62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Unless specifically provided herein, this Agreement, together with the Restrictive Covenant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202" w:lineRule="exact"/>
        <w:rPr>
          <w:rFonts w:ascii="Times New Roman" w:cs="Times New Roman" w:eastAsia="Times New Roman" w:hAnsi="Times New Roman"/>
          <w:sz w:val="21"/>
          <w:szCs w:val="21"/>
          <w:color w:val="auto"/>
        </w:rPr>
      </w:pPr>
    </w:p>
    <w:p>
      <w:pPr>
        <w:ind w:left="-280" w:firstLine="397"/>
        <w:spacing w:after="0" w:line="251" w:lineRule="auto"/>
        <w:tabs>
          <w:tab w:leader="none" w:pos="62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 and Waiver</w:t>
      </w:r>
      <w:r>
        <w:rPr>
          <w:rFonts w:ascii="Times New Roman" w:cs="Times New Roman" w:eastAsia="Times New Roman" w:hAnsi="Times New Roman"/>
          <w:sz w:val="21"/>
          <w:szCs w:val="21"/>
          <w:color w:val="auto"/>
        </w:rPr>
        <w:t>. No provision of this Agreement may be amended or modified unless such amendment or modification is agreed to in writing and signed by the Executive and by the Lead Independent Director of the Board of Directors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638810</wp:posOffset>
            </wp:positionV>
            <wp:extent cx="62922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27" w:name="page228"/>
    <w:bookmarkEnd w:id="227"/>
    <w:p>
      <w:pPr>
        <w:ind w:left="-280" w:right="100" w:firstLine="397"/>
        <w:spacing w:after="0" w:line="239" w:lineRule="auto"/>
        <w:tabs>
          <w:tab w:leader="none" w:pos="62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220" w:lineRule="exact"/>
        <w:rPr>
          <w:rFonts w:ascii="Times New Roman" w:cs="Times New Roman" w:eastAsia="Times New Roman" w:hAnsi="Times New Roman"/>
          <w:sz w:val="22"/>
          <w:szCs w:val="22"/>
          <w:color w:val="auto"/>
        </w:rPr>
      </w:pPr>
    </w:p>
    <w:p>
      <w:pPr>
        <w:jc w:val="both"/>
        <w:ind w:left="-280" w:right="20" w:firstLine="397"/>
        <w:spacing w:after="0" w:line="244" w:lineRule="auto"/>
        <w:tabs>
          <w:tab w:leader="none" w:pos="62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200" w:lineRule="exact"/>
        <w:rPr>
          <w:rFonts w:ascii="Times New Roman" w:cs="Times New Roman" w:eastAsia="Times New Roman" w:hAnsi="Times New Roman"/>
          <w:sz w:val="22"/>
          <w:szCs w:val="22"/>
          <w:color w:val="auto"/>
        </w:rPr>
      </w:pPr>
    </w:p>
    <w:p>
      <w:pPr>
        <w:ind w:left="-280" w:right="560" w:firstLine="397"/>
        <w:spacing w:after="0" w:line="258" w:lineRule="auto"/>
        <w:tabs>
          <w:tab w:leader="none" w:pos="62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separate counterparts, each of which shall be deemed an original, but all of which taken together shall constitute one and the same instrument.</w:t>
      </w:r>
    </w:p>
    <w:p>
      <w:pPr>
        <w:spacing w:after="0" w:line="198" w:lineRule="exact"/>
        <w:rPr>
          <w:rFonts w:ascii="Times New Roman" w:cs="Times New Roman" w:eastAsia="Times New Roman" w:hAnsi="Times New Roman"/>
          <w:sz w:val="22"/>
          <w:szCs w:val="22"/>
          <w:color w:val="auto"/>
        </w:rPr>
      </w:pPr>
    </w:p>
    <w:p>
      <w:pPr>
        <w:ind w:left="620" w:hanging="505"/>
        <w:spacing w:after="0"/>
        <w:tabs>
          <w:tab w:leader="none" w:pos="6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20" w:firstLine="518"/>
        <w:spacing w:after="0" w:line="244"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u w:val="single" w:color="auto"/>
          <w:color w:val="auto"/>
        </w:rPr>
        <w:t>General Compliance</w:t>
      </w:r>
      <w:r>
        <w:rPr>
          <w:rFonts w:ascii="Times New Roman" w:cs="Times New Roman" w:eastAsia="Times New Roman" w:hAnsi="Times New Roman"/>
          <w:sz w:val="21"/>
          <w:szCs w:val="21"/>
          <w:color w:val="auto"/>
        </w:rPr>
        <w:t>. 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24" w:lineRule="exact"/>
        <w:rPr>
          <w:sz w:val="20"/>
          <w:szCs w:val="20"/>
          <w:color w:val="auto"/>
        </w:rPr>
      </w:pPr>
    </w:p>
    <w:p>
      <w:pPr>
        <w:ind w:left="120" w:right="20" w:firstLine="518"/>
        <w:spacing w:after="0" w:line="234"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Specified Employees</w:t>
      </w:r>
      <w:r>
        <w:rPr>
          <w:rFonts w:ascii="Times New Roman" w:cs="Times New Roman" w:eastAsia="Times New Roman" w:hAnsi="Times New Roman"/>
          <w:sz w:val="22"/>
          <w:szCs w:val="22"/>
          <w:color w:val="auto"/>
        </w:rPr>
        <w:t>. Notwithstanding any other provision of this Agreement, if any payment or benefit provided to the Executive in connection with the Executive’s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“Specified Employee Payment Date”). The aggregate of any payments that would otherwise have been paid before the Specified Employee Payment Date shall be paid to the Executive in a lump sum on the Specified Employee Payment Date and thereafter, any remaining payments shall be paid without delay in accordance with their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645795</wp:posOffset>
            </wp:positionV>
            <wp:extent cx="629221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28" w:name="page229"/>
    <w:bookmarkEnd w:id="228"/>
    <w:p>
      <w:pPr>
        <w:ind w:left="120" w:right="420" w:firstLine="518"/>
        <w:spacing w:after="0" w:line="258"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Reimbursements</w:t>
      </w:r>
      <w:r>
        <w:rPr>
          <w:rFonts w:ascii="Times New Roman" w:cs="Times New Roman" w:eastAsia="Times New Roman" w:hAnsi="Times New Roman"/>
          <w:sz w:val="22"/>
          <w:szCs w:val="22"/>
          <w:color w:val="auto"/>
        </w:rPr>
        <w:t>. To the extent required by Section 409A, each reimbursement or in-kind benefit provided under this Agreement shall be provided in accordance with the following:</w:t>
      </w:r>
    </w:p>
    <w:p>
      <w:pPr>
        <w:spacing w:after="0" w:line="266" w:lineRule="exact"/>
        <w:rPr>
          <w:sz w:val="20"/>
          <w:szCs w:val="20"/>
          <w:color w:val="auto"/>
        </w:rPr>
      </w:pPr>
    </w:p>
    <w:p>
      <w:pPr>
        <w:ind w:left="640" w:right="200" w:firstLine="643"/>
        <w:spacing w:after="0" w:line="244" w:lineRule="auto"/>
        <w:tabs>
          <w:tab w:leader="none" w:pos="193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213" w:lineRule="exact"/>
        <w:rPr>
          <w:rFonts w:ascii="Times New Roman" w:cs="Times New Roman" w:eastAsia="Times New Roman" w:hAnsi="Times New Roman"/>
          <w:sz w:val="22"/>
          <w:szCs w:val="22"/>
          <w:color w:val="auto"/>
        </w:rPr>
      </w:pPr>
    </w:p>
    <w:p>
      <w:pPr>
        <w:jc w:val="both"/>
        <w:ind w:left="640" w:right="180" w:firstLine="643"/>
        <w:spacing w:after="0" w:line="282" w:lineRule="auto"/>
        <w:tabs>
          <w:tab w:leader="none" w:pos="193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reimbursement of an eligible expense shall be paid to the Executive on or before the last day of the calendar year following the calendar year in which the expense was incurred; and</w:t>
      </w:r>
    </w:p>
    <w:p>
      <w:pPr>
        <w:spacing w:after="0" w:line="161" w:lineRule="exact"/>
        <w:rPr>
          <w:rFonts w:ascii="Times New Roman" w:cs="Times New Roman" w:eastAsia="Times New Roman" w:hAnsi="Times New Roman"/>
          <w:sz w:val="21"/>
          <w:szCs w:val="21"/>
          <w:color w:val="auto"/>
        </w:rPr>
      </w:pPr>
    </w:p>
    <w:p>
      <w:pPr>
        <w:ind w:left="640" w:right="460" w:firstLine="643"/>
        <w:spacing w:after="0" w:line="258" w:lineRule="auto"/>
        <w:tabs>
          <w:tab w:leader="none" w:pos="193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reimbursements or in-kind benefits under this Agreement shall not be subject to liquidation or exchange for another benefit.</w:t>
      </w:r>
    </w:p>
    <w:p>
      <w:pPr>
        <w:spacing w:after="0" w:line="199"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u w:val="single" w:color="auto"/>
          <w:color w:val="auto"/>
        </w:rPr>
        <w:t>Section 280G</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40" w:right="140" w:firstLine="642"/>
        <w:spacing w:after="0" w:line="245" w:lineRule="auto"/>
        <w:tabs>
          <w:tab w:leader="none" w:pos="1936"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of the payments or benefits received or to be received by the Executive (including, without limitation, any payments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214" w:lineRule="exact"/>
        <w:rPr>
          <w:rFonts w:ascii="Times New Roman" w:cs="Times New Roman" w:eastAsia="Times New Roman" w:hAnsi="Times New Roman"/>
          <w:sz w:val="21"/>
          <w:szCs w:val="21"/>
          <w:color w:val="auto"/>
        </w:rPr>
      </w:pPr>
    </w:p>
    <w:p>
      <w:pPr>
        <w:ind w:left="640" w:right="40" w:firstLine="642"/>
        <w:spacing w:after="0" w:line="246" w:lineRule="auto"/>
        <w:tabs>
          <w:tab w:leader="none" w:pos="1936"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calculations and determinations under this Section 5.9 shall be made by an independent accounting firm or independent tax counsel appointed by the Company (the “Tax Counsel”) whose determinations shall be conclusive and binding on the Company and the Executive for all purposes. For purposes of making the calculations and determinations required by this Section 5.9, the Tax Counsel may rely on reasonable, good faith assumptions and approximations concerning the application of Section 280G and Section 4999 of the Code. The Company and the Executive shall furnish the Tax Counsel with such information and documents as the Tax Counsel may reasonably request in order to make its determinations under this Section 5.9. The Company shall bear all costs the Tax Counsel may reasonably incur in connection with its services.</w:t>
      </w:r>
    </w:p>
    <w:p>
      <w:pPr>
        <w:spacing w:after="0" w:line="202" w:lineRule="exact"/>
        <w:rPr>
          <w:rFonts w:ascii="Times New Roman" w:cs="Times New Roman" w:eastAsia="Times New Roman" w:hAnsi="Times New Roman"/>
          <w:sz w:val="21"/>
          <w:szCs w:val="21"/>
          <w:color w:val="auto"/>
        </w:rPr>
      </w:pPr>
    </w:p>
    <w:p>
      <w:pPr>
        <w:ind w:left="-280" w:firstLine="397"/>
        <w:spacing w:after="0" w:line="258" w:lineRule="auto"/>
        <w:tabs>
          <w:tab w:leader="none" w:pos="62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is personal to the Executive and shall not be assigned by the Executive. Any purported assignment by the Executive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632460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29" w:name="page230"/>
    <w:bookmarkEnd w:id="229"/>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221" w:lineRule="exact"/>
        <w:rPr>
          <w:sz w:val="20"/>
          <w:szCs w:val="20"/>
          <w:color w:val="auto"/>
        </w:rPr>
      </w:pPr>
    </w:p>
    <w:p>
      <w:pPr>
        <w:ind w:right="340" w:firstLine="397"/>
        <w:spacing w:after="0" w:line="244" w:lineRule="auto"/>
        <w:tabs>
          <w:tab w:leader="none" w:pos="90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1190 Trademark Drive #108</w:t>
      </w:r>
    </w:p>
    <w:p>
      <w:pPr>
        <w:ind w:left="920"/>
        <w:spacing w:after="0" w:line="230" w:lineRule="auto"/>
        <w:rPr>
          <w:sz w:val="20"/>
          <w:szCs w:val="20"/>
          <w:color w:val="auto"/>
        </w:rPr>
      </w:pPr>
      <w:r>
        <w:rPr>
          <w:rFonts w:ascii="Times New Roman" w:cs="Times New Roman" w:eastAsia="Times New Roman" w:hAnsi="Times New Roman"/>
          <w:sz w:val="22"/>
          <w:szCs w:val="22"/>
          <w:color w:val="auto"/>
        </w:rPr>
        <w:t>Reno, NV 89521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Attn: Chief Legal Officer</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1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Denis Phares</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t>
      </w:r>
    </w:p>
    <w:p>
      <w:pPr>
        <w:ind w:left="920"/>
        <w:spacing w:after="0"/>
        <w:rPr>
          <w:sz w:val="20"/>
          <w:szCs w:val="20"/>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920" w:hanging="523"/>
        <w:spacing w:after="0"/>
        <w:tabs>
          <w:tab w:leader="none" w:pos="9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the Executive</w:t>
      </w:r>
      <w:r>
        <w:rPr>
          <w:rFonts w:ascii="Times New Roman" w:cs="Times New Roman" w:eastAsia="Times New Roman" w:hAnsi="Times New Roman"/>
          <w:sz w:val="22"/>
          <w:szCs w:val="22"/>
          <w:color w:val="auto"/>
        </w:rPr>
        <w:t>. The Executive represents and warrants to the Company that:</w:t>
      </w:r>
    </w:p>
    <w:p>
      <w:pPr>
        <w:spacing w:after="0" w:line="233"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The Executive’s acceptance of employment with the Company and the performance of the Executive’s duties hereunder will not conflict with or result in a violation of, a breach of, or a default under any contract, agreement, or understanding to which the Executive is a party or is otherwise bound.</w:t>
      </w:r>
    </w:p>
    <w:p>
      <w:pPr>
        <w:spacing w:after="0" w:line="200"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22"/>
          <w:szCs w:val="22"/>
          <w:color w:val="auto"/>
        </w:rPr>
        <w:t>The Executive’s acceptance of employment with the Company and the performance of the Executive’s duties hereunder will not violate any non-solicitation, non-competition, or other similar covenant or agreement of a prior employer or third-party.</w:t>
      </w:r>
    </w:p>
    <w:p>
      <w:pPr>
        <w:spacing w:after="0" w:line="214" w:lineRule="exact"/>
        <w:rPr>
          <w:sz w:val="20"/>
          <w:szCs w:val="20"/>
          <w:color w:val="auto"/>
        </w:rPr>
      </w:pPr>
    </w:p>
    <w:p>
      <w:pPr>
        <w:jc w:val="both"/>
        <w:ind w:firstLine="397"/>
        <w:spacing w:after="0" w:line="244" w:lineRule="auto"/>
        <w:tabs>
          <w:tab w:leader="none" w:pos="90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213" w:lineRule="exact"/>
        <w:rPr>
          <w:rFonts w:ascii="Times New Roman" w:cs="Times New Roman" w:eastAsia="Times New Roman" w:hAnsi="Times New Roman"/>
          <w:sz w:val="22"/>
          <w:szCs w:val="22"/>
          <w:color w:val="auto"/>
        </w:rPr>
      </w:pPr>
    </w:p>
    <w:p>
      <w:pPr>
        <w:jc w:val="both"/>
        <w:ind w:firstLine="397"/>
        <w:spacing w:after="0" w:line="244" w:lineRule="auto"/>
        <w:tabs>
          <w:tab w:leader="none" w:pos="90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200" w:lineRule="exact"/>
        <w:rPr>
          <w:rFonts w:ascii="Times New Roman" w:cs="Times New Roman" w:eastAsia="Times New Roman" w:hAnsi="Times New Roman"/>
          <w:sz w:val="22"/>
          <w:szCs w:val="22"/>
          <w:color w:val="auto"/>
        </w:rPr>
      </w:pPr>
    </w:p>
    <w:p>
      <w:pPr>
        <w:ind w:right="160" w:firstLine="397"/>
        <w:spacing w:after="0" w:line="238" w:lineRule="auto"/>
        <w:tabs>
          <w:tab w:leader="none" w:pos="90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of Full Understanding</w:t>
      </w:r>
      <w:r>
        <w:rPr>
          <w:rFonts w:ascii="Times New Roman" w:cs="Times New Roman" w:eastAsia="Times New Roman" w:hAnsi="Times New Roman"/>
          <w:sz w:val="22"/>
          <w:szCs w:val="22"/>
          <w:color w:val="auto"/>
        </w:rPr>
        <w:t>. THE EXECUTIVE ACKNOWLEDGES AND AGREES THAT THE EXECUTIVE HAS FULLY READ, UNDERSTANDS AND VOLUNTARILY ENTERS INTO THIS AGREEMENT. THE EXECUTIVE ACKNOWLEDGES AND AGREES THAT THE EXECUTIVE HAS HAD AN OPPORTUNITY TO ASK QUESTIONS AND CONSULT WITH AN ATTORNEY OF THE EXECUTIVE’S CHOICE BEFORE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643890</wp:posOffset>
            </wp:positionV>
            <wp:extent cx="629221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160" w:top="409"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above written.</w:t>
      </w:r>
    </w:p>
    <w:p>
      <w:pPr>
        <w:spacing w:after="0" w:line="200" w:lineRule="exact"/>
        <w:rPr>
          <w:sz w:val="20"/>
          <w:szCs w:val="20"/>
          <w:color w:val="auto"/>
        </w:rPr>
      </w:pPr>
    </w:p>
    <w:p>
      <w:pPr>
        <w:spacing w:after="0" w:line="29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200" w:lineRule="exact"/>
        <w:rPr>
          <w:sz w:val="20"/>
          <w:szCs w:val="20"/>
          <w:color w:val="auto"/>
        </w:rPr>
      </w:pPr>
    </w:p>
    <w:p>
      <w:pPr>
        <w:spacing w:after="0" w:line="239" w:lineRule="exact"/>
        <w:rPr>
          <w:sz w:val="20"/>
          <w:szCs w:val="20"/>
          <w:color w:val="auto"/>
        </w:rPr>
      </w:pPr>
    </w:p>
    <w:tbl>
      <w:tblPr>
        <w:tblLayout w:type="fixed"/>
        <w:tblInd w:w="512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 Luisa Ingargiola</w:t>
            </w:r>
          </w:p>
        </w:tc>
        <w:tc>
          <w:tcPr>
            <w:tcW w:w="0" w:type="dxa"/>
            <w:vAlign w:val="bottom"/>
          </w:tcPr>
          <w:p>
            <w:pPr>
              <w:spacing w:after="0"/>
              <w:rPr>
                <w:sz w:val="1"/>
                <w:szCs w:val="1"/>
                <w:color w:val="auto"/>
              </w:rPr>
            </w:pPr>
          </w:p>
        </w:tc>
      </w:tr>
      <w:tr>
        <w:trPr>
          <w:trHeight w:val="27"/>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gridSpan w:val="2"/>
            <w:vMerge w:val="continue"/>
          </w:tcPr>
          <w:p>
            <w:pPr>
              <w:spacing w:after="0"/>
              <w:rPr>
                <w:sz w:val="18"/>
                <w:szCs w:val="18"/>
                <w:color w:val="auto"/>
              </w:rPr>
            </w:pPr>
          </w:p>
        </w:tc>
        <w:tc>
          <w:tcPr>
            <w:tcW w:w="422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rPr>
              <w:t>Luisa Ingargiola</w:t>
            </w:r>
          </w:p>
        </w:tc>
        <w:tc>
          <w:tcPr>
            <w:tcW w:w="0" w:type="dxa"/>
            <w:vAlign w:val="bottom"/>
          </w:tcPr>
          <w:p>
            <w:pPr>
              <w:spacing w:after="0"/>
              <w:rPr>
                <w:sz w:val="1"/>
                <w:szCs w:val="1"/>
                <w:color w:val="auto"/>
              </w:rPr>
            </w:pPr>
          </w:p>
        </w:tc>
      </w:tr>
      <w:tr>
        <w:trPr>
          <w:trHeight w:val="27"/>
        </w:trPr>
        <w:tc>
          <w:tcPr>
            <w:tcW w:w="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220" w:type="dxa"/>
            <w:vAlign w:val="bottom"/>
            <w:tcBorders>
              <w:bottom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Lead Independent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Denis Phares</w:t>
      </w:r>
    </w:p>
    <w:p>
      <w:pPr>
        <w:spacing w:after="0"/>
        <w:rPr>
          <w:sz w:val="20"/>
          <w:szCs w:val="20"/>
          <w:color w:val="auto"/>
        </w:rPr>
      </w:pPr>
      <w:r>
        <w:rPr>
          <w:rFonts w:ascii="Times New Roman" w:cs="Times New Roman" w:eastAsia="Times New Roman" w:hAnsi="Times New Roman"/>
          <w:sz w:val="22"/>
          <w:szCs w:val="22"/>
          <w:color w:val="auto"/>
        </w:rPr>
        <w:t>Print Name: Denis Phares,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-158115</wp:posOffset>
            </wp:positionV>
            <wp:extent cx="26231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ectPr>
          <w:pgSz w:w="11900" w:h="16838" w:orient="portrait"/>
          <w:cols w:equalWidth="0" w:num="1">
            <w:col w:w="9920"/>
          </w:cols>
          <w:pgMar w:left="980" w:top="409" w:right="999" w:bottom="1440" w:gutter="0" w:footer="0" w:header="0"/>
        </w:sectPr>
      </w:pPr>
    </w:p>
    <w:bookmarkStart w:id="231" w:name="page232"/>
    <w:bookmarkEnd w:id="231"/>
    <w:p>
      <w:pPr>
        <w:jc w:val="center"/>
        <w:ind w:right="180"/>
        <w:spacing w:after="0"/>
        <w:rPr>
          <w:sz w:val="20"/>
          <w:szCs w:val="20"/>
          <w:color w:val="auto"/>
        </w:rPr>
      </w:pPr>
      <w:r>
        <w:rPr>
          <w:rFonts w:ascii="Times New Roman" w:cs="Times New Roman" w:eastAsia="Times New Roman" w:hAnsi="Times New Roman"/>
          <w:sz w:val="22"/>
          <w:szCs w:val="22"/>
          <w:color w:val="auto"/>
        </w:rPr>
        <w:t>RESTRICTIVE COVENANT AGREEMENT</w:t>
      </w:r>
    </w:p>
    <w:p>
      <w:pPr>
        <w:spacing w:after="0" w:line="206" w:lineRule="exact"/>
        <w:rPr>
          <w:sz w:val="20"/>
          <w:szCs w:val="20"/>
          <w:color w:val="auto"/>
        </w:rPr>
      </w:pPr>
    </w:p>
    <w:p>
      <w:pPr>
        <w:jc w:val="both"/>
        <w:ind w:firstLine="647"/>
        <w:spacing w:after="0" w:line="244" w:lineRule="auto"/>
        <w:rPr>
          <w:sz w:val="20"/>
          <w:szCs w:val="20"/>
          <w:color w:val="auto"/>
        </w:rPr>
      </w:pPr>
      <w:r>
        <w:rPr>
          <w:rFonts w:ascii="Times New Roman" w:cs="Times New Roman" w:eastAsia="Times New Roman" w:hAnsi="Times New Roman"/>
          <w:sz w:val="22"/>
          <w:szCs w:val="22"/>
          <w:color w:val="auto"/>
        </w:rPr>
        <w:t>As a condition of my being retained as an employee of Dragonfly Energy Holdings Corp., its subsidiaries, affiliates, successors or assigns (together, the “Company”), and in consideration of Five Thousand Dollars ($5,000) paid to me by Company, I agree to the following:</w:t>
      </w:r>
    </w:p>
    <w:p>
      <w:pPr>
        <w:spacing w:after="0" w:line="173" w:lineRule="exact"/>
        <w:rPr>
          <w:sz w:val="20"/>
          <w:szCs w:val="20"/>
          <w:color w:val="auto"/>
        </w:rPr>
      </w:pPr>
    </w:p>
    <w:p>
      <w:pPr>
        <w:ind w:right="100" w:firstLine="655"/>
        <w:spacing w:after="0" w:line="234" w:lineRule="auto"/>
        <w:tabs>
          <w:tab w:leader="none" w:pos="12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 xml:space="preserve"> I shall not, at any time during the period of my employment with the Company and for 1 year immediately following the termination of my employment with the Company (collectively, the “Non-compete Period”), and within a 100-mile radius of the corporate office location at the time of termination of employment. During the Non-compete Period, I will not directly or indirectly engage in, provide services to, have any equity interest in (except as a holder of less than 2% of the combined voting power of the outstanding stock of a publicly held company) or consulting relationship with, or manage or operate any person, firm, corporation, partnership or other business that competes with the business of the Company within the energy storage industry (whether as director, officer, employee, agent, representative, partner, security holder, consultant or otherwise).</w:t>
      </w:r>
    </w:p>
    <w:p>
      <w:pPr>
        <w:spacing w:after="0" w:line="183" w:lineRule="exact"/>
        <w:rPr>
          <w:rFonts w:ascii="Times New Roman" w:cs="Times New Roman" w:eastAsia="Times New Roman" w:hAnsi="Times New Roman"/>
          <w:sz w:val="22"/>
          <w:szCs w:val="22"/>
          <w:color w:val="auto"/>
        </w:rPr>
      </w:pPr>
    </w:p>
    <w:p>
      <w:pPr>
        <w:ind w:firstLine="658"/>
        <w:spacing w:after="0" w:line="243" w:lineRule="auto"/>
        <w:tabs>
          <w:tab w:leader="none" w:pos="1294"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 and Non-Use of Confidential Information</w:t>
      </w:r>
      <w:r>
        <w:rPr>
          <w:rFonts w:ascii="Times New Roman" w:cs="Times New Roman" w:eastAsia="Times New Roman" w:hAnsi="Times New Roman"/>
          <w:sz w:val="21"/>
          <w:szCs w:val="21"/>
          <w:color w:val="auto"/>
        </w:rPr>
        <w:t>. I will at all times during the term of my employment and at all times thereafter, maintain the confidentiality of the Confidential Information (as defined below), and will not, directly or indirectly, disclose any of the Confidential Information to any person or entity, except as is strictly necessary in the performance of my assigned duties as an employee of the Company or as required by law or legal process. In addition, I will not at any time during the term of my employment or at any time thereafter use any of the Confidential Information for my direct or indirect benefit, or the direct or indirect benefit of any person or entity other than the Company. The fact that any information or data is not marked as confidential or proprietary shall not adversely affect its status as Confidential Information. I understand that the term “Confidential Information” shall mean all technical, financial, commercial and other information and data, without regard to form or medium, relating to the Company or any of its actual or prospective customers that is not generally known to the public. However, any information and data which becomes generally known to the public because of my failure to abide by this Agreement or another’s breach of confidentiality obligations with respect to such information will be considered Confidential Information. By way of illustration, I understand that Confidential Information includes, but is not limited to, the following kinds of information and data: customer and prospect lists; pricing information; information relating to actual or prospective transactions with customers; technology; inventions; know-how; computer codes and instructions; business or market studies; business and product development plans and efforts; personnel data; and information, financial or otherwise, relating to the Company’s actual and prospective customers, consultants, contractors and vendors and the nature and terms of the Company’s relationship with any of them.</w:t>
      </w:r>
    </w:p>
    <w:p>
      <w:pPr>
        <w:spacing w:after="0" w:line="187" w:lineRule="exact"/>
        <w:rPr>
          <w:rFonts w:ascii="Times New Roman" w:cs="Times New Roman" w:eastAsia="Times New Roman" w:hAnsi="Times New Roman"/>
          <w:sz w:val="21"/>
          <w:szCs w:val="21"/>
          <w:color w:val="auto"/>
        </w:rPr>
      </w:pPr>
    </w:p>
    <w:p>
      <w:pPr>
        <w:jc w:val="both"/>
        <w:ind w:right="160" w:firstLine="658"/>
        <w:spacing w:after="0" w:line="238" w:lineRule="auto"/>
        <w:tabs>
          <w:tab w:leader="none" w:pos="129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Former Employee Information</w:t>
      </w:r>
      <w:r>
        <w:rPr>
          <w:rFonts w:ascii="Times New Roman" w:cs="Times New Roman" w:eastAsia="Times New Roman" w:hAnsi="Times New Roman"/>
          <w:sz w:val="22"/>
          <w:szCs w:val="22"/>
          <w:color w:val="auto"/>
        </w:rPr>
        <w:t>. I represent that I have abided by any and all policies, directives, requirements and restrictions on the part of my current and previous employers concerning possession and use of proprietary information or property and that I will not disclose to the Company or use any such information or property in connection with my employment with the Company in violation of any such policies, directives, requirements or restrictions.</w:t>
      </w:r>
    </w:p>
    <w:p>
      <w:pPr>
        <w:spacing w:after="0" w:line="176" w:lineRule="exact"/>
        <w:rPr>
          <w:rFonts w:ascii="Times New Roman" w:cs="Times New Roman" w:eastAsia="Times New Roman" w:hAnsi="Times New Roman"/>
          <w:sz w:val="22"/>
          <w:szCs w:val="22"/>
          <w:color w:val="auto"/>
        </w:rPr>
      </w:pPr>
    </w:p>
    <w:p>
      <w:pPr>
        <w:ind w:right="20" w:firstLine="655"/>
        <w:spacing w:after="0" w:line="238" w:lineRule="auto"/>
        <w:tabs>
          <w:tab w:leader="none" w:pos="129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I recognize that the Company has received and in the future will receive confidential or proprietary information from third parties subject to a duty on the Company’s part to maintain the confidentiality of such information and to use it only for certain limited purposes. I agree to hold any such confidential or proprietary information that I have access to in the strictest confidence and not to disclose it to any person, firm or corporation or to use it except as necessary in carrying out 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626745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160" w:top="409" w:right="999" w:bottom="1440" w:gutter="0" w:footer="0" w:header="0"/>
        </w:sectPr>
      </w:pPr>
    </w:p>
    <w:bookmarkStart w:id="232" w:name="page233"/>
    <w:bookmarkEnd w:id="232"/>
    <w:p>
      <w:pPr>
        <w:ind w:right="120"/>
        <w:spacing w:after="0" w:line="258" w:lineRule="auto"/>
        <w:rPr>
          <w:sz w:val="20"/>
          <w:szCs w:val="20"/>
          <w:color w:val="auto"/>
        </w:rPr>
      </w:pPr>
      <w:r>
        <w:rPr>
          <w:rFonts w:ascii="Times New Roman" w:cs="Times New Roman" w:eastAsia="Times New Roman" w:hAnsi="Times New Roman"/>
          <w:sz w:val="22"/>
          <w:szCs w:val="22"/>
          <w:color w:val="auto"/>
        </w:rPr>
        <w:t>work for the Company consistent with the Company’s policies and agreements with any such third party and in compliance with all securities and other laws and regulations.</w:t>
      </w:r>
    </w:p>
    <w:p>
      <w:pPr>
        <w:spacing w:after="0" w:line="158" w:lineRule="exact"/>
        <w:rPr>
          <w:sz w:val="20"/>
          <w:szCs w:val="20"/>
          <w:color w:val="auto"/>
        </w:rPr>
      </w:pPr>
    </w:p>
    <w:p>
      <w:pPr>
        <w:ind w:right="140" w:firstLine="656"/>
        <w:spacing w:after="0" w:line="236" w:lineRule="auto"/>
        <w:tabs>
          <w:tab w:leader="none" w:pos="129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I will not remove or transfer from any of the Company’s offices or premises any materials or property of the Company (including, without limitation, materials and property containing Confidential Information), except as is strictly necessary in the performance of my assigned duties as an employee. Promptly upon the Company’s request, and in any event promptly upon the termination of my employment, I will return to the Company all materials and property that I removed and I will not retain copies of any of such materials and property.</w:t>
      </w:r>
    </w:p>
    <w:p>
      <w:pPr>
        <w:spacing w:after="0" w:line="181" w:lineRule="exact"/>
        <w:rPr>
          <w:rFonts w:ascii="Times New Roman" w:cs="Times New Roman" w:eastAsia="Times New Roman" w:hAnsi="Times New Roman"/>
          <w:sz w:val="22"/>
          <w:szCs w:val="22"/>
          <w:color w:val="auto"/>
        </w:rPr>
      </w:pPr>
    </w:p>
    <w:p>
      <w:pPr>
        <w:ind w:right="20" w:firstLine="655"/>
        <w:spacing w:after="0" w:line="232" w:lineRule="auto"/>
        <w:tabs>
          <w:tab w:leader="none" w:pos="129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Inventions</w:t>
      </w:r>
      <w:r>
        <w:rPr>
          <w:rFonts w:ascii="Times New Roman" w:cs="Times New Roman" w:eastAsia="Times New Roman" w:hAnsi="Times New Roman"/>
          <w:sz w:val="22"/>
          <w:szCs w:val="22"/>
          <w:color w:val="auto"/>
        </w:rPr>
        <w:t>. I agree that I will promptly make full written disclosure to the Company, will hold in trust for the sole right and benefit of the Company, and hereby assign to the Company, or its designee, all my right, title and interest throughout the world in and to any and all inventions, discoveries, original works of authorship and derivative works thereof, developments, concepts, know-how, improvements, trademarks or trade secrets, whether or not patentable or registrable under copyright, trademark or similar laws, which I may solely or jointly conceive or develop or reduce to practice, or cause to be conceived or developed or reduced to practice, during the term of my employment, whether during working hours or otherwise, in each case in any manner related to the Company’s actual or anticipated business (collectively referred to as “Inventions”). I further acknowledge that all Inventions which are original works of authorship or otherwise constitute copyrightable subject matter are “works made for hire” within the meaning of the United States Copyright Act and any similar laws of other jurisdictions (to the greatest extent permitted by applicable law) and are compensated by my salary, and to the extent any such work is determined not to be a “work for hire”, that I will assign to the Company any such original work of authorship as its exclusive property. I agree to keep and maintain adequate and current written records of all Inventions made by me (solely or jointly with others) during the term of my employment with the Company, which notes shall be and remain property of the Company. I hereby waive and irrevocably quitclaim to the Company any and all claims, of any nature whatsoever, which I may now or hereafter have for infringement of any and all proprietary rights assigned to the Company. I agree, whether before or after termination of my employment with the Company, to assist the Company (at its expense), or in every reasonable way to secure the Company’s rights in the Inventions and any copyrights, patents, trademarks, mask work rights, moral rights, or other intellectual property rights relating thereto in any and all countries.</w:t>
      </w:r>
    </w:p>
    <w:p>
      <w:pPr>
        <w:spacing w:after="0" w:line="184" w:lineRule="exact"/>
        <w:rPr>
          <w:sz w:val="20"/>
          <w:szCs w:val="20"/>
          <w:color w:val="auto"/>
        </w:rPr>
      </w:pPr>
    </w:p>
    <w:p>
      <w:pPr>
        <w:ind w:firstLine="656"/>
        <w:spacing w:after="0" w:line="233" w:lineRule="auto"/>
        <w:tabs>
          <w:tab w:leader="none" w:pos="129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During my employment with the Company and for a period of 1 year after the termination of my employment with the Company, whether such termination is with or without cause, and whether such termination is effected by either the Company or me, I will not, directly or indirectly, for myself or any third party other than the Company (i) recruit or solicit or request the employment or services of any person who is an employee of the Company, or entice any employee of the Company to leave the employ of the Company, or to violate any agreement with the Company; or (ii) solicit sales from any of the Company’s customers for any product or service which competes with any product or service sold or provided by the Company prior to my termination of my employment with the Company or which, at the time of the termination of my employment with the Company is intended to be sold or provided by the Company to any customer or potential customer (including in connection with any pending or proposed transactions), and about which I had access to Confidential Information or on which I worked in any capacity at any time during my employment with the Company. I acknowledge that the limitations of time and scope of activity agreed to above are reasonable because, among other things, the Company is engaged in a highly competitive industry and these limitations are necessary to protect the trade secrets, Confidential Information, and goodwill of the Company. I further acknowledge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781050</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423" w:right="999" w:bottom="1440" w:gutter="0" w:footer="0" w:header="0"/>
        </w:sectPr>
      </w:pPr>
    </w:p>
    <w:bookmarkStart w:id="233" w:name="page234"/>
    <w:bookmarkEnd w:id="233"/>
    <w:p>
      <w:pPr>
        <w:ind w:right="460"/>
        <w:spacing w:after="0" w:line="258" w:lineRule="auto"/>
        <w:rPr>
          <w:sz w:val="20"/>
          <w:szCs w:val="20"/>
          <w:color w:val="auto"/>
        </w:rPr>
      </w:pPr>
      <w:r>
        <w:rPr>
          <w:rFonts w:ascii="Times New Roman" w:cs="Times New Roman" w:eastAsia="Times New Roman" w:hAnsi="Times New Roman"/>
          <w:sz w:val="22"/>
          <w:szCs w:val="22"/>
          <w:color w:val="auto"/>
        </w:rPr>
        <w:t>that I will be able to obtain suitable employment in my chosen profession without violating this Agreement should my employment with the Company end.</w:t>
      </w:r>
    </w:p>
    <w:p>
      <w:pPr>
        <w:spacing w:after="0" w:line="158" w:lineRule="exact"/>
        <w:rPr>
          <w:sz w:val="20"/>
          <w:szCs w:val="20"/>
          <w:color w:val="auto"/>
        </w:rPr>
      </w:pPr>
    </w:p>
    <w:p>
      <w:pPr>
        <w:ind w:right="120" w:firstLine="658"/>
        <w:spacing w:after="0" w:line="233" w:lineRule="auto"/>
        <w:tabs>
          <w:tab w:leader="none" w:pos="129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Returning Company Documents</w:t>
      </w:r>
      <w:r>
        <w:rPr>
          <w:rFonts w:ascii="Times New Roman" w:cs="Times New Roman" w:eastAsia="Times New Roman" w:hAnsi="Times New Roman"/>
          <w:sz w:val="22"/>
          <w:szCs w:val="22"/>
          <w:color w:val="auto"/>
        </w:rPr>
        <w:t>. I agree that, at the time of termination of my employment with the Company, I will deliver to the Company (and will not keep in my possession, recreate or deliver to anyone else) any and all devices, records, customer or prospect lists, data, notes, reports, proposals, lists, correspondence, specifications, drawings, blueprints, sketches, laboratory notebooks, materials, flow charts, equipment, other documents or property, or reproductions of any aforementioned items developed by me pursuant to my employment or otherwise belonging to the Company, its or any of its successors or assigns. I further agree that any property situated on the Company’s premises and owned by the Company including, computers, software, printers, voicemail, email, telephones, facsimile, disks and other storage media, filing cabinets or other work areas, is subject to inspection by Company personnel at any time with or without notice. In the event of the termination of my employment, I agree to sign a certification reaffirming my obligations under this Agreement.</w:t>
      </w:r>
    </w:p>
    <w:p>
      <w:pPr>
        <w:spacing w:after="0" w:line="187" w:lineRule="exact"/>
        <w:rPr>
          <w:rFonts w:ascii="Times New Roman" w:cs="Times New Roman" w:eastAsia="Times New Roman" w:hAnsi="Times New Roman"/>
          <w:sz w:val="22"/>
          <w:szCs w:val="22"/>
          <w:color w:val="auto"/>
        </w:rPr>
      </w:pPr>
    </w:p>
    <w:p>
      <w:pPr>
        <w:ind w:right="100" w:firstLine="658"/>
        <w:spacing w:after="0" w:line="239" w:lineRule="auto"/>
        <w:tabs>
          <w:tab w:leader="none" w:pos="129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to Other Parties</w:t>
      </w:r>
      <w:r>
        <w:rPr>
          <w:rFonts w:ascii="Times New Roman" w:cs="Times New Roman" w:eastAsia="Times New Roman" w:hAnsi="Times New Roman"/>
          <w:sz w:val="22"/>
          <w:szCs w:val="22"/>
          <w:color w:val="auto"/>
        </w:rPr>
        <w:t>. I hereby grant consent to notification by the Company to any other parties besides the Company with whom I maintain, or may hereafter maintain, an employment or consulting relationship, including parties with whom such relationship commences after the effective date of this Agreement, of my rights and obligations under this Agreement.</w:t>
      </w:r>
    </w:p>
    <w:p>
      <w:pPr>
        <w:spacing w:after="0" w:line="180" w:lineRule="exact"/>
        <w:rPr>
          <w:rFonts w:ascii="Times New Roman" w:cs="Times New Roman" w:eastAsia="Times New Roman" w:hAnsi="Times New Roman"/>
          <w:sz w:val="22"/>
          <w:szCs w:val="22"/>
          <w:color w:val="auto"/>
        </w:rPr>
      </w:pPr>
    </w:p>
    <w:p>
      <w:pPr>
        <w:ind w:right="80" w:firstLine="658"/>
        <w:spacing w:after="0" w:line="249" w:lineRule="auto"/>
        <w:tabs>
          <w:tab w:leader="none" w:pos="1294"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Restrictions</w:t>
      </w:r>
      <w:r>
        <w:rPr>
          <w:rFonts w:ascii="Times New Roman" w:cs="Times New Roman" w:eastAsia="Times New Roman" w:hAnsi="Times New Roman"/>
          <w:sz w:val="21"/>
          <w:szCs w:val="21"/>
          <w:color w:val="auto"/>
        </w:rPr>
        <w:t>. I certify that I am not subject to any employment contract, non-compete agreement, non-solicitation agreement or other similar restrictions or agreements, except as disclosed in writing to the Company’s Compensation Committee and Chief Legal Officer. I further represent that I will not be breaching any such agreement or restriction by accepting employment with the Company and performing my duties in connection therewith. I represent and warrant that all information that I have furnished and that I will furnish to the Company in connection with my employment with the Company is or will be true and complete.</w:t>
      </w:r>
    </w:p>
    <w:p>
      <w:pPr>
        <w:spacing w:after="0" w:line="171" w:lineRule="exact"/>
        <w:rPr>
          <w:sz w:val="20"/>
          <w:szCs w:val="20"/>
          <w:color w:val="auto"/>
        </w:rPr>
      </w:pPr>
    </w:p>
    <w:p>
      <w:pPr>
        <w:ind w:right="40" w:firstLine="658"/>
        <w:spacing w:after="0" w:line="236" w:lineRule="auto"/>
        <w:tabs>
          <w:tab w:leader="none" w:pos="129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Provisions; Amendment; Assignment</w:t>
      </w:r>
      <w:r>
        <w:rPr>
          <w:rFonts w:ascii="Times New Roman" w:cs="Times New Roman" w:eastAsia="Times New Roman" w:hAnsi="Times New Roman"/>
          <w:sz w:val="22"/>
          <w:szCs w:val="22"/>
          <w:color w:val="auto"/>
        </w:rPr>
        <w:t>. My obligations as set forth in this Agreement will survive the termination of my employment with the Company. None of the provisions contained in this Agreement can be changed without a written agreement signed by each of me and the Company. I acknowledge that I have no right or power to assign this Agreement. I also acknowledge that the Company may freely assign this Agreement in connection with any merger, reorganization, sale of all or any material portion of its assets, or any similar transaction.</w:t>
      </w:r>
    </w:p>
    <w:p>
      <w:pPr>
        <w:spacing w:after="0" w:line="181" w:lineRule="exact"/>
        <w:rPr>
          <w:rFonts w:ascii="Times New Roman" w:cs="Times New Roman" w:eastAsia="Times New Roman" w:hAnsi="Times New Roman"/>
          <w:sz w:val="22"/>
          <w:szCs w:val="22"/>
          <w:color w:val="auto"/>
        </w:rPr>
      </w:pPr>
    </w:p>
    <w:p>
      <w:pPr>
        <w:jc w:val="both"/>
        <w:ind w:firstLine="658"/>
        <w:spacing w:after="0" w:line="239" w:lineRule="auto"/>
        <w:tabs>
          <w:tab w:leader="none" w:pos="129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Equitable Relief</w:t>
      </w:r>
      <w:r>
        <w:rPr>
          <w:rFonts w:ascii="Times New Roman" w:cs="Times New Roman" w:eastAsia="Times New Roman" w:hAnsi="Times New Roman"/>
          <w:sz w:val="22"/>
          <w:szCs w:val="22"/>
          <w:color w:val="auto"/>
        </w:rPr>
        <w:t>. If I breach or threaten to breach any provision of this Agreement, the Company will be entitled, as a matter of right, to injunctive relief, including specific performance, with respect to any such breach or threatened breach. The Company’s rights and remedies under this Section 13 are in addition to and cumulative with any other rights and remedies to which the Company may be entitled.</w:t>
      </w:r>
    </w:p>
    <w:p>
      <w:pPr>
        <w:spacing w:after="0" w:line="180" w:lineRule="exact"/>
        <w:rPr>
          <w:rFonts w:ascii="Times New Roman" w:cs="Times New Roman" w:eastAsia="Times New Roman" w:hAnsi="Times New Roman"/>
          <w:sz w:val="22"/>
          <w:szCs w:val="22"/>
          <w:color w:val="auto"/>
        </w:rPr>
      </w:pPr>
    </w:p>
    <w:p>
      <w:pPr>
        <w:ind w:right="20" w:firstLine="658"/>
        <w:spacing w:after="0" w:line="235" w:lineRule="auto"/>
        <w:tabs>
          <w:tab w:leader="none" w:pos="129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 acknowledge that the obligations and restrictions contained in this Agreement are reasonable and necessary to protect the legitimate interests of the Company. Each provision in this Agreement is an independent provision and the enforceability of any one provision will not affect the enforceability of any other provision. However, if any particular provision of this Agreement is determined by a court to be excessively broad as to duration, geographic scope, activity or subject to be enforceable, then that provision will be deemed amended by limiting and reducing it so as to be valid and enforceable to the maximum extent compatible with the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785495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60" w:top="423" w:right="999" w:bottom="1440" w:gutter="0" w:footer="0" w:header="0"/>
        </w:sectPr>
      </w:pPr>
    </w:p>
    <w:bookmarkStart w:id="234" w:name="page235"/>
    <w:bookmarkEnd w:id="234"/>
    <w:p>
      <w:pPr>
        <w:ind w:left="180" w:right="80" w:firstLine="655"/>
        <w:spacing w:after="0" w:line="238" w:lineRule="auto"/>
        <w:tabs>
          <w:tab w:leader="none" w:pos="147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 of Rights; Binding Obligation</w:t>
      </w:r>
      <w:r>
        <w:rPr>
          <w:rFonts w:ascii="Times New Roman" w:cs="Times New Roman" w:eastAsia="Times New Roman" w:hAnsi="Times New Roman"/>
          <w:sz w:val="22"/>
          <w:szCs w:val="22"/>
          <w:color w:val="auto"/>
        </w:rPr>
        <w:t>. Any waiver by the Company of any power or right under this Agreement must be in writing and signed by the Company to be enforceable. Any waiver by the Company will not operate as a waiver of any other or future breach under this Agreement. This Agreement will be binding upon me and my heirs, executors and administrators and will inure to the benefit of the Company and its successors and assigns.</w:t>
      </w:r>
    </w:p>
    <w:p>
      <w:pPr>
        <w:spacing w:after="0" w:line="176" w:lineRule="exact"/>
        <w:rPr>
          <w:rFonts w:ascii="Times New Roman" w:cs="Times New Roman" w:eastAsia="Times New Roman" w:hAnsi="Times New Roman"/>
          <w:sz w:val="22"/>
          <w:szCs w:val="22"/>
          <w:color w:val="auto"/>
        </w:rPr>
      </w:pPr>
    </w:p>
    <w:p>
      <w:pPr>
        <w:ind w:left="180" w:firstLine="656"/>
        <w:spacing w:after="0" w:line="236" w:lineRule="auto"/>
        <w:tabs>
          <w:tab w:leader="none" w:pos="147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Choice of Forum and Venue</w:t>
      </w:r>
      <w:r>
        <w:rPr>
          <w:rFonts w:ascii="Times New Roman" w:cs="Times New Roman" w:eastAsia="Times New Roman" w:hAnsi="Times New Roman"/>
          <w:sz w:val="22"/>
          <w:szCs w:val="22"/>
          <w:color w:val="auto"/>
        </w:rPr>
        <w:t>. This Agreement will be governed and construed as to its validity, interpretation and effect by the laws of Nevada notwithstanding the choice of law rules of Nevada or any other jurisdiction that would dictate application of the laws of any other jurisdiction. I also hereby irrevocably and unconditionally consent to the exclusive jurisdiction and venue of the state and federal courts serving Washoe County, Nevada. These provisions remain in full force in effect, regardless of any change in situs of the company.</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IN WITNESS WHEREOF, I have signed this Agreement as of the date written below.</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4"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Signature:/s/ Denis Phares</w:t>
      </w:r>
      <w:r>
        <w:rPr>
          <w:sz w:val="20"/>
          <w:szCs w:val="20"/>
          <w:color w:val="auto"/>
        </w:rPr>
        <w:tab/>
      </w:r>
      <w:r>
        <w:rPr>
          <w:rFonts w:ascii="Times New Roman" w:cs="Times New Roman" w:eastAsia="Times New Roman" w:hAnsi="Times New Roman"/>
          <w:sz w:val="22"/>
          <w:szCs w:val="22"/>
          <w:color w:val="auto"/>
        </w:rPr>
        <w:t>Date: Oct 11, 2022</w:t>
      </w:r>
    </w:p>
    <w:p>
      <w:pPr>
        <w:spacing w:after="0"/>
        <w:rPr>
          <w:sz w:val="20"/>
          <w:szCs w:val="20"/>
          <w:color w:val="auto"/>
        </w:rPr>
      </w:pPr>
      <w:r>
        <w:rPr>
          <w:rFonts w:ascii="Times New Roman" w:cs="Times New Roman" w:eastAsia="Times New Roman" w:hAnsi="Times New Roman"/>
          <w:sz w:val="22"/>
          <w:szCs w:val="22"/>
          <w:color w:val="auto"/>
        </w:rPr>
        <w:t>Print Name: Denis Phares,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-158115</wp:posOffset>
            </wp:positionV>
            <wp:extent cx="25031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ectPr>
          <w:pgSz w:w="11900" w:h="16838" w:orient="portrait"/>
          <w:cols w:equalWidth="0" w:num="1">
            <w:col w:w="9900"/>
          </w:cols>
          <w:pgMar w:left="980" w:top="423" w:right="101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1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179"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(the “Agreement”) is made and entered into as of October 11, 2022, by and between John Marchetti (the “Executive”) and Dragonfly Energy Holdings Corp., a Delaware corporation (the “Company”).</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Company desires to employ the Executive on the terms and conditions set forth 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Executive desires to be employed by the Company on such terms and conditions.</w:t>
      </w:r>
    </w:p>
    <w:p>
      <w:pPr>
        <w:spacing w:after="0" w:line="179"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promises, and obligations set forth herein, the parties agree as follows:</w:t>
      </w:r>
    </w:p>
    <w:p>
      <w:pPr>
        <w:spacing w:after="0" w:line="118" w:lineRule="exact"/>
        <w:rPr>
          <w:sz w:val="20"/>
          <w:szCs w:val="20"/>
          <w:color w:val="auto"/>
        </w:rPr>
      </w:pPr>
    </w:p>
    <w:p>
      <w:pPr>
        <w:ind w:right="160" w:firstLine="397"/>
        <w:spacing w:after="0" w:line="235" w:lineRule="auto"/>
        <w:tabs>
          <w:tab w:leader="none" w:pos="90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Section 5 of this Agreement, the Executive’s initial term of employment hereunder shall be from the period beginning on October 11, 2022 (the “Effective Date”) for a period of three years. (the “Initial Term”). Thereafter, the Agreement shall be deemed to be automatically extended, upon the same terms and conditions, for successive periods of three years, unless either party provides written notice of its intention not to extend the term at least 90 days prior to the end of the Initial Term or extension thereof. The period during which the Executive is employed by the Company hereunder is hereinafter referred to as the “Employment Term.”</w:t>
      </w:r>
    </w:p>
    <w:p>
      <w:pPr>
        <w:spacing w:after="0" w:line="196" w:lineRule="exact"/>
        <w:rPr>
          <w:rFonts w:ascii="Times New Roman" w:cs="Times New Roman" w:eastAsia="Times New Roman" w:hAnsi="Times New Roman"/>
          <w:sz w:val="22"/>
          <w:szCs w:val="22"/>
          <w:color w:val="auto"/>
        </w:rPr>
      </w:pPr>
    </w:p>
    <w:p>
      <w:pPr>
        <w:ind w:left="900" w:hanging="505"/>
        <w:spacing w:after="0"/>
        <w:tabs>
          <w:tab w:leader="none" w:pos="9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00" w:right="40" w:firstLine="518"/>
        <w:spacing w:after="0" w:line="244"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During the Employment Term, the Executive shall serve as the Chief Financial Officer of the Company, reporting to the Chief Executive Officer. In such position, the Executive shall have such duties, authority, and responsibilities as are consistent with the Executive’s position.</w:t>
      </w:r>
    </w:p>
    <w:p>
      <w:pPr>
        <w:spacing w:after="0" w:line="173" w:lineRule="exact"/>
        <w:rPr>
          <w:sz w:val="20"/>
          <w:szCs w:val="20"/>
          <w:color w:val="auto"/>
        </w:rPr>
      </w:pPr>
    </w:p>
    <w:p>
      <w:pPr>
        <w:ind w:left="400" w:right="60" w:firstLine="518"/>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During the Employment Term, the Executive shall devote substantially all of the Executive’s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Board.</w:t>
      </w:r>
    </w:p>
    <w:p>
      <w:pPr>
        <w:spacing w:after="0" w:line="190" w:lineRule="exact"/>
        <w:rPr>
          <w:sz w:val="20"/>
          <w:szCs w:val="20"/>
          <w:color w:val="auto"/>
        </w:rPr>
      </w:pPr>
    </w:p>
    <w:p>
      <w:pPr>
        <w:ind w:right="160" w:firstLine="394"/>
        <w:spacing w:after="0" w:line="235" w:lineRule="auto"/>
        <w:tabs>
          <w:tab w:leader="none" w:pos="90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The principal place of Executive’s employment shall be the Company’s principal executive office currently located in Reno, Nevada; provided that, the Executive may be required to travel on Company business during the Employment Term. The Executive may work remotely from the Executive’s residence in Reno, Nevada so long as doing so does not interfere with the Executive’s responsibilities under this Agreement; provided, that, subject to any health or safety concerns related to the COVID-19 pandemic or other similar extraordinary circumstances, the Executive shall be required to spend on average 16 days per month in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648335</wp:posOffset>
            </wp:positionV>
            <wp:extent cx="629221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160" w:top="108" w:right="999" w:bottom="1440" w:gutter="0" w:footer="0" w:header="0"/>
        </w:sectPr>
      </w:pPr>
    </w:p>
    <w:bookmarkStart w:id="236" w:name="page237"/>
    <w:bookmarkEnd w:id="236"/>
    <w:p>
      <w:pPr>
        <w:ind w:left="620" w:hanging="505"/>
        <w:spacing w:after="0"/>
        <w:tabs>
          <w:tab w:leader="none" w:pos="6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20" w:firstLine="518"/>
        <w:spacing w:after="0" w:line="23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shall pay the Executive an annual rate of base salary of $370,000 in periodic installments in accordance with the Company’s customary payroll practices and applicable wage payment laws, but no less frequently than monthly. The Executive’s base salary shall be reviewed at least annually by the Board and the Board may increase but not decrease the Executive’s base salary during the Employment Term. The Executive’s annual base salary, as in effect from time to time, is hereinafter referred to as “Base Salary.”</w:t>
      </w:r>
    </w:p>
    <w:p>
      <w:pPr>
        <w:spacing w:after="0" w:line="195"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40" w:right="80" w:firstLine="643"/>
        <w:spacing w:after="0" w:line="238" w:lineRule="auto"/>
        <w:tabs>
          <w:tab w:leader="none" w:pos="193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fiscal year of the Employment Term, the Executive shall be eligible to receive an annual bonus (the “Annual Bonus”) of up to 63% of the Executive’s base annual salary. The decision to provide any Annual Bonus and the amount and terms of any Annual Bonus shall be in the sole and absolute discretion of the Compensation Committee of the Board (the “Compensation Committee”).</w:t>
      </w:r>
    </w:p>
    <w:p>
      <w:pPr>
        <w:spacing w:after="0" w:line="176" w:lineRule="exact"/>
        <w:rPr>
          <w:rFonts w:ascii="Times New Roman" w:cs="Times New Roman" w:eastAsia="Times New Roman" w:hAnsi="Times New Roman"/>
          <w:sz w:val="22"/>
          <w:szCs w:val="22"/>
          <w:color w:val="auto"/>
        </w:rPr>
      </w:pPr>
    </w:p>
    <w:p>
      <w:pPr>
        <w:ind w:left="640" w:right="180" w:firstLine="643"/>
        <w:spacing w:after="0" w:line="258" w:lineRule="auto"/>
        <w:tabs>
          <w:tab w:leader="none" w:pos="193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if any, will be paid within two and a half (2 1/2) months after the end of the applicable fiscal year.</w:t>
      </w:r>
    </w:p>
    <w:p>
      <w:pPr>
        <w:spacing w:after="0" w:line="171" w:lineRule="exact"/>
        <w:rPr>
          <w:rFonts w:ascii="Times New Roman" w:cs="Times New Roman" w:eastAsia="Times New Roman" w:hAnsi="Times New Roman"/>
          <w:sz w:val="22"/>
          <w:szCs w:val="22"/>
          <w:color w:val="auto"/>
        </w:rPr>
      </w:pPr>
    </w:p>
    <w:p>
      <w:pPr>
        <w:ind w:left="640" w:firstLine="643"/>
        <w:spacing w:after="0" w:line="282" w:lineRule="auto"/>
        <w:tabs>
          <w:tab w:leader="none" w:pos="193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5, in order to be eligible to receive an Annual Bonus, the Executive must be employed by the Company on the date that Annual Bonuses are paid.</w:t>
      </w:r>
    </w:p>
    <w:p>
      <w:pPr>
        <w:spacing w:after="0" w:line="148" w:lineRule="exact"/>
        <w:rPr>
          <w:sz w:val="20"/>
          <w:szCs w:val="20"/>
          <w:color w:val="auto"/>
        </w:rPr>
      </w:pPr>
    </w:p>
    <w:p>
      <w:pPr>
        <w:ind w:left="120" w:right="100" w:firstLine="518"/>
        <w:spacing w:after="0" w:line="23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With respect to each fiscal year of the Company ending during the Employment Term, the Executive shall be eligible to receive an annual long-term incentive award with a value of no less than $646,000 (based on the grant date value of any such award). All terms and conditions applicable to each such award shall be determined by the Compensation Committee.</w:t>
      </w:r>
    </w:p>
    <w:p>
      <w:pPr>
        <w:spacing w:after="0" w:line="180" w:lineRule="exact"/>
        <w:rPr>
          <w:sz w:val="20"/>
          <w:szCs w:val="20"/>
          <w:color w:val="auto"/>
        </w:rPr>
      </w:pPr>
    </w:p>
    <w:p>
      <w:pPr>
        <w:ind w:left="120" w:right="20" w:firstLine="518"/>
        <w:spacing w:after="0" w:line="24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Fringe Benefits and Perquisites</w:t>
      </w:r>
      <w:r>
        <w:rPr>
          <w:rFonts w:ascii="Times New Roman" w:cs="Times New Roman" w:eastAsia="Times New Roman" w:hAnsi="Times New Roman"/>
          <w:sz w:val="22"/>
          <w:szCs w:val="22"/>
          <w:color w:val="auto"/>
        </w:rPr>
        <w:t>. During the Employment Term, the Executive shall be entitled to fringe benefits and perquisites consistent with those provided to similarly situated executives of the Company.</w:t>
      </w:r>
    </w:p>
    <w:p>
      <w:pPr>
        <w:spacing w:after="0" w:line="187" w:lineRule="exact"/>
        <w:rPr>
          <w:sz w:val="20"/>
          <w:szCs w:val="20"/>
          <w:color w:val="auto"/>
        </w:rPr>
      </w:pPr>
    </w:p>
    <w:p>
      <w:pPr>
        <w:ind w:left="120" w:right="60" w:firstLine="518"/>
        <w:spacing w:after="0" w:line="235"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Employment Term, the Executive shall be entitled to participate in all employee benefit plans, practices, and programs maintained by the Company, as in effect from time to time (collectively, “Employee Benefit Plans”), on a basis which is no less favorable than is provided to other similarly situated executives of the Company,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197" w:lineRule="exact"/>
        <w:rPr>
          <w:sz w:val="20"/>
          <w:szCs w:val="20"/>
          <w:color w:val="auto"/>
        </w:rPr>
      </w:pPr>
    </w:p>
    <w:p>
      <w:pPr>
        <w:ind w:left="120" w:right="40" w:firstLine="518"/>
        <w:spacing w:after="0" w:line="239"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Vacation; Paid Time Off</w:t>
      </w:r>
      <w:r>
        <w:rPr>
          <w:rFonts w:ascii="Times New Roman" w:cs="Times New Roman" w:eastAsia="Times New Roman" w:hAnsi="Times New Roman"/>
          <w:sz w:val="22"/>
          <w:szCs w:val="22"/>
          <w:color w:val="auto"/>
        </w:rPr>
        <w:t>. During the Employment Term, the Executive shall be entitled to twenty (20) paid vacation days per calendar year (prorated for partial years) in accordance with the Company’s vacation policies, as in effect from time to time. The Executive shall receive other paid time off in accordance with the Company’s policies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646430</wp:posOffset>
            </wp:positionV>
            <wp:extent cx="629221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37" w:name="page238"/>
    <w:bookmarkEnd w:id="237"/>
    <w:p>
      <w:pPr>
        <w:ind w:left="120"/>
        <w:spacing w:after="0"/>
        <w:rPr>
          <w:sz w:val="20"/>
          <w:szCs w:val="20"/>
          <w:color w:val="auto"/>
        </w:rPr>
      </w:pPr>
      <w:r>
        <w:rPr>
          <w:rFonts w:ascii="Times New Roman" w:cs="Times New Roman" w:eastAsia="Times New Roman" w:hAnsi="Times New Roman"/>
          <w:sz w:val="22"/>
          <w:szCs w:val="22"/>
          <w:color w:val="auto"/>
        </w:rPr>
        <w:t>executive officers as such policies may exist from time to time and as required by applicable law.</w:t>
      </w:r>
    </w:p>
    <w:p>
      <w:pPr>
        <w:spacing w:after="0" w:line="206" w:lineRule="exact"/>
        <w:rPr>
          <w:sz w:val="20"/>
          <w:szCs w:val="20"/>
          <w:color w:val="auto"/>
        </w:rPr>
      </w:pPr>
    </w:p>
    <w:p>
      <w:pPr>
        <w:ind w:left="120" w:right="260" w:firstLine="518"/>
        <w:spacing w:after="0" w:line="239"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94" w:lineRule="exact"/>
        <w:rPr>
          <w:sz w:val="20"/>
          <w:szCs w:val="20"/>
          <w:color w:val="auto"/>
        </w:rPr>
      </w:pPr>
    </w:p>
    <w:p>
      <w:pPr>
        <w:ind w:left="120" w:right="240" w:firstLine="518"/>
        <w:spacing w:after="0" w:line="244"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Company shall indemnify and hold the Executive harmless to the maximum extent permitted under applicable law and the Company’s bylaws for acts and omissions in the Executive’s capacity as an officer, director, or employee of the Company.</w:t>
      </w:r>
    </w:p>
    <w:p>
      <w:pPr>
        <w:spacing w:after="0" w:line="173" w:lineRule="exact"/>
        <w:rPr>
          <w:sz w:val="20"/>
          <w:szCs w:val="20"/>
          <w:color w:val="auto"/>
        </w:rPr>
      </w:pPr>
    </w:p>
    <w:p>
      <w:pPr>
        <w:ind w:left="120" w:right="20" w:firstLine="518"/>
        <w:spacing w:after="0" w:line="235"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Clawback Provisions</w:t>
      </w:r>
      <w:r>
        <w:rPr>
          <w:rFonts w:ascii="Times New Roman" w:cs="Times New Roman" w:eastAsia="Times New Roman" w:hAnsi="Times New Roman"/>
          <w:sz w:val="22"/>
          <w:szCs w:val="22"/>
          <w:color w:val="auto"/>
        </w:rPr>
        <w:t>. Notwithstanding any other provisions in this Agreement to the contrary, any incentive-based or other compensation paid to the Executive under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97" w:lineRule="exact"/>
        <w:rPr>
          <w:sz w:val="20"/>
          <w:szCs w:val="20"/>
          <w:color w:val="auto"/>
        </w:rPr>
      </w:pPr>
    </w:p>
    <w:p>
      <w:pPr>
        <w:ind w:left="-280" w:right="20" w:firstLine="397"/>
        <w:spacing w:after="0" w:line="235" w:lineRule="auto"/>
        <w:tabs>
          <w:tab w:leader="none" w:pos="62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30 days advance written notice of any termination of the Executive’s employment. Upon termination of the Executive’s employment during the Employment Term, the Executive shall be entitled to the compensation and benefits described in this Section 5 and shall have no further rights to any compensation or any other benefits from the Company or any of its affiliates.</w:t>
      </w:r>
    </w:p>
    <w:p>
      <w:pPr>
        <w:spacing w:after="0" w:line="197"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Expiration of the Term, For Cause, or Without Good Reason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40" w:right="40" w:firstLine="643"/>
        <w:spacing w:after="0" w:line="244" w:lineRule="auto"/>
        <w:tabs>
          <w:tab w:leader="none" w:pos="193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employment hereunder may be terminated upon either party’s failure to renew the Agreement in accordance with Section 1, by the Company for Cause or by the Executive without Good Reason and the Executive shall be entitled to receive:</w:t>
      </w:r>
    </w:p>
    <w:p>
      <w:pPr>
        <w:spacing w:after="0" w:line="173" w:lineRule="exact"/>
        <w:rPr>
          <w:rFonts w:ascii="Times New Roman" w:cs="Times New Roman" w:eastAsia="Times New Roman" w:hAnsi="Times New Roman"/>
          <w:sz w:val="22"/>
          <w:szCs w:val="22"/>
          <w:color w:val="auto"/>
        </w:rPr>
      </w:pPr>
    </w:p>
    <w:p>
      <w:pPr>
        <w:ind w:left="1280" w:right="540" w:firstLine="651"/>
        <w:spacing w:after="0" w:line="261" w:lineRule="auto"/>
        <w:tabs>
          <w:tab w:leader="none" w:pos="2575"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accrued but unpaid Base Salary and accrued but unused paid time off which shall be paid on the pay date immediately following the date of the Executive’s termination in accordance with the Company’s customary payroll procedures;</w:t>
      </w:r>
    </w:p>
    <w:p>
      <w:pPr>
        <w:spacing w:after="0" w:line="170" w:lineRule="exact"/>
        <w:rPr>
          <w:rFonts w:ascii="Times New Roman" w:cs="Times New Roman" w:eastAsia="Times New Roman" w:hAnsi="Times New Roman"/>
          <w:sz w:val="21"/>
          <w:szCs w:val="21"/>
          <w:color w:val="auto"/>
        </w:rPr>
      </w:pPr>
    </w:p>
    <w:p>
      <w:pPr>
        <w:jc w:val="both"/>
        <w:ind w:left="1280" w:firstLine="651"/>
        <w:spacing w:after="0" w:line="244" w:lineRule="auto"/>
        <w:tabs>
          <w:tab w:leader="none" w:pos="2576"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unreimbursed business expenses properly incurred by the Executive, which shall be subject to and paid in accordance with the Company’s expense reimbursement policy;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641985</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38" w:name="page239"/>
    <w:bookmarkEnd w:id="238"/>
    <w:p>
      <w:pPr>
        <w:ind w:left="1280" w:right="160" w:firstLine="651"/>
        <w:spacing w:after="0" w:line="238" w:lineRule="auto"/>
        <w:tabs>
          <w:tab w:leader="none" w:pos="257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19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Items 5.1(a)(i) through 5.1(a)(iii) are referred to herein collectively as the “Accrued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Amounts.”</w:t>
      </w:r>
    </w:p>
    <w:p>
      <w:pPr>
        <w:spacing w:after="0" w:line="182" w:lineRule="exact"/>
        <w:rPr>
          <w:sz w:val="20"/>
          <w:szCs w:val="20"/>
          <w:color w:val="auto"/>
        </w:rPr>
      </w:pPr>
    </w:p>
    <w:p>
      <w:pPr>
        <w:ind w:left="1920" w:hanging="644"/>
        <w:spacing w:after="0"/>
        <w:tabs>
          <w:tab w:leader="none" w:pos="19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“Cause” shall mean:</w:t>
      </w:r>
    </w:p>
    <w:p>
      <w:pPr>
        <w:spacing w:after="0" w:line="219" w:lineRule="exact"/>
        <w:rPr>
          <w:rFonts w:ascii="Times New Roman" w:cs="Times New Roman" w:eastAsia="Times New Roman" w:hAnsi="Times New Roman"/>
          <w:sz w:val="22"/>
          <w:szCs w:val="22"/>
          <w:color w:val="auto"/>
        </w:rPr>
      </w:pPr>
    </w:p>
    <w:p>
      <w:pPr>
        <w:ind w:left="1280" w:firstLine="650"/>
        <w:spacing w:after="0" w:line="258" w:lineRule="auto"/>
        <w:tabs>
          <w:tab w:leader="none" w:pos="2577"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failure to perform the Executive’s duties (other than any such failure resulting from incapacity due to physical or mental illness);</w:t>
      </w:r>
    </w:p>
    <w:p>
      <w:pPr>
        <w:spacing w:after="0" w:line="171" w:lineRule="exact"/>
        <w:rPr>
          <w:rFonts w:ascii="Times New Roman" w:cs="Times New Roman" w:eastAsia="Times New Roman" w:hAnsi="Times New Roman"/>
          <w:sz w:val="22"/>
          <w:szCs w:val="22"/>
          <w:color w:val="auto"/>
        </w:rPr>
      </w:pPr>
    </w:p>
    <w:p>
      <w:pPr>
        <w:ind w:left="1280" w:right="200" w:firstLine="651"/>
        <w:spacing w:after="0" w:line="258" w:lineRule="auto"/>
        <w:tabs>
          <w:tab w:leader="none" w:pos="2575"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failure to comply with any valid and legal directive of the Dragonfly Energy Holdings Corp. Board of Directors;</w:t>
      </w:r>
    </w:p>
    <w:p>
      <w:pPr>
        <w:spacing w:after="0" w:line="171" w:lineRule="exact"/>
        <w:rPr>
          <w:rFonts w:ascii="Times New Roman" w:cs="Times New Roman" w:eastAsia="Times New Roman" w:hAnsi="Times New Roman"/>
          <w:sz w:val="22"/>
          <w:szCs w:val="22"/>
          <w:color w:val="auto"/>
        </w:rPr>
      </w:pPr>
    </w:p>
    <w:p>
      <w:pPr>
        <w:ind w:left="1280" w:right="440" w:firstLine="651"/>
        <w:spacing w:after="0" w:line="282" w:lineRule="auto"/>
        <w:tabs>
          <w:tab w:leader="none" w:pos="2575"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willful engagement in dishonesty, illegal conduct, or gross misconduct, which is, in each case, materially injurious to the Company or its affiliates;</w:t>
      </w:r>
    </w:p>
    <w:p>
      <w:pPr>
        <w:spacing w:after="0" w:line="134" w:lineRule="exact"/>
        <w:rPr>
          <w:rFonts w:ascii="Times New Roman" w:cs="Times New Roman" w:eastAsia="Times New Roman" w:hAnsi="Times New Roman"/>
          <w:sz w:val="21"/>
          <w:szCs w:val="21"/>
          <w:color w:val="auto"/>
        </w:rPr>
      </w:pPr>
    </w:p>
    <w:p>
      <w:pPr>
        <w:ind w:left="1280" w:right="480" w:firstLine="651"/>
        <w:spacing w:after="0" w:line="258" w:lineRule="auto"/>
        <w:tabs>
          <w:tab w:leader="none" w:pos="2575"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embezzlement, misappropriation, or fraud, whether or not related to the Executive’s employment with the Company;</w:t>
      </w:r>
    </w:p>
    <w:p>
      <w:pPr>
        <w:spacing w:after="0" w:line="171" w:lineRule="exact"/>
        <w:rPr>
          <w:rFonts w:ascii="Times New Roman" w:cs="Times New Roman" w:eastAsia="Times New Roman" w:hAnsi="Times New Roman"/>
          <w:sz w:val="22"/>
          <w:szCs w:val="22"/>
          <w:color w:val="auto"/>
        </w:rPr>
      </w:pPr>
    </w:p>
    <w:p>
      <w:pPr>
        <w:jc w:val="both"/>
        <w:ind w:left="1280" w:right="300" w:firstLine="651"/>
        <w:spacing w:after="0" w:line="244" w:lineRule="auto"/>
        <w:tabs>
          <w:tab w:leader="none" w:pos="2575"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nolo contendere to a crime that constitutes a felony (or state law equivalent) or a crime that constitutes a misdemeanor involving moral turpitude;</w:t>
      </w:r>
    </w:p>
    <w:p>
      <w:pPr>
        <w:spacing w:after="0" w:line="186" w:lineRule="exact"/>
        <w:rPr>
          <w:rFonts w:ascii="Times New Roman" w:cs="Times New Roman" w:eastAsia="Times New Roman" w:hAnsi="Times New Roman"/>
          <w:sz w:val="22"/>
          <w:szCs w:val="22"/>
          <w:color w:val="auto"/>
        </w:rPr>
      </w:pPr>
    </w:p>
    <w:p>
      <w:pPr>
        <w:jc w:val="both"/>
        <w:ind w:left="1280" w:right="200" w:firstLine="651"/>
        <w:spacing w:after="0" w:line="244" w:lineRule="auto"/>
        <w:tabs>
          <w:tab w:leader="none" w:pos="2575"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material violation of the Company’s written policies or codes of conduct, including written policies related to discrimination, harassment, performance of illegal or unethical activities, and ethical misconduct;</w:t>
      </w:r>
    </w:p>
    <w:p>
      <w:pPr>
        <w:spacing w:after="0" w:line="173" w:lineRule="exact"/>
        <w:rPr>
          <w:rFonts w:ascii="Times New Roman" w:cs="Times New Roman" w:eastAsia="Times New Roman" w:hAnsi="Times New Roman"/>
          <w:sz w:val="22"/>
          <w:szCs w:val="22"/>
          <w:color w:val="auto"/>
        </w:rPr>
      </w:pPr>
    </w:p>
    <w:p>
      <w:pPr>
        <w:ind w:left="1280" w:right="600" w:firstLine="651"/>
        <w:spacing w:after="0" w:line="282" w:lineRule="auto"/>
        <w:tabs>
          <w:tab w:leader="none" w:pos="2575"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material breach of any material obligation under this Agreement or any other written agreement between the Executive and the Company; or</w:t>
      </w:r>
    </w:p>
    <w:p>
      <w:pPr>
        <w:spacing w:after="0" w:line="148" w:lineRule="exact"/>
        <w:rPr>
          <w:rFonts w:ascii="Times New Roman" w:cs="Times New Roman" w:eastAsia="Times New Roman" w:hAnsi="Times New Roman"/>
          <w:sz w:val="21"/>
          <w:szCs w:val="21"/>
          <w:color w:val="auto"/>
        </w:rPr>
      </w:pPr>
    </w:p>
    <w:p>
      <w:pPr>
        <w:ind w:left="1280" w:right="500" w:firstLine="651"/>
        <w:spacing w:after="0" w:line="258" w:lineRule="auto"/>
        <w:tabs>
          <w:tab w:leader="none" w:pos="2575"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engagement in conduct that brings the Company negative publicity or into public disgrace, embarrassment, or disrepute.</w:t>
      </w:r>
    </w:p>
    <w:p>
      <w:pPr>
        <w:spacing w:after="0" w:line="172" w:lineRule="exact"/>
        <w:rPr>
          <w:sz w:val="20"/>
          <w:szCs w:val="20"/>
          <w:color w:val="auto"/>
        </w:rPr>
      </w:pPr>
    </w:p>
    <w:p>
      <w:pPr>
        <w:ind w:left="640" w:right="20" w:firstLine="1296"/>
        <w:spacing w:after="0" w:line="238" w:lineRule="auto"/>
        <w:rPr>
          <w:sz w:val="20"/>
          <w:szCs w:val="20"/>
          <w:color w:val="auto"/>
        </w:rPr>
      </w:pPr>
      <w:r>
        <w:rPr>
          <w:rFonts w:ascii="Times New Roman" w:cs="Times New Roman" w:eastAsia="Times New Roman" w:hAnsi="Times New Roman"/>
          <w:sz w:val="22"/>
          <w:szCs w:val="22"/>
          <w:color w:val="auto"/>
        </w:rPr>
        <w:t>For purposes of this provision, none of the Executive’s acts or failures to act shall be considered “willful” unless the Executive acts, or fails to act, in bad faith or without reasonable belief that the action or failure to act was in the best interests of the Company. The Executive’s actions, or failures to act, based upon authority given pursuant to a resolution duly adopted by the Board or upon the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643890</wp:posOffset>
            </wp:positionV>
            <wp:extent cx="62922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39" w:name="page240"/>
    <w:bookmarkEnd w:id="239"/>
    <w:p>
      <w:pPr>
        <w:ind w:left="640" w:right="700"/>
        <w:spacing w:after="0" w:line="258" w:lineRule="auto"/>
        <w:rPr>
          <w:sz w:val="20"/>
          <w:szCs w:val="20"/>
          <w:color w:val="auto"/>
        </w:rPr>
      </w:pPr>
      <w:r>
        <w:rPr>
          <w:rFonts w:ascii="Times New Roman" w:cs="Times New Roman" w:eastAsia="Times New Roman" w:hAnsi="Times New Roman"/>
          <w:sz w:val="22"/>
          <w:szCs w:val="22"/>
          <w:color w:val="auto"/>
        </w:rPr>
        <w:t>of counsel for the Company shall be conclusively presumed to be in good faith and in the best interests of the Company.</w:t>
      </w:r>
    </w:p>
    <w:p>
      <w:pPr>
        <w:spacing w:after="0" w:line="172" w:lineRule="exact"/>
        <w:rPr>
          <w:sz w:val="20"/>
          <w:szCs w:val="20"/>
          <w:color w:val="auto"/>
        </w:rPr>
      </w:pPr>
    </w:p>
    <w:p>
      <w:pPr>
        <w:ind w:left="640" w:right="20" w:firstLine="1296"/>
        <w:spacing w:after="0" w:line="244" w:lineRule="auto"/>
        <w:rPr>
          <w:sz w:val="20"/>
          <w:szCs w:val="20"/>
          <w:color w:val="auto"/>
        </w:rPr>
      </w:pPr>
      <w:r>
        <w:rPr>
          <w:rFonts w:ascii="Times New Roman" w:cs="Times New Roman" w:eastAsia="Times New Roman" w:hAnsi="Times New Roman"/>
          <w:sz w:val="22"/>
          <w:szCs w:val="22"/>
          <w:color w:val="auto"/>
        </w:rPr>
        <w:t>Except for a failure, breach, or refusal which, by its nature, cannot reasonably be expected to be cured, the Executive shall have 40 business days from the delivery of written notice by the Company within which to cure any acts constituting Cause.</w:t>
      </w:r>
    </w:p>
    <w:p>
      <w:pPr>
        <w:spacing w:after="0" w:line="173" w:lineRule="exact"/>
        <w:rPr>
          <w:sz w:val="20"/>
          <w:szCs w:val="20"/>
          <w:color w:val="auto"/>
        </w:rPr>
      </w:pPr>
    </w:p>
    <w:p>
      <w:pPr>
        <w:ind w:left="640" w:right="180" w:firstLine="643"/>
        <w:spacing w:after="0" w:line="244" w:lineRule="auto"/>
        <w:tabs>
          <w:tab w:leader="none" w:pos="193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“Good Reason” shall mean the occurrence of any of the following, in each case during the Employment Term without the Executive’s prior written consent:</w:t>
      </w:r>
    </w:p>
    <w:p>
      <w:pPr>
        <w:spacing w:after="0" w:line="186" w:lineRule="exact"/>
        <w:rPr>
          <w:rFonts w:ascii="Times New Roman" w:cs="Times New Roman" w:eastAsia="Times New Roman" w:hAnsi="Times New Roman"/>
          <w:sz w:val="22"/>
          <w:szCs w:val="22"/>
          <w:color w:val="auto"/>
        </w:rPr>
      </w:pPr>
    </w:p>
    <w:p>
      <w:pPr>
        <w:jc w:val="both"/>
        <w:ind w:left="1280" w:firstLine="651"/>
        <w:spacing w:after="0" w:line="244" w:lineRule="auto"/>
        <w:tabs>
          <w:tab w:leader="none" w:pos="257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Executive’s Base Salary other than a general reduction in Base Salary that affects all similarly situated executives in substantially the same proportions;</w:t>
      </w:r>
    </w:p>
    <w:p>
      <w:pPr>
        <w:spacing w:after="0" w:line="186" w:lineRule="exact"/>
        <w:rPr>
          <w:rFonts w:ascii="Times New Roman" w:cs="Times New Roman" w:eastAsia="Times New Roman" w:hAnsi="Times New Roman"/>
          <w:sz w:val="22"/>
          <w:szCs w:val="22"/>
          <w:color w:val="auto"/>
        </w:rPr>
      </w:pPr>
    </w:p>
    <w:p>
      <w:pPr>
        <w:ind w:left="2580" w:hanging="649"/>
        <w:spacing w:after="0"/>
        <w:tabs>
          <w:tab w:leader="none" w:pos="2580"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relocation of the Executive’s principal place of employment by more than 50</w:t>
      </w:r>
    </w:p>
    <w:p>
      <w:pPr>
        <w:spacing w:after="0" w:line="25" w:lineRule="exact"/>
        <w:rPr>
          <w:rFonts w:ascii="Times New Roman" w:cs="Times New Roman" w:eastAsia="Times New Roman" w:hAnsi="Times New Roman"/>
          <w:sz w:val="21"/>
          <w:szCs w:val="21"/>
          <w:color w:val="auto"/>
        </w:rPr>
      </w:pPr>
    </w:p>
    <w:p>
      <w:pPr>
        <w:ind w:left="1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miles;</w:t>
      </w:r>
    </w:p>
    <w:p>
      <w:pPr>
        <w:spacing w:after="0" w:line="182" w:lineRule="exact"/>
        <w:rPr>
          <w:rFonts w:ascii="Times New Roman" w:cs="Times New Roman" w:eastAsia="Times New Roman" w:hAnsi="Times New Roman"/>
          <w:sz w:val="21"/>
          <w:szCs w:val="21"/>
          <w:color w:val="auto"/>
        </w:rPr>
      </w:pPr>
    </w:p>
    <w:p>
      <w:pPr>
        <w:ind w:left="1280" w:right="240" w:firstLine="651"/>
        <w:spacing w:after="0" w:line="244" w:lineRule="auto"/>
        <w:tabs>
          <w:tab w:leader="none" w:pos="257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by the Company of any material provision of this Agreement or any material provision of any other agreement between the Executive and the Company;</w:t>
      </w:r>
    </w:p>
    <w:p>
      <w:pPr>
        <w:spacing w:after="0" w:line="186" w:lineRule="exact"/>
        <w:rPr>
          <w:rFonts w:ascii="Times New Roman" w:cs="Times New Roman" w:eastAsia="Times New Roman" w:hAnsi="Times New Roman"/>
          <w:sz w:val="22"/>
          <w:szCs w:val="22"/>
          <w:color w:val="auto"/>
        </w:rPr>
      </w:pPr>
    </w:p>
    <w:p>
      <w:pPr>
        <w:ind w:left="1280" w:right="40" w:firstLine="651"/>
        <w:spacing w:after="0" w:line="239" w:lineRule="auto"/>
        <w:tabs>
          <w:tab w:leader="none" w:pos="257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w:t>
      </w:r>
    </w:p>
    <w:p>
      <w:pPr>
        <w:spacing w:after="0" w:line="193" w:lineRule="exact"/>
        <w:rPr>
          <w:rFonts w:ascii="Times New Roman" w:cs="Times New Roman" w:eastAsia="Times New Roman" w:hAnsi="Times New Roman"/>
          <w:sz w:val="22"/>
          <w:szCs w:val="22"/>
          <w:color w:val="auto"/>
        </w:rPr>
      </w:pPr>
    </w:p>
    <w:p>
      <w:pPr>
        <w:jc w:val="both"/>
        <w:ind w:left="1280" w:right="820" w:firstLine="651"/>
        <w:spacing w:after="0" w:line="244" w:lineRule="auto"/>
        <w:tabs>
          <w:tab w:leader="none" w:pos="257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in the Executive’s title, authority, duties, or responsibilities (other than temporarily while the Executive is physically or mentally incapacitated or as required by applicable law); or</w:t>
      </w:r>
    </w:p>
    <w:p>
      <w:pPr>
        <w:spacing w:after="0" w:line="173" w:lineRule="exact"/>
        <w:rPr>
          <w:rFonts w:ascii="Times New Roman" w:cs="Times New Roman" w:eastAsia="Times New Roman" w:hAnsi="Times New Roman"/>
          <w:sz w:val="22"/>
          <w:szCs w:val="22"/>
          <w:color w:val="auto"/>
        </w:rPr>
      </w:pPr>
    </w:p>
    <w:p>
      <w:pPr>
        <w:ind w:left="2580" w:hanging="649"/>
        <w:spacing w:after="0"/>
        <w:tabs>
          <w:tab w:leader="none" w:pos="25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in the reporting structure applicable to the</w:t>
      </w:r>
    </w:p>
    <w:p>
      <w:pPr>
        <w:spacing w:after="0" w:line="14" w:lineRule="exact"/>
        <w:rPr>
          <w:rFonts w:ascii="Times New Roman" w:cs="Times New Roman" w:eastAsia="Times New Roman" w:hAnsi="Times New Roman"/>
          <w:sz w:val="22"/>
          <w:szCs w:val="22"/>
          <w:color w:val="auto"/>
        </w:rPr>
      </w:pPr>
    </w:p>
    <w:p>
      <w:pPr>
        <w:ind w:left="12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w:t>
      </w:r>
    </w:p>
    <w:p>
      <w:pPr>
        <w:spacing w:after="0" w:line="196" w:lineRule="exact"/>
        <w:rPr>
          <w:sz w:val="20"/>
          <w:szCs w:val="20"/>
          <w:color w:val="auto"/>
        </w:rPr>
      </w:pPr>
    </w:p>
    <w:p>
      <w:pPr>
        <w:ind w:left="640" w:right="40" w:firstLine="1296"/>
        <w:spacing w:after="0" w:line="248" w:lineRule="auto"/>
        <w:rPr>
          <w:sz w:val="20"/>
          <w:szCs w:val="20"/>
          <w:color w:val="auto"/>
        </w:rPr>
      </w:pPr>
      <w:r>
        <w:rPr>
          <w:rFonts w:ascii="Times New Roman" w:cs="Times New Roman" w:eastAsia="Times New Roman" w:hAnsi="Times New Roman"/>
          <w:sz w:val="21"/>
          <w:szCs w:val="21"/>
          <w:color w:val="auto"/>
        </w:rPr>
        <w:t>To terminate the Executive’s employment for Good Reason, the Executive must provide written notice to the Company of the existence of the circumstances providing grounds for termination for Good Reason within 15 days of the initial existence of such grounds and the Company must have at least 10 days from the date on which such notice is provided to cure such circumstances. If the Executive does not terminate the Executive’s employment for Good Reason within 40 days after the first occurrence of the applicable grounds, then the Executive will be deemed to have waived the Executive’s right to terminate for Good Reason with respect to such grounds.</w:t>
      </w:r>
    </w:p>
    <w:p>
      <w:pPr>
        <w:spacing w:after="0" w:line="184" w:lineRule="exact"/>
        <w:rPr>
          <w:sz w:val="20"/>
          <w:szCs w:val="20"/>
          <w:color w:val="auto"/>
        </w:rPr>
      </w:pPr>
    </w:p>
    <w:p>
      <w:pPr>
        <w:ind w:left="120" w:right="140" w:firstLine="518"/>
        <w:spacing w:after="0" w:line="25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Without Cause or for Good Reason</w:t>
      </w:r>
      <w:r>
        <w:rPr>
          <w:rFonts w:ascii="Times New Roman" w:cs="Times New Roman" w:eastAsia="Times New Roman" w:hAnsi="Times New Roman"/>
          <w:sz w:val="22"/>
          <w:szCs w:val="22"/>
          <w:color w:val="auto"/>
        </w:rPr>
        <w:t>. The Employment Term and the Executive’s employment hereunder may be terminated by the Executive for Good Reason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632460</wp:posOffset>
            </wp:positionV>
            <wp:extent cx="629221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40" w:name="page241"/>
    <w:bookmarkEnd w:id="240"/>
    <w:p>
      <w:pPr>
        <w:ind w:left="120" w:right="80"/>
        <w:spacing w:after="0" w:line="249" w:lineRule="auto"/>
        <w:rPr>
          <w:sz w:val="20"/>
          <w:szCs w:val="20"/>
          <w:color w:val="auto"/>
        </w:rPr>
      </w:pPr>
      <w:r>
        <w:rPr>
          <w:rFonts w:ascii="Times New Roman" w:cs="Times New Roman" w:eastAsia="Times New Roman" w:hAnsi="Times New Roman"/>
          <w:sz w:val="21"/>
          <w:szCs w:val="21"/>
          <w:color w:val="auto"/>
        </w:rPr>
        <w:t>by the Company without Cause. In the event of such termination, the Executive shall be entitled to receive the Accrued Amounts and subject to the Executive’s compliance with Section 6 of this Agreement and the agreements referenced therein and the Executive’s execution, within 21 days following receipt, of a release of claims in favor of the Company, its affiliates and their respective officers and directors in a form provided by the Company (the “Release”) (such 21-day period, the “Release Execution Period”), and the Release becoming effective according to its terms, the Executive shall be entitled to receive the following:</w:t>
      </w:r>
    </w:p>
    <w:p>
      <w:pPr>
        <w:spacing w:after="0" w:line="171" w:lineRule="exact"/>
        <w:rPr>
          <w:sz w:val="20"/>
          <w:szCs w:val="20"/>
          <w:color w:val="auto"/>
        </w:rPr>
      </w:pPr>
    </w:p>
    <w:p>
      <w:pPr>
        <w:ind w:left="640" w:firstLine="642"/>
        <w:spacing w:after="0" w:line="234" w:lineRule="auto"/>
        <w:tabs>
          <w:tab w:leader="none" w:pos="1936"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equal installment payments payable in accordance with the Company’s normal payroll practices, but no less frequently than monthly, which are in the aggregate equal to the Executive’s Base Salary for the year that includes the date of the Executive’s termination, which shall begin within 30 days following the date of the Executive’s termination and continue until the 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xml:space="preserve"> anniversary of the Executive’s date of termination; provided that, if the Release Execution Period begins in one taxable year and ends in another taxable year, payments shall not begin until the beginning of the second taxable year; provided further that, the first installment payment shall include all amounts that would otherwise have been paid to the Executive during the period beginning on the date of the Executive’s termination and ending on the first payment date if no delay had been imposed;</w:t>
      </w:r>
    </w:p>
    <w:p>
      <w:pPr>
        <w:spacing w:after="0" w:line="192" w:lineRule="exact"/>
        <w:rPr>
          <w:rFonts w:ascii="Times New Roman" w:cs="Times New Roman" w:eastAsia="Times New Roman" w:hAnsi="Times New Roman"/>
          <w:sz w:val="22"/>
          <w:szCs w:val="22"/>
          <w:color w:val="auto"/>
        </w:rPr>
      </w:pPr>
    </w:p>
    <w:p>
      <w:pPr>
        <w:ind w:left="640" w:right="60" w:firstLine="643"/>
        <w:spacing w:after="0" w:line="233" w:lineRule="auto"/>
        <w:tabs>
          <w:tab w:leader="none" w:pos="1935"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timely and properly elects health continuation coverage under the Consolidated Omnibus Budget Reconciliation Act of 1985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date of the Executive’s termination;</w:t>
      </w:r>
    </w:p>
    <w:p>
      <w:pPr>
        <w:spacing w:after="0" w:line="5" w:lineRule="exact"/>
        <w:rPr>
          <w:rFonts w:ascii="Times New Roman" w:cs="Times New Roman" w:eastAsia="Times New Roman" w:hAnsi="Times New Roman"/>
          <w:sz w:val="22"/>
          <w:szCs w:val="22"/>
          <w:color w:val="auto"/>
        </w:rPr>
      </w:pPr>
    </w:p>
    <w:p>
      <w:pPr>
        <w:ind w:left="640" w:hanging="6"/>
        <w:spacing w:after="0" w:line="232" w:lineRule="auto"/>
        <w:tabs>
          <w:tab w:leader="none" w:pos="95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Executive is no longer eligible to receive COBRA continuation coverage; and (iii) the date on which the Executive receives substantially similar coverage from another employer or other source. Notwithstanding the foregoing, if the Company’s making payments under this Section 5.2(c) would violate the nondiscrimination rules applicable to non-grandfathered, insured group health plans under the Affordable Care Act (the “ACA”), or result in the imposition of penalties under the ACA and the related regulations and guidance promulgated thereunder, the parties agree to reform this Section 5.2(c) in a manner as is necessary to comply with the ACA.</w:t>
      </w:r>
    </w:p>
    <w:p>
      <w:pPr>
        <w:spacing w:after="0" w:line="194" w:lineRule="exact"/>
        <w:rPr>
          <w:rFonts w:ascii="Times New Roman" w:cs="Times New Roman" w:eastAsia="Times New Roman" w:hAnsi="Times New Roman"/>
          <w:sz w:val="22"/>
          <w:szCs w:val="22"/>
          <w:color w:val="auto"/>
        </w:rPr>
      </w:pPr>
    </w:p>
    <w:p>
      <w:pPr>
        <w:ind w:left="640" w:right="180" w:firstLine="642"/>
        <w:spacing w:after="0" w:line="258" w:lineRule="auto"/>
        <w:tabs>
          <w:tab w:leader="none" w:pos="1936"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the Dragonfly Energy Holdings Corp. Equity Incentive Plan and all successor plans or any applicable award agreements:</w:t>
      </w:r>
    </w:p>
    <w:p>
      <w:pPr>
        <w:spacing w:after="0" w:line="158" w:lineRule="exact"/>
        <w:rPr>
          <w:rFonts w:ascii="Times New Roman" w:cs="Times New Roman" w:eastAsia="Times New Roman" w:hAnsi="Times New Roman"/>
          <w:sz w:val="22"/>
          <w:szCs w:val="22"/>
          <w:color w:val="auto"/>
        </w:rPr>
      </w:pPr>
    </w:p>
    <w:p>
      <w:pPr>
        <w:ind w:left="1280" w:firstLine="650"/>
        <w:spacing w:after="0" w:line="238" w:lineRule="auto"/>
        <w:tabs>
          <w:tab w:leader="none" w:pos="2576"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(“Section 409A”)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643890</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41" w:name="page242"/>
    <w:bookmarkEnd w:id="241"/>
    <w:p>
      <w:pPr>
        <w:ind w:left="1280"/>
        <w:spacing w:after="0"/>
        <w:rPr>
          <w:sz w:val="20"/>
          <w:szCs w:val="20"/>
          <w:color w:val="auto"/>
        </w:rPr>
      </w:pPr>
      <w:r>
        <w:rPr>
          <w:rFonts w:ascii="Times New Roman" w:cs="Times New Roman" w:eastAsia="Times New Roman" w:hAnsi="Times New Roman"/>
          <w:sz w:val="22"/>
          <w:szCs w:val="22"/>
          <w:color w:val="auto"/>
        </w:rPr>
        <w:t>Internal Revenue Code of 1986, as amended (the “Code”) shall remain in effect; and</w:t>
      </w:r>
    </w:p>
    <w:p>
      <w:pPr>
        <w:spacing w:after="0" w:line="220" w:lineRule="exact"/>
        <w:rPr>
          <w:sz w:val="20"/>
          <w:szCs w:val="20"/>
          <w:color w:val="auto"/>
        </w:rPr>
      </w:pPr>
    </w:p>
    <w:p>
      <w:pPr>
        <w:ind w:left="1280" w:right="160" w:firstLine="650"/>
        <w:spacing w:after="0" w:line="239" w:lineRule="auto"/>
        <w:tabs>
          <w:tab w:leader="none" w:pos="257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80"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40" w:firstLine="642"/>
        <w:spacing w:after="0" w:line="243" w:lineRule="auto"/>
        <w:tabs>
          <w:tab w:leader="none" w:pos="1936"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contained herein, if the Executive’s employment hereunder is terminated by the Executive for Good Reason or by the Company on account of its failure to renew the Agreement in accordance with Section 1 or without Cause (other than on account of the Executive’s death or Disability), in each case three months before or twelve (12) months following a Change in Control, the Executive shall be entitled to receive the Accrued Amounts and subject to the Executive’s compliance with Section 6 of this Agreement and the Executive’s execution of a Release which becomes effective within 21 days following the Termination Date, the Executive shall be entitled to receive a lump sum payment equal to one and a half (1½) times the sum of the Executive’s Base Salary for the year in which the Termination Date occurs (or if greater, the year immediately preceding the year in which the Change in Control occurs), which shall be paid within</w:t>
      </w:r>
    </w:p>
    <w:p>
      <w:pPr>
        <w:spacing w:after="0" w:line="8" w:lineRule="exact"/>
        <w:rPr>
          <w:rFonts w:ascii="Times New Roman" w:cs="Times New Roman" w:eastAsia="Times New Roman" w:hAnsi="Times New Roman"/>
          <w:sz w:val="21"/>
          <w:szCs w:val="21"/>
          <w:color w:val="auto"/>
        </w:rPr>
      </w:pPr>
    </w:p>
    <w:p>
      <w:pPr>
        <w:ind w:left="640" w:right="8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30 days following the Termination Date; provided that, if the Release Execution Period begins in one taxable year and ends in another taxable year, payment shall not be made until the beginning of the second taxable year.</w:t>
      </w:r>
    </w:p>
    <w:p>
      <w:pPr>
        <w:spacing w:after="0" w:line="191" w:lineRule="exact"/>
        <w:rPr>
          <w:rFonts w:ascii="Times New Roman" w:cs="Times New Roman" w:eastAsia="Times New Roman" w:hAnsi="Times New Roman"/>
          <w:sz w:val="21"/>
          <w:szCs w:val="21"/>
          <w:color w:val="auto"/>
        </w:rPr>
      </w:pPr>
    </w:p>
    <w:p>
      <w:pPr>
        <w:ind w:left="640" w:right="20" w:firstLine="642"/>
        <w:spacing w:after="0" w:line="233" w:lineRule="auto"/>
        <w:tabs>
          <w:tab w:leader="none" w:pos="193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timely and properly elects health plan continuation coverage under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Termination Date; (ii) the date the Executive is no longer eligible to receive COBRA continuation coverage; and (iii) the date on which the Executive receives substantially similar coverage from another employer or other source. Notwithstanding the foregoing, if the Company’s payments under this Section 5.3(b) would violate the nondiscrimination rules applicable to non- grandfathered, insured group plans under the ACA, or result in the imposition of penalties under the ACA, the parties agree to reform this Section 5.3(b) in a manner as is necessary to comply with the ACA.</w:t>
      </w:r>
    </w:p>
    <w:p>
      <w:pPr>
        <w:spacing w:after="0" w:line="198" w:lineRule="exact"/>
        <w:rPr>
          <w:rFonts w:ascii="Times New Roman" w:cs="Times New Roman" w:eastAsia="Times New Roman" w:hAnsi="Times New Roman"/>
          <w:sz w:val="22"/>
          <w:szCs w:val="22"/>
          <w:color w:val="auto"/>
        </w:rPr>
      </w:pPr>
    </w:p>
    <w:p>
      <w:pPr>
        <w:ind w:left="1940" w:hanging="657"/>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any equity incentive plan or award agreements, as</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82" w:lineRule="exact"/>
        <w:rPr>
          <w:rFonts w:ascii="Times New Roman" w:cs="Times New Roman" w:eastAsia="Times New Roman" w:hAnsi="Times New Roman"/>
          <w:sz w:val="22"/>
          <w:szCs w:val="22"/>
          <w:color w:val="auto"/>
        </w:rPr>
      </w:pPr>
    </w:p>
    <w:p>
      <w:pPr>
        <w:ind w:left="1280" w:right="320" w:firstLine="651"/>
        <w:spacing w:after="0" w:line="244" w:lineRule="auto"/>
        <w:tabs>
          <w:tab w:leader="none" w:pos="2575"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unvested stock options granted to the Executive during the Employment Term shall become fully vested and exercisable for the remainder of their full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641985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42" w:name="page243"/>
    <w:bookmarkEnd w:id="242"/>
    <w:p>
      <w:pPr>
        <w:ind w:left="1280" w:firstLine="651"/>
        <w:spacing w:after="0" w:line="238" w:lineRule="auto"/>
        <w:tabs>
          <w:tab w:leader="none" w:pos="2575"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shall remain in effect; and</w:t>
      </w:r>
    </w:p>
    <w:p>
      <w:pPr>
        <w:spacing w:after="0" w:line="190" w:lineRule="exact"/>
        <w:rPr>
          <w:rFonts w:ascii="Times New Roman" w:cs="Times New Roman" w:eastAsia="Times New Roman" w:hAnsi="Times New Roman"/>
          <w:sz w:val="22"/>
          <w:szCs w:val="22"/>
          <w:color w:val="auto"/>
        </w:rPr>
      </w:pPr>
    </w:p>
    <w:p>
      <w:pPr>
        <w:ind w:left="1280" w:right="160" w:firstLine="651"/>
        <w:spacing w:after="0" w:line="239" w:lineRule="auto"/>
        <w:tabs>
          <w:tab w:leader="none" w:pos="2575"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80" w:lineRule="exact"/>
        <w:rPr>
          <w:rFonts w:ascii="Times New Roman" w:cs="Times New Roman" w:eastAsia="Times New Roman" w:hAnsi="Times New Roman"/>
          <w:sz w:val="22"/>
          <w:szCs w:val="22"/>
          <w:color w:val="auto"/>
        </w:rPr>
      </w:pPr>
    </w:p>
    <w:p>
      <w:pPr>
        <w:ind w:left="640" w:right="360" w:firstLine="643"/>
        <w:spacing w:after="0" w:line="258" w:lineRule="auto"/>
        <w:tabs>
          <w:tab w:leader="none" w:pos="193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“Change in Control” shall mean the occurrence of any of the following after the Effective Date:</w:t>
      </w:r>
    </w:p>
    <w:p>
      <w:pPr>
        <w:spacing w:after="0" w:line="171" w:lineRule="exact"/>
        <w:rPr>
          <w:rFonts w:ascii="Times New Roman" w:cs="Times New Roman" w:eastAsia="Times New Roman" w:hAnsi="Times New Roman"/>
          <w:sz w:val="22"/>
          <w:szCs w:val="22"/>
          <w:color w:val="auto"/>
        </w:rPr>
      </w:pPr>
    </w:p>
    <w:p>
      <w:pPr>
        <w:ind w:left="1280" w:right="160" w:firstLine="651"/>
        <w:spacing w:after="0" w:line="236" w:lineRule="auto"/>
        <w:tabs>
          <w:tab w:leader="none" w:pos="2575"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 Change in Control shall not occur if any person (or more than one person acting as a group) owns more than 50% of the total fair market value or total voting power of the Company’s stock and acquires additional stock;</w:t>
      </w:r>
    </w:p>
    <w:p>
      <w:pPr>
        <w:spacing w:after="0" w:line="194" w:lineRule="exact"/>
        <w:rPr>
          <w:rFonts w:ascii="Times New Roman" w:cs="Times New Roman" w:eastAsia="Times New Roman" w:hAnsi="Times New Roman"/>
          <w:sz w:val="22"/>
          <w:szCs w:val="22"/>
          <w:color w:val="auto"/>
        </w:rPr>
      </w:pPr>
    </w:p>
    <w:p>
      <w:pPr>
        <w:jc w:val="both"/>
        <w:ind w:left="1280" w:firstLine="651"/>
        <w:spacing w:after="0" w:line="239" w:lineRule="auto"/>
        <w:tabs>
          <w:tab w:leader="none" w:pos="2576"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person (or more than one person acting as a group) acquires (or has acquired during the twelve-month period ending on the date of the most recent acquisition) ownership of the Company’s stock possessing 30% or more of the total voting power of the Company’s stock;</w:t>
      </w:r>
    </w:p>
    <w:p>
      <w:pPr>
        <w:spacing w:after="0" w:line="180" w:lineRule="exact"/>
        <w:rPr>
          <w:rFonts w:ascii="Times New Roman" w:cs="Times New Roman" w:eastAsia="Times New Roman" w:hAnsi="Times New Roman"/>
          <w:sz w:val="22"/>
          <w:szCs w:val="22"/>
          <w:color w:val="auto"/>
        </w:rPr>
      </w:pPr>
    </w:p>
    <w:p>
      <w:pPr>
        <w:jc w:val="both"/>
        <w:ind w:left="1280" w:right="120" w:firstLine="651"/>
        <w:spacing w:after="0" w:line="244" w:lineRule="auto"/>
        <w:tabs>
          <w:tab w:leader="none" w:pos="2575"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the Board are replaced during any twelve-month period by directors whose appointment or election is not endorsed by a majority of the Board before the date of appointment or election; or</w:t>
      </w:r>
    </w:p>
    <w:p>
      <w:pPr>
        <w:spacing w:after="0" w:line="173" w:lineRule="exact"/>
        <w:rPr>
          <w:rFonts w:ascii="Times New Roman" w:cs="Times New Roman" w:eastAsia="Times New Roman" w:hAnsi="Times New Roman"/>
          <w:sz w:val="22"/>
          <w:szCs w:val="22"/>
          <w:color w:val="auto"/>
        </w:rPr>
      </w:pPr>
    </w:p>
    <w:p>
      <w:pPr>
        <w:ind w:left="2560" w:hanging="636"/>
        <w:spacing w:after="0"/>
        <w:tabs>
          <w:tab w:leader="none" w:pos="256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all or substantially all of the Company’s assets.</w:t>
      </w:r>
    </w:p>
    <w:p>
      <w:pPr>
        <w:spacing w:after="0" w:line="220" w:lineRule="exact"/>
        <w:rPr>
          <w:sz w:val="20"/>
          <w:szCs w:val="20"/>
          <w:color w:val="auto"/>
        </w:rPr>
      </w:pPr>
    </w:p>
    <w:p>
      <w:pPr>
        <w:ind w:left="640" w:right="40" w:firstLine="1296"/>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94"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40" w:right="380" w:firstLine="642"/>
        <w:spacing w:after="0" w:line="244" w:lineRule="auto"/>
        <w:tabs>
          <w:tab w:leader="none" w:pos="19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employment hereunder shall terminate automatically upon the Executive’s death during the Employment Term, and the Company may terminate the Executive’s employment on account of the Executive’s Disability.</w:t>
      </w:r>
    </w:p>
    <w:p>
      <w:pPr>
        <w:spacing w:after="0" w:line="173" w:lineRule="exact"/>
        <w:rPr>
          <w:rFonts w:ascii="Times New Roman" w:cs="Times New Roman" w:eastAsia="Times New Roman" w:hAnsi="Times New Roman"/>
          <w:sz w:val="22"/>
          <w:szCs w:val="22"/>
          <w:color w:val="auto"/>
        </w:rPr>
      </w:pPr>
    </w:p>
    <w:p>
      <w:pPr>
        <w:ind w:left="640" w:right="80" w:firstLine="642"/>
        <w:spacing w:after="0" w:line="258" w:lineRule="auto"/>
        <w:tabs>
          <w:tab w:leader="none" w:pos="19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during the Employment Term on account of the Executive’s death or Disability, the Executive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632460</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43" w:name="page244"/>
    <w:bookmarkEnd w:id="243"/>
    <w:p>
      <w:pPr>
        <w:ind w:left="640"/>
        <w:spacing w:after="0"/>
        <w:rPr>
          <w:sz w:val="20"/>
          <w:szCs w:val="20"/>
          <w:color w:val="auto"/>
        </w:rPr>
      </w:pPr>
      <w:r>
        <w:rPr>
          <w:rFonts w:ascii="Times New Roman" w:cs="Times New Roman" w:eastAsia="Times New Roman" w:hAnsi="Times New Roman"/>
          <w:sz w:val="21"/>
          <w:szCs w:val="21"/>
          <w:color w:val="auto"/>
        </w:rPr>
        <w:t>Executive’s estate and/or beneficiaries, as the case may be) shall be entitled to receive the following:</w:t>
      </w:r>
    </w:p>
    <w:p>
      <w:pPr>
        <w:spacing w:after="0" w:line="218" w:lineRule="exact"/>
        <w:rPr>
          <w:sz w:val="20"/>
          <w:szCs w:val="20"/>
          <w:color w:val="auto"/>
        </w:rPr>
      </w:pPr>
    </w:p>
    <w:p>
      <w:pPr>
        <w:ind w:left="2580" w:hanging="656"/>
        <w:spacing w:after="0"/>
        <w:tabs>
          <w:tab w:leader="none" w:pos="25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Amounts; and</w:t>
      </w:r>
    </w:p>
    <w:p>
      <w:pPr>
        <w:spacing w:after="0" w:line="219" w:lineRule="exact"/>
        <w:rPr>
          <w:rFonts w:ascii="Times New Roman" w:cs="Times New Roman" w:eastAsia="Times New Roman" w:hAnsi="Times New Roman"/>
          <w:sz w:val="22"/>
          <w:szCs w:val="22"/>
          <w:color w:val="auto"/>
        </w:rPr>
      </w:pPr>
    </w:p>
    <w:p>
      <w:pPr>
        <w:ind w:left="1280" w:right="200" w:firstLine="650"/>
        <w:spacing w:after="0" w:line="236" w:lineRule="auto"/>
        <w:tabs>
          <w:tab w:leader="none" w:pos="257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equal to the Annual Bonus, if any, that the Executive would have earned for the fiscal year that includes the date of the Executive’s termination based on the achievement of applicable performance goals for such year, which shall be payable on the date that annual bonuses are paid to the Company’s similarly situated executives, but in no event later than two-and-a-half (2 1/2) months following the end of the fiscal year that includes the date of the Executive’s termination.</w:t>
      </w:r>
    </w:p>
    <w:p>
      <w:pPr>
        <w:spacing w:after="0" w:line="195" w:lineRule="exact"/>
        <w:rPr>
          <w:sz w:val="20"/>
          <w:szCs w:val="20"/>
          <w:color w:val="auto"/>
        </w:rPr>
      </w:pPr>
    </w:p>
    <w:p>
      <w:pPr>
        <w:jc w:val="both"/>
        <w:ind w:left="1280" w:right="180" w:firstLine="1296"/>
        <w:spacing w:after="0" w:line="244" w:lineRule="auto"/>
        <w:rPr>
          <w:sz w:val="20"/>
          <w:szCs w:val="20"/>
          <w:color w:val="auto"/>
        </w:rPr>
      </w:pPr>
      <w:r>
        <w:rPr>
          <w:rFonts w:ascii="Times New Roman" w:cs="Times New Roman" w:eastAsia="Times New Roman" w:hAnsi="Times New Roman"/>
          <w:sz w:val="22"/>
          <w:szCs w:val="22"/>
          <w:color w:val="auto"/>
        </w:rPr>
        <w:t>Notwithstanding any other provision contained herein, all payments made in connection with the Executive’s Disability shall be provided in a manner which is consistent with federal and state law.</w:t>
      </w:r>
    </w:p>
    <w:p>
      <w:pPr>
        <w:spacing w:after="0" w:line="173" w:lineRule="exact"/>
        <w:rPr>
          <w:sz w:val="20"/>
          <w:szCs w:val="20"/>
          <w:color w:val="auto"/>
        </w:rPr>
      </w:pPr>
    </w:p>
    <w:p>
      <w:pPr>
        <w:ind w:left="640" w:firstLine="642"/>
        <w:spacing w:after="0" w:line="235" w:lineRule="auto"/>
        <w:tabs>
          <w:tab w:leader="none" w:pos="193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“Disability” shall mean the Executive’s inability, due to physical or mental incapacity, to perform the essential functions of the Executive’s job, with or without reasonable accommodation, for one hundred eighty (180) days out of any three hundred sixty-five (365) day period or one hundred twenty (120) consecutive days. Any question as to the existence of the Executive’s Disability as to which the Executive and the Company cannot agree shall be determined in writing by a qualified independent physician mutually acceptable to the Executive and the Company. The determination of Disability made in writing to the Company and the Executive shall be final and conclusive for all purposes of this Agreement.</w:t>
      </w:r>
    </w:p>
    <w:p>
      <w:pPr>
        <w:spacing w:after="0" w:line="192" w:lineRule="exact"/>
        <w:rPr>
          <w:sz w:val="20"/>
          <w:szCs w:val="20"/>
          <w:color w:val="auto"/>
        </w:rPr>
      </w:pPr>
    </w:p>
    <w:p>
      <w:pPr>
        <w:ind w:left="120" w:right="360" w:firstLine="518"/>
        <w:spacing w:after="0" w:line="238"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the Executive’s employment hereunder by the Company or by the Executive during the Employment Term (other than termination pursuant to Section 5.4(a) on account of the Executive’s death) shall be communicated by written notice of termination (“Notice of Termination”) to the other party hereto in accordance with Section 15. The Notice of Termination shall specify:</w:t>
      </w:r>
    </w:p>
    <w:p>
      <w:pPr>
        <w:spacing w:after="0" w:line="190" w:lineRule="exact"/>
        <w:rPr>
          <w:sz w:val="20"/>
          <w:szCs w:val="20"/>
          <w:color w:val="auto"/>
        </w:rPr>
      </w:pPr>
    </w:p>
    <w:p>
      <w:pPr>
        <w:ind w:left="1920" w:hanging="644"/>
        <w:spacing w:after="0"/>
        <w:tabs>
          <w:tab w:leader="none" w:pos="192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provision of this Agreement relied upon;</w:t>
      </w:r>
    </w:p>
    <w:p>
      <w:pPr>
        <w:spacing w:after="0" w:line="219" w:lineRule="exact"/>
        <w:rPr>
          <w:rFonts w:ascii="Times New Roman" w:cs="Times New Roman" w:eastAsia="Times New Roman" w:hAnsi="Times New Roman"/>
          <w:sz w:val="22"/>
          <w:szCs w:val="22"/>
          <w:color w:val="auto"/>
        </w:rPr>
      </w:pPr>
    </w:p>
    <w:p>
      <w:pPr>
        <w:ind w:left="640" w:right="400" w:firstLine="643"/>
        <w:spacing w:after="0" w:line="258" w:lineRule="auto"/>
        <w:tabs>
          <w:tab w:leader="none" w:pos="193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the facts and circumstances claimed to provide a basis for termination of the Executive’s employment under the provision so indicated; and</w:t>
      </w:r>
    </w:p>
    <w:p>
      <w:pPr>
        <w:spacing w:after="0" w:line="158" w:lineRule="exact"/>
        <w:rPr>
          <w:rFonts w:ascii="Times New Roman" w:cs="Times New Roman" w:eastAsia="Times New Roman" w:hAnsi="Times New Roman"/>
          <w:sz w:val="22"/>
          <w:szCs w:val="22"/>
          <w:color w:val="auto"/>
        </w:rPr>
      </w:pPr>
    </w:p>
    <w:p>
      <w:pPr>
        <w:ind w:left="640" w:firstLine="643"/>
        <w:spacing w:after="0" w:line="236" w:lineRule="auto"/>
        <w:tabs>
          <w:tab w:leader="none" w:pos="193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date of termination, which shall be no less than 30 days following the date on which the Notice of Termination is delivered if the Company terminates the Executive’s employment without Cause, or no less than 30 days following the date on which the Notice of Termination is delivered if the Executive terminates the Executive’s employment with or without Good Reason; provided that, the Company shall have the option to provide the Executive with a lump sum payment in lieu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647065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44" w:name="page245"/>
    <w:bookmarkEnd w:id="244"/>
    <w:p>
      <w:pPr>
        <w:ind w:left="120" w:firstLine="518"/>
        <w:spacing w:after="0" w:line="239"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Upon termination of the Executive’s employment hereunder for any reason, the Executive shall be deemed to have resigned from all positions that the Executive holds as an officer or member of the Board (or a committee thereof) of the Company or any of its affiliates.</w:t>
      </w:r>
    </w:p>
    <w:p>
      <w:pPr>
        <w:spacing w:after="0" w:line="194" w:lineRule="exact"/>
        <w:rPr>
          <w:sz w:val="20"/>
          <w:szCs w:val="20"/>
          <w:color w:val="auto"/>
        </w:rPr>
      </w:pPr>
    </w:p>
    <w:p>
      <w:pPr>
        <w:ind w:left="-280" w:right="40" w:firstLine="397"/>
        <w:spacing w:after="0" w:line="244" w:lineRule="auto"/>
        <w:tabs>
          <w:tab w:leader="none" w:pos="62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and Restrictive Covenants</w:t>
      </w:r>
      <w:r>
        <w:rPr>
          <w:rFonts w:ascii="Times New Roman" w:cs="Times New Roman" w:eastAsia="Times New Roman" w:hAnsi="Times New Roman"/>
          <w:sz w:val="22"/>
          <w:szCs w:val="22"/>
          <w:color w:val="auto"/>
        </w:rPr>
        <w:t>. As a condition of the Executive’s employment with the Company, the Executive shall enter into and abide by the Company’s Restrictive Covenant Agreement, attached hereto and incorporation herein as Exhibit A.</w:t>
      </w:r>
    </w:p>
    <w:p>
      <w:pPr>
        <w:spacing w:after="0" w:line="173" w:lineRule="exact"/>
        <w:rPr>
          <w:rFonts w:ascii="Times New Roman" w:cs="Times New Roman" w:eastAsia="Times New Roman" w:hAnsi="Times New Roman"/>
          <w:sz w:val="22"/>
          <w:szCs w:val="22"/>
          <w:color w:val="auto"/>
        </w:rPr>
      </w:pPr>
    </w:p>
    <w:p>
      <w:pPr>
        <w:ind w:left="-280" w:firstLine="397"/>
        <w:spacing w:after="0" w:line="235" w:lineRule="auto"/>
        <w:tabs>
          <w:tab w:leader="none" w:pos="62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and Venue</w:t>
      </w:r>
      <w:r>
        <w:rPr>
          <w:rFonts w:ascii="Times New Roman" w:cs="Times New Roman" w:eastAsia="Times New Roman" w:hAnsi="Times New Roman"/>
          <w:sz w:val="22"/>
          <w:szCs w:val="22"/>
          <w:color w:val="auto"/>
        </w:rPr>
        <w:t>. This Agreement, for all purposes, shall be construed in accordance with the laws of Nevada without regard to conflicts of law principles. Any action or proceeding by either of the parties to enforce this Agreement shall be brought only in a state or federal court located in the state of Nevada, county of Washoe. The parties hereby irrevocably submit to the exclusive jurisdiction of such courts and waive the defense of inconvenient forum to the maintenance of any such action or proceeding in such venue. This provision remains in full force and effect upon change of situs of the corporation to any other jurisdiction.</w:t>
      </w:r>
    </w:p>
    <w:p>
      <w:pPr>
        <w:spacing w:after="0" w:line="196" w:lineRule="exact"/>
        <w:rPr>
          <w:rFonts w:ascii="Times New Roman" w:cs="Times New Roman" w:eastAsia="Times New Roman" w:hAnsi="Times New Roman"/>
          <w:sz w:val="22"/>
          <w:szCs w:val="22"/>
          <w:color w:val="auto"/>
        </w:rPr>
      </w:pPr>
    </w:p>
    <w:p>
      <w:pPr>
        <w:ind w:left="-280" w:right="60" w:firstLine="397"/>
        <w:spacing w:after="0" w:line="255" w:lineRule="auto"/>
        <w:tabs>
          <w:tab w:leader="none" w:pos="626"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Unless specifically provided herein, this Agreement, together with the Restrictive Covenant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175" w:lineRule="exact"/>
        <w:rPr>
          <w:rFonts w:ascii="Times New Roman" w:cs="Times New Roman" w:eastAsia="Times New Roman" w:hAnsi="Times New Roman"/>
          <w:sz w:val="21"/>
          <w:szCs w:val="21"/>
          <w:color w:val="auto"/>
        </w:rPr>
      </w:pPr>
    </w:p>
    <w:p>
      <w:pPr>
        <w:ind w:left="-280" w:firstLine="397"/>
        <w:spacing w:after="0" w:line="251" w:lineRule="auto"/>
        <w:tabs>
          <w:tab w:leader="none" w:pos="626"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 and Waiver</w:t>
      </w:r>
      <w:r>
        <w:rPr>
          <w:rFonts w:ascii="Times New Roman" w:cs="Times New Roman" w:eastAsia="Times New Roman" w:hAnsi="Times New Roman"/>
          <w:sz w:val="21"/>
          <w:szCs w:val="21"/>
          <w:color w:val="auto"/>
        </w:rPr>
        <w:t>. No provision of this Agreement may be amended or modified unless such amendment or modification is agreed to in writing and signed by the Executive and by the Lead Independent Director of the Board of Directors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68" w:lineRule="exact"/>
        <w:rPr>
          <w:rFonts w:ascii="Times New Roman" w:cs="Times New Roman" w:eastAsia="Times New Roman" w:hAnsi="Times New Roman"/>
          <w:sz w:val="21"/>
          <w:szCs w:val="21"/>
          <w:color w:val="auto"/>
        </w:rPr>
      </w:pPr>
    </w:p>
    <w:p>
      <w:pPr>
        <w:ind w:left="-280" w:right="80" w:firstLine="397"/>
        <w:spacing w:after="0" w:line="239" w:lineRule="auto"/>
        <w:tabs>
          <w:tab w:leader="none" w:pos="62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93" w:lineRule="exact"/>
        <w:rPr>
          <w:rFonts w:ascii="Times New Roman" w:cs="Times New Roman" w:eastAsia="Times New Roman" w:hAnsi="Times New Roman"/>
          <w:sz w:val="22"/>
          <w:szCs w:val="22"/>
          <w:color w:val="auto"/>
        </w:rPr>
      </w:pPr>
    </w:p>
    <w:p>
      <w:pPr>
        <w:jc w:val="both"/>
        <w:ind w:left="-280" w:firstLine="397"/>
        <w:spacing w:after="0" w:line="244" w:lineRule="auto"/>
        <w:tabs>
          <w:tab w:leader="none" w:pos="62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86" w:lineRule="exact"/>
        <w:rPr>
          <w:rFonts w:ascii="Times New Roman" w:cs="Times New Roman" w:eastAsia="Times New Roman" w:hAnsi="Times New Roman"/>
          <w:sz w:val="22"/>
          <w:szCs w:val="22"/>
          <w:color w:val="auto"/>
        </w:rPr>
      </w:pPr>
    </w:p>
    <w:p>
      <w:pPr>
        <w:ind w:left="-280" w:right="540" w:firstLine="397"/>
        <w:spacing w:after="0" w:line="258" w:lineRule="auto"/>
        <w:tabs>
          <w:tab w:leader="none" w:pos="62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separate counterparts, each of which shall be deemed an original, but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632460</wp:posOffset>
            </wp:positionV>
            <wp:extent cx="629221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45" w:name="page246"/>
    <w:bookmarkEnd w:id="245"/>
    <w:p>
      <w:pPr>
        <w:ind w:left="620" w:hanging="505"/>
        <w:spacing w:after="0"/>
        <w:tabs>
          <w:tab w:leader="none" w:pos="6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20" w:firstLine="518"/>
        <w:spacing w:after="0" w:line="244"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u w:val="single" w:color="auto"/>
          <w:color w:val="auto"/>
        </w:rPr>
        <w:t>General Compliance</w:t>
      </w:r>
      <w:r>
        <w:rPr>
          <w:rFonts w:ascii="Times New Roman" w:cs="Times New Roman" w:eastAsia="Times New Roman" w:hAnsi="Times New Roman"/>
          <w:sz w:val="21"/>
          <w:szCs w:val="21"/>
          <w:color w:val="auto"/>
        </w:rPr>
        <w:t>. 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97" w:lineRule="exact"/>
        <w:rPr>
          <w:sz w:val="20"/>
          <w:szCs w:val="20"/>
          <w:color w:val="auto"/>
        </w:rPr>
      </w:pPr>
    </w:p>
    <w:p>
      <w:pPr>
        <w:ind w:left="120" w:right="20" w:firstLine="518"/>
        <w:spacing w:after="0" w:line="234"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Specified Employees</w:t>
      </w:r>
      <w:r>
        <w:rPr>
          <w:rFonts w:ascii="Times New Roman" w:cs="Times New Roman" w:eastAsia="Times New Roman" w:hAnsi="Times New Roman"/>
          <w:sz w:val="22"/>
          <w:szCs w:val="22"/>
          <w:color w:val="auto"/>
        </w:rPr>
        <w:t>. Notwithstanding any other provision of this Agreement, if any payment or benefit provided to the Executive in connection with the Executive’s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“Specified Employee Payment Date”). The aggregate of any payments that would otherwise have been paid before the Specified Employee Payment Date shall be paid to the Executive in a lump sum on the Specified Employee Payment Date and thereafter, any remaining payments shall be paid without delay in accordance with their original schedule.</w:t>
      </w:r>
    </w:p>
    <w:p>
      <w:pPr>
        <w:spacing w:after="0" w:line="179" w:lineRule="exact"/>
        <w:rPr>
          <w:sz w:val="20"/>
          <w:szCs w:val="20"/>
          <w:color w:val="auto"/>
        </w:rPr>
      </w:pPr>
    </w:p>
    <w:p>
      <w:pPr>
        <w:ind w:left="120" w:right="440" w:firstLine="518"/>
        <w:spacing w:after="0" w:line="258"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Reimbursements</w:t>
      </w:r>
      <w:r>
        <w:rPr>
          <w:rFonts w:ascii="Times New Roman" w:cs="Times New Roman" w:eastAsia="Times New Roman" w:hAnsi="Times New Roman"/>
          <w:sz w:val="22"/>
          <w:szCs w:val="22"/>
          <w:color w:val="auto"/>
        </w:rPr>
        <w:t>. To the extent required by Section 409A, each reimbursement or in-kind benefit provided under this Agreement shall be provided in accordance with the following:</w:t>
      </w:r>
    </w:p>
    <w:p>
      <w:pPr>
        <w:spacing w:after="0" w:line="158" w:lineRule="exact"/>
        <w:rPr>
          <w:sz w:val="20"/>
          <w:szCs w:val="20"/>
          <w:color w:val="auto"/>
        </w:rPr>
      </w:pPr>
    </w:p>
    <w:p>
      <w:pPr>
        <w:ind w:left="640" w:right="220" w:firstLine="643"/>
        <w:spacing w:after="0" w:line="244" w:lineRule="auto"/>
        <w:tabs>
          <w:tab w:leader="none" w:pos="193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186" w:lineRule="exact"/>
        <w:rPr>
          <w:rFonts w:ascii="Times New Roman" w:cs="Times New Roman" w:eastAsia="Times New Roman" w:hAnsi="Times New Roman"/>
          <w:sz w:val="22"/>
          <w:szCs w:val="22"/>
          <w:color w:val="auto"/>
        </w:rPr>
      </w:pPr>
    </w:p>
    <w:p>
      <w:pPr>
        <w:jc w:val="both"/>
        <w:ind w:left="640" w:right="200" w:firstLine="643"/>
        <w:spacing w:after="0" w:line="282" w:lineRule="auto"/>
        <w:tabs>
          <w:tab w:leader="none" w:pos="193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reimbursement of an eligible expense shall be paid to the Executive on or before the last day of the calendar year following the calendar year in which the expense was incurred; and</w:t>
      </w:r>
    </w:p>
    <w:p>
      <w:pPr>
        <w:spacing w:after="0" w:line="148" w:lineRule="exact"/>
        <w:rPr>
          <w:rFonts w:ascii="Times New Roman" w:cs="Times New Roman" w:eastAsia="Times New Roman" w:hAnsi="Times New Roman"/>
          <w:sz w:val="21"/>
          <w:szCs w:val="21"/>
          <w:color w:val="auto"/>
        </w:rPr>
      </w:pPr>
    </w:p>
    <w:p>
      <w:pPr>
        <w:ind w:left="640" w:right="480" w:firstLine="643"/>
        <w:spacing w:after="0" w:line="258" w:lineRule="auto"/>
        <w:tabs>
          <w:tab w:leader="none" w:pos="1935"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reimbursements or in-kind benefits under this Agreement shall not be subject to liquidation or exchange for another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632460</wp:posOffset>
            </wp:positionV>
            <wp:extent cx="629221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409" w:right="999" w:bottom="1440" w:gutter="0" w:footer="0" w:header="0"/>
        </w:sectPr>
      </w:pPr>
    </w:p>
    <w:bookmarkStart w:id="246" w:name="page247"/>
    <w:bookmarkEnd w:id="246"/>
    <w:p>
      <w:pPr>
        <w:ind w:left="620"/>
        <w:spacing w:after="0"/>
        <w:tabs>
          <w:tab w:leader="none" w:pos="12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u w:val="single" w:color="auto"/>
          <w:color w:val="auto"/>
        </w:rPr>
        <w:t>Section 280G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40" w:right="140" w:firstLine="643"/>
        <w:spacing w:after="0" w:line="245" w:lineRule="auto"/>
        <w:tabs>
          <w:tab w:leader="none" w:pos="1935"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of the payments or benefits received or to be received by the Executive (including, without limitation, any payments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7" w:lineRule="exact"/>
        <w:rPr>
          <w:rFonts w:ascii="Times New Roman" w:cs="Times New Roman" w:eastAsia="Times New Roman" w:hAnsi="Times New Roman"/>
          <w:sz w:val="21"/>
          <w:szCs w:val="21"/>
          <w:color w:val="auto"/>
        </w:rPr>
      </w:pPr>
    </w:p>
    <w:p>
      <w:pPr>
        <w:ind w:left="640" w:right="40" w:firstLine="643"/>
        <w:spacing w:after="0" w:line="246" w:lineRule="auto"/>
        <w:tabs>
          <w:tab w:leader="none" w:pos="1935"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calculations and determinations under this Section 5.9 shall be made by an independent accounting firm or independent tax counsel appointed by the Company (the “Tax Counsel”) whose determinations shall be conclusive and binding on the Company and the Executive for all purposes. For purposes of making the calculations and determinations required by this Section 5.9, the Tax Counsel may rely on reasonable, good faith assumptions and approximations concerning the application of Section 280G and Section 4999 of the Code. The Company and the Executive shall furnish the Tax Counsel with such information and documents as the Tax Counsel may reasonably request in order to make its determinations under this Section 5.9. The Company shall bear all costs the Tax Counsel may reasonably incur in connection with its services.</w:t>
      </w:r>
    </w:p>
    <w:p>
      <w:pPr>
        <w:spacing w:after="0" w:line="175" w:lineRule="exact"/>
        <w:rPr>
          <w:rFonts w:ascii="Times New Roman" w:cs="Times New Roman" w:eastAsia="Times New Roman" w:hAnsi="Times New Roman"/>
          <w:sz w:val="21"/>
          <w:szCs w:val="21"/>
          <w:color w:val="auto"/>
        </w:rPr>
      </w:pPr>
    </w:p>
    <w:p>
      <w:pPr>
        <w:ind w:left="-280" w:firstLine="397"/>
        <w:spacing w:after="0" w:line="251" w:lineRule="auto"/>
        <w:tabs>
          <w:tab w:leader="none" w:pos="62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181" w:lineRule="exact"/>
        <w:rPr>
          <w:rFonts w:ascii="Times New Roman" w:cs="Times New Roman" w:eastAsia="Times New Roman" w:hAnsi="Times New Roman"/>
          <w:sz w:val="21"/>
          <w:szCs w:val="21"/>
          <w:color w:val="auto"/>
        </w:rPr>
      </w:pPr>
    </w:p>
    <w:p>
      <w:pPr>
        <w:ind w:left="-280" w:right="320" w:firstLine="397"/>
        <w:spacing w:after="0" w:line="244" w:lineRule="auto"/>
        <w:tabs>
          <w:tab w:leader="none" w:pos="62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1190 Trademark Drive #108</w:t>
      </w:r>
    </w:p>
    <w:p>
      <w:pPr>
        <w:ind w:left="640"/>
        <w:spacing w:after="0" w:line="230" w:lineRule="auto"/>
        <w:rPr>
          <w:sz w:val="20"/>
          <w:szCs w:val="20"/>
          <w:color w:val="auto"/>
        </w:rPr>
      </w:pPr>
      <w:r>
        <w:rPr>
          <w:rFonts w:ascii="Times New Roman" w:cs="Times New Roman" w:eastAsia="Times New Roman" w:hAnsi="Times New Roman"/>
          <w:sz w:val="22"/>
          <w:szCs w:val="22"/>
          <w:color w:val="auto"/>
        </w:rPr>
        <w:t>Reno, NV 89521</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Attn: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647065</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409" w:right="1019" w:bottom="1440" w:gutter="0" w:footer="0" w:header="0"/>
        </w:sectPr>
      </w:pPr>
    </w:p>
    <w:bookmarkStart w:id="247" w:name="page248"/>
    <w:bookmarkEnd w:id="247"/>
    <w:p>
      <w:pPr>
        <w:ind w:left="92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2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John Marchetti</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920" w:hanging="523"/>
        <w:spacing w:after="0"/>
        <w:tabs>
          <w:tab w:leader="none" w:pos="9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of the Executive</w:t>
      </w:r>
      <w:r>
        <w:rPr>
          <w:rFonts w:ascii="Times New Roman" w:cs="Times New Roman" w:eastAsia="Times New Roman" w:hAnsi="Times New Roman"/>
          <w:sz w:val="22"/>
          <w:szCs w:val="22"/>
          <w:color w:val="auto"/>
        </w:rPr>
        <w:t>. The Executive represents and warrants to the Company that:</w:t>
      </w:r>
    </w:p>
    <w:p>
      <w:pPr>
        <w:spacing w:after="0" w:line="220"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The Executive’s acceptance of employment with the Company and the performance of the Executive’s duties hereunder will not conflict with or result in a violation of, a breach of, or a default under any contract, agreement, or understanding to which the Executive is a party or is otherwise bound.</w:t>
      </w:r>
    </w:p>
    <w:p>
      <w:pPr>
        <w:spacing w:after="0" w:line="65"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22"/>
          <w:szCs w:val="22"/>
          <w:color w:val="auto"/>
        </w:rPr>
        <w:t>The Executive’s acceptance of employment with the Company and the performance of the Executive’s duties hereunder will not violate any non-solicitation, non-competition, or other similar covenant or agreement of a prior employer or third-party.</w:t>
      </w:r>
    </w:p>
    <w:p>
      <w:pPr>
        <w:spacing w:after="0" w:line="187" w:lineRule="exact"/>
        <w:rPr>
          <w:sz w:val="20"/>
          <w:szCs w:val="20"/>
          <w:color w:val="auto"/>
        </w:rPr>
      </w:pPr>
    </w:p>
    <w:p>
      <w:pPr>
        <w:jc w:val="both"/>
        <w:ind w:firstLine="397"/>
        <w:spacing w:after="0" w:line="244" w:lineRule="auto"/>
        <w:tabs>
          <w:tab w:leader="none" w:pos="90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73" w:lineRule="exact"/>
        <w:rPr>
          <w:rFonts w:ascii="Times New Roman" w:cs="Times New Roman" w:eastAsia="Times New Roman" w:hAnsi="Times New Roman"/>
          <w:sz w:val="22"/>
          <w:szCs w:val="22"/>
          <w:color w:val="auto"/>
        </w:rPr>
      </w:pPr>
    </w:p>
    <w:p>
      <w:pPr>
        <w:jc w:val="both"/>
        <w:ind w:firstLine="397"/>
        <w:spacing w:after="0" w:line="244" w:lineRule="auto"/>
        <w:tabs>
          <w:tab w:leader="none" w:pos="90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86" w:lineRule="exact"/>
        <w:rPr>
          <w:rFonts w:ascii="Times New Roman" w:cs="Times New Roman" w:eastAsia="Times New Roman" w:hAnsi="Times New Roman"/>
          <w:sz w:val="22"/>
          <w:szCs w:val="22"/>
          <w:color w:val="auto"/>
        </w:rPr>
      </w:pPr>
    </w:p>
    <w:p>
      <w:pPr>
        <w:ind w:right="160" w:firstLine="397"/>
        <w:spacing w:after="0" w:line="238" w:lineRule="auto"/>
        <w:tabs>
          <w:tab w:leader="none" w:pos="90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of Full Understanding</w:t>
      </w:r>
      <w:r>
        <w:rPr>
          <w:rFonts w:ascii="Times New Roman" w:cs="Times New Roman" w:eastAsia="Times New Roman" w:hAnsi="Times New Roman"/>
          <w:sz w:val="22"/>
          <w:szCs w:val="22"/>
          <w:color w:val="auto"/>
        </w:rPr>
        <w:t>. THE EXECUTIVE ACKNOWLEDGES AND AGREES THAT THE EXECUTIVE HAS FULLY READ, UNDERSTANDS AND VOLUNTARILY ENTERS INTO THIS AGREEMENT. THE EXECUTIVE ACKNOWLEDGES AND AGREES THAT THE EXECUTIVE HAS HAD AN OPPORTUNITY TO ASK QUESTIONS AND CONSULT WITH AN ATTORNEY OF THE EXECUTIVE’S CHOICE BEFORE SIGNING THIS AGREEMENT.</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233"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Denis Phares</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-158115</wp:posOffset>
            </wp:positionV>
            <wp:extent cx="23399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4445</wp:posOffset>
            </wp:positionV>
            <wp:extent cx="23399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0">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-158115</wp:posOffset>
            </wp:positionV>
            <wp:extent cx="23399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EXECUTIVE</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  /s/ John Marchetti</w:t>
      </w:r>
    </w:p>
    <w:p>
      <w:pPr>
        <w:spacing w:after="0" w:line="4" w:lineRule="exact"/>
        <w:rPr>
          <w:sz w:val="20"/>
          <w:szCs w:val="20"/>
          <w:color w:val="auto"/>
        </w:rPr>
      </w:pPr>
    </w:p>
    <w:p>
      <w:pPr>
        <w:ind w:left="220"/>
        <w:spacing w:after="0"/>
        <w:tabs>
          <w:tab w:leader="none" w:pos="1240" w:val="left"/>
        </w:tabs>
        <w:rPr>
          <w:sz w:val="20"/>
          <w:szCs w:val="20"/>
          <w:color w:val="auto"/>
        </w:rPr>
      </w:pPr>
      <w:r>
        <w:rPr>
          <w:rFonts w:ascii="Times New Roman" w:cs="Times New Roman" w:eastAsia="Times New Roman" w:hAnsi="Times New Roman"/>
          <w:sz w:val="22"/>
          <w:szCs w:val="22"/>
          <w:color w:val="auto"/>
        </w:rPr>
        <w:t>Print</w:t>
      </w:r>
      <w:r>
        <w:rPr>
          <w:sz w:val="20"/>
          <w:szCs w:val="20"/>
          <w:color w:val="auto"/>
        </w:rPr>
        <w:tab/>
      </w:r>
      <w:r>
        <w:rPr>
          <w:rFonts w:ascii="Times New Roman" w:cs="Times New Roman" w:eastAsia="Times New Roman" w:hAnsi="Times New Roman"/>
          <w:sz w:val="22"/>
          <w:szCs w:val="22"/>
          <w:color w:val="auto"/>
        </w:rPr>
        <w:t>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20656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2">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767080</wp:posOffset>
            </wp:positionV>
            <wp:extent cx="629221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60" w:top="409" w:right="999" w:bottom="1440" w:gutter="0" w:footer="0" w:header="0"/>
        </w:sectPr>
      </w:pPr>
    </w:p>
    <w:bookmarkStart w:id="248" w:name="page249"/>
    <w:bookmarkEnd w:id="248"/>
    <w:p>
      <w:pPr>
        <w:jc w:val="center"/>
        <w:ind w:right="180"/>
        <w:spacing w:after="0"/>
        <w:rPr>
          <w:sz w:val="20"/>
          <w:szCs w:val="20"/>
          <w:color w:val="auto"/>
        </w:rPr>
      </w:pPr>
      <w:r>
        <w:rPr>
          <w:rFonts w:ascii="Times New Roman" w:cs="Times New Roman" w:eastAsia="Times New Roman" w:hAnsi="Times New Roman"/>
          <w:sz w:val="22"/>
          <w:szCs w:val="22"/>
          <w:color w:val="auto"/>
        </w:rPr>
        <w:t>RESTRICTIVE COVENANT AGREEMENT</w:t>
      </w:r>
    </w:p>
    <w:p>
      <w:pPr>
        <w:spacing w:after="0" w:line="179" w:lineRule="exact"/>
        <w:rPr>
          <w:sz w:val="20"/>
          <w:szCs w:val="20"/>
          <w:color w:val="auto"/>
        </w:rPr>
      </w:pPr>
    </w:p>
    <w:p>
      <w:pPr>
        <w:jc w:val="both"/>
        <w:ind w:firstLine="647"/>
        <w:spacing w:after="0" w:line="244" w:lineRule="auto"/>
        <w:rPr>
          <w:sz w:val="20"/>
          <w:szCs w:val="20"/>
          <w:color w:val="auto"/>
        </w:rPr>
      </w:pPr>
      <w:r>
        <w:rPr>
          <w:rFonts w:ascii="Times New Roman" w:cs="Times New Roman" w:eastAsia="Times New Roman" w:hAnsi="Times New Roman"/>
          <w:sz w:val="22"/>
          <w:szCs w:val="22"/>
          <w:color w:val="auto"/>
        </w:rPr>
        <w:t>As a condition of my being retained as an employee of Dragonfly Energy Holdings Corp., its subsidiaries, affiliates, successors or assigns (together, the “Company”), and in consideration of Five Thousand Dollars ($5,000) paid to me by Company, I agree to the following:</w:t>
      </w:r>
    </w:p>
    <w:p>
      <w:pPr>
        <w:spacing w:after="0" w:line="133" w:lineRule="exact"/>
        <w:rPr>
          <w:sz w:val="20"/>
          <w:szCs w:val="20"/>
          <w:color w:val="auto"/>
        </w:rPr>
      </w:pPr>
    </w:p>
    <w:p>
      <w:pPr>
        <w:ind w:right="100" w:firstLine="655"/>
        <w:spacing w:after="0" w:line="234" w:lineRule="auto"/>
        <w:tabs>
          <w:tab w:leader="none" w:pos="129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 xml:space="preserve"> I shall not, at any time during the period of my employment with the Company and for 1 year immediately following the termination of my employment with the Company (collectively, the “Non-compete Period”), and within a 100-mile radius of the corporate office location at the time of termination of employment. During the Non-compete Period, I will not directly or indirectly engage in, provide services to, have any equity interest in (except as a holder of less than 2% of the combined voting power of the outstanding stock of a publicly held company) or consulting relationship with, or manage or operate any person, firm, corporation, partnership or other business that competes with the business of the Company within the energy storage industry (whether as director, officer, employee, agent, representative, partner, security holder, consultant or otherwise).</w:t>
      </w:r>
    </w:p>
    <w:p>
      <w:pPr>
        <w:spacing w:after="0" w:line="142" w:lineRule="exact"/>
        <w:rPr>
          <w:rFonts w:ascii="Times New Roman" w:cs="Times New Roman" w:eastAsia="Times New Roman" w:hAnsi="Times New Roman"/>
          <w:sz w:val="22"/>
          <w:szCs w:val="22"/>
          <w:color w:val="auto"/>
        </w:rPr>
      </w:pPr>
    </w:p>
    <w:p>
      <w:pPr>
        <w:ind w:firstLine="656"/>
        <w:spacing w:after="0" w:line="243" w:lineRule="auto"/>
        <w:tabs>
          <w:tab w:leader="none" w:pos="1296"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 and Non-Use of Confidential Information</w:t>
      </w:r>
      <w:r>
        <w:rPr>
          <w:rFonts w:ascii="Times New Roman" w:cs="Times New Roman" w:eastAsia="Times New Roman" w:hAnsi="Times New Roman"/>
          <w:sz w:val="21"/>
          <w:szCs w:val="21"/>
          <w:color w:val="auto"/>
        </w:rPr>
        <w:t>. I will at all times during the term of my employment and at all times thereafter, maintain the confidentiality of the Confidential Information (as defined below), and will not, directly or indirectly, disclose any of the Confidential Information to any person or entity, except as is strictly necessary in the performance of my assigned duties as an employee of the Company or as required by law or legal process. In addition, I will not at any time during the term of my employment or at any time thereafter use any of the Confidential Information for my direct or indirect benefit, or the direct or indirect benefit of any person or entity other than the Company. The fact that any information or data is not marked as confidential or proprietary shall not adversely affect its status as Confidential Information. I understand that the term “Confidential Information” shall mean all technical, financial, commercial and other information and data, without regard to form or medium, relating to the Company or any of its actual or prospective customers that is not generally known to the public. However, any information and data which becomes generally known to the public because of my failure to abide by this Agreement or another’s breach of confidentiality obligations with respect to such information will be considered Confidential Information. By way of illustration, I understand that Confidential Information includes, but is not limited to, the following kinds of information and data: customer and prospect lists; pricing information; information relating to actual or prospective transactions with customers; technology; inventions; know-how; computer codes and instructions; business or market studies; business and product development plans and efforts; personnel data; and information, financial or otherwise, relating to the Company’s actual and prospective customers, consultants, contractors and vendors and the nature and terms of the Company’s relationship with any of them.</w:t>
      </w:r>
    </w:p>
    <w:p>
      <w:pPr>
        <w:spacing w:after="0" w:line="160" w:lineRule="exact"/>
        <w:rPr>
          <w:rFonts w:ascii="Times New Roman" w:cs="Times New Roman" w:eastAsia="Times New Roman" w:hAnsi="Times New Roman"/>
          <w:sz w:val="21"/>
          <w:szCs w:val="21"/>
          <w:color w:val="auto"/>
        </w:rPr>
      </w:pPr>
    </w:p>
    <w:p>
      <w:pPr>
        <w:jc w:val="both"/>
        <w:ind w:right="160" w:firstLine="656"/>
        <w:spacing w:after="0" w:line="238" w:lineRule="auto"/>
        <w:tabs>
          <w:tab w:leader="none" w:pos="129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Former Employee Information</w:t>
      </w:r>
      <w:r>
        <w:rPr>
          <w:rFonts w:ascii="Times New Roman" w:cs="Times New Roman" w:eastAsia="Times New Roman" w:hAnsi="Times New Roman"/>
          <w:sz w:val="22"/>
          <w:szCs w:val="22"/>
          <w:color w:val="auto"/>
        </w:rPr>
        <w:t>. I represent that I have abided by any and all policies, directives, requirements and restrictions on the part of my current and previous employers concerning possession and use of proprietary information or property and that I will not disclose to the Company or use any such information or property in connection with my employment with the Company in violation of any such policies, directives, requirements or restrictions.</w:t>
      </w:r>
    </w:p>
    <w:p>
      <w:pPr>
        <w:spacing w:after="0" w:line="136" w:lineRule="exact"/>
        <w:rPr>
          <w:rFonts w:ascii="Times New Roman" w:cs="Times New Roman" w:eastAsia="Times New Roman" w:hAnsi="Times New Roman"/>
          <w:sz w:val="22"/>
          <w:szCs w:val="22"/>
          <w:color w:val="auto"/>
        </w:rPr>
      </w:pPr>
    </w:p>
    <w:p>
      <w:pPr>
        <w:ind w:right="20" w:firstLine="655"/>
        <w:spacing w:after="0" w:line="238" w:lineRule="auto"/>
        <w:tabs>
          <w:tab w:leader="none" w:pos="129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I recognize that the Company has received and in the future will receive confidential or proprietary information from third parties subject to a duty on the Company’s part to maintain the confidentiality of such information and to use it only for certain limited purposes. I agree to hold any such confidential or proprietary information that I have access to in the strictest confidence and not to disclose it to any person, firm or corporation or to use it except as necessary in carrying out 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755650</wp:posOffset>
            </wp:positionV>
            <wp:extent cx="629221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160" w:top="409" w:right="999" w:bottom="1440" w:gutter="0" w:footer="0" w:header="0"/>
        </w:sectPr>
      </w:pPr>
    </w:p>
    <w:bookmarkStart w:id="249" w:name="page250"/>
    <w:bookmarkEnd w:id="249"/>
    <w:p>
      <w:pPr>
        <w:ind w:right="120"/>
        <w:spacing w:after="0" w:line="258" w:lineRule="auto"/>
        <w:rPr>
          <w:sz w:val="20"/>
          <w:szCs w:val="20"/>
          <w:color w:val="auto"/>
        </w:rPr>
      </w:pPr>
      <w:r>
        <w:rPr>
          <w:rFonts w:ascii="Times New Roman" w:cs="Times New Roman" w:eastAsia="Times New Roman" w:hAnsi="Times New Roman"/>
          <w:sz w:val="22"/>
          <w:szCs w:val="22"/>
          <w:color w:val="auto"/>
        </w:rPr>
        <w:t>work for the Company consistent with the Company’s policies and agreements with any such third party and in compliance with all securities and other laws and regulations.</w:t>
      </w:r>
    </w:p>
    <w:p>
      <w:pPr>
        <w:spacing w:after="0" w:line="131" w:lineRule="exact"/>
        <w:rPr>
          <w:sz w:val="20"/>
          <w:szCs w:val="20"/>
          <w:color w:val="auto"/>
        </w:rPr>
      </w:pPr>
    </w:p>
    <w:p>
      <w:pPr>
        <w:ind w:right="140" w:firstLine="656"/>
        <w:spacing w:after="0" w:line="236" w:lineRule="auto"/>
        <w:tabs>
          <w:tab w:leader="none" w:pos="129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I will not remove or transfer from any of the Company’s offices or premises any materials or property of the Company (including, without limitation, materials and property containing Confidential Information), except as is strictly necessary in the performance of my assigned duties as an employee. Promptly upon the Company’s request, and in any event promptly upon the termination of my employment, I will return to the Company all materials and property that I removed and I will not retain copies of any of such materials and property.</w:t>
      </w:r>
    </w:p>
    <w:p>
      <w:pPr>
        <w:spacing w:after="0" w:line="140" w:lineRule="exact"/>
        <w:rPr>
          <w:rFonts w:ascii="Times New Roman" w:cs="Times New Roman" w:eastAsia="Times New Roman" w:hAnsi="Times New Roman"/>
          <w:sz w:val="22"/>
          <w:szCs w:val="22"/>
          <w:color w:val="auto"/>
        </w:rPr>
      </w:pPr>
    </w:p>
    <w:p>
      <w:pPr>
        <w:ind w:right="20" w:firstLine="656"/>
        <w:spacing w:after="0" w:line="232"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Inventions</w:t>
      </w:r>
      <w:r>
        <w:rPr>
          <w:rFonts w:ascii="Times New Roman" w:cs="Times New Roman" w:eastAsia="Times New Roman" w:hAnsi="Times New Roman"/>
          <w:sz w:val="22"/>
          <w:szCs w:val="22"/>
          <w:color w:val="auto"/>
        </w:rPr>
        <w:t>. I agree that I will promptly make full written disclosure to the Company, will hold in trust for the sole right and benefit of the Company, and hereby assign to the Company, or its designee, all my right, title and interest throughout the world in and to any and all inventions, discoveries, original works of authorship and derivative works thereof, developments, concepts, know-how, improvements, trademarks or trade secrets, whether or not patentable or registrable under copyright, trademark or similar laws, which I may solely or jointly conceive or develop or reduce to practice, or cause to be conceived or developed or reduced to practice, during the term of my employment, whether during working hours or otherwise, in each case in any manner related to the Company’s actual or anticipated business (collectively referred to as “Inventions”). I further acknowledge that all Inventions which are original works of authorship or otherwise constitute copyrightable subject matter are “works made for hire” within the meaning of the United States Copyright Act and any similar laws of other jurisdictions (to the greatest extent permitted by applicable law) and are compensated by my salary, and to the extent any such work is determined not to be a “work for hire”, that I will assign to the Company any such original work of authorship as its exclusive property. I agree to keep and maintain adequate and current written records of all Inventions made by me (solely or jointly with others) during the term of my employment with the Company, which notes shall be and remain property of the Company. I hereby waive and irrevocably quitclaim to the Company any and all claims, of any nature whatsoever, which I may now or hereafter have for infringement of any and all proprietary rights assigned to the Company. I agree, whether before or after termination of my employment with the Company, to assist the Company (at its expense), or in every reasonable way to secure the Company’s rights in the Inventions and any copyrights, patents, trademarks, mask work rights, moral rights, or other intellectual property rights relating thereto in any and all countries.</w:t>
      </w:r>
    </w:p>
    <w:p>
      <w:pPr>
        <w:spacing w:after="0" w:line="143" w:lineRule="exact"/>
        <w:rPr>
          <w:rFonts w:ascii="Times New Roman" w:cs="Times New Roman" w:eastAsia="Times New Roman" w:hAnsi="Times New Roman"/>
          <w:sz w:val="22"/>
          <w:szCs w:val="22"/>
          <w:color w:val="auto"/>
        </w:rPr>
      </w:pPr>
    </w:p>
    <w:p>
      <w:pPr>
        <w:ind w:firstLine="655"/>
        <w:spacing w:after="0" w:line="233" w:lineRule="auto"/>
        <w:tabs>
          <w:tab w:leader="none" w:pos="129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During my employment with the Company and for a period of 1 year after the termination of my employment with the Company, whether such termination is with or without cause, and whether such termination is effected by either the Company or me, I will not, directly or indirectly, for myself or any third party other than the Company (i) recruit or solicit or request the employment or services of any person who is an employee of the Company, or entice any employee of the Company to leave the employ of the Company, or to violate any agreement with the Company; or (ii) solicit sales from any of the Company’s customers for any product or service which competes with any product or service sold or provided by the Company prior to my termination of my employment with the Company or which, at the time of the termination of my employment with the Company is intended to be sold or provided by the Company to any customer or potential customer (including in connection with any pending or proposed transactions), and about which I had access to Confidential Information or on which I worked in any capacity at any time during my employment with the Company. I acknowledge that the limitations of time and scope of activity agreed to above are reasonable because, among other things, the Company is engaged in a highly competitive industry and these limitations are necessary to protect the trade secrets, Confidential Information, and goodwill of the Company. I further acknowledge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763905</wp:posOffset>
            </wp:positionV>
            <wp:extent cx="629221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60" w:top="423" w:right="999" w:bottom="1440" w:gutter="0" w:footer="0" w:header="0"/>
        </w:sectPr>
      </w:pPr>
    </w:p>
    <w:bookmarkStart w:id="250" w:name="page251"/>
    <w:bookmarkEnd w:id="250"/>
    <w:p>
      <w:pPr>
        <w:ind w:right="460"/>
        <w:spacing w:after="0" w:line="258" w:lineRule="auto"/>
        <w:rPr>
          <w:sz w:val="20"/>
          <w:szCs w:val="20"/>
          <w:color w:val="auto"/>
        </w:rPr>
      </w:pPr>
      <w:r>
        <w:rPr>
          <w:rFonts w:ascii="Times New Roman" w:cs="Times New Roman" w:eastAsia="Times New Roman" w:hAnsi="Times New Roman"/>
          <w:sz w:val="22"/>
          <w:szCs w:val="22"/>
          <w:color w:val="auto"/>
        </w:rPr>
        <w:t>that I will be able to obtain suitable employment in my chosen profession without violating this Agreement should my employment with the Company end.</w:t>
      </w:r>
    </w:p>
    <w:p>
      <w:pPr>
        <w:spacing w:after="0" w:line="131" w:lineRule="exact"/>
        <w:rPr>
          <w:sz w:val="20"/>
          <w:szCs w:val="20"/>
          <w:color w:val="auto"/>
        </w:rPr>
      </w:pPr>
    </w:p>
    <w:p>
      <w:pPr>
        <w:ind w:right="120" w:firstLine="655"/>
        <w:spacing w:after="0" w:line="233" w:lineRule="auto"/>
        <w:tabs>
          <w:tab w:leader="none" w:pos="129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Returning Company Documents</w:t>
      </w:r>
      <w:r>
        <w:rPr>
          <w:rFonts w:ascii="Times New Roman" w:cs="Times New Roman" w:eastAsia="Times New Roman" w:hAnsi="Times New Roman"/>
          <w:sz w:val="22"/>
          <w:szCs w:val="22"/>
          <w:color w:val="auto"/>
        </w:rPr>
        <w:t>. I agree that, at the time of termination of my employment with the Company, I will deliver to the Company (and will not keep in my possession, recreate or deliver to anyone else) any and all devices, records, customer or prospect lists, data, notes, reports, proposals, lists, correspondence, specifications, drawings, blueprints, sketches, laboratory notebooks, materials, flow charts, equipment, other documents or property, or reproductions of any aforementioned items developed by me pursuant to my employment or otherwise belonging to the Company, its or any of its successors or assigns. I further agree that any property situated on the Company’s premises and owned by the Company including, computers, software, printers, voicemail, email, telephones, facsimile, disks and other storage media, filing cabinets or other work areas, is subject to inspection by Company personnel at any time with or without notice. In the event of the termination of my employment, I agree to sign a certification reaffirming my obligations under this Agreement.</w:t>
      </w:r>
    </w:p>
    <w:p>
      <w:pPr>
        <w:spacing w:after="0" w:line="146" w:lineRule="exact"/>
        <w:rPr>
          <w:rFonts w:ascii="Times New Roman" w:cs="Times New Roman" w:eastAsia="Times New Roman" w:hAnsi="Times New Roman"/>
          <w:sz w:val="22"/>
          <w:szCs w:val="22"/>
          <w:color w:val="auto"/>
        </w:rPr>
      </w:pPr>
    </w:p>
    <w:p>
      <w:pPr>
        <w:ind w:right="100" w:firstLine="656"/>
        <w:spacing w:after="0" w:line="239" w:lineRule="auto"/>
        <w:tabs>
          <w:tab w:leader="none" w:pos="129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to Other Parties</w:t>
      </w:r>
      <w:r>
        <w:rPr>
          <w:rFonts w:ascii="Times New Roman" w:cs="Times New Roman" w:eastAsia="Times New Roman" w:hAnsi="Times New Roman"/>
          <w:sz w:val="22"/>
          <w:szCs w:val="22"/>
          <w:color w:val="auto"/>
        </w:rPr>
        <w:t>. I hereby grant consent to notification by the Company to any other parties besides the Company with whom I maintain, or may hereafter maintain, an employment or consulting relationship, including parties with whom such relationship commences after the effective date of this Agreement, of my rights and obligations under this Agreement.</w:t>
      </w:r>
    </w:p>
    <w:p>
      <w:pPr>
        <w:spacing w:after="0" w:line="139" w:lineRule="exact"/>
        <w:rPr>
          <w:rFonts w:ascii="Times New Roman" w:cs="Times New Roman" w:eastAsia="Times New Roman" w:hAnsi="Times New Roman"/>
          <w:sz w:val="22"/>
          <w:szCs w:val="22"/>
          <w:color w:val="auto"/>
        </w:rPr>
      </w:pPr>
    </w:p>
    <w:p>
      <w:pPr>
        <w:ind w:right="80" w:firstLine="656"/>
        <w:spacing w:after="0" w:line="249" w:lineRule="auto"/>
        <w:tabs>
          <w:tab w:leader="none" w:pos="129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Restrictions</w:t>
      </w:r>
      <w:r>
        <w:rPr>
          <w:rFonts w:ascii="Times New Roman" w:cs="Times New Roman" w:eastAsia="Times New Roman" w:hAnsi="Times New Roman"/>
          <w:sz w:val="21"/>
          <w:szCs w:val="21"/>
          <w:color w:val="auto"/>
        </w:rPr>
        <w:t>. I certify that I am not subject to any employment contract, non-compete agreement, non-solicitation agreement or other similar restrictions or agreements, except as disclosed in writing to the Company’s Compensation Committee and Chief Legal Officer. I further represent that I will not be breaching any such agreement or restriction by accepting employment with the Company and performing my duties in connection therewith. I represent and warrant that all information that I have furnished and that I will furnish to the Company in connection with my employment with the Company is or will be true and complete.</w:t>
      </w:r>
    </w:p>
    <w:p>
      <w:pPr>
        <w:spacing w:after="0" w:line="143" w:lineRule="exact"/>
        <w:rPr>
          <w:rFonts w:ascii="Times New Roman" w:cs="Times New Roman" w:eastAsia="Times New Roman" w:hAnsi="Times New Roman"/>
          <w:sz w:val="21"/>
          <w:szCs w:val="21"/>
          <w:color w:val="auto"/>
        </w:rPr>
      </w:pPr>
    </w:p>
    <w:p>
      <w:pPr>
        <w:ind w:right="40" w:firstLine="656"/>
        <w:spacing w:after="0" w:line="236" w:lineRule="auto"/>
        <w:tabs>
          <w:tab w:leader="none" w:pos="129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Provisions; Amendment; Assignment</w:t>
      </w:r>
      <w:r>
        <w:rPr>
          <w:rFonts w:ascii="Times New Roman" w:cs="Times New Roman" w:eastAsia="Times New Roman" w:hAnsi="Times New Roman"/>
          <w:sz w:val="22"/>
          <w:szCs w:val="22"/>
          <w:color w:val="auto"/>
        </w:rPr>
        <w:t>. My obligations as set forth in this Agreement will survive the termination of my employment with the Company. None of the provisions contained in this Agreement can be changed without a written agreement signed by each of me and the Company. I acknowledge that I have no right or power to assign this Agreement. I also acknowledge that the Company may freely assign this Agreement in connection with any merger, reorganization, sale of all or any material portion of its assets, or any similar transaction.</w:t>
      </w:r>
    </w:p>
    <w:p>
      <w:pPr>
        <w:spacing w:after="0" w:line="140"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Equitable Relief</w:t>
      </w:r>
      <w:r>
        <w:rPr>
          <w:rFonts w:ascii="Times New Roman" w:cs="Times New Roman" w:eastAsia="Times New Roman" w:hAnsi="Times New Roman"/>
          <w:sz w:val="22"/>
          <w:szCs w:val="22"/>
          <w:color w:val="auto"/>
        </w:rPr>
        <w:t>. If I breach or threaten to breach any provision of this Agreement, the Company will be entitled, as a matter of right, to injunctive relief, including specific performance, with respect to any such breach or threatened breach. The Company’s rights and remedies under this Section 13 are in addition to and cumulative with any other rights and remedies to which the Company may be entitled.</w:t>
      </w:r>
    </w:p>
    <w:p>
      <w:pPr>
        <w:spacing w:after="0" w:line="139" w:lineRule="exact"/>
        <w:rPr>
          <w:rFonts w:ascii="Times New Roman" w:cs="Times New Roman" w:eastAsia="Times New Roman" w:hAnsi="Times New Roman"/>
          <w:sz w:val="22"/>
          <w:szCs w:val="22"/>
          <w:color w:val="auto"/>
        </w:rPr>
      </w:pPr>
    </w:p>
    <w:p>
      <w:pPr>
        <w:ind w:right="20" w:firstLine="656"/>
        <w:spacing w:after="0" w:line="235" w:lineRule="auto"/>
        <w:tabs>
          <w:tab w:leader="none" w:pos="129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 acknowledge that the obligations and restrictions contained in this Agreement are reasonable and necessary to protect the legitimate interests of the Company. Each provision in this Agreement is an independent provision and the enforceability of any one provision will not affect the enforceability of any other provision. However, if any particular provision of this Agreement is determined by a court to be excessively broad as to duration, geographic scope, activity or subject to be enforceable, then that provision will be deemed amended by limiting and reducing it so as to be valid and enforceable to the maximum extent compatible with the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768350</wp:posOffset>
            </wp:positionV>
            <wp:extent cx="629221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60" w:top="423" w:right="999" w:bottom="1440" w:gutter="0" w:footer="0" w:header="0"/>
        </w:sectPr>
      </w:pPr>
    </w:p>
    <w:bookmarkStart w:id="251" w:name="page252"/>
    <w:bookmarkEnd w:id="251"/>
    <w:p>
      <w:pPr>
        <w:ind w:left="180" w:right="100" w:firstLine="656"/>
        <w:spacing w:after="0" w:line="238" w:lineRule="auto"/>
        <w:tabs>
          <w:tab w:leader="none" w:pos="147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 of Rights; Binding Obligation</w:t>
      </w:r>
      <w:r>
        <w:rPr>
          <w:rFonts w:ascii="Times New Roman" w:cs="Times New Roman" w:eastAsia="Times New Roman" w:hAnsi="Times New Roman"/>
          <w:sz w:val="22"/>
          <w:szCs w:val="22"/>
          <w:color w:val="auto"/>
        </w:rPr>
        <w:t>. Any waiver by the Company of any power or right under this Agreement must be in writing and signed by the Company to be enforceable. Any waiver by the Company will not operate as a waiver of any other or future breach under this Agreement. This Agreement will be binding upon me and my heirs, executors and administrators and will inure to the benefit of the Company and its successors and assigns.</w:t>
      </w:r>
    </w:p>
    <w:p>
      <w:pPr>
        <w:spacing w:after="0" w:line="149" w:lineRule="exact"/>
        <w:rPr>
          <w:rFonts w:ascii="Times New Roman" w:cs="Times New Roman" w:eastAsia="Times New Roman" w:hAnsi="Times New Roman"/>
          <w:sz w:val="22"/>
          <w:szCs w:val="22"/>
          <w:color w:val="auto"/>
        </w:rPr>
      </w:pPr>
    </w:p>
    <w:p>
      <w:pPr>
        <w:ind w:left="180" w:right="20" w:firstLine="656"/>
        <w:spacing w:after="0" w:line="236" w:lineRule="auto"/>
        <w:tabs>
          <w:tab w:leader="none" w:pos="1475"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Choice of Forum and Venue</w:t>
      </w:r>
      <w:r>
        <w:rPr>
          <w:rFonts w:ascii="Times New Roman" w:cs="Times New Roman" w:eastAsia="Times New Roman" w:hAnsi="Times New Roman"/>
          <w:sz w:val="22"/>
          <w:szCs w:val="22"/>
          <w:color w:val="auto"/>
        </w:rPr>
        <w:t>. This Agreement will be governed and construed as to its validity, interpretation and effect by the laws of Nevada notwithstanding the choice of law rules of Nevada or any other jurisdiction that would dictate application of the laws of any other jurisdiction. I also hereby irrevocably and unconditionally consent to the exclusive jurisdiction and venue of the state and federal courts serving Washoe County, Nevada. These provisions remain in full force in effect, regardless of any change in situs of the company.</w:t>
      </w:r>
    </w:p>
    <w:p>
      <w:pPr>
        <w:spacing w:after="0" w:line="141" w:lineRule="exact"/>
        <w:rPr>
          <w:sz w:val="20"/>
          <w:szCs w:val="20"/>
          <w:color w:val="auto"/>
        </w:rPr>
      </w:pPr>
    </w:p>
    <w:p>
      <w:pPr>
        <w:ind w:left="200" w:right="1660" w:firstLine="635"/>
        <w:spacing w:after="0" w:line="454" w:lineRule="auto"/>
        <w:rPr>
          <w:sz w:val="20"/>
          <w:szCs w:val="20"/>
          <w:color w:val="auto"/>
        </w:rPr>
      </w:pPr>
      <w:r>
        <w:rPr>
          <w:rFonts w:ascii="Times New Roman" w:cs="Times New Roman" w:eastAsia="Times New Roman" w:hAnsi="Times New Roman"/>
          <w:sz w:val="22"/>
          <w:szCs w:val="22"/>
          <w:color w:val="auto"/>
        </w:rPr>
        <w:t>IN WITNESS WHEREOF, I have signed this Agreement as of the date written below. EXECUTIVE</w:t>
      </w:r>
    </w:p>
    <w:tbl>
      <w:tblPr>
        <w:tblLayout w:type="fixed"/>
        <w:tblInd w:w="0" w:type="dxa"/>
        <w:tblCellMar>
          <w:top w:w="0" w:type="dxa"/>
          <w:left w:w="0" w:type="dxa"/>
          <w:bottom w:w="0" w:type="dxa"/>
          <w:right w:w="0" w:type="dxa"/>
        </w:tblCellMar>
      </w:tblPr>
      <w:tr>
        <w:trPr>
          <w:trHeight w:val="244"/>
        </w:trPr>
        <w:tc>
          <w:tcPr>
            <w:tcW w:w="1360" w:type="dxa"/>
            <w:vAlign w:val="bottom"/>
          </w:tcPr>
          <w:p>
            <w:pPr>
              <w:ind w:left="200"/>
              <w:spacing w:after="0" w:line="244" w:lineRule="exact"/>
              <w:rPr>
                <w:sz w:val="20"/>
                <w:szCs w:val="20"/>
                <w:color w:val="auto"/>
              </w:rPr>
            </w:pPr>
            <w:r>
              <w:rPr>
                <w:rFonts w:ascii="Times New Roman" w:cs="Times New Roman" w:eastAsia="Times New Roman" w:hAnsi="Times New Roman"/>
                <w:sz w:val="22"/>
                <w:szCs w:val="22"/>
                <w:color w:val="auto"/>
              </w:rPr>
              <w:t>Signature:</w:t>
            </w:r>
          </w:p>
        </w:tc>
        <w:tc>
          <w:tcPr>
            <w:tcW w:w="352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/s/ John Marchetti</w:t>
            </w:r>
          </w:p>
        </w:tc>
        <w:tc>
          <w:tcPr>
            <w:tcW w:w="5040" w:type="dxa"/>
            <w:vAlign w:val="bottom"/>
          </w:tcPr>
          <w:p>
            <w:pPr>
              <w:ind w:left="540"/>
              <w:spacing w:after="0" w:line="244" w:lineRule="exact"/>
              <w:rPr>
                <w:sz w:val="20"/>
                <w:szCs w:val="20"/>
                <w:color w:val="auto"/>
              </w:rPr>
            </w:pPr>
            <w:r>
              <w:rPr>
                <w:rFonts w:ascii="Times New Roman" w:cs="Times New Roman" w:eastAsia="Times New Roman" w:hAnsi="Times New Roman"/>
                <w:sz w:val="22"/>
                <w:szCs w:val="22"/>
                <w:color w:val="auto"/>
              </w:rPr>
              <w:t>Date:Oct 11, 2022</w:t>
            </w:r>
          </w:p>
        </w:tc>
        <w:tc>
          <w:tcPr>
            <w:tcW w:w="0" w:type="dxa"/>
            <w:vAlign w:val="bottom"/>
          </w:tcPr>
          <w:p>
            <w:pPr>
              <w:spacing w:after="0"/>
              <w:rPr>
                <w:sz w:val="1"/>
                <w:szCs w:val="1"/>
                <w:color w:val="auto"/>
              </w:rPr>
            </w:pPr>
          </w:p>
        </w:tc>
      </w:tr>
      <w:tr>
        <w:trPr>
          <w:trHeight w:val="27"/>
        </w:trPr>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Print Name:</w:t>
            </w:r>
          </w:p>
        </w:tc>
        <w:tc>
          <w:tcPr>
            <w:tcW w:w="35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360" w:type="dxa"/>
            <w:vAlign w:val="bottom"/>
            <w:vMerge w:val="continue"/>
          </w:tcPr>
          <w:p>
            <w:pPr>
              <w:spacing w:after="0"/>
              <w:rPr>
                <w:sz w:val="23"/>
                <w:szCs w:val="23"/>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John Marchetti</w:t>
            </w:r>
          </w:p>
        </w:tc>
        <w:tc>
          <w:tcPr>
            <w:tcW w:w="5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7"/>
        </w:trPr>
        <w:tc>
          <w:tcPr>
            <w:tcW w:w="13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23" w:right="99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on Form S-1, of our report dated March 28, 2022, relating to the financial statements of Chardan NexTech Acquisition 2 Corp. which is contained in that Registration Statement. We also consent to the reference to us under the caption “Experts”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our report dated April 20, 2022, relating to the financial statements of Dragonfly Energy Corp., which is contained in that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4" w:name="page255"/>
    <w:bookmarkEnd w:id="254"/>
    <w:p>
      <w:pPr>
        <w:ind w:left="904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CALCULATION OF FILING FEE TABLE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Type)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DRAGONFLY ENERGY HOLDINGS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 Newly Registered Securities</w:t>
      </w: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1000" w:type="dxa"/>
            <w:vAlign w:val="bottom"/>
            <w:tcBorders>
              <w:top w:val="single" w:sz="8" w:color="auto"/>
              <w:left w:val="single" w:sz="8" w:color="auto"/>
              <w:right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40" w:type="dxa"/>
            <w:vAlign w:val="bottom"/>
            <w:tcBorders>
              <w:top w:val="single" w:sz="8" w:color="auto"/>
              <w:right w:val="single" w:sz="8" w:color="auto"/>
            </w:tcBorders>
          </w:tcPr>
          <w:p>
            <w:pPr>
              <w:spacing w:after="0"/>
              <w:rPr>
                <w:sz w:val="14"/>
                <w:szCs w:val="14"/>
                <w:color w:val="auto"/>
              </w:rPr>
            </w:pP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44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04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44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 Per</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98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90"/>
        </w:trPr>
        <w:tc>
          <w:tcPr>
            <w:tcW w:w="100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8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Fees to be Paid</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80" w:type="dxa"/>
            <w:vAlign w:val="bottom"/>
            <w:tcBorders>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Common stock, par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457(c)</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38,132,989</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$7.66(3)</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$292,098,696</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0.000110200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$32,189.28</w:t>
            </w: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value $0.0001 per</w:t>
            </w:r>
          </w:p>
        </w:tc>
        <w:tc>
          <w:tcPr>
            <w:tcW w:w="90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share(2)</w:t>
            </w:r>
          </w:p>
        </w:tc>
        <w:tc>
          <w:tcPr>
            <w:tcW w:w="9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80" w:type="dxa"/>
            <w:vAlign w:val="bottom"/>
            <w:tcBorders>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Warrants to purchase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457(g)</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8,820,914</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07"/>
        </w:trPr>
        <w:tc>
          <w:tcPr>
            <w:tcW w:w="1000" w:type="dxa"/>
            <w:vAlign w:val="bottom"/>
            <w:tcBorders>
              <w:left w:val="single" w:sz="8" w:color="auto"/>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common stock(4)</w:t>
            </w:r>
          </w:p>
        </w:tc>
        <w:tc>
          <w:tcPr>
            <w:tcW w:w="9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00" w:type="dxa"/>
            <w:vAlign w:val="bottom"/>
            <w:tcBorders>
              <w:left w:val="single" w:sz="8" w:color="auto"/>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Common stock, par</w:t>
            </w: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8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value $0.0001 per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457(g)</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8,820,914</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07"/>
        </w:trPr>
        <w:tc>
          <w:tcPr>
            <w:tcW w:w="1000" w:type="dxa"/>
            <w:vAlign w:val="bottom"/>
            <w:tcBorders>
              <w:left w:val="single" w:sz="8" w:color="auto"/>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share, underlying</w:t>
            </w:r>
          </w:p>
        </w:tc>
        <w:tc>
          <w:tcPr>
            <w:tcW w:w="9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00" w:type="dxa"/>
            <w:vAlign w:val="bottom"/>
            <w:tcBorders>
              <w:left w:val="single" w:sz="8" w:color="auto"/>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warrants(6)</w:t>
            </w:r>
          </w:p>
        </w:tc>
        <w:tc>
          <w:tcPr>
            <w:tcW w:w="9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Common stock, par</w:t>
            </w: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8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value $0.0001 per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457(g)</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14,115,358</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$11.50(8)</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$162,326,617</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0.000110200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$17,888.40</w:t>
            </w:r>
          </w:p>
        </w:tc>
        <w:tc>
          <w:tcPr>
            <w:tcW w:w="0" w:type="dxa"/>
            <w:vAlign w:val="bottom"/>
          </w:tcPr>
          <w:p>
            <w:pPr>
              <w:spacing w:after="0"/>
              <w:rPr>
                <w:sz w:val="1"/>
                <w:szCs w:val="1"/>
                <w:color w:val="auto"/>
              </w:rPr>
            </w:pPr>
          </w:p>
        </w:tc>
      </w:tr>
      <w:tr>
        <w:trPr>
          <w:trHeight w:val="107"/>
        </w:trPr>
        <w:tc>
          <w:tcPr>
            <w:tcW w:w="1000" w:type="dxa"/>
            <w:vAlign w:val="bottom"/>
            <w:tcBorders>
              <w:left w:val="single" w:sz="8" w:color="auto"/>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share, underlying</w:t>
            </w:r>
          </w:p>
        </w:tc>
        <w:tc>
          <w:tcPr>
            <w:tcW w:w="9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00" w:type="dxa"/>
            <w:vAlign w:val="bottom"/>
            <w:tcBorders>
              <w:left w:val="single" w:sz="8" w:color="auto"/>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warrants(7)</w:t>
            </w:r>
          </w:p>
        </w:tc>
        <w:tc>
          <w:tcPr>
            <w:tcW w:w="9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Common stock, par</w:t>
            </w: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8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value $0.0001 per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457(g)</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1,600,000</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$10.00(8)</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$16,000,000</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0.000110200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$1,763.20</w:t>
            </w:r>
          </w:p>
        </w:tc>
        <w:tc>
          <w:tcPr>
            <w:tcW w:w="0" w:type="dxa"/>
            <w:vAlign w:val="bottom"/>
          </w:tcPr>
          <w:p>
            <w:pPr>
              <w:spacing w:after="0"/>
              <w:rPr>
                <w:sz w:val="1"/>
                <w:szCs w:val="1"/>
                <w:color w:val="auto"/>
              </w:rPr>
            </w:pPr>
          </w:p>
        </w:tc>
      </w:tr>
      <w:tr>
        <w:trPr>
          <w:trHeight w:val="107"/>
        </w:trPr>
        <w:tc>
          <w:tcPr>
            <w:tcW w:w="1000" w:type="dxa"/>
            <w:vAlign w:val="bottom"/>
            <w:tcBorders>
              <w:left w:val="single" w:sz="8" w:color="auto"/>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share, underlying</w:t>
            </w:r>
          </w:p>
        </w:tc>
        <w:tc>
          <w:tcPr>
            <w:tcW w:w="9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00" w:type="dxa"/>
            <w:vAlign w:val="bottom"/>
            <w:tcBorders>
              <w:left w:val="single" w:sz="8" w:color="auto"/>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warrants(9)</w:t>
            </w:r>
          </w:p>
        </w:tc>
        <w:tc>
          <w:tcPr>
            <w:tcW w:w="9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Common stock, par</w:t>
            </w:r>
          </w:p>
        </w:tc>
        <w:tc>
          <w:tcPr>
            <w:tcW w:w="9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8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value $0.0001 per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457(g)</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2,593,056</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$0.01(8)</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$25,930.56</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0.000110200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07"/>
        </w:trPr>
        <w:tc>
          <w:tcPr>
            <w:tcW w:w="1000" w:type="dxa"/>
            <w:vAlign w:val="bottom"/>
            <w:tcBorders>
              <w:left w:val="single" w:sz="8" w:color="auto"/>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share, underlying</w:t>
            </w:r>
          </w:p>
        </w:tc>
        <w:tc>
          <w:tcPr>
            <w:tcW w:w="9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00" w:type="dxa"/>
            <w:vAlign w:val="bottom"/>
            <w:tcBorders>
              <w:left w:val="single" w:sz="8" w:color="auto"/>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warrants(10)</w:t>
            </w:r>
          </w:p>
        </w:tc>
        <w:tc>
          <w:tcPr>
            <w:tcW w:w="9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000" w:type="dxa"/>
            <w:vAlign w:val="bottom"/>
            <w:tcBorders>
              <w:left w:val="single" w:sz="8" w:color="auto"/>
              <w:right w:val="single" w:sz="8" w:color="auto"/>
            </w:tcBorders>
          </w:tcPr>
          <w:p>
            <w:pPr>
              <w:spacing w:after="0"/>
              <w:rPr>
                <w:sz w:val="16"/>
                <w:szCs w:val="16"/>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9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$470,451,244</w:t>
            </w: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$51,843.74</w:t>
            </w:r>
          </w:p>
        </w:tc>
        <w:tc>
          <w:tcPr>
            <w:tcW w:w="0" w:type="dxa"/>
            <w:vAlign w:val="bottom"/>
          </w:tcPr>
          <w:p>
            <w:pPr>
              <w:spacing w:after="0"/>
              <w:rPr>
                <w:sz w:val="1"/>
                <w:szCs w:val="1"/>
                <w:color w:val="auto"/>
              </w:rPr>
            </w:pPr>
          </w:p>
        </w:tc>
      </w:tr>
      <w:tr>
        <w:trPr>
          <w:trHeight w:val="105"/>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000" w:type="dxa"/>
            <w:vAlign w:val="bottom"/>
            <w:tcBorders>
              <w:left w:val="single" w:sz="8" w:color="auto"/>
              <w:right w:val="single" w:sz="8" w:color="auto"/>
            </w:tcBorders>
          </w:tcPr>
          <w:p>
            <w:pPr>
              <w:spacing w:after="0"/>
              <w:rPr>
                <w:sz w:val="16"/>
                <w:szCs w:val="16"/>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9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5"/>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000" w:type="dxa"/>
            <w:vAlign w:val="bottom"/>
            <w:tcBorders>
              <w:left w:val="single" w:sz="8" w:color="auto"/>
              <w:right w:val="single" w:sz="8" w:color="auto"/>
            </w:tcBorders>
          </w:tcPr>
          <w:p>
            <w:pPr>
              <w:spacing w:after="0"/>
              <w:rPr>
                <w:sz w:val="19"/>
                <w:szCs w:val="19"/>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9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64"/>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000" w:type="dxa"/>
            <w:vAlign w:val="bottom"/>
            <w:tcBorders>
              <w:left w:val="single" w:sz="8" w:color="auto"/>
              <w:right w:val="single" w:sz="8" w:color="auto"/>
            </w:tcBorders>
          </w:tcPr>
          <w:p>
            <w:pPr>
              <w:spacing w:after="0"/>
              <w:rPr>
                <w:sz w:val="16"/>
                <w:szCs w:val="16"/>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9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$51,843.74</w:t>
            </w:r>
          </w:p>
        </w:tc>
        <w:tc>
          <w:tcPr>
            <w:tcW w:w="0" w:type="dxa"/>
            <w:vAlign w:val="bottom"/>
          </w:tcPr>
          <w:p>
            <w:pPr>
              <w:spacing w:after="0"/>
              <w:rPr>
                <w:sz w:val="1"/>
                <w:szCs w:val="1"/>
                <w:color w:val="auto"/>
              </w:rPr>
            </w:pPr>
          </w:p>
        </w:tc>
      </w:tr>
      <w:tr>
        <w:trPr>
          <w:trHeight w:val="104"/>
        </w:trPr>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3"/>
        </w:trPr>
        <w:tc>
          <w:tcPr>
            <w:tcW w:w="1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255" w:name="page256"/>
    <w:bookmarkEnd w:id="255"/>
    <w:p>
      <w:pPr>
        <w:ind w:left="332" w:hanging="332"/>
        <w:spacing w:after="0" w:line="232"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of the Securities Act of 1933, as amended (“Securities Act”), there are also being registered an indeterminable number of additional securities as may be issued to prevent dilution resulting from stock splits, stock dividends or similar transaction.</w:t>
      </w:r>
    </w:p>
    <w:p>
      <w:pPr>
        <w:spacing w:after="0" w:line="1" w:lineRule="exact"/>
        <w:rPr>
          <w:rFonts w:ascii="Times New Roman" w:cs="Times New Roman" w:eastAsia="Times New Roman" w:hAnsi="Times New Roman"/>
          <w:sz w:val="14"/>
          <w:szCs w:val="14"/>
          <w:color w:val="auto"/>
        </w:rPr>
      </w:pPr>
    </w:p>
    <w:p>
      <w:pPr>
        <w:ind w:left="332" w:hanging="332"/>
        <w:spacing w:after="0" w:line="221"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par value $0.0001 per share (the “common stock”) being registered relates to the resale of up to: (i) 31,290,514 shares of common stock issued by the registrant as consideration in the Business Combination (as defined in the registration statement), (ii) 3,664,975 shares of common stock subject to vesting and/or exercise of Legacy Dragonfly (as defined in the registration statement) equity awards that were assumed in connection with the Business Combination, (iii) 3,162,500 Founder Shares (as defined in the registration statement) and (iv) 15,000 shares of common stock purchased by Chardan Capital Markets LLC in the PIPE Investment (as defined in the registration statement).</w:t>
      </w:r>
    </w:p>
    <w:p>
      <w:pPr>
        <w:spacing w:after="0" w:line="1" w:lineRule="exact"/>
        <w:rPr>
          <w:rFonts w:ascii="Times New Roman" w:cs="Times New Roman" w:eastAsia="Times New Roman" w:hAnsi="Times New Roman"/>
          <w:sz w:val="14"/>
          <w:szCs w:val="14"/>
          <w:color w:val="auto"/>
        </w:rPr>
      </w:pPr>
    </w:p>
    <w:p>
      <w:pPr>
        <w:ind w:left="332" w:right="260" w:hanging="332"/>
        <w:spacing w:after="0" w:line="221"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based on the average of the high and low prices of the common stock on the Nasdaq Global Market on November 1, 2022 (such date being within five business days of the date that this registration statement was filed with the United States Securities and Exchange Commission). This calculation is in accordance with Rule 457(c) of the Securities Act.</w:t>
      </w:r>
    </w:p>
    <w:p>
      <w:pPr>
        <w:ind w:left="332" w:right="120" w:hanging="332"/>
        <w:spacing w:after="0" w:line="221"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being registered relates to the resale of (i) 4,627,858 Private Warrants (as defined in the registration statement), (ii) 1,600,000 $10 Warrants (as defined in the registration statement) and (iii) 2,593,056 Penny Warrants (as defined in the registration statement).</w:t>
      </w:r>
    </w:p>
    <w:p>
      <w:pPr>
        <w:ind w:left="332" w:right="160" w:hanging="332"/>
        <w:spacing w:after="0" w:line="221"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457(g), the entire registration fee for the warrants is allocated to the common stock underlying the warrants, and no separate fee is payable for the warrants.</w:t>
      </w:r>
    </w:p>
    <w:p>
      <w:pPr>
        <w:ind w:left="332" w:right="320" w:hanging="332"/>
        <w:spacing w:after="0" w:line="221"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underlying warrants being registered relates to the resale of (i) 4,627,858 Private Warrants, (ii) 1,600,000 $10 Warrants and (iii) 2,593,056 Penny Warrants.</w:t>
      </w:r>
    </w:p>
    <w:p>
      <w:pPr>
        <w:ind w:left="332" w:right="20" w:hanging="332"/>
        <w:spacing w:after="0" w:line="221"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underlying warrants being registered relates to the issuance by the registrant of up to: (i) 9,487,500 shares of common stock that are issuable upon the exercise of 9,487,500 warrants originally issued in the registrant’s initial public offering and (ii) 4,627,858 shares of common stock issuable upon the exercise of 4,627,858 Private Warrants.</w:t>
      </w:r>
    </w:p>
    <w:p>
      <w:pPr>
        <w:ind w:left="332" w:hanging="332"/>
        <w:spacing w:after="0" w:line="221"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pursuant to Rule 457(g) under the Securities Act, based on the exercise price of the warrants.</w:t>
      </w:r>
    </w:p>
    <w:p>
      <w:pPr>
        <w:ind w:left="332" w:right="340" w:hanging="332"/>
        <w:spacing w:after="0" w:line="221"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underlying warrants being registered relates to the issuance by the registrant of up to 1,600,000 shares of common stock issuable upon the exercise of 1,600,000 $10 Warrants.</w:t>
      </w:r>
    </w:p>
    <w:p>
      <w:pPr>
        <w:ind w:left="332" w:right="340" w:hanging="332"/>
        <w:spacing w:after="0" w:line="239"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underlying warrants being registered relates to the issuance by the registrant of up to 2,593,056 shares of common stock issuable upon the exercise of 2,593,056 Penny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332105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892"/>
      </w:cols>
      <w:pgMar w:left="988" w:top="118"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1)"/>
      <w:numFmt w:val="lowerRoman"/>
      <w:start w:val="2"/>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1)"/>
      <w:numFmt w:val="lowerLetter"/>
      <w:start w:val="2"/>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1)"/>
      <w:numFmt w:val="decimal"/>
      <w:start w:val="1"/>
    </w:lvl>
  </w:abstractNum>
  <w:abstractNum w:abstractNumId="28">
    <w:nsid w:val="50801EE1"/>
    <w:multiLevelType w:val="hybridMultilevel"/>
    <w:lvl w:ilvl="0">
      <w:lvlJc w:val="left"/>
      <w:lvlText w:val="%1."/>
      <w:numFmt w:val="upperLetter"/>
      <w:start w:val="1"/>
    </w:lvl>
  </w:abstractNum>
  <w:abstractNum w:abstractNumId="29">
    <w:nsid w:val="488AC1A"/>
    <w:multiLevelType w:val="hybridMultilevel"/>
    <w:lvl w:ilvl="0">
      <w:lvlJc w:val="left"/>
      <w:lvlText w:val="%1."/>
      <w:numFmt w:val="upperLetter"/>
      <w:start w:val="2"/>
    </w:lvl>
  </w:abstractNum>
  <w:abstractNum w:abstractNumId="30">
    <w:nsid w:val="5FB8011C"/>
    <w:multiLevelType w:val="hybridMultilevel"/>
    <w:lvl w:ilvl="0">
      <w:lvlJc w:val="left"/>
      <w:lvlText w:val="%1."/>
      <w:numFmt w:val="upperLetter"/>
      <w:start w:val="5"/>
    </w:lvl>
  </w:abstractNum>
  <w:abstractNum w:abstractNumId="31">
    <w:nsid w:val="6AA78F7F"/>
    <w:multiLevelType w:val="hybridMultilevel"/>
    <w:lvl w:ilvl="0">
      <w:lvlJc w:val="left"/>
      <w:lvlText w:val="%1."/>
      <w:numFmt w:val="upperLetter"/>
      <w:start w:val="7"/>
    </w:lvl>
  </w:abstractNum>
  <w:abstractNum w:abstractNumId="32">
    <w:nsid w:val="7672BD23"/>
    <w:multiLevelType w:val="hybridMultilevel"/>
    <w:lvl w:ilvl="0">
      <w:lvlJc w:val="left"/>
      <w:lvlText w:val="%1."/>
      <w:numFmt w:val="upperLetter"/>
      <w:start w:val="27"/>
    </w:lvl>
  </w:abstractNum>
  <w:abstractNum w:abstractNumId="33">
    <w:nsid w:val="6FC75AF8"/>
    <w:multiLevelType w:val="hybridMultilevel"/>
    <w:lvl w:ilvl="0">
      <w:lvlJc w:val="left"/>
      <w:lvlText w:val="(%1)"/>
      <w:numFmt w:val="decimal"/>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1)"/>
      <w:numFmt w:val="decimal"/>
      <w:start w:val="1"/>
    </w:lvl>
  </w:abstractNum>
  <w:abstractNum w:abstractNumId="45">
    <w:nsid w:val="53299938"/>
    <w:multiLevelType w:val="hybridMultilevel"/>
    <w:lvl w:ilvl="0">
      <w:lvlJc w:val="left"/>
      <w:lvlText w:val="(%1)"/>
      <w:numFmt w:val="decimal"/>
      <w:start w:val="1"/>
    </w:lvl>
  </w:abstractNum>
  <w:abstractNum w:abstractNumId="46">
    <w:nsid w:val="1FBFE8E0"/>
    <w:multiLevelType w:val="hybridMultilevel"/>
    <w:lvl w:ilvl="0">
      <w:lvlJc w:val="left"/>
      <w:lvlText w:val="(%1)"/>
      <w:numFmt w:val="lowerRoman"/>
      <w:start w:val="5"/>
    </w:lvl>
  </w:abstractNum>
  <w:abstractNum w:abstractNumId="47">
    <w:nsid w:val="5092CA79"/>
    <w:multiLevelType w:val="hybridMultilevel"/>
    <w:lvl w:ilvl="0">
      <w:lvlJc w:val="left"/>
      <w:lvlText w:val="●"/>
      <w:numFmt w:val="bullet"/>
      <w:start w:val="1"/>
    </w:lvl>
    <w:lvl w:ilvl="1">
      <w:lvlJc w:val="left"/>
      <w:lvlText w:val="●"/>
      <w:numFmt w:val="bullet"/>
      <w:start w:val="1"/>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1)"/>
      <w:numFmt w:val="decimal"/>
      <w:start w:val="1"/>
    </w:lvl>
  </w:abstractNum>
  <w:abstractNum w:abstractNumId="55">
    <w:nsid w:val="1CA0C5FA"/>
    <w:multiLevelType w:val="hybridMultilevel"/>
    <w:lvl w:ilvl="0">
      <w:lvlJc w:val="left"/>
      <w:lvlText w:val="(%1)"/>
      <w:numFmt w:val="decimal"/>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1)"/>
      <w:numFmt w:val="decimal"/>
      <w:start w:val="1"/>
    </w:lvl>
  </w:abstractNum>
  <w:abstractNum w:abstractNumId="59">
    <w:nsid w:val="23D86AAC"/>
    <w:multiLevelType w:val="hybridMultilevel"/>
    <w:lvl w:ilvl="0">
      <w:lvlJc w:val="left"/>
      <w:lvlText w:val="(%1)"/>
      <w:numFmt w:val="lowerRoman"/>
      <w:start w:val="1"/>
    </w:lvl>
  </w:abstractNum>
  <w:abstractNum w:abstractNumId="60">
    <w:nsid w:val="45E6D486"/>
    <w:multiLevelType w:val="hybridMultilevel"/>
    <w:lvl w:ilvl="0">
      <w:lvlJc w:val="left"/>
      <w:lvlText w:val="(%1)"/>
      <w:numFmt w:val="lowerRoman"/>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1)"/>
      <w:numFmt w:val="decimal"/>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1)"/>
      <w:numFmt w:val="lowerRoman"/>
      <w:start w:val="1"/>
    </w:lvl>
  </w:abstractNum>
  <w:abstractNum w:abstractNumId="68">
    <w:nsid w:val="6C80EC70"/>
    <w:multiLevelType w:val="hybridMultilevel"/>
    <w:lvl w:ilvl="0">
      <w:lvlJc w:val="left"/>
      <w:lvlText w:val="(%1)"/>
      <w:numFmt w:val="lowerRoman"/>
      <w:start w:val="2"/>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1)"/>
      <w:numFmt w:val="decimal"/>
      <w:start w:val="1"/>
    </w:lvl>
  </w:abstractNum>
  <w:abstractNum w:abstractNumId="71">
    <w:nsid w:val="2C27173B"/>
    <w:multiLevelType w:val="hybridMultilevel"/>
    <w:lvl w:ilvl="0">
      <w:lvlJc w:val="left"/>
      <w:lvlText w:val="(%1)"/>
      <w:numFmt w:val="decimal"/>
      <w:start w:val="4"/>
    </w:lvl>
  </w:abstractNum>
  <w:abstractNum w:abstractNumId="72">
    <w:nsid w:val="4C9B0904"/>
    <w:multiLevelType w:val="hybridMultilevel"/>
    <w:lvl w:ilvl="0">
      <w:lvlJc w:val="left"/>
      <w:lvlText w:val="●"/>
      <w:numFmt w:val="bullet"/>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1)"/>
      <w:numFmt w:val="decimal"/>
      <w:start w:val="1"/>
    </w:lvl>
  </w:abstractNum>
  <w:abstractNum w:abstractNumId="77">
    <w:nsid w:val="3DB012B3"/>
    <w:multiLevelType w:val="hybridMultilevel"/>
    <w:lvl w:ilvl="0">
      <w:lvlJc w:val="left"/>
      <w:lvlText w:val="%1)"/>
      <w:numFmt w:val="decimal"/>
      <w:start w:val="5"/>
    </w:lvl>
  </w:abstractNum>
  <w:abstractNum w:abstractNumId="78">
    <w:nsid w:val="2708C9AF"/>
    <w:multiLevelType w:val="hybridMultilevel"/>
    <w:lvl w:ilvl="0">
      <w:lvlJc w:val="left"/>
      <w:lvlText w:val="(%1)"/>
      <w:numFmt w:val="decimal"/>
      <w:start w:val="16"/>
    </w:lvl>
  </w:abstractNum>
  <w:abstractNum w:abstractNumId="79">
    <w:nsid w:val="5B25ACE2"/>
    <w:multiLevelType w:val="hybridMultilevel"/>
    <w:lvl w:ilvl="0">
      <w:lvlJc w:val="left"/>
      <w:lvlText w:val="\emdash "/>
      <w:numFmt w:val="bullet"/>
      <w:start w:val="1"/>
    </w:lvl>
  </w:abstractNum>
  <w:abstractNum w:abstractNumId="80">
    <w:nsid w:val="175DFCF0"/>
    <w:multiLevelType w:val="hybridMultilevel"/>
    <w:lvl w:ilvl="0">
      <w:lvlJc w:val="left"/>
      <w:lvlText w:val="%1)"/>
      <w:numFmt w:val="decimal"/>
      <w:start w:val="5"/>
    </w:lvl>
  </w:abstractNum>
  <w:abstractNum w:abstractNumId="81">
    <w:nsid w:val="4F97E3E4"/>
    <w:multiLevelType w:val="hybridMultilevel"/>
    <w:lvl w:ilvl="0">
      <w:lvlJc w:val="left"/>
      <w:lvlText w:val="(%1)"/>
      <w:numFmt w:val="lowerRoman"/>
      <w:start w:val="1"/>
    </w:lvl>
    <w:lvl w:ilvl="1">
      <w:lvlJc w:val="left"/>
      <w:lvlText w:val="(%2)"/>
      <w:numFmt w:val="upperLetter"/>
      <w:start w:val="1"/>
    </w:lvl>
  </w:abstractNum>
  <w:abstractNum w:abstractNumId="82">
    <w:nsid w:val="53B0A9E"/>
    <w:multiLevelType w:val="hybridMultilevel"/>
    <w:lvl w:ilvl="0">
      <w:lvlJc w:val="left"/>
      <w:lvlText w:val="(%1)"/>
      <w:numFmt w:val="lowerRoman"/>
      <w:start w:val="2"/>
    </w:lvl>
  </w:abstractNum>
  <w:abstractNum w:abstractNumId="83">
    <w:nsid w:val="34FD6B4F"/>
    <w:multiLevelType w:val="hybridMultilevel"/>
    <w:lvl w:ilvl="0">
      <w:lvlJc w:val="left"/>
      <w:lvlText w:val="(%1)"/>
      <w:numFmt w:val="lowerRoman"/>
      <w:start w:val="5"/>
    </w:lvl>
  </w:abstractNum>
  <w:abstractNum w:abstractNumId="84">
    <w:nsid w:val="5915FF32"/>
    <w:multiLevelType w:val="hybridMultilevel"/>
    <w:lvl w:ilvl="0">
      <w:lvlJc w:val="left"/>
      <w:lvlText w:val="(%1)"/>
      <w:numFmt w:val="decimal"/>
      <w:start w:val="16"/>
    </w:lvl>
  </w:abstractNum>
  <w:abstractNum w:abstractNumId="85">
    <w:nsid w:val="56438D15"/>
    <w:multiLevelType w:val="hybridMultilevel"/>
    <w:lvl w:ilvl="0">
      <w:lvlJc w:val="left"/>
      <w:lvlText w:val="(%1)"/>
      <w:numFmt w:val="lowerRoman"/>
      <w:start w:val="2"/>
    </w:lvl>
  </w:abstractNum>
  <w:abstractNum w:abstractNumId="86">
    <w:nsid w:val="519E3149"/>
    <w:multiLevelType w:val="hybridMultilevel"/>
    <w:lvl w:ilvl="0">
      <w:lvlJc w:val="left"/>
      <w:lvlText w:val="\emdash "/>
      <w:numFmt w:val="bullet"/>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1)"/>
      <w:numFmt w:val="lowerLetter"/>
      <w:start w:val="2"/>
    </w:lvl>
  </w:abstractNum>
  <w:abstractNum w:abstractNumId="90">
    <w:nsid w:val="5046B5A9"/>
    <w:multiLevelType w:val="hybridMultilevel"/>
    <w:lvl w:ilvl="0">
      <w:lvlJc w:val="left"/>
      <w:lvlText w:val="(%1)"/>
      <w:numFmt w:val="lowerLetter"/>
      <w:start w:val="1"/>
    </w:lvl>
    <w:lvl w:ilvl="1">
      <w:lvlJc w:val="left"/>
      <w:lvlText w:val="(%2)"/>
      <w:numFmt w:val="decimal"/>
      <w:start w:val="1"/>
    </w:lvl>
  </w:abstractNum>
  <w:abstractNum w:abstractNumId="91">
    <w:nsid w:val="5D888A0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92">
    <w:nsid w:val="2A082C70"/>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93">
    <w:nsid w:val="5EC6AFD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4">
    <w:nsid w:val="19E21BB2"/>
    <w:multiLevelType w:val="hybridMultilevel"/>
    <w:lvl w:ilvl="0">
      <w:lvlJc w:val="left"/>
      <w:lvlText w:val="(%1)"/>
      <w:numFmt w:val="lowerLetter"/>
      <w:start w:val="9"/>
    </w:lvl>
    <w:lvl w:ilvl="1">
      <w:lvlJc w:val="left"/>
      <w:lvlText w:val="(%2)"/>
      <w:numFmt w:val="lowerLetter"/>
      <w:start w:val="1"/>
    </w:lvl>
  </w:abstractNum>
  <w:abstractNum w:abstractNumId="95">
    <w:nsid w:val="75E0858A"/>
    <w:multiLevelType w:val="hybridMultilevel"/>
    <w:lvl w:ilvl="0">
      <w:lvlJc w:val="left"/>
      <w:lvlText w:val="(%1)"/>
      <w:numFmt w:val="lowerLetter"/>
      <w:start w:val="7"/>
    </w:lvl>
  </w:abstractNum>
  <w:abstractNum w:abstractNumId="96">
    <w:nsid w:val="57A61A29"/>
    <w:multiLevelType w:val="hybridMultilevel"/>
    <w:lvl w:ilvl="0">
      <w:lvlJc w:val="left"/>
      <w:lvlText w:val="(%1)"/>
      <w:numFmt w:val="lowerRoman"/>
      <w:start w:val="2"/>
    </w:lvl>
  </w:abstractNum>
  <w:abstractNum w:abstractNumId="97">
    <w:nsid w:val="5399C654"/>
    <w:multiLevelType w:val="hybridMultilevel"/>
    <w:lvl w:ilvl="0">
      <w:lvlJc w:val="left"/>
      <w:lvlText w:val="%1."/>
      <w:numFmt w:val="decimal"/>
      <w:start w:val="1"/>
    </w:lvl>
  </w:abstractNum>
  <w:abstractNum w:abstractNumId="98">
    <w:nsid w:val="20EE1348"/>
    <w:multiLevelType w:val="hybridMultilevel"/>
    <w:lvl w:ilvl="0">
      <w:lvlJc w:val="left"/>
      <w:lvlText w:val="(%1)"/>
      <w:numFmt w:val="lowerRoman"/>
      <w:start w:val="6"/>
    </w:lvl>
  </w:abstractNum>
  <w:abstractNum w:abstractNumId="99">
    <w:nsid w:val="4427069A"/>
    <w:multiLevelType w:val="hybridMultilevel"/>
    <w:lvl w:ilvl="0">
      <w:lvlJc w:val="left"/>
      <w:lvlText w:val="%1."/>
      <w:numFmt w:val="upperLetter"/>
      <w:start w:val="35"/>
    </w:lvl>
  </w:abstractNum>
  <w:abstractNum w:abstractNumId="100">
    <w:nsid w:val="B37E80A"/>
    <w:multiLevelType w:val="hybridMultilevel"/>
    <w:lvl w:ilvl="0">
      <w:lvlJc w:val="left"/>
      <w:lvlText w:val="%1."/>
      <w:numFmt w:val="upperLetter"/>
      <w:start w:val="61"/>
    </w:lvl>
  </w:abstractNum>
  <w:abstractNum w:abstractNumId="101">
    <w:nsid w:val="2157F6BC"/>
    <w:multiLevelType w:val="hybridMultilevel"/>
    <w:lvl w:ilvl="0">
      <w:lvlJc w:val="left"/>
      <w:lvlText w:val="%1."/>
      <w:numFmt w:val="decimal"/>
      <w:start w:val="1"/>
    </w:lvl>
  </w:abstractNum>
  <w:abstractNum w:abstractNumId="102">
    <w:nsid w:val="704E1DD5"/>
    <w:multiLevelType w:val="hybridMultilevel"/>
    <w:lvl w:ilvl="0">
      <w:lvlJc w:val="left"/>
      <w:lvlText w:val="%1."/>
      <w:numFmt w:val="decimal"/>
      <w:start w:val="3"/>
    </w:lvl>
  </w:abstractNum>
  <w:abstractNum w:abstractNumId="103">
    <w:nsid w:val="57D2F10E"/>
    <w:multiLevelType w:val="hybridMultilevel"/>
    <w:lvl w:ilvl="0">
      <w:lvlJc w:val="left"/>
      <w:lvlText w:val="%1."/>
      <w:numFmt w:val="decimal"/>
      <w:start w:val="4"/>
    </w:lvl>
  </w:abstractNum>
  <w:abstractNum w:abstractNumId="104">
    <w:nsid w:val="BFFAE18"/>
    <w:multiLevelType w:val="hybridMultilevel"/>
    <w:lvl w:ilvl="0">
      <w:lvlJc w:val="left"/>
      <w:lvlText w:val="(%1)"/>
      <w:numFmt w:val="lowerLetter"/>
      <w:start w:val="1"/>
    </w:lvl>
  </w:abstractNum>
  <w:abstractNum w:abstractNumId="105">
    <w:nsid w:val="E3E47A8"/>
    <w:multiLevelType w:val="hybridMultilevel"/>
    <w:lvl w:ilvl="0">
      <w:lvlJc w:val="left"/>
      <w:lvlText w:val="%1."/>
      <w:numFmt w:val="decimal"/>
      <w:start w:val="5"/>
    </w:lvl>
  </w:abstractNum>
  <w:abstractNum w:abstractNumId="106">
    <w:nsid w:val="2E48F044"/>
    <w:multiLevelType w:val="hybridMultilevel"/>
    <w:lvl w:ilvl="0">
      <w:lvlJc w:val="left"/>
      <w:lvlText w:val="(%1)"/>
      <w:numFmt w:val="lowerLetter"/>
      <w:start w:val="1"/>
    </w:lvl>
    <w:lvl w:ilvl="1">
      <w:lvlJc w:val="left"/>
      <w:lvlText w:val="(%2)"/>
      <w:numFmt w:val="lowerRoman"/>
      <w:start w:val="1"/>
    </w:lvl>
  </w:abstractNum>
  <w:abstractNum w:abstractNumId="107">
    <w:nsid w:val="49D0FEAC"/>
    <w:multiLevelType w:val="hybridMultilevel"/>
    <w:lvl w:ilvl="0">
      <w:lvlJc w:val="left"/>
      <w:lvlText w:val="(%1)"/>
      <w:numFmt w:val="lowerRoman"/>
      <w:start w:val="3"/>
    </w:lvl>
  </w:abstractNum>
  <w:abstractNum w:abstractNumId="108">
    <w:nsid w:val="4BEE5A5B"/>
    <w:multiLevelType w:val="hybridMultilevel"/>
    <w:lvl w:ilvl="0">
      <w:lvlJc w:val="left"/>
      <w:lvlText w:val="(%1)"/>
      <w:numFmt w:val="lowerLetter"/>
      <w:start w:val="2"/>
    </w:lvl>
    <w:lvl w:ilvl="1">
      <w:lvlJc w:val="left"/>
      <w:lvlText w:val="(%2)"/>
      <w:numFmt w:val="lowerRoman"/>
      <w:start w:val="1"/>
    </w:lvl>
  </w:abstractNum>
  <w:abstractNum w:abstractNumId="109">
    <w:nsid w:val="5551B9F3"/>
    <w:multiLevelType w:val="hybridMultilevel"/>
    <w:lvl w:ilvl="0">
      <w:lvlJc w:val="left"/>
      <w:lvlText w:val="(%1)"/>
      <w:numFmt w:val="lowerLetter"/>
      <w:start w:val="3"/>
    </w:lvl>
    <w:lvl w:ilvl="1">
      <w:lvlJc w:val="left"/>
      <w:lvlText w:val="(%2)"/>
      <w:numFmt w:val="lowerRoman"/>
      <w:start w:val="1"/>
    </w:lvl>
  </w:abstractNum>
  <w:abstractNum w:abstractNumId="110">
    <w:nsid w:val="24F6AB8E"/>
    <w:multiLevelType w:val="hybridMultilevel"/>
    <w:lvl w:ilvl="0">
      <w:lvlJc w:val="left"/>
      <w:lvlText w:val="(%1)"/>
      <w:numFmt w:val="lowerLetter"/>
      <w:start w:val="1"/>
    </w:lvl>
  </w:abstractNum>
  <w:abstractNum w:abstractNumId="111">
    <w:nsid w:val="634C574C"/>
    <w:multiLevelType w:val="hybridMultilevel"/>
    <w:lvl w:ilvl="0">
      <w:lvlJc w:val="left"/>
      <w:lvlText w:val="(%1)"/>
      <w:numFmt w:val="lowerLetter"/>
      <w:start w:val="4"/>
    </w:lvl>
    <w:lvl w:ilvl="1">
      <w:lvlJc w:val="left"/>
      <w:lvlText w:val="(%2)"/>
      <w:numFmt w:val="lowerRoman"/>
      <w:start w:val="1"/>
    </w:lvl>
  </w:abstractNum>
  <w:abstractNum w:abstractNumId="112">
    <w:nsid w:val="24E99DD7"/>
    <w:multiLevelType w:val="hybridMultilevel"/>
    <w:lvl w:ilvl="0">
      <w:lvlJc w:val="left"/>
      <w:lvlText w:val="(%1)"/>
      <w:numFmt w:val="lowerLetter"/>
      <w:start w:val="1"/>
    </w:lvl>
  </w:abstractNum>
  <w:abstractNum w:abstractNumId="113">
    <w:nsid w:val="2A31B62D"/>
    <w:multiLevelType w:val="hybridMultilevel"/>
    <w:lvl w:ilvl="0">
      <w:lvlJc w:val="left"/>
      <w:lvlText w:val="(%1)"/>
      <w:numFmt w:val="lowerLetter"/>
      <w:start w:val="3"/>
    </w:lvl>
    <w:lvl w:ilvl="1">
      <w:lvlJc w:val="left"/>
      <w:lvlText w:val="(%2)"/>
      <w:numFmt w:val="lowerRoman"/>
      <w:start w:val="1"/>
    </w:lvl>
  </w:abstractNum>
  <w:abstractNum w:abstractNumId="114">
    <w:nsid w:val="1849C29B"/>
    <w:multiLevelType w:val="hybridMultilevel"/>
    <w:lvl w:ilvl="0">
      <w:lvlJc w:val="left"/>
      <w:lvlText w:val="(%1)"/>
      <w:numFmt w:val="lowerRoman"/>
      <w:start w:val="4"/>
    </w:lvl>
  </w:abstractNum>
  <w:abstractNum w:abstractNumId="115">
    <w:nsid w:val="7DFF9D09"/>
    <w:multiLevelType w:val="hybridMultilevel"/>
    <w:lvl w:ilvl="0">
      <w:lvlJc w:val="left"/>
      <w:lvlText w:val="(%1)"/>
      <w:numFmt w:val="lowerLetter"/>
      <w:start w:val="1"/>
    </w:lvl>
    <w:lvl w:ilvl="1">
      <w:lvlJc w:val="left"/>
      <w:lvlText w:val="(%2)"/>
      <w:numFmt w:val="lowerRoman"/>
      <w:start w:val="1"/>
    </w:lvl>
  </w:abstractNum>
  <w:abstractNum w:abstractNumId="116">
    <w:nsid w:val="754342"/>
    <w:multiLevelType w:val="hybridMultilevel"/>
    <w:lvl w:ilvl="0">
      <w:lvlJc w:val="left"/>
      <w:lvlText w:val="(%1)"/>
      <w:numFmt w:val="lowerLetter"/>
      <w:start w:val="3"/>
    </w:lvl>
  </w:abstractNum>
  <w:abstractNum w:abstractNumId="117">
    <w:nsid w:val="69E7F3E5"/>
    <w:multiLevelType w:val="hybridMultilevel"/>
    <w:lvl w:ilvl="0">
      <w:lvlJc w:val="left"/>
      <w:lvlText w:val="%1."/>
      <w:numFmt w:val="decimal"/>
      <w:start w:val="15"/>
    </w:lvl>
    <w:lvl w:ilvl="1">
      <w:lvlJc w:val="left"/>
      <w:lvlText w:val="(%2)"/>
      <w:numFmt w:val="lowerLetter"/>
      <w:start w:val="1"/>
    </w:lvl>
  </w:abstractNum>
  <w:abstractNum w:abstractNumId="118">
    <w:nsid w:val="2A6DE806"/>
    <w:multiLevelType w:val="hybridMultilevel"/>
    <w:lvl w:ilvl="0">
      <w:lvlJc w:val="left"/>
      <w:lvlText w:val="%1."/>
      <w:numFmt w:val="decimal"/>
      <w:start w:val="6"/>
    </w:lvl>
  </w:abstractNum>
  <w:abstractNum w:abstractNumId="119">
    <w:nsid w:val="1816F8C4"/>
    <w:multiLevelType w:val="hybridMultilevel"/>
    <w:lvl w:ilvl="0">
      <w:lvlJc w:val="left"/>
      <w:lvlText w:val="%1."/>
      <w:numFmt w:val="decimal"/>
      <w:start w:val="10"/>
    </w:lvl>
  </w:abstractNum>
  <w:abstractNum w:abstractNumId="120">
    <w:nsid w:val="37DF2233"/>
    <w:multiLevelType w:val="hybridMultilevel"/>
    <w:lvl w:ilvl="0">
      <w:lvlJc w:val="left"/>
      <w:lvlText w:val="(%1)"/>
      <w:numFmt w:val="lowerLetter"/>
      <w:start w:val="1"/>
    </w:lvl>
  </w:abstractNum>
  <w:abstractNum w:abstractNumId="121">
    <w:nsid w:val="7AB49DAF"/>
    <w:multiLevelType w:val="hybridMultilevel"/>
    <w:lvl w:ilvl="0">
      <w:lvlJc w:val="left"/>
      <w:lvlText w:val="%1"/>
      <w:numFmt w:val="decimal"/>
      <w:start w:val="1"/>
    </w:lvl>
    <w:lvl w:ilvl="1">
      <w:lvlJc w:val="left"/>
      <w:lvlText w:val="(%2)"/>
      <w:numFmt w:val="lowerLetter"/>
      <w:start w:val="1"/>
    </w:lvl>
  </w:abstractNum>
  <w:abstractNum w:abstractNumId="122">
    <w:nsid w:val="759F82CD"/>
    <w:multiLevelType w:val="hybridMultilevel"/>
    <w:lvl w:ilvl="0">
      <w:lvlJc w:val="left"/>
      <w:lvlText w:val="%1."/>
      <w:numFmt w:val="decimal"/>
      <w:start w:val="14"/>
    </w:lvl>
    <w:lvl w:ilvl="1">
      <w:lvlJc w:val="left"/>
      <w:lvlText w:val="%2"/>
      <w:numFmt w:val="lowerLetter"/>
      <w:start w:val="1"/>
    </w:lvl>
  </w:abstractNum>
  <w:abstractNum w:abstractNumId="123">
    <w:nsid w:val="61E74EA3"/>
    <w:multiLevelType w:val="hybridMultilevel"/>
    <w:lvl w:ilvl="0">
      <w:lvlJc w:val="left"/>
      <w:lvlText w:val="%1."/>
      <w:numFmt w:val="decimal"/>
      <w:start w:val="15"/>
    </w:lvl>
  </w:abstractNum>
  <w:abstractNum w:abstractNumId="124">
    <w:nsid w:val="597B4D84"/>
    <w:multiLevelType w:val="hybridMultilevel"/>
    <w:lvl w:ilvl="0">
      <w:lvlJc w:val="left"/>
      <w:lvlText w:val="%1."/>
      <w:numFmt w:val="decimal"/>
      <w:start w:val="16"/>
    </w:lvl>
  </w:abstractNum>
  <w:abstractNum w:abstractNumId="125">
    <w:nsid w:val="F819E7F"/>
    <w:multiLevelType w:val="hybridMultilevel"/>
    <w:lvl w:ilvl="0">
      <w:lvlJc w:val="left"/>
      <w:lvlText w:val="%1."/>
      <w:numFmt w:val="decimal"/>
      <w:start w:val="17"/>
    </w:lvl>
  </w:abstractNum>
  <w:abstractNum w:abstractNumId="126">
    <w:nsid w:val="57C7D42D"/>
    <w:multiLevelType w:val="hybridMultilevel"/>
    <w:lvl w:ilvl="0">
      <w:lvlJc w:val="left"/>
      <w:lvlText w:val="%1."/>
      <w:numFmt w:val="decimal"/>
      <w:start w:val="1"/>
    </w:lvl>
  </w:abstractNum>
  <w:abstractNum w:abstractNumId="127">
    <w:nsid w:val="312167AD"/>
    <w:multiLevelType w:val="hybridMultilevel"/>
    <w:lvl w:ilvl="0">
      <w:lvlJc w:val="left"/>
      <w:lvlText w:val="%1."/>
      <w:numFmt w:val="decimal"/>
      <w:start w:val="5"/>
    </w:lvl>
  </w:abstractNum>
  <w:abstractNum w:abstractNumId="128">
    <w:nsid w:val="631B64D4"/>
    <w:multiLevelType w:val="hybridMultilevel"/>
    <w:lvl w:ilvl="0">
      <w:lvlJc w:val="left"/>
      <w:lvlText w:val="%1."/>
      <w:numFmt w:val="decimal"/>
      <w:start w:val="6"/>
    </w:lvl>
  </w:abstractNum>
  <w:abstractNum w:abstractNumId="129">
    <w:nsid w:val="78B5E776"/>
    <w:multiLevelType w:val="hybridMultilevel"/>
    <w:lvl w:ilvl="0">
      <w:lvlJc w:val="left"/>
      <w:lvlText w:val="%1."/>
      <w:numFmt w:val="decimal"/>
      <w:start w:val="7"/>
    </w:lvl>
  </w:abstractNum>
  <w:abstractNum w:abstractNumId="130">
    <w:nsid w:val="75486E47"/>
    <w:multiLevelType w:val="hybridMultilevel"/>
    <w:lvl w:ilvl="0">
      <w:lvlJc w:val="left"/>
      <w:lvlText w:val="%1."/>
      <w:numFmt w:val="decimal"/>
      <w:start w:val="12"/>
    </w:lvl>
  </w:abstractNum>
  <w:abstractNum w:abstractNumId="131">
    <w:nsid w:val="6E534CDE"/>
    <w:multiLevelType w:val="hybridMultilevel"/>
    <w:lvl w:ilvl="0">
      <w:lvlJc w:val="left"/>
      <w:lvlText w:val="%1."/>
      <w:numFmt w:val="decimal"/>
      <w:start w:val="15"/>
    </w:lvl>
  </w:abstractNum>
  <w:abstractNum w:abstractNumId="132">
    <w:nsid w:val="1A0DDE32"/>
    <w:multiLevelType w:val="hybridMultilevel"/>
    <w:lvl w:ilvl="0">
      <w:lvlJc w:val="left"/>
      <w:lvlText w:val="%1."/>
      <w:numFmt w:val="decimal"/>
      <w:start w:val="1"/>
    </w:lvl>
  </w:abstractNum>
  <w:abstractNum w:abstractNumId="133">
    <w:nsid w:val="65968C1C"/>
    <w:multiLevelType w:val="hybridMultilevel"/>
    <w:lvl w:ilvl="0">
      <w:lvlJc w:val="left"/>
      <w:lvlText w:val="%1."/>
      <w:numFmt w:val="decimal"/>
      <w:start w:val="3"/>
    </w:lvl>
  </w:abstractNum>
  <w:abstractNum w:abstractNumId="134">
    <w:nsid w:val="46263DEC"/>
    <w:multiLevelType w:val="hybridMultilevel"/>
    <w:lvl w:ilvl="0">
      <w:lvlJc w:val="left"/>
      <w:lvlText w:val="%1."/>
      <w:numFmt w:val="decimal"/>
      <w:start w:val="4"/>
    </w:lvl>
  </w:abstractNum>
  <w:abstractNum w:abstractNumId="135">
    <w:nsid w:val="260D8C4A"/>
    <w:multiLevelType w:val="hybridMultilevel"/>
    <w:lvl w:ilvl="0">
      <w:lvlJc w:val="left"/>
      <w:lvlText w:val="(%1)"/>
      <w:numFmt w:val="lowerLetter"/>
      <w:start w:val="1"/>
    </w:lvl>
  </w:abstractNum>
  <w:abstractNum w:abstractNumId="136">
    <w:nsid w:val="73D4D3C4"/>
    <w:multiLevelType w:val="hybridMultilevel"/>
    <w:lvl w:ilvl="0">
      <w:lvlJc w:val="left"/>
      <w:lvlText w:val="%1."/>
      <w:numFmt w:val="decimal"/>
      <w:start w:val="5"/>
    </w:lvl>
  </w:abstractNum>
  <w:abstractNum w:abstractNumId="137">
    <w:nsid w:val="746F2E30"/>
    <w:multiLevelType w:val="hybridMultilevel"/>
    <w:lvl w:ilvl="0">
      <w:lvlJc w:val="left"/>
      <w:lvlText w:val="(%1)"/>
      <w:numFmt w:val="lowerLetter"/>
      <w:start w:val="1"/>
    </w:lvl>
    <w:lvl w:ilvl="1">
      <w:lvlJc w:val="left"/>
      <w:lvlText w:val="(%2)"/>
      <w:numFmt w:val="lowerRoman"/>
      <w:start w:val="1"/>
    </w:lvl>
  </w:abstractNum>
  <w:abstractNum w:abstractNumId="138">
    <w:nsid w:val="6FDE8AF6"/>
    <w:multiLevelType w:val="hybridMultilevel"/>
    <w:lvl w:ilvl="0">
      <w:lvlJc w:val="left"/>
      <w:lvlText w:val="(%1)"/>
      <w:numFmt w:val="lowerRoman"/>
      <w:start w:val="3"/>
    </w:lvl>
  </w:abstractNum>
  <w:abstractNum w:abstractNumId="139">
    <w:nsid w:val="3FC32E20"/>
    <w:multiLevelType w:val="hybridMultilevel"/>
    <w:lvl w:ilvl="0">
      <w:lvlJc w:val="left"/>
      <w:lvlText w:val="(%1)"/>
      <w:numFmt w:val="lowerLetter"/>
      <w:start w:val="2"/>
    </w:lvl>
    <w:lvl w:ilvl="1">
      <w:lvlJc w:val="left"/>
      <w:lvlText w:val="(%2)"/>
      <w:numFmt w:val="lowerRoman"/>
      <w:start w:val="1"/>
    </w:lvl>
  </w:abstractNum>
  <w:abstractNum w:abstractNumId="140">
    <w:nsid w:val="49C0E823"/>
    <w:multiLevelType w:val="hybridMultilevel"/>
    <w:lvl w:ilvl="0">
      <w:lvlJc w:val="left"/>
      <w:lvlText w:val="(%1)"/>
      <w:numFmt w:val="lowerLetter"/>
      <w:start w:val="3"/>
    </w:lvl>
    <w:lvl w:ilvl="1">
      <w:lvlJc w:val="left"/>
      <w:lvlText w:val="(%2)"/>
      <w:numFmt w:val="lowerRoman"/>
      <w:start w:val="1"/>
    </w:lvl>
  </w:abstractNum>
  <w:abstractNum w:abstractNumId="141">
    <w:nsid w:val="14D5368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42">
    <w:nsid w:val="230F856C"/>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143">
    <w:nsid w:val="6EAA85FB"/>
    <w:multiLevelType w:val="hybridMultilevel"/>
    <w:lvl w:ilvl="0">
      <w:lvlJc w:val="left"/>
      <w:lvlText w:val="(%1)"/>
      <w:numFmt w:val="lowerRoman"/>
      <w:start w:val="2"/>
    </w:lvl>
  </w:abstractNum>
  <w:abstractNum w:abstractNumId="144">
    <w:nsid w:val="3F06ECB2"/>
    <w:multiLevelType w:val="hybridMultilevel"/>
    <w:lvl w:ilvl="0">
      <w:lvlJc w:val="left"/>
      <w:lvlText w:val="(%1)"/>
      <w:numFmt w:val="lowerLetter"/>
      <w:start w:val="1"/>
    </w:lvl>
    <w:lvl w:ilvl="1">
      <w:lvlJc w:val="left"/>
      <w:lvlText w:val="(%2)"/>
      <w:numFmt w:val="lowerLetter"/>
      <w:start w:val="9"/>
    </w:lvl>
  </w:abstractNum>
  <w:abstractNum w:abstractNumId="145">
    <w:nsid w:val="3B594807"/>
    <w:multiLevelType w:val="hybridMultilevel"/>
    <w:lvl w:ilvl="0">
      <w:lvlJc w:val="left"/>
      <w:lvlText w:val="%1"/>
      <w:numFmt w:val="lowerLetter"/>
      <w:start w:val="1"/>
    </w:lvl>
    <w:lvl w:ilvl="1">
      <w:lvlJc w:val="left"/>
      <w:lvlText w:val="(%2)"/>
      <w:numFmt w:val="lowerRoman"/>
      <w:start w:val="2"/>
    </w:lvl>
  </w:abstractNum>
  <w:abstractNum w:abstractNumId="146">
    <w:nsid w:val="6CAA2304"/>
    <w:multiLevelType w:val="hybridMultilevel"/>
    <w:lvl w:ilvl="0">
      <w:lvlJc w:val="left"/>
      <w:lvlText w:val="(%1)"/>
      <w:numFmt w:val="lowerLetter"/>
      <w:start w:val="4"/>
    </w:lvl>
    <w:lvl w:ilvl="1">
      <w:lvlJc w:val="left"/>
      <w:lvlText w:val="(%2)"/>
      <w:numFmt w:val="lowerRoman"/>
      <w:start w:val="1"/>
    </w:lvl>
  </w:abstractNum>
  <w:abstractNum w:abstractNumId="147">
    <w:nsid w:val="3F7C2FF4"/>
    <w:multiLevelType w:val="hybridMultilevel"/>
    <w:lvl w:ilvl="0">
      <w:lvlJc w:val="left"/>
      <w:lvlText w:val="(%1)"/>
      <w:numFmt w:val="lowerLetter"/>
      <w:start w:val="1"/>
    </w:lvl>
  </w:abstractNum>
  <w:abstractNum w:abstractNumId="148">
    <w:nsid w:val="25413BEC"/>
    <w:multiLevelType w:val="hybridMultilevel"/>
    <w:lvl w:ilvl="0">
      <w:lvlJc w:val="left"/>
      <w:lvlText w:val="(%1)"/>
      <w:numFmt w:val="lowerRoman"/>
      <w:start w:val="1"/>
    </w:lvl>
  </w:abstractNum>
  <w:abstractNum w:abstractNumId="149">
    <w:nsid w:val="17180B0B"/>
    <w:multiLevelType w:val="hybridMultilevel"/>
    <w:lvl w:ilvl="0">
      <w:lvlJc w:val="left"/>
      <w:lvlText w:val="(%1)"/>
      <w:numFmt w:val="lowerLetter"/>
      <w:start w:val="3"/>
    </w:lvl>
  </w:abstractNum>
  <w:abstractNum w:abstractNumId="150">
    <w:nsid w:val="579328B9"/>
    <w:multiLevelType w:val="hybridMultilevel"/>
    <w:lvl w:ilvl="0">
      <w:lvlJc w:val="left"/>
      <w:lvlText w:val="(%1)"/>
      <w:numFmt w:val="lowerLetter"/>
      <w:start w:val="1"/>
    </w:lvl>
  </w:abstractNum>
  <w:abstractNum w:abstractNumId="151">
    <w:nsid w:val="5D205E20"/>
    <w:multiLevelType w:val="hybridMultilevel"/>
    <w:lvl w:ilvl="0">
      <w:lvlJc w:val="left"/>
      <w:lvlText w:val="%1."/>
      <w:numFmt w:val="decimal"/>
      <w:start w:val="6"/>
    </w:lvl>
  </w:abstractNum>
  <w:abstractNum w:abstractNumId="152">
    <w:nsid w:val="11CCA8BA"/>
    <w:multiLevelType w:val="hybridMultilevel"/>
    <w:lvl w:ilvl="0">
      <w:lvlJc w:val="left"/>
      <w:lvlText w:val="%1."/>
      <w:numFmt w:val="decimal"/>
      <w:start w:val="13"/>
    </w:lvl>
  </w:abstractNum>
  <w:abstractNum w:abstractNumId="153">
    <w:nsid w:val="4D32AB86"/>
    <w:multiLevelType w:val="hybridMultilevel"/>
    <w:lvl w:ilvl="0">
      <w:lvlJc w:val="left"/>
      <w:lvlText w:val="(%1)"/>
      <w:numFmt w:val="lowerLetter"/>
      <w:start w:val="1"/>
    </w:lvl>
  </w:abstractNum>
  <w:abstractNum w:abstractNumId="154">
    <w:nsid w:val="3F07ACC3"/>
    <w:multiLevelType w:val="hybridMultilevel"/>
    <w:lvl w:ilvl="0">
      <w:lvlJc w:val="left"/>
      <w:lvlText w:val="%1"/>
      <w:numFmt w:val="decimal"/>
      <w:start w:val="1"/>
    </w:lvl>
    <w:lvl w:ilvl="1">
      <w:lvlJc w:val="left"/>
      <w:lvlText w:val="(%2)"/>
      <w:numFmt w:val="lowerLetter"/>
      <w:start w:val="1"/>
    </w:lvl>
  </w:abstractNum>
  <w:abstractNum w:abstractNumId="155">
    <w:nsid w:val="6B47F63E"/>
    <w:multiLevelType w:val="hybridMultilevel"/>
    <w:lvl w:ilvl="0">
      <w:lvlJc w:val="left"/>
      <w:lvlText w:val="%1."/>
      <w:numFmt w:val="decimal"/>
      <w:start w:val="14"/>
    </w:lvl>
    <w:lvl w:ilvl="1">
      <w:lvlJc w:val="left"/>
      <w:lvlText w:val="%2"/>
      <w:numFmt w:val="lowerLetter"/>
      <w:start w:val="1"/>
    </w:lvl>
  </w:abstractNum>
  <w:abstractNum w:abstractNumId="156">
    <w:nsid w:val="5CB44A05"/>
    <w:multiLevelType w:val="hybridMultilevel"/>
    <w:lvl w:ilvl="0">
      <w:lvlJc w:val="left"/>
      <w:lvlText w:val="%1."/>
      <w:numFmt w:val="decimal"/>
      <w:start w:val="16"/>
    </w:lvl>
  </w:abstractNum>
  <w:abstractNum w:abstractNumId="157">
    <w:nsid w:val="16CF80F1"/>
    <w:multiLevelType w:val="hybridMultilevel"/>
    <w:lvl w:ilvl="0">
      <w:lvlJc w:val="left"/>
      <w:lvlText w:val="%1."/>
      <w:numFmt w:val="decimal"/>
      <w:start w:val="17"/>
    </w:lvl>
  </w:abstractNum>
  <w:abstractNum w:abstractNumId="158">
    <w:nsid w:val="1C695DEC"/>
    <w:multiLevelType w:val="hybridMultilevel"/>
    <w:lvl w:ilvl="0">
      <w:lvlJc w:val="left"/>
      <w:lvlText w:val="%1."/>
      <w:numFmt w:val="decimal"/>
      <w:start w:val="1"/>
    </w:lvl>
  </w:abstractNum>
  <w:abstractNum w:abstractNumId="159">
    <w:nsid w:val="3FCFAED9"/>
    <w:multiLevelType w:val="hybridMultilevel"/>
    <w:lvl w:ilvl="0">
      <w:lvlJc w:val="left"/>
      <w:lvlText w:val="%1."/>
      <w:numFmt w:val="decimal"/>
      <w:start w:val="5"/>
    </w:lvl>
    <w:lvl w:ilvl="1">
      <w:lvlJc w:val="left"/>
      <w:lvlText w:val="%2"/>
      <w:numFmt w:val="decimal"/>
      <w:start w:val="1"/>
    </w:lvl>
  </w:abstractNum>
  <w:abstractNum w:abstractNumId="160">
    <w:nsid w:val="F856867"/>
    <w:multiLevelType w:val="hybridMultilevel"/>
    <w:lvl w:ilvl="0">
      <w:lvlJc w:val="left"/>
      <w:lvlText w:val="%1."/>
      <w:numFmt w:val="decimal"/>
      <w:start w:val="6"/>
    </w:lvl>
    <w:lvl w:ilvl="1">
      <w:lvlJc w:val="left"/>
      <w:lvlText w:val="%2"/>
      <w:numFmt w:val="decimal"/>
      <w:start w:val="1"/>
    </w:lvl>
  </w:abstractNum>
  <w:abstractNum w:abstractNumId="161">
    <w:nsid w:val="11B1CC33"/>
    <w:multiLevelType w:val="hybridMultilevel"/>
    <w:lvl w:ilvl="0">
      <w:lvlJc w:val="left"/>
      <w:lvlText w:val="%1."/>
      <w:numFmt w:val="decimal"/>
      <w:start w:val="7"/>
    </w:lvl>
    <w:lvl w:ilvl="1">
      <w:lvlJc w:val="left"/>
      <w:lvlText w:val="%2"/>
      <w:numFmt w:val="decimal"/>
      <w:start w:val="1"/>
    </w:lvl>
  </w:abstractNum>
  <w:abstractNum w:abstractNumId="162">
    <w:nsid w:val="2E22FBB7"/>
    <w:multiLevelType w:val="hybridMultilevel"/>
    <w:lvl w:ilvl="0">
      <w:lvlJc w:val="left"/>
      <w:lvlText w:val="%1."/>
      <w:numFmt w:val="decimal"/>
      <w:start w:val="12"/>
    </w:lvl>
    <w:lvl w:ilvl="1">
      <w:lvlJc w:val="left"/>
      <w:lvlText w:val="%2"/>
      <w:numFmt w:val="decimal"/>
      <w:start w:val="1"/>
    </w:lvl>
  </w:abstractNum>
  <w:abstractNum w:abstractNumId="163">
    <w:nsid w:val="29934699"/>
    <w:multiLevelType w:val="hybridMultilevel"/>
    <w:lvl w:ilvl="0">
      <w:lvlJc w:val="left"/>
      <w:lvlText w:val="%1."/>
      <w:numFmt w:val="decimal"/>
      <w:start w:val="15"/>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jpe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jpe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jpe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jpe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314" Type="http://schemas.openxmlformats.org/officeDocument/2006/relationships/image" Target="media/image273.png"/><Relationship Id="rId315" Type="http://schemas.openxmlformats.org/officeDocument/2006/relationships/image" Target="media/image274.png"/><Relationship Id="rId316" Type="http://schemas.openxmlformats.org/officeDocument/2006/relationships/image" Target="media/image275.png"/><Relationship Id="rId317" Type="http://schemas.openxmlformats.org/officeDocument/2006/relationships/image" Target="media/image276.png"/><Relationship Id="rId318" Type="http://schemas.openxmlformats.org/officeDocument/2006/relationships/image" Target="media/image277.png"/><Relationship Id="rId319" Type="http://schemas.openxmlformats.org/officeDocument/2006/relationships/image" Target="media/image278.png"/><Relationship Id="rId320" Type="http://schemas.openxmlformats.org/officeDocument/2006/relationships/image" Target="media/image279.png"/><Relationship Id="rId321" Type="http://schemas.openxmlformats.org/officeDocument/2006/relationships/image" Target="media/image280.png"/><Relationship Id="rId322" Type="http://schemas.openxmlformats.org/officeDocument/2006/relationships/image" Target="media/image281.png"/><Relationship Id="rId323" Type="http://schemas.openxmlformats.org/officeDocument/2006/relationships/image" Target="media/image282.png"/><Relationship Id="rId324" Type="http://schemas.openxmlformats.org/officeDocument/2006/relationships/image" Target="media/image283.png"/><Relationship Id="rId325"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8" Type="http://schemas.openxmlformats.org/officeDocument/2006/relationships/image" Target="media/image287.png"/><Relationship Id="rId329" Type="http://schemas.openxmlformats.org/officeDocument/2006/relationships/image" Target="media/image288.png"/><Relationship Id="rId330" Type="http://schemas.openxmlformats.org/officeDocument/2006/relationships/image" Target="media/image289.png"/><Relationship Id="rId331" Type="http://schemas.openxmlformats.org/officeDocument/2006/relationships/image" Target="media/image290.png"/><Relationship Id="rId332" Type="http://schemas.openxmlformats.org/officeDocument/2006/relationships/image" Target="media/image291.png"/><Relationship Id="rId333" Type="http://schemas.openxmlformats.org/officeDocument/2006/relationships/image" Target="media/image292.png"/><Relationship Id="rId334" Type="http://schemas.openxmlformats.org/officeDocument/2006/relationships/image" Target="media/image293.png"/><Relationship Id="rId335" Type="http://schemas.openxmlformats.org/officeDocument/2006/relationships/image" Target="media/image294.png"/><Relationship Id="rId336" Type="http://schemas.openxmlformats.org/officeDocument/2006/relationships/image" Target="media/image295.png"/><Relationship Id="rId337" Type="http://schemas.openxmlformats.org/officeDocument/2006/relationships/image" Target="media/image296.png"/><Relationship Id="rId338" Type="http://schemas.openxmlformats.org/officeDocument/2006/relationships/image" Target="media/image297.png"/><Relationship Id="rId339" Type="http://schemas.openxmlformats.org/officeDocument/2006/relationships/image" Target="media/image298.png"/><Relationship Id="rId241" Type="http://schemas.openxmlformats.org/officeDocument/2006/relationships/hyperlink" Target="https://www.sec.gov/Archives/edgar/data/1847986/000110465922081684/cntq-20210630xs4.htm#AnnexA_168524" TargetMode="External"/><Relationship Id="rId242" Type="http://schemas.openxmlformats.org/officeDocument/2006/relationships/hyperlink" Target="https://www.sec.gov/Archives/edgar/data/1847986/000110465922081684/cntq-20210630xex2d1a.htm" TargetMode="External"/><Relationship Id="rId243" Type="http://schemas.openxmlformats.org/officeDocument/2006/relationships/hyperlink" Target="https://www.sec.gov/Archives/edgar/data/1847986/000110465922107212/tm2222125d3_ex3-1.htm" TargetMode="External"/><Relationship Id="rId244" Type="http://schemas.openxmlformats.org/officeDocument/2006/relationships/hyperlink" Target="https://www.sec.gov/Archives/edgar/data/1847986/000110465922107212/tm2222125d3_ex3-2.htm" TargetMode="External"/><Relationship Id="rId245" Type="http://schemas.openxmlformats.org/officeDocument/2006/relationships/hyperlink" Target="https://www.sec.gov/Archives/edgar/data/1847986/000110465922107212/tm2222125d3_ex4-1.htm" TargetMode="External"/><Relationship Id="rId246" Type="http://schemas.openxmlformats.org/officeDocument/2006/relationships/hyperlink" Target="https://www.sec.gov/Archives/edgar/data/1847986/000110465922107212/tm2222125d3_ex4-2.htm" TargetMode="External"/><Relationship Id="rId247" Type="http://schemas.openxmlformats.org/officeDocument/2006/relationships/hyperlink" Target="https://www.sec.gov/Archives/edgar/data/1847986/000110465922107212/tm2222125d3_ex4-3.htm" TargetMode="External"/><Relationship Id="rId248" Type="http://schemas.openxmlformats.org/officeDocument/2006/relationships/hyperlink" Target="https://www.sec.gov/Archives/edgar/data/1847986/000110465922110688/dfli-20220630xex4d4.htm" TargetMode="External"/><Relationship Id="rId249" Type="http://schemas.openxmlformats.org/officeDocument/2006/relationships/hyperlink" Target="https://www.sec.gov/Archives/edgar/data/1847986/000110465921091769/tm2118460d2_ex4-3.htm" TargetMode="External"/><Relationship Id="rId250" Type="http://schemas.openxmlformats.org/officeDocument/2006/relationships/hyperlink" Target="https://www.sec.gov/Archives/edgar/data/1847986/000110465922081684/cntq-20210630xs4.htm#AnnexE_715156" TargetMode="External"/><Relationship Id="rId251" Type="http://schemas.openxmlformats.org/officeDocument/2006/relationships/hyperlink" Target="https://www.sec.gov/Archives/edgar/data/1847986/000110465922081684/cntq-20210630xs4.htm#AnnexJ_927754" TargetMode="External"/><Relationship Id="rId252" Type="http://schemas.openxmlformats.org/officeDocument/2006/relationships/hyperlink" Target="https://www.sec.gov/Archives/edgar/data/1847986/000110465922081684/cntq-20210630xs4.htm#AnnexK_797313" TargetMode="External"/><Relationship Id="rId253" Type="http://schemas.openxmlformats.org/officeDocument/2006/relationships/hyperlink" Target="https://www.sec.gov/Archives/edgar/data/1847986/000110465922081684/cntq-20210630xs4.htm#AnnexF_345954" TargetMode="External"/><Relationship Id="rId254" Type="http://schemas.openxmlformats.org/officeDocument/2006/relationships/hyperlink" Target="https://www.sec.gov/Archives/edgar/data/1847986/000110465922107212/tm2222125d3_ex10-5.htm" TargetMode="External"/><Relationship Id="rId255" Type="http://schemas.openxmlformats.org/officeDocument/2006/relationships/hyperlink" Target="https://www.sec.gov/Archives/edgar/data/1847986/000110465922107212/tm2222125d3_ex10-6.htm" TargetMode="External"/><Relationship Id="rId256" Type="http://schemas.openxmlformats.org/officeDocument/2006/relationships/hyperlink" Target="https://www.sec.gov/Archives/edgar/data/1847986/000110465922099731/tm2218377d21_ex10-10.htm" TargetMode="External"/><Relationship Id="rId257" Type="http://schemas.openxmlformats.org/officeDocument/2006/relationships/hyperlink" Target="https://www.sec.gov/Archives/edgar/data/1847986/000110465922081684/cntq-20210630xex10d11.htm" TargetMode="External"/><Relationship Id="rId258" Type="http://schemas.openxmlformats.org/officeDocument/2006/relationships/hyperlink" Target="https://www.sec.gov/Archives/edgar/data/1847986/000110465922081684/cntq-20210630xex10d12.htm" TargetMode="External"/><Relationship Id="rId259" Type="http://schemas.openxmlformats.org/officeDocument/2006/relationships/hyperlink" Target="https://www.sec.gov/Archives/edgar/data/1847986/000110465922107212/tm2222125d3_ex10-10.htm" TargetMode="External"/><Relationship Id="rId260" Type="http://schemas.openxmlformats.org/officeDocument/2006/relationships/hyperlink" Target="https://www.sec.gov/Archives/edgar/data/1847986/000110465922107212/tm2222125d3_ex10-11.htm" TargetMode="External"/><Relationship Id="rId261" Type="http://schemas.openxmlformats.org/officeDocument/2006/relationships/hyperlink" Target="https://www.sec.gov/Archives/edgar/data/1847986/000110465922107212/tm2222125d3_ex10-12.htm" TargetMode="External"/><Relationship Id="rId262" Type="http://schemas.openxmlformats.org/officeDocument/2006/relationships/hyperlink" Target="https://www.sec.gov/Archives/edgar/data/1847986/000110465922107212/tm2222125d3_ex10-13.htm" TargetMode="External"/><Relationship Id="rId263" Type="http://schemas.openxmlformats.org/officeDocument/2006/relationships/hyperlink" Target="https://www.sec.gov/Archives/edgar/data/1847986/000110465922107212/tm2222125d3_ex10-14.htm" TargetMode="External"/><Relationship Id="rId266" Type="http://schemas.openxmlformats.org/officeDocument/2006/relationships/hyperlink" Target="https://www.sec.gov/Archives/edgar/data/1847986/000110465922107212/tm2222125d3_ex10-15.htm" TargetMode="External"/><Relationship Id="rId267" Type="http://schemas.openxmlformats.org/officeDocument/2006/relationships/hyperlink" Target="https://www.sec.gov/Archives/edgar/data/1847986/000110465922107212/tm2222125d3_ex10-16.htm" TargetMode="External"/><Relationship Id="rId268" Type="http://schemas.openxmlformats.org/officeDocument/2006/relationships/hyperlink" Target="https://www.sec.gov/Archives/edgar/data/1847986/000110465922107212/tm2222125d3_ex10-17.htm" TargetMode="External"/><Relationship Id="rId269" Type="http://schemas.openxmlformats.org/officeDocument/2006/relationships/hyperlink" Target="https://www.sec.gov/Archives/edgar/data/1847986/000110465922107212/tm2222125d3_ex10-18.htm" TargetMode="External"/><Relationship Id="rId270" Type="http://schemas.openxmlformats.org/officeDocument/2006/relationships/hyperlink" Target="https://www.sec.gov/Archives/edgar/data/1847986/000110465922107212/tm2222125d3_ex10-19.htm" TargetMode="External"/><Relationship Id="rId271" Type="http://schemas.openxmlformats.org/officeDocument/2006/relationships/hyperlink" Target="https://www.sec.gov/Archives/edgar/data/1847986/000110465922107212/tm2222125d3_ex10-20.htm" TargetMode="External"/><Relationship Id="rId272" Type="http://schemas.openxmlformats.org/officeDocument/2006/relationships/hyperlink" Target="https://www.sec.gov/Archives/edgar/data/1847986/000110465922107212/tm2222125d3_ex10-21.htm" TargetMode="External"/><Relationship Id="rId273" Type="http://schemas.openxmlformats.org/officeDocument/2006/relationships/hyperlink" Target="https://www.sec.gov/Archives/edgar/data/1847986/000110465922107212/tm2222125d3_ex14-1.htm" TargetMode="External"/><Relationship Id="rId274" Type="http://schemas.openxmlformats.org/officeDocument/2006/relationships/hyperlink" Target="https://www.sec.gov/Archives/edgar/data/1847986/000110465922107212/tm2222125d3_ex14-2.htm" TargetMode="External"/><Relationship Id="rId275" Type="http://schemas.openxmlformats.org/officeDocument/2006/relationships/hyperlink" Target="https://www.sec.gov/Archives/edgar/data/1847986/000110465922107212/tm2222125d3_ex16-1.htm" TargetMode="External"/><Relationship Id="rId276" Type="http://schemas.openxmlformats.org/officeDocument/2006/relationships/hyperlink" Target="https://www.sec.gov/Archives/edgar/data/1847986/000110465922107212/tm2222125d3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2022-11-04T17:29:48Z</dcterms:created>
  <dcterms:modified xsi:type="dcterms:W3CDTF">2022-11-04T17:29:48Z</dcterms:modified>
</cp:coreProperties>
</file>