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FORM 12b-25</w:t>
      </w:r>
    </w:p>
    <w:p>
      <w:pPr>
        <w:spacing w:after="0" w:line="23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ectPr>
          <w:pgSz w:w="11900" w:h="16838" w:orient="portrait"/>
          <w:cols w:equalWidth="0" w:num="1">
            <w:col w:w="10340"/>
          </w:cols>
          <w:pgMar w:left="320" w:top="746" w:right="12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p>
      <w:pPr>
        <w:spacing w:after="0" w:line="7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Form N-CEN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p>
      <w:pPr>
        <w:spacing w:after="0" w:line="7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Form N-CSR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431" w:lineRule="exact"/>
        <w:rPr>
          <w:sz w:val="24"/>
          <w:szCs w:val="24"/>
          <w:color w:val="auto"/>
        </w:rPr>
      </w:pPr>
    </w:p>
    <w:p>
      <w:pPr>
        <w:sectPr>
          <w:pgSz w:w="11900" w:h="16838" w:orient="portrait"/>
          <w:cols w:equalWidth="0" w:num="9">
            <w:col w:w="980" w:space="720"/>
            <w:col w:w="1200" w:space="720"/>
            <w:col w:w="1180" w:space="720"/>
            <w:col w:w="180" w:space="40"/>
            <w:col w:w="980" w:space="720"/>
            <w:col w:w="160" w:space="40"/>
            <w:col w:w="980" w:space="720"/>
            <w:col w:w="160" w:space="40"/>
            <w:col w:w="800"/>
          </w:cols>
          <w:pgMar w:left="320" w:top="746" w:right="1239" w:bottom="1440" w:gutter="0" w:footer="0" w:header="0"/>
          <w:type w:val="continuous"/>
        </w:sectPr>
      </w:pPr>
    </w:p>
    <w:p>
      <w:pPr>
        <w:spacing w:after="0" w:line="59" w:lineRule="exact"/>
        <w:rPr>
          <w:sz w:val="24"/>
          <w:szCs w:val="24"/>
          <w:color w:val="auto"/>
        </w:rPr>
      </w:pPr>
    </w:p>
    <w:p>
      <w:pPr>
        <w:ind w:left="1700"/>
        <w:spacing w:after="0"/>
        <w:rPr>
          <w:sz w:val="20"/>
          <w:szCs w:val="20"/>
          <w:color w:val="auto"/>
        </w:rPr>
      </w:pPr>
      <w:r>
        <w:rPr>
          <w:rFonts w:ascii="Arial" w:cs="Arial" w:eastAsia="Arial" w:hAnsi="Arial"/>
          <w:sz w:val="18"/>
          <w:szCs w:val="18"/>
          <w:color w:val="auto"/>
        </w:rPr>
        <w:t>For Period Ended: June 30, 2023</w:t>
      </w:r>
    </w:p>
    <w:p>
      <w:pPr>
        <w:spacing w:after="0" w:line="225"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09" w:lineRule="exact"/>
        <w:rPr>
          <w:sz w:val="24"/>
          <w:szCs w:val="24"/>
          <w:color w:val="auto"/>
        </w:rPr>
      </w:pPr>
    </w:p>
    <w:p>
      <w:pPr>
        <w:ind w:left="1700"/>
        <w:spacing w:after="0"/>
        <w:rPr>
          <w:sz w:val="20"/>
          <w:szCs w:val="20"/>
          <w:color w:val="auto"/>
        </w:rPr>
      </w:pPr>
      <w:r>
        <w:rPr>
          <w:rFonts w:ascii="Arial" w:cs="Arial" w:eastAsia="Arial" w:hAnsi="Arial"/>
          <w:sz w:val="18"/>
          <w:szCs w:val="18"/>
          <w:color w:val="auto"/>
        </w:rPr>
        <w:t>For the Transition Period Ended: 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44"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1190 Trademark Drive, #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Reno, Nevada 89521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746" w:right="1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 portion</w:t>
      </w:r>
    </w:p>
    <w:p>
      <w:pPr>
        <w:spacing w:after="0" w:line="46" w:lineRule="exact"/>
        <w:rPr>
          <w:rFonts w:ascii="Arial" w:cs="Arial" w:eastAsia="Arial" w:hAnsi="Arial"/>
          <w:sz w:val="16"/>
          <w:szCs w:val="16"/>
          <w:color w:val="auto"/>
        </w:rPr>
      </w:pPr>
    </w:p>
    <w:p>
      <w:pPr>
        <w:jc w:val="both"/>
        <w:ind w:left="660" w:hanging="652"/>
        <w:spacing w:after="0" w:line="200" w:lineRule="auto"/>
        <w:tabs>
          <w:tab w:leader="none" w:pos="6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4" w:lineRule="exact"/>
        <w:rPr>
          <w:rFonts w:ascii="MS PGothic" w:cs="MS PGothic" w:eastAsia="MS PGothic" w:hAnsi="MS PGothic"/>
          <w:sz w:val="36"/>
          <w:szCs w:val="36"/>
          <w:color w:val="auto"/>
          <w:vertAlign w:val="subscript"/>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Dragonfly Energy Holdings Corp. (the “</w:t>
      </w:r>
      <w:r>
        <w:rPr>
          <w:rFonts w:ascii="Arial" w:cs="Arial" w:eastAsia="Arial" w:hAnsi="Arial"/>
          <w:sz w:val="16"/>
          <w:szCs w:val="16"/>
          <w:b w:val="1"/>
          <w:bCs w:val="1"/>
          <w:color w:val="auto"/>
        </w:rPr>
        <w:t>Company</w:t>
      </w:r>
      <w:r>
        <w:rPr>
          <w:rFonts w:ascii="Arial" w:cs="Arial" w:eastAsia="Arial" w:hAnsi="Arial"/>
          <w:sz w:val="16"/>
          <w:szCs w:val="16"/>
          <w:color w:val="auto"/>
        </w:rPr>
        <w:t>”) has determined that it is unable to file the Form 10-Q for the quarter ended June 30, 2023 (the “</w:t>
      </w:r>
      <w:r>
        <w:rPr>
          <w:rFonts w:ascii="Arial" w:cs="Arial" w:eastAsia="Arial" w:hAnsi="Arial"/>
          <w:sz w:val="16"/>
          <w:szCs w:val="16"/>
          <w:b w:val="1"/>
          <w:b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color w:val="auto"/>
        </w:rPr>
        <w:t>10-Q</w:t>
      </w:r>
      <w:r>
        <w:rPr>
          <w:rFonts w:ascii="Arial" w:cs="Arial" w:eastAsia="Arial" w:hAnsi="Arial"/>
          <w:sz w:val="16"/>
          <w:szCs w:val="16"/>
          <w:color w:val="auto"/>
        </w:rPr>
        <w:t>”) within the prescribed time period without unreasonable effort or expense because it requires additional time to determine the treatment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that although it believes such items are immaterial, it is unable to complete its financial statement preparation and review process.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file the Form 10-Q within the five-day grace period provided by Rule 12b-25.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Denis Phares</w:t>
            </w:r>
          </w:p>
        </w:tc>
        <w:tc>
          <w:tcPr>
            <w:tcW w:w="3040" w:type="dxa"/>
            <w:vAlign w:val="bottom"/>
            <w:gridSpan w:val="2"/>
          </w:tcPr>
          <w:p>
            <w:pPr>
              <w:jc w:val="right"/>
              <w:ind w:right="1130"/>
              <w:spacing w:after="0"/>
              <w:rPr>
                <w:sz w:val="20"/>
                <w:szCs w:val="20"/>
                <w:color w:val="auto"/>
              </w:rPr>
            </w:pPr>
            <w:r>
              <w:rPr>
                <w:rFonts w:ascii="Arial" w:cs="Arial" w:eastAsia="Arial" w:hAnsi="Arial"/>
                <w:sz w:val="18"/>
                <w:szCs w:val="18"/>
                <w:color w:val="auto"/>
              </w:rPr>
              <w:t>(775)</w:t>
            </w:r>
          </w:p>
        </w:tc>
        <w:tc>
          <w:tcPr>
            <w:tcW w:w="3020" w:type="dxa"/>
            <w:vAlign w:val="bottom"/>
            <w:gridSpan w:val="2"/>
          </w:tcPr>
          <w:p>
            <w:pPr>
              <w:jc w:val="right"/>
              <w:ind w:right="970"/>
              <w:spacing w:after="0"/>
              <w:rPr>
                <w:sz w:val="20"/>
                <w:szCs w:val="20"/>
                <w:color w:val="auto"/>
              </w:rPr>
            </w:pPr>
            <w:r>
              <w:rPr>
                <w:rFonts w:ascii="Arial" w:cs="Arial" w:eastAsia="Arial" w:hAnsi="Arial"/>
                <w:sz w:val="18"/>
                <w:szCs w:val="18"/>
                <w:color w:val="auto"/>
              </w:rPr>
              <w:t>622-3448</w:t>
            </w:r>
          </w:p>
        </w:tc>
      </w:tr>
      <w:tr>
        <w:trPr>
          <w:trHeight w:val="224"/>
        </w:trPr>
        <w:tc>
          <w:tcPr>
            <w:tcW w:w="4500" w:type="dxa"/>
            <w:vAlign w:val="bottom"/>
            <w:tcBorders>
              <w:top w:val="single" w:sz="8" w:color="auto"/>
            </w:tcBorders>
          </w:tcPr>
          <w:p>
            <w:pPr>
              <w:ind w:left="1980"/>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680" w:hanging="672"/>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9"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ind w:left="680" w:hanging="672"/>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6" w:lineRule="exact"/>
        <w:rPr>
          <w:sz w:val="20"/>
          <w:szCs w:val="20"/>
          <w:color w:val="auto"/>
        </w:rPr>
      </w:pPr>
    </w:p>
    <w:p>
      <w:pPr>
        <w:ind w:left="102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3"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Dragonfly Energy Holdings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gridSpan w:val="2"/>
          </w:tcPr>
          <w:p>
            <w:pPr>
              <w:spacing w:after="0"/>
              <w:rPr>
                <w:sz w:val="20"/>
                <w:szCs w:val="20"/>
                <w:color w:val="auto"/>
              </w:rPr>
            </w:pPr>
            <w:r>
              <w:rPr>
                <w:rFonts w:ascii="Arial" w:cs="Arial" w:eastAsia="Arial" w:hAnsi="Arial"/>
                <w:sz w:val="18"/>
                <w:szCs w:val="18"/>
                <w:color w:val="auto"/>
              </w:rPr>
              <w:t>Date:  August 15, 2023</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40"/>
              <w:spacing w:after="0"/>
              <w:rPr>
                <w:sz w:val="20"/>
                <w:szCs w:val="20"/>
                <w:color w:val="auto"/>
              </w:rPr>
            </w:pPr>
            <w:r>
              <w:rPr>
                <w:rFonts w:ascii="Arial" w:cs="Arial" w:eastAsia="Arial" w:hAnsi="Arial"/>
                <w:sz w:val="18"/>
                <w:szCs w:val="18"/>
                <w:i w:val="1"/>
                <w:iCs w:val="1"/>
                <w:color w:val="auto"/>
              </w:rPr>
              <w:t>/s/ Denis Phares</w:t>
            </w:r>
          </w:p>
        </w:tc>
      </w:tr>
      <w:tr>
        <w:trPr>
          <w:trHeight w:val="215"/>
        </w:trPr>
        <w:tc>
          <w:tcPr>
            <w:tcW w:w="580" w:type="dxa"/>
            <w:vAlign w:val="bottom"/>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8"/>
                <w:szCs w:val="18"/>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Denis Phares</w:t>
            </w:r>
          </w:p>
        </w:tc>
      </w:tr>
      <w:tr>
        <w:trPr>
          <w:trHeight w:val="230"/>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Title:</w:t>
            </w:r>
          </w:p>
        </w:tc>
        <w:tc>
          <w:tcPr>
            <w:tcW w:w="48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6130" cy="372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7274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2023-08-15T07:10:27Z</dcterms:created>
  <dcterms:modified xsi:type="dcterms:W3CDTF">2023-08-15T07:10:27Z</dcterms:modified>
</cp:coreProperties>
</file>