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Suite 400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211" w:lineRule="exact"/>
        <w:rPr>
          <w:sz w:val="24"/>
          <w:szCs w:val="24"/>
          <w:color w:val="auto"/>
        </w:rPr>
      </w:pPr>
    </w:p>
    <w:p>
      <w:pPr>
        <w:ind w:left="10240"/>
        <w:spacing w:after="0"/>
        <w:rPr>
          <w:sz w:val="20"/>
          <w:szCs w:val="20"/>
          <w:color w:val="auto"/>
        </w:rPr>
      </w:pPr>
      <w:r>
        <w:rPr>
          <w:rFonts w:ascii="Arial" w:cs="Arial" w:eastAsia="Arial" w:hAnsi="Arial"/>
          <w:sz w:val="15"/>
          <w:szCs w:val="15"/>
          <w:color w:val="auto"/>
        </w:rPr>
        <w:t>June 14, 2023</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Bradley Ecker</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RE:Dragonfly Energy Holdings Corp.</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 File No. 333-272401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Request for Acceleration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7"/>
        <w:spacing w:after="0" w:line="263" w:lineRule="auto"/>
        <w:rPr>
          <w:sz w:val="20"/>
          <w:szCs w:val="20"/>
          <w:color w:val="auto"/>
        </w:rPr>
      </w:pPr>
      <w:r>
        <w:rPr>
          <w:rFonts w:ascii="Arial" w:cs="Arial" w:eastAsia="Arial" w:hAnsi="Arial"/>
          <w:sz w:val="18"/>
          <w:szCs w:val="18"/>
          <w:color w:val="auto"/>
        </w:rPr>
        <w:t>Pursuant to Rule 461 of the General Rules and Regulations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we hereby join in the request of Dragonfly Energy Holdings Corp. for acceleration of the effective date of the above-referenced Registration Statement so that it may become effective at 4:30 p.m., Eastern time, on June 15, 2023, or as soon thereafter as practicable.</w:t>
      </w:r>
    </w:p>
    <w:p>
      <w:pPr>
        <w:spacing w:after="0" w:line="184" w:lineRule="exact"/>
        <w:rPr>
          <w:sz w:val="24"/>
          <w:szCs w:val="24"/>
          <w:color w:val="auto"/>
        </w:rPr>
      </w:pPr>
    </w:p>
    <w:p>
      <w:pPr>
        <w:jc w:val="both"/>
        <w:ind w:firstLine="647"/>
        <w:spacing w:after="0" w:line="342" w:lineRule="auto"/>
        <w:rPr>
          <w:sz w:val="20"/>
          <w:szCs w:val="20"/>
          <w:color w:val="auto"/>
        </w:rPr>
      </w:pPr>
      <w:r>
        <w:rPr>
          <w:rFonts w:ascii="Arial" w:cs="Arial" w:eastAsia="Arial" w:hAnsi="Arial"/>
          <w:sz w:val="16"/>
          <w:szCs w:val="16"/>
          <w:color w:val="auto"/>
        </w:rPr>
        <w:t>Pursuant to Rule 460 of the Act, we wish to advise you that the underwriters have distributed as many copies of the Preliminary Prospectus, dated June 14, 2023 to underwriters, dealers, institutions and others as appears to be reasonable to secure adequate distribution of the Preliminary Prospectus.</w:t>
      </w:r>
    </w:p>
    <w:p>
      <w:pPr>
        <w:spacing w:after="0" w:line="124" w:lineRule="exact"/>
        <w:rPr>
          <w:sz w:val="24"/>
          <w:szCs w:val="24"/>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undersigned, as representative of the several underwriters, have and will, and each underwriter and dealer has advised the undersigned that it has and will, comply with the requirements of Rule 15c2-8 under the Securities Exchange Act of 1934, as amended.</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any questions regarding this request, please call James T. Seery of Duane Morris LLP at (973) 424-2088.</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Aaron M. Gurewitz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 Aaron M. Gurewitz</w:t>
      </w:r>
    </w:p>
    <w:p>
      <w:pPr>
        <w:spacing w:after="0" w:line="36"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of Equity Capital Markets</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James T. Seery, Duane Morris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2023-07-24T00:14:04Z</dcterms:created>
  <dcterms:modified xsi:type="dcterms:W3CDTF">2023-07-24T00:14:04Z</dcterms:modified>
</cp:coreProperties>
</file>