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August 30, 2023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3440"/>
        <w:gridCol w:w="60"/>
        <w:gridCol w:w="1565"/>
      </w:tblGrid>
      <w:tr>
        <w:trPr/>
        <w:tc>
          <w:tcPr>
            <w:tcW w:w="34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85-1873463</w:t>
            </w:r>
          </w:p>
        </w:tc>
      </w:tr>
      <w:tr>
        <w:trPr/>
        <w:tc>
          <w:tcPr>
            <w:tcW w:w="344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4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44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89521</w:t>
            </w:r>
          </w:p>
        </w:tc>
      </w:tr>
      <w:tr>
        <w:trPr/>
        <w:tc>
          <w:tcPr>
            <w:tcW w:w="344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75"/>
        <w:gridCol w:w="6710"/>
        <w:gridCol w:w="75"/>
      </w:tblGrid>
      <w:tr>
        <w:trPr/>
        <w:tc>
          <w:tcPr>
            <w:tcW w:w="75" w:type="dxa"/>
            <w:tcBorders/>
            <w:vAlign w:val="center"/>
          </w:tcPr>
          <w:p>
            <w:pPr>
              <w:pStyle w:val="TableContents"/>
              <w:bidi w:val="0"/>
              <w:spacing w:before="0" w:after="283"/>
              <w:jc w:val="center"/>
              <w:rPr/>
            </w:pPr>
            <w:r>
              <w:rPr/>
              <w:t> </w:t>
            </w:r>
          </w:p>
        </w:tc>
        <w:tc>
          <w:tcPr>
            <w:tcW w:w="671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 2022 Equity Inventive Plan</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67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Dragonfly Energy Holdings Corp. Employee Stock Purchase Plan</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6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(Full title of the plan) </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Denis Phares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Reno, Nevada 89521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(775) 662 - 3448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number, including area code, of agent for service) </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Please send copies of all communications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262-6700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35"/>
        <w:gridCol w:w="230"/>
        <w:gridCol w:w="60"/>
        <w:gridCol w:w="2225"/>
        <w:gridCol w:w="60"/>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filed by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 the purpose of registering additional shares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under the Company’s 2022 Equity Incentive Plan (the “</w:t>
      </w:r>
      <w:r>
        <w:rPr>
          <w:rFonts w:ascii="Times New Roman;Times;Serif" w:hAnsi="Times New Roman;Times;Serif"/>
          <w:b w:val="false"/>
          <w:i w:val="false"/>
          <w:caps w:val="false"/>
          <w:smallCaps w:val="false"/>
          <w:sz w:val="20"/>
          <w:u w:val="single"/>
        </w:rPr>
        <w:t>2022 Plan</w:t>
      </w:r>
      <w:r>
        <w:rPr>
          <w:rFonts w:ascii="Times New Roman;Times;Serif" w:hAnsi="Times New Roman;Times;Serif"/>
          <w:b w:val="false"/>
          <w:i w:val="false"/>
          <w:caps w:val="false"/>
          <w:smallCaps w:val="false"/>
          <w:sz w:val="20"/>
        </w:rPr>
        <w:t>”) and the Company’s Employee Stock Purchase Plan (the “</w:t>
      </w:r>
      <w:r>
        <w:rPr>
          <w:rFonts w:ascii="Times New Roman;Times;Serif" w:hAnsi="Times New Roman;Times;Serif"/>
          <w:b w:val="false"/>
          <w:i w:val="false"/>
          <w:caps w:val="false"/>
          <w:smallCaps w:val="false"/>
          <w:sz w:val="20"/>
          <w:u w:val="single"/>
        </w:rPr>
        <w:t>ESPP</w:t>
      </w:r>
      <w:r>
        <w:rPr>
          <w:rFonts w:ascii="Times New Roman;Times;Serif" w:hAnsi="Times New Roman;Times;Serif"/>
          <w:b w:val="false"/>
          <w:i w:val="false"/>
          <w:caps w:val="false"/>
          <w:smallCaps w:val="false"/>
          <w:sz w:val="20"/>
        </w:rPr>
        <w:t>”, and together with the 2022 Plan, the “</w:t>
      </w:r>
      <w:r>
        <w:rPr>
          <w:rFonts w:ascii="Times New Roman;Times;Serif" w:hAnsi="Times New Roman;Times;Serif"/>
          <w:b w:val="false"/>
          <w:i w:val="false"/>
          <w:caps w:val="false"/>
          <w:smallCaps w:val="false"/>
          <w:sz w:val="20"/>
          <w:u w:val="single"/>
        </w:rPr>
        <w:t>Plans</w:t>
      </w:r>
      <w:r>
        <w:rPr>
          <w:rFonts w:ascii="Times New Roman;Times;Serif" w:hAnsi="Times New Roman;Times;Serif"/>
          <w:b w:val="false"/>
          <w:i w:val="false"/>
          <w:caps w:val="false"/>
          <w:smallCaps w:val="false"/>
          <w:sz w:val="20"/>
        </w:rPr>
        <w:t>”). The number of shares of Common Stock available for grant and issuance under the 2022 Plan is subject to an automatic annual increase on January 1 of each year beginning in 2023 by an amount equal to the lesser of (i) 4% of the total number of shares of Common Stock outstanding on December 31 of the preceding calendar year; or (ii) a number of shares of Common Stock determined by the Board of Directors of the Company (the “</w:t>
      </w:r>
      <w:r>
        <w:rPr>
          <w:rFonts w:ascii="Times New Roman;Times;Serif" w:hAnsi="Times New Roman;Times;Serif"/>
          <w:b w:val="false"/>
          <w:i w:val="false"/>
          <w:caps w:val="false"/>
          <w:smallCaps w:val="false"/>
          <w:sz w:val="20"/>
          <w:u w:val="single"/>
        </w:rPr>
        <w:t>2022 Plan Evergreen Provision</w:t>
      </w:r>
      <w:r>
        <w:rPr>
          <w:rFonts w:ascii="Times New Roman;Times;Serif" w:hAnsi="Times New Roman;Times;Serif"/>
          <w:b w:val="false"/>
          <w:i w:val="false"/>
          <w:caps w:val="false"/>
          <w:smallCaps w:val="false"/>
          <w:sz w:val="20"/>
        </w:rPr>
        <w:t>”). On January 1, 2023, the number of shares of Common Stock available for grant and issuance under the 2022 Plan increased by 1,730,909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available for grant and issuance under the ESPP is subject to an automatic annual increase on January 1 of each year beginning in 2023 by an amount equal to the lesser of (i) 1% of the total number of shares of Common Stock outstanding on December 31 of the preceding calendar year; (ii) 1,500,000 shares of Common Stock; or (iii) a number of shares of Common Stock determined by the Board of Directors of the Company (the “</w:t>
      </w:r>
      <w:r>
        <w:rPr>
          <w:rFonts w:ascii="Times New Roman;Times;Serif" w:hAnsi="Times New Roman;Times;Serif"/>
          <w:b w:val="false"/>
          <w:i w:val="false"/>
          <w:caps w:val="false"/>
          <w:smallCaps w:val="false"/>
          <w:sz w:val="20"/>
          <w:u w:val="single"/>
        </w:rPr>
        <w:t>ESPP Evergreen Provision</w:t>
      </w:r>
      <w:r>
        <w:rPr>
          <w:rFonts w:ascii="Times New Roman;Times;Serif" w:hAnsi="Times New Roman;Times;Serif"/>
          <w:b w:val="false"/>
          <w:i w:val="false"/>
          <w:caps w:val="false"/>
          <w:smallCaps w:val="false"/>
          <w:sz w:val="20"/>
        </w:rPr>
        <w:t>”, together with the 2022 Plan Evergreen Provision, the “</w:t>
      </w:r>
      <w:r>
        <w:rPr>
          <w:rFonts w:ascii="Times New Roman;Times;Serif" w:hAnsi="Times New Roman;Times;Serif"/>
          <w:b w:val="false"/>
          <w:i w:val="false"/>
          <w:caps w:val="false"/>
          <w:smallCaps w:val="false"/>
          <w:sz w:val="20"/>
          <w:u w:val="single"/>
        </w:rPr>
        <w:t>Evergreen Provisions</w:t>
      </w:r>
      <w:r>
        <w:rPr>
          <w:rFonts w:ascii="Times New Roman;Times;Serif" w:hAnsi="Times New Roman;Times;Serif"/>
          <w:b w:val="false"/>
          <w:i w:val="false"/>
          <w:caps w:val="false"/>
          <w:smallCaps w:val="false"/>
          <w:sz w:val="20"/>
        </w:rPr>
        <w:t>”). On January 1, 2023 the number of shares of Common Stock available for grant and issuance under the ESPP increased by 432,727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registers a total of 2,163,636 shares of Common Stock comprised of: (i) 1,730,909 shares of Common Stock which were available for grant and issuance under the 2022 Plan pursuant to the 2022 Plan Evergreen Provision as of January 1, 2023; and (ii) 432,727 shares of Common Stock which were available for grant and issuance under the ESPP pursuant to the ESPP Evergreen Provision as of January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shares of Common Stock registered pursuant to this Registration Statement are of the same class of securities as the 2,605,950 shares of Common Stock registered for issuance under the 2022 Plan and the 2,464,400 shares of Common Stock registered for issuance under the ESPP pursuant to the currently effective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333-268784) filed on December 13 2022, and subsequently amended by Post-Effective Amendment No. 1 filed on August 30, 2023 (the “</w:t>
      </w:r>
      <w:r>
        <w:rPr>
          <w:rFonts w:ascii="Times New Roman;Times;Serif" w:hAnsi="Times New Roman;Times;Serif"/>
          <w:b w:val="false"/>
          <w:i w:val="false"/>
          <w:caps w:val="false"/>
          <w:smallCaps w:val="false"/>
          <w:sz w:val="20"/>
          <w:u w:val="single"/>
        </w:rPr>
        <w:t>Prior S-8</w:t>
      </w:r>
      <w:r>
        <w:rPr>
          <w:rFonts w:ascii="Times New Roman;Times;Serif" w:hAnsi="Times New Roman;Times;Serif"/>
          <w:b w:val="false"/>
          <w:i w:val="false"/>
          <w:caps w:val="false"/>
          <w:smallCaps w:val="false"/>
          <w:sz w:val="20"/>
        </w:rPr>
        <w:t>”). Pursuant to General Instruction E of Form S-8, the contents of the Prior S-8, including any amendments thereto or filings incorporated therein, are incorporated herein by this reference to the extent not replaced hereby.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Company with the Commission pursuant to the Securities Act and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the Company’s Annual Report on Form 10-K for the year ended December 31, 2022 (the “</w:t>
            </w:r>
            <w:r>
              <w:rPr>
                <w:rFonts w:ascii="Times New Roman;Times;Serif" w:hAnsi="Times New Roman;Times;Serif"/>
                <w:b w:val="false"/>
                <w:i w:val="false"/>
                <w:caps w:val="false"/>
                <w:smallCaps w:val="false"/>
                <w:sz w:val="20"/>
                <w:u w:val="single"/>
              </w:rPr>
              <w:t>10-K</w:t>
            </w:r>
            <w:r>
              <w:rPr>
                <w:rFonts w:ascii="Times New Roman;Times;Serif" w:hAnsi="Times New Roman;Times;Serif"/>
                <w:b w:val="false"/>
                <w:i w:val="false"/>
                <w:caps w:val="false"/>
                <w:smallCaps w:val="false"/>
                <w:sz w:val="20"/>
              </w:rPr>
              <w:t xml:space="preserve">”) filed with the SEC on </w:t>
            </w:r>
            <w:hyperlink r:id="rId3">
              <w:r>
                <w:rPr>
                  <w:rStyle w:val="InternetLink"/>
                  <w:rFonts w:ascii="Times New Roman;Times;Serif" w:hAnsi="Times New Roman;Times;Serif"/>
                  <w:b w:val="false"/>
                  <w:i w:val="false"/>
                  <w:caps w:val="false"/>
                  <w:smallCaps w:val="false"/>
                  <w:sz w:val="20"/>
                </w:rPr>
                <w:t>April 17, 2023</w:t>
              </w:r>
            </w:hyperlink>
            <w:r>
              <w:rPr>
                <w:rFonts w:ascii="Times New Roman;Times;Serif" w:hAnsi="Times New Roman;Times;Serif"/>
                <w:b w:val="false"/>
                <w:i w:val="false"/>
                <w:caps w:val="false"/>
                <w:smallCaps w:val="false"/>
                <w:sz w:val="20"/>
              </w:rPr>
              <w:t xml:space="preserve">, as amended on </w:t>
            </w:r>
            <w:hyperlink r:id="rId4">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Reports on Form 10-Q for the quarters ended March 31, 2023 and June 30, 2023, filed with the SEC on </w:t>
            </w:r>
            <w:hyperlink r:id="rId5">
              <w:r>
                <w:rPr>
                  <w:rStyle w:val="InternetLink"/>
                  <w:rFonts w:ascii="Times New Roman;Times;Serif" w:hAnsi="Times New Roman;Times;Serif"/>
                  <w:b w:val="false"/>
                  <w:i w:val="false"/>
                  <w:caps w:val="false"/>
                  <w:smallCaps w:val="false"/>
                  <w:sz w:val="20"/>
                </w:rPr>
                <w:t>May 15, 2023</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August 21, 2023</w:t>
              </w:r>
            </w:hyperlink>
            <w:r>
              <w:rPr>
                <w:rFonts w:ascii="Times New Roman;Times;Serif" w:hAnsi="Times New Roman;Times;Serif"/>
                <w:b w:val="false"/>
                <w:i w:val="false"/>
                <w:caps w:val="false"/>
                <w:smallCaps w:val="false"/>
                <w:sz w:val="20"/>
              </w:rPr>
              <w:t>,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with the SEC on </w:t>
            </w:r>
            <w:hyperlink r:id="rId7">
              <w:r>
                <w:rPr>
                  <w:rStyle w:val="InternetLink"/>
                  <w:rFonts w:ascii="Times New Roman;Times;Serif" w:hAnsi="Times New Roman;Times;Serif"/>
                  <w:b w:val="false"/>
                  <w:i w:val="false"/>
                  <w:caps w:val="false"/>
                  <w:smallCaps w:val="false"/>
                  <w:sz w:val="20"/>
                </w:rPr>
                <w:t>March 2, 2023</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9, 2023</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29, 2023</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 xml:space="preserve">, and </w:t>
            </w:r>
            <w:hyperlink r:id="rId12">
              <w:r>
                <w:rPr>
                  <w:rStyle w:val="InternetLink"/>
                  <w:rFonts w:ascii="Times New Roman;Times;Serif" w:hAnsi="Times New Roman;Times;Serif"/>
                  <w:b w:val="false"/>
                  <w:i w:val="false"/>
                  <w:caps w:val="false"/>
                  <w:smallCaps w:val="false"/>
                  <w:sz w:val="20"/>
                </w:rPr>
                <w:t>June 21, 2023</w:t>
              </w:r>
            </w:hyperlink>
            <w:r>
              <w:rPr>
                <w:rFonts w:ascii="Times New Roman;Times;Serif" w:hAnsi="Times New Roman;Times;Serif"/>
                <w:b w:val="false"/>
                <w:i w:val="false"/>
                <w:caps w:val="false"/>
                <w:smallCaps w:val="false"/>
                <w:sz w:val="20"/>
              </w:rPr>
              <w:t xml:space="preserve"> (in each case, excluding any information deemed furnished under Items 2.02 or 7.01 of Form 8-K, including the related exhibits, which information is not incorporated by reference herein);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Common Stock of the Company contained in its Registration Statement on </w:t>
            </w:r>
            <w:hyperlink r:id="rId1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on August 10, 2021 under Section 12 of the Exchange Act and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2" w:type="dxa"/>
        <w:jc w:val="left"/>
        <w:tblInd w:w="0" w:type="dxa"/>
        <w:tblLayout w:type="fixed"/>
        <w:tblCellMar>
          <w:top w:w="0" w:type="dxa"/>
          <w:left w:w="0" w:type="dxa"/>
          <w:bottom w:w="0" w:type="dxa"/>
          <w:right w:w="0" w:type="dxa"/>
        </w:tblCellMar>
      </w:tblPr>
      <w:tblGrid>
        <w:gridCol w:w="995"/>
        <w:gridCol w:w="60"/>
        <w:gridCol w:w="6755"/>
        <w:gridCol w:w="65"/>
        <w:gridCol w:w="514"/>
        <w:gridCol w:w="61"/>
        <w:gridCol w:w="668"/>
        <w:gridCol w:w="61"/>
        <w:gridCol w:w="1023"/>
      </w:tblGrid>
      <w:tr>
        <w:trPr/>
        <w:tc>
          <w:tcPr>
            <w:tcW w:w="9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2327" w:type="dxa"/>
            <w:gridSpan w:val="5"/>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99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bottom w:val="single" w:sz="1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Articles of Incorporation.</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Bylaws.</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Parsons Behle &amp; Latimer.</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P.C.</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Parsons Behle &amp; Latimer (included in Exhibit 5.1)</w:t>
              </w:r>
            </w:hyperlink>
          </w:p>
        </w:tc>
        <w:tc>
          <w:tcPr>
            <w:tcW w:w="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left"/>
              <w:rPr/>
            </w:pPr>
            <w:hyperlink w:anchor="poa_001">
              <w:r>
                <w:rPr>
                  <w:rStyle w:val="InternetLink"/>
                  <w:rFonts w:ascii="Times New Roman;Times;Serif" w:hAnsi="Times New Roman;Times;Serif"/>
                  <w:b w:val="false"/>
                  <w:i w:val="false"/>
                  <w:caps w:val="false"/>
                  <w:smallCaps w:val="false"/>
                  <w:sz w:val="20"/>
                </w:rPr>
                <w:t>Power of Attorney (contained on the signature page of this Registration Statement).</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Dragonfly Energy Holdings Corp. 2022 Equity Incentive Plan.</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Dragonfly Energy Holdings Corp. Employee Stock Purchase Plan.</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514"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668" w:type="dxa"/>
            <w:tcBorders/>
            <w:vAlign w:val="center"/>
          </w:tcPr>
          <w:p>
            <w:pPr>
              <w:pStyle w:val="TableContents"/>
              <w:bidi w:val="0"/>
              <w:spacing w:before="0" w:after="283"/>
              <w:jc w:val="both"/>
              <w:rPr>
                <w:caps w:val="false"/>
                <w:smallCaps w:val="false"/>
              </w:rPr>
            </w:pPr>
            <w:r>
              <w:rPr>
                <w:caps w:val="false"/>
                <w:smallCaps w:val="false"/>
              </w:rPr>
              <w:t> </w:t>
            </w:r>
          </w:p>
        </w:tc>
        <w:tc>
          <w:tcPr>
            <w:tcW w:w="61" w:type="dxa"/>
            <w:tcBorders/>
            <w:vAlign w:val="center"/>
          </w:tcPr>
          <w:p>
            <w:pPr>
              <w:pStyle w:val="TableContents"/>
              <w:bidi w:val="0"/>
              <w:spacing w:before="0" w:after="283"/>
              <w:jc w:val="both"/>
              <w:rPr>
                <w:caps w:val="false"/>
                <w:smallCaps w:val="false"/>
              </w:rPr>
            </w:pPr>
            <w:r>
              <w:rPr>
                <w:caps w:val="false"/>
                <w:smallCaps w:val="false"/>
              </w:rPr>
              <w:t> </w:t>
            </w:r>
          </w:p>
        </w:tc>
        <w:tc>
          <w:tcPr>
            <w:tcW w:w="1023"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Reno, Nevada, on August 30, 2023.</w:t>
      </w:r>
    </w:p>
    <w:p>
      <w:pPr>
        <w:pStyle w:val="TextBody"/>
        <w:bidi w:val="0"/>
        <w:spacing w:before="0" w:after="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320"/>
        <w:gridCol w:w="5675"/>
      </w:tblGrid>
      <w:tr>
        <w:trPr/>
        <w:tc>
          <w:tcPr>
            <w:tcW w:w="7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Denis Phares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interim 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Denis Phares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and filed pursuant to Rule 462 under the Securities Act of 1933, as amended,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or his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9"/>
        <w:gridCol w:w="60"/>
        <w:gridCol w:w="6356"/>
        <w:gridCol w:w="60"/>
        <w:gridCol w:w="1360"/>
      </w:tblGrid>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Chief Executive Officer and interim Chief Financial Officer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Jonathan Bellows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Rick Parod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9"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Karina Montilla Edmonds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tc>
      </w:tr>
      <w:tr>
        <w:trPr/>
        <w:tc>
          <w:tcPr>
            <w:tcW w:w="23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35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 w:name="ex5-1.htm"/>
      <w:bookmarkStart w:id="4" w:name="ksex51"/>
      <w:bookmarkEnd w:id="3"/>
      <w:bookmarkEnd w:id="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Dragonfly Energy Holdings Corp. –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Nevada counsel to Dragonfly Energy Holdings Corp.,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Statement on Form S-8 (File No. 333- )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by the Company with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is filed by the Company for the purpose of registering additional shares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under the Company’s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and the Company’s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and together with the 2022 Plan, the “</w:t>
      </w: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rendering this opinion in connection with the Registration Statement registering a total of 2,163,636 shares of Common Stock comprised of: (i) 1,730,909 shares of Common Stock which were purported to be available for grant and issuance under the 2022 Plan and (ii) 432,727 shares of Common Stock which were purported to be available for grant and issuance under the ESPP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reviewed the Registration Statement, the Plans, the Company’s Articles of Incorporation and the Company’s Bylaws and examined such matters of fact and questions of law as we have considered appropriate for purposes of rendering this opinion.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such examination, it is our opinion that the Shares have been duly authorized by all requisite corporate action on the part of the Company and, upon their issuance, delivery and payment therefor in accordance with the terms of the Plans and in the manner contemplated by the Registration Statement,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as to any matter pertaining to the contents of the Registration Statement. In connection with this opinion,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as of the date hereof. We assume no obligation to advise you of changes that may hereafter be brought to our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of this opinion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Securities and Exchange Commission.</w:t>
      </w:r>
    </w:p>
    <w:p>
      <w:pPr>
        <w:pStyle w:val="TextBody"/>
        <w:bidi w:val="0"/>
        <w:spacing w:before="0" w:after="0"/>
        <w:ind w:left="0" w:right="0" w:firstLine="720"/>
        <w:jc w:val="both"/>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75"/>
        <w:gridCol w:w="2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PARSONS BEHLE &amp; LATIMER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color w:val="FF00FF"/>
        </w:rPr>
      </w:pPr>
      <w:bookmarkStart w:id="5" w:name="ex23-1.htm"/>
      <w:bookmarkStart w:id="6" w:name="ksex231"/>
      <w:bookmarkEnd w:id="5"/>
      <w:bookmarkEnd w:id="6"/>
      <w:r>
        <w:rPr>
          <w:caps w:val="false"/>
          <w:smallCaps w:val="false"/>
          <w:color w:val="FF00FF"/>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color w:val="FF00FF"/>
        </w:rPr>
      </w:pPr>
      <w:r>
        <w:rPr>
          <w:caps w:val="false"/>
          <w:smallCaps w:val="false"/>
          <w:color w:val="FF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color w:val="FF00FF"/>
        </w:rPr>
      </w:pPr>
      <w:r>
        <w:rPr>
          <w:caps w:val="false"/>
          <w:smallCaps w:val="false"/>
          <w:color w:val="FF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spacing w:before="0" w:after="0"/>
        <w:ind w:left="0" w:right="0" w:hanging="0"/>
        <w:jc w:val="both"/>
        <w:rPr>
          <w:caps w:val="false"/>
          <w:smallCaps w:val="false"/>
          <w:color w:val="FF00FF"/>
        </w:rPr>
      </w:pPr>
      <w:r>
        <w:rPr>
          <w:caps w:val="false"/>
          <w:smallCaps w:val="false"/>
          <w:color w:val="FF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Form S-8 constituting a part of this Registration Statement of our report dated April 17, 2023, relating to the consolidated financial statements of Dragonfly Energy Holdings Corp., appearing in the Company’s Annual Report on Form 10-K for the year ended December 31, 2022. Our report contains an explanatory paragraph regarding the Company’s ability to continue as a going concern.</w:t>
      </w:r>
    </w:p>
    <w:p>
      <w:pPr>
        <w:pStyle w:val="TextBody"/>
        <w:bidi w:val="0"/>
        <w:spacing w:before="0" w:after="0"/>
        <w:ind w:left="0" w:right="0" w:hanging="0"/>
        <w:jc w:val="both"/>
        <w:rPr>
          <w:caps w:val="false"/>
          <w:smallCaps w:val="false"/>
          <w:color w:val="FF00FF"/>
        </w:rPr>
      </w:pPr>
      <w:r>
        <w:rPr>
          <w:caps w:val="false"/>
          <w:smallCaps w:val="false"/>
          <w:color w:val="FF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spacing w:before="0" w:after="0"/>
        <w:ind w:left="0" w:right="0" w:hanging="0"/>
        <w:jc w:val="both"/>
        <w:rPr>
          <w:caps w:val="false"/>
          <w:smallCaps w:val="false"/>
          <w:color w:val="FF00FF"/>
        </w:rPr>
      </w:pPr>
      <w:r>
        <w:rPr>
          <w:caps w:val="false"/>
          <w:smallCaps w:val="false"/>
          <w:color w:val="FF00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2023</w:t>
      </w:r>
    </w:p>
    <w:p>
      <w:pPr>
        <w:pStyle w:val="TextBody"/>
        <w:bidi w:val="0"/>
        <w:spacing w:before="0" w:after="0"/>
        <w:ind w:left="0" w:right="0" w:hanging="0"/>
        <w:jc w:val="both"/>
        <w:rPr>
          <w:caps w:val="false"/>
          <w:smallCaps w:val="false"/>
          <w:color w:val="FF00FF"/>
        </w:rPr>
      </w:pPr>
      <w:r>
        <w:rPr>
          <w:caps w:val="false"/>
          <w:smallCaps w:val="false"/>
          <w:color w:val="FF00FF"/>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FF00FF"/>
        </w:rPr>
      </w:pPr>
      <w:r>
        <w:rPr>
          <w:caps w:val="false"/>
          <w:smallCaps w:val="false"/>
          <w:color w:val="FF00FF"/>
        </w:rPr>
        <w:t> </w:t>
      </w:r>
    </w:p>
    <w:p>
      <w:pPr>
        <w:pStyle w:val="TextBody"/>
        <w:bidi w:val="0"/>
        <w:spacing w:before="0" w:after="0"/>
        <w:ind w:left="0" w:right="0" w:hanging="0"/>
        <w:jc w:val="left"/>
        <w:rPr>
          <w:caps w:val="false"/>
          <w:smallCaps w:val="false"/>
        </w:rPr>
      </w:pPr>
      <w:bookmarkStart w:id="7" w:name="ex107.htm"/>
      <w:bookmarkStart w:id="8" w:name="ksex107"/>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Form S-8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2"/>
        <w:gridCol w:w="60"/>
        <w:gridCol w:w="1204"/>
        <w:gridCol w:w="60"/>
        <w:gridCol w:w="1300"/>
        <w:gridCol w:w="60"/>
        <w:gridCol w:w="60"/>
        <w:gridCol w:w="991"/>
        <w:gridCol w:w="191"/>
        <w:gridCol w:w="60"/>
        <w:gridCol w:w="214"/>
        <w:gridCol w:w="676"/>
        <w:gridCol w:w="191"/>
        <w:gridCol w:w="60"/>
        <w:gridCol w:w="141"/>
        <w:gridCol w:w="1298"/>
        <w:gridCol w:w="191"/>
        <w:gridCol w:w="60"/>
        <w:gridCol w:w="60"/>
        <w:gridCol w:w="1160"/>
        <w:gridCol w:w="60"/>
        <w:gridCol w:w="60"/>
        <w:gridCol w:w="175"/>
        <w:gridCol w:w="850"/>
        <w:gridCol w:w="81"/>
      </w:tblGrid>
      <w:tr>
        <w:trPr/>
        <w:tc>
          <w:tcPr>
            <w:tcW w:w="942" w:type="dxa"/>
            <w:tcBorders>
              <w:bottom w:val="single" w:sz="12" w:space="0" w:color="000000"/>
            </w:tcBorders>
            <w:vAlign w:val="center"/>
          </w:tcPr>
          <w:p>
            <w:pPr>
              <w:pStyle w:val="TableContents"/>
              <w:bidi w:val="0"/>
              <w:spacing w:before="0" w:after="283"/>
              <w:jc w:val="center"/>
              <w:rPr>
                <w:b/>
              </w:rPr>
            </w:pPr>
            <w:r>
              <w:rPr>
                <w:b/>
              </w:rPr>
              <w:t>Security Type</w:t>
            </w:r>
          </w:p>
        </w:tc>
        <w:tc>
          <w:tcPr>
            <w:tcW w:w="60" w:type="dxa"/>
            <w:tcBorders/>
            <w:tcMar>
              <w:bottom w:w="0" w:type="dxa"/>
            </w:tcMar>
            <w:vAlign w:val="center"/>
          </w:tcPr>
          <w:p>
            <w:pPr>
              <w:pStyle w:val="TableContents"/>
              <w:bidi w:val="0"/>
              <w:spacing w:before="0" w:after="283"/>
              <w:jc w:val="left"/>
              <w:rPr/>
            </w:pPr>
            <w:r>
              <w:rPr/>
              <w:t> </w:t>
            </w:r>
          </w:p>
        </w:tc>
        <w:tc>
          <w:tcPr>
            <w:tcW w:w="1204"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registered</w:t>
            </w:r>
          </w:p>
        </w:tc>
        <w:tc>
          <w:tcPr>
            <w:tcW w:w="60" w:type="dxa"/>
            <w:tcBorders/>
            <w:tcMar>
              <w:bottom w:w="0" w:type="dxa"/>
            </w:tcMar>
            <w:vAlign w:val="center"/>
          </w:tcPr>
          <w:p>
            <w:pPr>
              <w:pStyle w:val="TableContents"/>
              <w:bidi w:val="0"/>
              <w:spacing w:before="0" w:after="283"/>
              <w:jc w:val="left"/>
              <w:rPr/>
            </w:pPr>
            <w:r>
              <w:rPr/>
              <w:t> </w:t>
            </w:r>
          </w:p>
        </w:tc>
        <w:tc>
          <w:tcPr>
            <w:tcW w:w="1300" w:type="dxa"/>
            <w:tcBorders>
              <w:bottom w:val="single" w:sz="12" w:space="0" w:color="000000"/>
            </w:tcBorders>
            <w:vAlign w:val="center"/>
          </w:tcPr>
          <w:p>
            <w:pPr>
              <w:pStyle w:val="TableContents"/>
              <w:bidi w:val="0"/>
              <w:spacing w:before="0" w:after="283"/>
              <w:jc w:val="center"/>
              <w:rPr>
                <w:b/>
              </w:rPr>
            </w:pPr>
            <w:r>
              <w:rPr>
                <w:b/>
              </w:rPr>
              <w:t>Fee Calculation Rule</w:t>
            </w:r>
          </w:p>
        </w:tc>
        <w:tc>
          <w:tcPr>
            <w:tcW w:w="60" w:type="dxa"/>
            <w:tcBorders/>
            <w:tcMar>
              <w:bottom w:w="0" w:type="dxa"/>
            </w:tcMar>
            <w:vAlign w:val="center"/>
          </w:tcPr>
          <w:p>
            <w:pPr>
              <w:pStyle w:val="TableContents"/>
              <w:bidi w:val="0"/>
              <w:spacing w:before="0" w:after="283"/>
              <w:jc w:val="left"/>
              <w:rPr/>
            </w:pPr>
            <w:r>
              <w:rPr/>
              <w:t> </w:t>
            </w:r>
          </w:p>
        </w:tc>
        <w:tc>
          <w:tcPr>
            <w:tcW w:w="105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to be</w:t>
              <w:br/>
              <w:t>registered</w:t>
            </w:r>
            <w:r>
              <w:rPr>
                <w:rFonts w:ascii="Times New Roman;Times;Serif" w:hAnsi="Times New Roman;Times;Serif"/>
                <w:b/>
                <w:position w:val="7"/>
                <w:sz w:val="16"/>
                <w:sz w:val="20"/>
              </w:rPr>
              <w:t>(1)</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spacing w:before="0" w:after="0"/>
              <w:ind w:left="0" w:right="0" w:hanging="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aggregate offering</w:t>
              <w:br/>
              <w:t>price</w:t>
            </w:r>
          </w:p>
        </w:tc>
        <w:tc>
          <w:tcPr>
            <w:tcW w:w="19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Fee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c>
          <w:tcPr>
            <w:tcW w:w="81" w:type="dxa"/>
            <w:tcBorders/>
            <w:tcMar>
              <w:bottom w:w="0" w:type="dxa"/>
            </w:tcMar>
            <w:vAlign w:val="center"/>
          </w:tcPr>
          <w:p>
            <w:pPr>
              <w:pStyle w:val="TableContents"/>
              <w:bidi w:val="0"/>
              <w:spacing w:before="0" w:after="283"/>
              <w:jc w:val="left"/>
              <w:rPr/>
            </w:pPr>
            <w:r>
              <w:rPr/>
              <w:t> </w:t>
            </w:r>
          </w:p>
        </w:tc>
      </w:tr>
      <w:tr>
        <w:trPr/>
        <w:tc>
          <w:tcPr>
            <w:tcW w:w="942"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Common stock, $0.0001 par value per share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left"/>
              <w:rPr/>
            </w:pPr>
            <w:r>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1,730,909</w:t>
            </w:r>
          </w:p>
        </w:tc>
        <w:tc>
          <w:tcPr>
            <w:tcW w:w="191"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676" w:type="dxa"/>
            <w:tcBorders/>
            <w:shd w:fill="CCEEFF" w:val="clear"/>
            <w:tcMar>
              <w:bottom w:w="0" w:type="dxa"/>
            </w:tcMar>
            <w:vAlign w:val="center"/>
          </w:tcPr>
          <w:p>
            <w:pPr>
              <w:pStyle w:val="TableContents"/>
              <w:bidi w:val="0"/>
              <w:spacing w:before="0" w:after="283"/>
              <w:jc w:val="right"/>
              <w:rPr/>
            </w:pPr>
            <w:r>
              <w:rPr/>
              <w:t>1.56</w:t>
            </w:r>
          </w:p>
        </w:tc>
        <w:tc>
          <w:tcPr>
            <w:tcW w:w="19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1298" w:type="dxa"/>
            <w:tcBorders/>
            <w:shd w:fill="CCEEFF" w:val="clear"/>
            <w:tcMar>
              <w:bottom w:w="0" w:type="dxa"/>
            </w:tcMar>
            <w:vAlign w:val="center"/>
          </w:tcPr>
          <w:p>
            <w:pPr>
              <w:pStyle w:val="TableContents"/>
              <w:bidi w:val="0"/>
              <w:spacing w:before="0" w:after="283"/>
              <w:jc w:val="right"/>
              <w:rPr/>
            </w:pPr>
            <w:r>
              <w:rPr/>
              <w:t>2,700,218.04</w:t>
            </w:r>
          </w:p>
        </w:tc>
        <w:tc>
          <w:tcPr>
            <w:tcW w:w="191"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0.00011020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850" w:type="dxa"/>
            <w:tcBorders/>
            <w:shd w:fill="CCEEFF" w:val="clear"/>
            <w:tcMar>
              <w:bottom w:w="0" w:type="dxa"/>
            </w:tcMar>
            <w:vAlign w:val="center"/>
          </w:tcPr>
          <w:p>
            <w:pPr>
              <w:pStyle w:val="TableContents"/>
              <w:bidi w:val="0"/>
              <w:spacing w:before="0" w:after="283"/>
              <w:jc w:val="right"/>
              <w:rPr/>
            </w:pPr>
            <w:r>
              <w:rPr/>
              <w:t>297.56</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942" w:type="dxa"/>
            <w:tcBorders/>
            <w:shd w:fill="FFFFFF" w:val="clear"/>
            <w:tcMar>
              <w:bottom w:w="0" w:type="dxa"/>
            </w:tcMar>
            <w:vAlign w:val="center"/>
          </w:tcPr>
          <w:p>
            <w:pPr>
              <w:pStyle w:val="TableContents"/>
              <w:bidi w:val="0"/>
              <w:spacing w:before="0" w:after="283"/>
              <w:jc w:val="left"/>
              <w:rPr/>
            </w:pPr>
            <w:r>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$0.0001 par value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432,727</w:t>
            </w:r>
          </w:p>
        </w:tc>
        <w:tc>
          <w:tcPr>
            <w:tcW w:w="19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676" w:type="dxa"/>
            <w:tcBorders/>
            <w:shd w:fill="FFFFFF" w:val="clear"/>
            <w:tcMar>
              <w:bottom w:w="0" w:type="dxa"/>
            </w:tcMar>
            <w:vAlign w:val="center"/>
          </w:tcPr>
          <w:p>
            <w:pPr>
              <w:pStyle w:val="TableContents"/>
              <w:bidi w:val="0"/>
              <w:spacing w:before="0" w:after="283"/>
              <w:jc w:val="right"/>
              <w:rPr/>
            </w:pPr>
            <w:r>
              <w:rPr/>
              <w:t>1.33</w:t>
            </w:r>
          </w:p>
        </w:tc>
        <w:tc>
          <w:tcPr>
            <w:tcW w:w="19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1298" w:type="dxa"/>
            <w:tcBorders/>
            <w:shd w:fill="FFFFFF" w:val="clear"/>
            <w:tcMar>
              <w:bottom w:w="0" w:type="dxa"/>
            </w:tcMar>
            <w:vAlign w:val="center"/>
          </w:tcPr>
          <w:p>
            <w:pPr>
              <w:pStyle w:val="TableContents"/>
              <w:bidi w:val="0"/>
              <w:spacing w:before="0" w:after="283"/>
              <w:jc w:val="right"/>
              <w:rPr/>
            </w:pPr>
            <w:r>
              <w:rPr/>
              <w:t>575,526.91</w:t>
            </w:r>
          </w:p>
        </w:tc>
        <w:tc>
          <w:tcPr>
            <w:tcW w:w="191"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0.00011020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850" w:type="dxa"/>
            <w:tcBorders/>
            <w:shd w:fill="FFFFFF" w:val="clear"/>
            <w:tcMar>
              <w:bottom w:w="0" w:type="dxa"/>
            </w:tcMar>
            <w:vAlign w:val="center"/>
          </w:tcPr>
          <w:p>
            <w:pPr>
              <w:pStyle w:val="TableContents"/>
              <w:bidi w:val="0"/>
              <w:spacing w:before="0" w:after="283"/>
              <w:jc w:val="right"/>
              <w:rPr/>
            </w:pPr>
            <w:r>
              <w:rPr/>
              <w:t>63.42</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94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Total Offering Amounts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1298" w:type="dxa"/>
            <w:tcBorders/>
            <w:shd w:fill="CCEEFF" w:val="clear"/>
            <w:tcMar>
              <w:bottom w:w="0" w:type="dxa"/>
            </w:tcMar>
            <w:vAlign w:val="center"/>
          </w:tcPr>
          <w:p>
            <w:pPr>
              <w:pStyle w:val="TableContents"/>
              <w:bidi w:val="0"/>
              <w:spacing w:before="0" w:after="283"/>
              <w:jc w:val="right"/>
              <w:rPr/>
            </w:pPr>
            <w:r>
              <w:rPr/>
              <w:t>3,275,744.95</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850" w:type="dxa"/>
            <w:tcBorders/>
            <w:shd w:fill="CCEEFF" w:val="clear"/>
            <w:tcMar>
              <w:bottom w:w="0" w:type="dxa"/>
            </w:tcMar>
            <w:vAlign w:val="center"/>
          </w:tcPr>
          <w:p>
            <w:pPr>
              <w:pStyle w:val="TableContents"/>
              <w:bidi w:val="0"/>
              <w:spacing w:before="0" w:after="283"/>
              <w:jc w:val="right"/>
              <w:rPr/>
            </w:pPr>
            <w:r>
              <w:rPr/>
              <w:t>360.99</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94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Total Fee Offsets </w:t>
            </w:r>
            <w:r>
              <w:rPr>
                <w:rFonts w:ascii="Times New Roman;Times;Serif" w:hAnsi="Times New Roman;Times;Serif"/>
                <w:b/>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1" w:type="dxa"/>
            <w:tcBorders/>
            <w:shd w:fill="FFFFFF" w:val="clear"/>
            <w:tcMar>
              <w:bottom w:w="0" w:type="dxa"/>
            </w:tcMar>
            <w:vAlign w:val="center"/>
          </w:tcPr>
          <w:p>
            <w:pPr>
              <w:pStyle w:val="TableContents"/>
              <w:bidi w:val="0"/>
              <w:spacing w:before="0" w:after="283"/>
              <w:jc w:val="righ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94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Net Fee Due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1" w:type="dxa"/>
            <w:tcBorders/>
            <w:shd w:fill="CCEEFF" w:val="clear"/>
            <w:tcMar>
              <w:bottom w:w="0" w:type="dxa"/>
            </w:tcMar>
            <w:vAlign w:val="center"/>
          </w:tcPr>
          <w:p>
            <w:pPr>
              <w:pStyle w:val="TableContents"/>
              <w:bidi w:val="0"/>
              <w:spacing w:before="0" w:after="283"/>
              <w:jc w:val="righ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850" w:type="dxa"/>
            <w:tcBorders/>
            <w:shd w:fill="CCEEFF" w:val="clear"/>
            <w:tcMar>
              <w:bottom w:w="0" w:type="dxa"/>
            </w:tcMar>
            <w:vAlign w:val="center"/>
          </w:tcPr>
          <w:p>
            <w:pPr>
              <w:pStyle w:val="TableContents"/>
              <w:bidi w:val="0"/>
              <w:spacing w:before="0" w:after="283"/>
              <w:jc w:val="right"/>
              <w:rPr/>
            </w:pPr>
            <w:r>
              <w:rPr/>
              <w:t>360.99</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this Registration Statement shall also cover any additional shares of the Registrant’s common stock that become issuable under the Registrant’s 2022 Omnibus Equity Incentive Plan (the “</w:t>
            </w:r>
            <w:r>
              <w:rPr>
                <w:rFonts w:ascii="Times New Roman;Times;Serif" w:hAnsi="Times New Roman;Times;Serif"/>
                <w:b w:val="false"/>
                <w:i w:val="false"/>
                <w:caps w:val="false"/>
                <w:smallCaps w:val="false"/>
                <w:sz w:val="20"/>
                <w:u w:val="single"/>
              </w:rPr>
              <w:t>2022 Plan</w:t>
            </w:r>
            <w:r>
              <w:rPr>
                <w:rFonts w:ascii="Times New Roman;Times;Serif" w:hAnsi="Times New Roman;Times;Serif"/>
                <w:b w:val="false"/>
                <w:i w:val="false"/>
                <w:caps w:val="false"/>
                <w:smallCaps w:val="false"/>
                <w:sz w:val="20"/>
              </w:rPr>
              <w:t>”) and under the Registrant’s Employee Stock Purchase Plan (the “</w:t>
            </w:r>
            <w:r>
              <w:rPr>
                <w:rFonts w:ascii="Times New Roman;Times;Serif" w:hAnsi="Times New Roman;Times;Serif"/>
                <w:b w:val="false"/>
                <w:i w:val="false"/>
                <w:caps w:val="false"/>
                <w:smallCaps w:val="false"/>
                <w:sz w:val="20"/>
                <w:u w:val="single"/>
              </w:rPr>
              <w:t>ESPP</w:t>
            </w:r>
            <w:r>
              <w:rPr>
                <w:rFonts w:ascii="Times New Roman;Times;Serif" w:hAnsi="Times New Roman;Times;Serif"/>
                <w:b w:val="false"/>
                <w:i w:val="false"/>
                <w:caps w:val="false"/>
                <w:smallCaps w:val="false"/>
                <w:sz w:val="20"/>
              </w:rPr>
              <w:t>”)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 In addition, pursuant to Rule 416(c) under the Securities Act, this registration statement also covers an indeterminate amount of interests to be offered or sold pursuant to the employee benefit plan(s) described herein, as these amounts may be adjusted as a result of stock splits, stock dividends, antidilution provisions, and similar transactions.</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automatic annual increase on January 1, 2023 to the number of shares of the Registrant’s common stock reserved for issuance under the 2022 Plan, which annual increase is provided for in the 2022 Plan.</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of the Registrant’s common stock as reported on the Nasdaq Global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on August 24, 2023.</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automatic annual increase on January 1, 2023 to the number of shares of the Registrant’s common stock reserved for issuance under the ESPP, which annual increase is provided for in the ESPP.</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of the Registrant’s Common Stock as reported on Nasdaq on August 24, 2023, multiplied by 85%, which is the percentage of the trading price per share applicable to purchasers under the ESPP (rounded up to the nearest cent).</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does not have any fee offsets.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10465922126690/tm2232217d1_s8.htm" TargetMode="External"/><Relationship Id="rId3" Type="http://schemas.openxmlformats.org/officeDocument/2006/relationships/hyperlink" Target="https://www.sec.gov/Archives/edgar/data/1847986/000149315223012533/form10-k.htm" TargetMode="External"/><Relationship Id="rId4" Type="http://schemas.openxmlformats.org/officeDocument/2006/relationships/hyperlink" Target="https://www.sec.gov/Archives/edgar/data/1847986/000149315223014966/form10-ka.htm" TargetMode="External"/><Relationship Id="rId5" Type="http://schemas.openxmlformats.org/officeDocument/2006/relationships/hyperlink" Target="https://www.sec.gov/Archives/edgar/data/1847986/000149315223017432/form10-q.htm" TargetMode="External"/><Relationship Id="rId6" Type="http://schemas.openxmlformats.org/officeDocument/2006/relationships/hyperlink" Target="https://www.sec.gov/Archives/edgar/data/1847986/000149315223029680/form10-q.htm" TargetMode="External"/><Relationship Id="rId7" Type="http://schemas.openxmlformats.org/officeDocument/2006/relationships/hyperlink" Target="https://www.sec.gov/Archives/edgar/data/1847986/000149315223006564/form8-k.htm" TargetMode="External"/><Relationship Id="rId8" Type="http://schemas.openxmlformats.org/officeDocument/2006/relationships/hyperlink" Target="https://www.sec.gov/Archives/edgar/data/1847986/000149315223007147/form8-k.htm" TargetMode="External"/><Relationship Id="rId9" Type="http://schemas.openxmlformats.org/officeDocument/2006/relationships/hyperlink" Target="https://www.sec.gov/Archives/edgar/data/1847986/000149315223009479/form8-k.htm" TargetMode="External"/><Relationship Id="rId10" Type="http://schemas.openxmlformats.org/officeDocument/2006/relationships/hyperlink" Target="https://www.sec.gov/Archives/edgar/data/1847986/000149315223010262/form8-k.htm" TargetMode="External"/><Relationship Id="rId11" Type="http://schemas.openxmlformats.org/officeDocument/2006/relationships/hyperlink" Target="https://www.sec.gov/Archives/edgar/data/1847986/000149315223014971/form8-k.htm" TargetMode="External"/><Relationship Id="rId12" Type="http://schemas.openxmlformats.org/officeDocument/2006/relationships/hyperlink" Target="https://www.sec.gov/Archives/edgar/data/1847986/000149315223021997/form8-k.htm" TargetMode="External"/><Relationship Id="rId13" Type="http://schemas.openxmlformats.org/officeDocument/2006/relationships/hyperlink" Target="https://www.sec.gov/Archives/edgar/data/1847986/000110465921102670/tm2124648d1_8a12b.htm" TargetMode="External"/><Relationship Id="rId14" Type="http://schemas.openxmlformats.org/officeDocument/2006/relationships/hyperlink" Target="https://www.sec.gov/Archives/edgar/data/1847986/000149315223010262/ex3-1.htm" TargetMode="External"/><Relationship Id="rId15" Type="http://schemas.openxmlformats.org/officeDocument/2006/relationships/hyperlink" Target="https://www.sec.gov/Archives/edgar/data/1847986/000149315223010262/ex3-2.htm" TargetMode="External"/><Relationship Id="rId16" Type="http://schemas.openxmlformats.org/officeDocument/2006/relationships/hyperlink" Target="https://www.sec.gov/Archives/edgar/data/1847986/000110465922107212/tm2222125d3_ex4-1.htm" TargetMode="External"/><Relationship Id="rId17" Type="http://schemas.openxmlformats.org/officeDocument/2006/relationships/hyperlink" Target="https://www.sec.gov/Archives/edgar/data/1847986/000110465922107212/tm2222125d3_ex10-5.htm" TargetMode="External"/><Relationship Id="rId18" Type="http://schemas.openxmlformats.org/officeDocument/2006/relationships/hyperlink" Target="https://www.sec.gov/Archives/edgar/data/1847986/000110465922107212/tm2222125d3_ex10-6.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2808</Words>
  <Characters>14729</Characters>
  <CharactersWithSpaces>17739</CharactersWithSpaces>
  <Paragraphs>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