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GROSSMAN JONAS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CHARDAN NEXTECH ACQUISITION 2 CORP.</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 STATE STREET, 21ST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Chardan NexTech Acquisition 2 Corp.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48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8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CNTQ </w:t>
              </w:r>
              <w:r>
                <w:rPr>
                  <w:rFonts w:ascii="Times New Roman" w:cs="Times New Roman" w:eastAsia="Times New Roman" w:hAnsi="Times New Roman"/>
                  <w:sz w:val="1"/>
                  <w:szCs w:val="1"/>
                  <w:color w:val="000000"/>
                </w:rPr>
                <w:t>]</w:t>
              </w:r>
            </w:hyperlink>
          </w:p>
        </w:tc>
        <w:tc>
          <w:tcPr>
            <w:tcW w:w="46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8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80" w:type="dxa"/>
            <w:vAlign w:val="bottom"/>
            <w:tcBorders>
              <w:top w:val="single" w:sz="8" w:color="2C2C2C"/>
            </w:tcBorders>
          </w:tcPr>
          <w:p>
            <w:pPr>
              <w:spacing w:after="0"/>
              <w:rPr>
                <w:sz w:val="15"/>
                <w:szCs w:val="15"/>
                <w:color w:val="auto"/>
              </w:rPr>
            </w:pPr>
          </w:p>
        </w:tc>
        <w:tc>
          <w:tcPr>
            <w:tcW w:w="37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20" w:type="dxa"/>
            <w:vAlign w:val="bottom"/>
            <w:gridSpan w:val="3"/>
          </w:tcPr>
          <w:p>
            <w:pPr>
              <w:ind w:left="80"/>
              <w:spacing w:after="0" w:line="179" w:lineRule="exact"/>
              <w:rPr>
                <w:sz w:val="20"/>
                <w:szCs w:val="20"/>
                <w:color w:val="auto"/>
              </w:rPr>
            </w:pPr>
            <w:r>
              <w:rPr>
                <w:rFonts w:ascii="Times New Roman" w:cs="Times New Roman" w:eastAsia="Times New Roman" w:hAnsi="Times New Roman"/>
                <w:sz w:val="17"/>
                <w:szCs w:val="17"/>
                <w:color w:val="0000FF"/>
              </w:rPr>
              <w:t>CEO, President, Secy. &amp; Treas.</w:t>
            </w:r>
          </w:p>
        </w:tc>
        <w:tc>
          <w:tcPr>
            <w:tcW w:w="0" w:type="dxa"/>
            <w:vAlign w:val="bottom"/>
          </w:tcPr>
          <w:p>
            <w:pPr>
              <w:spacing w:after="0"/>
              <w:rPr>
                <w:sz w:val="1"/>
                <w:szCs w:val="1"/>
                <w:color w:val="auto"/>
              </w:rPr>
            </w:pPr>
          </w:p>
        </w:tc>
      </w:tr>
      <w:tr>
        <w:trPr>
          <w:trHeight w:val="226"/>
        </w:trPr>
        <w:tc>
          <w:tcPr>
            <w:tcW w:w="3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09/30/2022</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2C2C2C"/>
            </w:tcBorders>
          </w:tcPr>
          <w:p>
            <w:pPr>
              <w:spacing w:after="0"/>
              <w:rPr>
                <w:sz w:val="21"/>
                <w:szCs w:val="21"/>
                <w:color w:val="auto"/>
              </w:rPr>
            </w:pPr>
          </w:p>
        </w:tc>
        <w:tc>
          <w:tcPr>
            <w:tcW w:w="32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09/30/2022</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485,000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485,000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3,030,500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ranging from $10.33 to $10.38, inclusive. The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securities held directly by Chardan Capital Markets LLC, for which Mr. Grossman is the President and a managing partner.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securities held directly by Chardan NexTech Investments 2 LLC, for which Mr. Grossman is the managing member.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Grossman disclaims any beneficial ownership of the securities reported herein other than to the extent of any pecuniary interest he may have therein, directly or indirectly.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Jonas Grossman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10/04/2022</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3905"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2022-10-04T20:46:57Z</dcterms:created>
  <dcterms:modified xsi:type="dcterms:W3CDTF">2022-10-04T20:46:57Z</dcterms:modified>
</cp:coreProperties>
</file>