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333-272401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156845</wp:posOffset>
            </wp:positionV>
            <wp:extent cx="1748790"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8790"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11,131,900 Shares of Common Stock Issuable Upon Exercise of Previously Issued Warrants</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relates to the issuance by us of up to 11,131,900 shares of our common stock, $0.0001 par value per share (the “Common Stock”), that may be issued from time to time upon the exercise of warrants (the “Warrants”) previously issued by the Company to investors in our public offering that closed on June 22, 2023, including pursuant to the partial exercise of the underwriters’ overallotment option (the “Offering”), the issuance of which was previously registered on a Registration Statement on Form S-1 (File No. 333-272401).</w:t>
      </w:r>
    </w:p>
    <w:p>
      <w:pPr>
        <w:spacing w:after="0" w:line="180"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Warrant is exercisable for one share of our Common Stock at an exercise price of $2.00 per share. The Warrants were immediately exercisable upon issuance and expire on June 22, 2028. We will receive all of the proceeds from the exercise for cash of the Warrants.</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“DFLI,” and our public warrants are currently listed on the Nasdaq Capital Market under the symbol “DFLIW.” As of June 20, 2024, the closing price of our common stock was $0.855. As of June 20, 2024, the closing price of our public warrants was $0.039.</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applicable federal securities laws and are subject to reduced public company reporting requirements.</w:t>
      </w:r>
    </w:p>
    <w:p>
      <w:pPr>
        <w:spacing w:after="0" w:line="158"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Before making an investment decision. See “Risk Factors” in our most recent Annual Report on Form 10-K as such risk factors may be updated in our subsequent reports filed with the Securities and Exchange Commission, which are incorporated by reference herein, and as may be amended, supplemented or superseded from time to time by other reports we file with the Securities and Exchange Commission.</w:t>
      </w:r>
    </w:p>
    <w:p>
      <w:pPr>
        <w:spacing w:after="0" w:line="176" w:lineRule="exact"/>
        <w:rPr>
          <w:sz w:val="24"/>
          <w:szCs w:val="24"/>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July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60" w:type="dxa"/>
            <w:vAlign w:val="bottom"/>
            <w:gridSpan w:val="3"/>
          </w:tcPr>
          <w:p>
            <w:pPr>
              <w:ind w:left="1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59"/>
        </w:trPr>
        <w:tc>
          <w:tcPr>
            <w:tcW w:w="7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2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8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0"/>
        </w:trPr>
        <w:tc>
          <w:tcPr>
            <w:tcW w:w="2240" w:type="dxa"/>
            <w:vAlign w:val="bottom"/>
            <w:tcBorders>
              <w:bottom w:val="single" w:sz="8" w:color="0000EE"/>
            </w:tcBorders>
            <w:gridSpan w:val="7"/>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w:t>
            </w:r>
          </w:p>
        </w:tc>
        <w:tc>
          <w:tcPr>
            <w:tcW w:w="8360" w:type="dxa"/>
            <w:vAlign w:val="bottom"/>
            <w:tcBorders>
              <w:bottom w:val="single" w:sz="8" w:color="CCEEFF"/>
            </w:tcBorders>
            <w:gridSpan w:val="6"/>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5"/>
        </w:trPr>
        <w:tc>
          <w:tcPr>
            <w:tcW w:w="106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128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9320" w:type="dxa"/>
            <w:vAlign w:val="bottom"/>
            <w:tcBorders>
              <w:top w:val="single" w:sz="8" w:color="CCEEFF"/>
            </w:tcBorders>
            <w:gridSpan w:val="1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FORWARD-LOOKING STATEMENTS</w:t>
            </w:r>
          </w:p>
        </w:tc>
        <w:tc>
          <w:tcPr>
            <w:tcW w:w="766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06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808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106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 AND DETERMINATION OF OFFERING PRICE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6"/>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14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4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ADDITIONAL INFORMATION</w:t>
            </w:r>
          </w:p>
        </w:tc>
        <w:tc>
          <w:tcPr>
            <w:tcW w:w="818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176"/>
        </w:trPr>
        <w:tc>
          <w:tcPr>
            <w:tcW w:w="106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we filed with the Securities and Exchange Commission (the “SEC”) using the “shelf” registration process. This prospectus relates to the issuance by us of the shares of Common Stock issuable upon the exercise of the Warrants. We will receive the exercise price per share for each Warrant exercised for cash.</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responsible for the information contained in this prospectus and in any free-writing prospectus we prepare or authorize. We have not authorized anyone to provide you with different information, and we take no responsibility for any other information others may give you. We are not making an offer to sell these securities in any jurisdiction where the offer or sale is not permitted. You should not assume that the information contained in this prospectus is accurate as of any date other than the date on the cover of this prospectus.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Persons who come into possession of this prospectus and any applicable free writing prospectus in jurisdictions outside the United States are required to inform themselves about and to observe any restrictions as to this offering and the distribution of this prospectus and any such free writing prospectus applicable to that jurisdiction. relating to, the offering of our securities and the distribution of this prospectus outside the United States.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Solely for convenience, trademarks and tradenames referred to in this prospectus may appear without the ® or ™ symbols, but such references are not intended to indicate in any way that we will not assert, to the fullest extent under applicable law, our rights, or that the applicable owner will not assert its rights, to these trademarks and tradenames.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to “Dragonfly,” the “Company,” “us,” “we,” “our” and any related terms are intended to mean Dragonfly Energy Holdings Corp. and its consolidated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5790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7875" cy="5790565"/>
                    </a:xfrm>
                    <a:prstGeom prst="rect">
                      <a:avLst/>
                    </a:prstGeom>
                    <a:noFill/>
                  </pic:spPr>
                </pic:pic>
              </a:graphicData>
            </a:graphic>
          </wp:anchor>
        </w:drawing>
        <w:t>PROSPECTUS SUMMARY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some information from this prospectus. It is not complete and does not contain all of the information that you should consider before making an investment decision. You should read this entire prospectus, including the “Risk Factors” section on page 4 and the disclosures to which that section refers you, the financial statements and related notes and the other more detailed information appearing elsewhere or incorporated by reference into this prospectus before investing in any of the securities described in this prospectus.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caters to customers in the consumer industry (including the recreational vehicle (“RV”), marine vessel, solar, oil and gas, and off-grid residence industries), and industrial and energy storage markets, with proprietary, patented and disruptive battery cell manufacturing and non-flammable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 dual-brand strategy for battery products, Dragonfly Energy (“Dragonfly Energy”) and Battle Born Batteries (“Battle Born”). Battle Born branded products are primarily sold direct-to-consumers (“DTC”), while the Dragonfly Energy brand is primarily sold to original equipment manufacturers (“OEMs”).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have recently launched our unique battery communication system. We currently source the lithium iron phosphate (“LFP”) cells incorporated into our batteries from a limited number of carefully selected suppliers that can meet our demanding quality standards and with whom we have developed long-term relationships.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currently offer several lines of batteries across our two brands, each differentiated by size, power and capacity, consisting of seven different models, four of which come with a heated option. 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Company, LLC (“Thomason Jones”) and the other parties thereto, we also acquired the assets, including the Wakespeed Offshore brand (“Wakespeed”) of Thomason Jones, allowing us to include our own alternator regulator in systems that we sell.</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we have successfully developed innovative manufacturing processes for dry-electrode manufacturing of lithium-ion cells, and we are continuing development efforts relating to next-generation solid-state technology. Since our inception, we have built a comprehensive patent portfolio around our proprietary dry-electrode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1190 Trademark Dr. #108, Reno, Nevada 89521, and our telephone number is (775) 622-3448.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0"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3596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7875" cy="3596005"/>
                    </a:xfrm>
                    <a:prstGeom prst="rect">
                      <a:avLst/>
                    </a:prstGeom>
                    <a:noFill/>
                  </pic:spPr>
                </pic:pic>
              </a:graphicData>
            </a:graphic>
          </wp:anchor>
        </w:drawing>
        <w:t>Emerging Growth Company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0" w:right="4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7025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7025005"/>
                    </a:xfrm>
                    <a:prstGeom prst="rect">
                      <a:avLst/>
                    </a:prstGeom>
                    <a:noFill/>
                  </pic:spPr>
                </pic:pic>
              </a:graphicData>
            </a:graphic>
          </wp:anchor>
        </w:drawing>
        <w:t>THE OFFERING</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following summary of the offering contains basic information about the offering and our securities and is not intended to be complete. It does not contain all the information that may be important to you. For a more complete understanding of our securities, please refer to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registering the issuance by us of 11,131,900 shares of Common Stock that may be issued from time to time upon the exercise of the Warrants.</w:t>
      </w:r>
    </w:p>
    <w:p>
      <w:pPr>
        <w:sectPr>
          <w:pgSz w:w="11900" w:h="16838" w:orient="portrait"/>
          <w:cols w:equalWidth="0" w:num="1">
            <w:col w:w="10920"/>
          </w:cols>
          <w:pgMar w:left="480" w:top="900" w:right="499" w:bottom="1440" w:gutter="0" w:footer="0" w:header="0"/>
        </w:sectPr>
      </w:pPr>
    </w:p>
    <w:p>
      <w:pPr>
        <w:spacing w:after="0" w:line="221" w:lineRule="exact"/>
        <w:rPr>
          <w:sz w:val="20"/>
          <w:szCs w:val="20"/>
          <w:color w:val="auto"/>
        </w:rPr>
      </w:pPr>
    </w:p>
    <w:p>
      <w:pPr>
        <w:ind w:right="440"/>
        <w:spacing w:after="0" w:line="317" w:lineRule="auto"/>
        <w:rPr>
          <w:sz w:val="20"/>
          <w:szCs w:val="20"/>
          <w:color w:val="auto"/>
        </w:rPr>
      </w:pPr>
      <w:r>
        <w:rPr>
          <w:rFonts w:ascii="Times New Roman" w:cs="Times New Roman" w:eastAsia="Times New Roman" w:hAnsi="Times New Roman"/>
          <w:sz w:val="17"/>
          <w:szCs w:val="17"/>
          <w:b w:val="1"/>
          <w:bCs w:val="1"/>
          <w:color w:val="auto"/>
        </w:rPr>
        <w:t>Issuance of Common Stock Underlying the Warrants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11,131,900 shares of Common Stock</w:t>
      </w:r>
    </w:p>
    <w:p>
      <w:pPr>
        <w:spacing w:after="0" w:line="448" w:lineRule="exact"/>
        <w:rPr>
          <w:sz w:val="20"/>
          <w:szCs w:val="20"/>
          <w:color w:val="auto"/>
        </w:rPr>
      </w:pPr>
    </w:p>
    <w:p>
      <w:pPr>
        <w:sectPr>
          <w:pgSz w:w="11900" w:h="16838" w:orient="portrait"/>
          <w:cols w:equalWidth="0" w:num="2">
            <w:col w:w="2520" w:space="720"/>
            <w:col w:w="7680"/>
          </w:cols>
          <w:pgMar w:left="480" w:top="90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Common Stock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61,148,917 shares of Common Stock as of June 20, 2024</w:t>
      </w:r>
    </w:p>
    <w:p>
      <w:pPr>
        <w:spacing w:after="0" w:line="200" w:lineRule="exact"/>
        <w:rPr>
          <w:sz w:val="20"/>
          <w:szCs w:val="20"/>
          <w:color w:val="auto"/>
        </w:rPr>
      </w:pPr>
    </w:p>
    <w:p>
      <w:pPr>
        <w:sectPr>
          <w:pgSz w:w="11900" w:h="16838" w:orient="portrait"/>
          <w:cols w:equalWidth="0" w:num="2">
            <w:col w:w="2520" w:space="720"/>
            <w:col w:w="7680"/>
          </w:cols>
          <w:pgMar w:left="480" w:top="900" w:right="49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the Warrants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Warrants have an exercise price of $2.00 per share of Common Stock, were immediately exercisable upon issuance and expire on June 22, 2028. Each Warrant is exercisable one share of our Common Stock, subject to adjustment in the event of stock dividends, stock splits, stock combinations, reclassifications, reorganizations or similar events affecting our Common Stock.</w:t>
      </w:r>
    </w:p>
    <w:p>
      <w:pPr>
        <w:spacing w:after="0" w:line="180" w:lineRule="exact"/>
        <w:rPr>
          <w:sz w:val="20"/>
          <w:szCs w:val="20"/>
          <w:color w:val="auto"/>
        </w:rPr>
      </w:pPr>
    </w:p>
    <w:p>
      <w:pPr>
        <w:sectPr>
          <w:pgSz w:w="11900" w:h="16838" w:orient="portrait"/>
          <w:cols w:equalWidth="0" w:num="2">
            <w:col w:w="2520" w:space="720"/>
            <w:col w:w="7680"/>
          </w:cols>
          <w:pgMar w:left="480" w:top="900" w:right="499" w:bottom="1440" w:gutter="0" w:footer="0" w:header="0"/>
          <w:type w:val="continuous"/>
        </w:sectPr>
      </w:pPr>
    </w:p>
    <w:p>
      <w:pPr>
        <w:jc w:val="both"/>
        <w:ind w:left="3240" w:right="20"/>
        <w:spacing w:after="0" w:line="261" w:lineRule="auto"/>
        <w:rPr>
          <w:sz w:val="20"/>
          <w:szCs w:val="20"/>
          <w:color w:val="auto"/>
        </w:rPr>
      </w:pPr>
      <w:r>
        <w:rPr>
          <w:rFonts w:ascii="Times New Roman" w:cs="Times New Roman" w:eastAsia="Times New Roman" w:hAnsi="Times New Roman"/>
          <w:sz w:val="18"/>
          <w:szCs w:val="18"/>
          <w:color w:val="auto"/>
        </w:rPr>
        <w:t>This prospectus relates to the issuance of Common Stock upon exercise of the Warrants. To better understand the terms of the Warrants, you should carefully read the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section of this prospectus. You should also read the form of Warrant, which is filed as an exhibit to the registration statement that includes this prospectus.</w:t>
      </w:r>
    </w:p>
    <w:p>
      <w:pPr>
        <w:sectPr>
          <w:pgSz w:w="11900" w:h="16838" w:orient="portrait"/>
          <w:cols w:equalWidth="0" w:num="1">
            <w:col w:w="10920"/>
          </w:cols>
          <w:pgMar w:left="480" w:top="900" w:right="49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receive the exercise price per share for each Warrant exercised for cash; however, we are unable to predict the timing or amount of potential Warrant exercises. As such, we have not allocated any proceeds of such exercises to any particular purpose. Accordingly, all such proceeds will be used for working capital and other general corporate purposes. It is possible that some, or all, of the Warrants may expire and never be exercised.</w:t>
      </w:r>
    </w:p>
    <w:p>
      <w:pPr>
        <w:spacing w:after="0" w:line="179" w:lineRule="exact"/>
        <w:rPr>
          <w:sz w:val="20"/>
          <w:szCs w:val="20"/>
          <w:color w:val="auto"/>
        </w:rPr>
      </w:pPr>
    </w:p>
    <w:p>
      <w:pPr>
        <w:sectPr>
          <w:pgSz w:w="11900" w:h="16838" w:orient="portrait"/>
          <w:cols w:equalWidth="0" w:num="2">
            <w:col w:w="2520" w:space="720"/>
            <w:col w:w="7680"/>
          </w:cols>
          <w:pgMar w:left="480" w:top="90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jc w:val="both"/>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most recent Annual Report on Form 10-K and in our subsequent reports filed with the SEC, which are incorporated by reference herein, and other information in this prospectus for a discussion of the factors you should consider before you decide to invest in our securities.</w:t>
      </w:r>
    </w:p>
    <w:p>
      <w:pPr>
        <w:spacing w:after="0" w:line="171" w:lineRule="exact"/>
        <w:rPr>
          <w:sz w:val="20"/>
          <w:szCs w:val="20"/>
          <w:color w:val="auto"/>
        </w:rPr>
      </w:pPr>
    </w:p>
    <w:p>
      <w:pPr>
        <w:sectPr>
          <w:pgSz w:w="11900" w:h="16838" w:orient="portrait"/>
          <w:cols w:equalWidth="0" w:num="2">
            <w:col w:w="2520" w:space="720"/>
            <w:col w:w="7680"/>
          </w:cols>
          <w:pgMar w:left="480" w:top="90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Trading Market and Ticker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Our common stock is currently listed on the Nasdaq Capital Market under the symbol “DFLI.”</w:t>
      </w:r>
    </w:p>
    <w:p>
      <w:pPr>
        <w:spacing w:after="0" w:line="200" w:lineRule="exact"/>
        <w:rPr>
          <w:sz w:val="20"/>
          <w:szCs w:val="20"/>
          <w:color w:val="auto"/>
        </w:rPr>
      </w:pPr>
    </w:p>
    <w:p>
      <w:pPr>
        <w:sectPr>
          <w:pgSz w:w="11900" w:h="16838" w:orient="portrait"/>
          <w:cols w:equalWidth="0" w:num="2">
            <w:col w:w="2760" w:space="480"/>
            <w:col w:w="7680"/>
          </w:cols>
          <w:pgMar w:left="480" w:top="900" w:right="499" w:bottom="1440" w:gutter="0" w:footer="0" w:header="0"/>
          <w:type w:val="continuous"/>
        </w:sectPr>
      </w:pPr>
    </w:p>
    <w:p>
      <w:pPr>
        <w:spacing w:after="0" w:line="3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Unless we specifically state otherwise or the context otherwise requires, the information above is as of June 20, 2024, does not give effect to issuances of our Common Stock, Warrants, options to purchase shares of our Common Stock, or the exercise of Warrants or options after such date, and excludes:</w:t>
      </w:r>
    </w:p>
    <w:p>
      <w:pPr>
        <w:spacing w:after="0" w:line="176" w:lineRule="exact"/>
        <w:rPr>
          <w:sz w:val="20"/>
          <w:szCs w:val="20"/>
          <w:color w:val="auto"/>
        </w:rPr>
      </w:pPr>
    </w:p>
    <w:p>
      <w:pPr>
        <w:ind w:left="660" w:right="20" w:hanging="331"/>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 shares of Common Stock reserved for issuance in the event of certain financial achievements per our $75,000,000 term loan (the “Term Loan”);</w:t>
      </w:r>
    </w:p>
    <w:p>
      <w:pPr>
        <w:ind w:left="660" w:right="20" w:hanging="331"/>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1,501,386 shares of Common Stock issuable upon exercise of the private placement warrants that were originally issued in a private placement at the time of the Chardan NexTech Acquisition 2 Corp. initial public offering (the “CNTQ IPO”);</w:t>
      </w: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9,422,519 shares of Common Stock issuable upon exercise of the public warrants sold as part of the CNTQ IPO;</w:t>
      </w:r>
    </w:p>
    <w:p>
      <w:pPr>
        <w:spacing w:after="0" w:line="9"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4,440,720 shares of Common Stock currently issuable upon the exercise of the certain penny warrants issued to the lenders of our Term Loan;</w:t>
      </w:r>
    </w:p>
    <w:p>
      <w:pPr>
        <w:spacing w:after="0" w:line="9"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11,131,900 shares of Common Stock issuable upon the exercise of the Warrants issued as part of the Offering;</w:t>
      </w:r>
    </w:p>
    <w:p>
      <w:pPr>
        <w:spacing w:after="0" w:line="9"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570,250 shares of Common Stock issuable upon the exercise of the underwriters’ warrants issued as part of the Offering;</w:t>
      </w:r>
    </w:p>
    <w:p>
      <w:pPr>
        <w:spacing w:after="0" w:line="9"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1,996,374 shares of Common Stock underlying outstanding options; and</w:t>
      </w:r>
    </w:p>
    <w:p>
      <w:pPr>
        <w:spacing w:after="0" w:line="9"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2,421,002 shares of Common Stock underlying outstanding restricted stock units.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0" w:right="49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purchasing any of the securities you should carefully consider the risk factors incorporated by reference in this prospectus from our most recent Annual Report on Form 10-K and any subsequent updates described in our Quarterly Reports on Form 10-Q and Current Reports on Form 8-K. For a description of these reports and information about where you can find them, see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Additional risks not presently known or that we presently consider to be immaterial could subsequently materially and adversely affect our financial condition, results of operations, business and prospects.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contain, and our officers and representatives may from time to time make, forward-looking statements that involve substantial risks and uncertainties. In some cases, you can identify forward-looking statements by terms such as “may,” “will,” “should,” “expect,” “plan,” “anticipate,” “could,” “intend,” “target,” “project,” “estimate,” “believe,” “estimate,” “predict,” “potential” or “continue” or the negative of these terms or other similar expressions intended to identify statements about the future. These statements speak only as of the date of this prospectus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188" w:lineRule="exact"/>
        <w:rPr>
          <w:sz w:val="20"/>
          <w:szCs w:val="20"/>
          <w:color w:val="auto"/>
        </w:rPr>
      </w:pP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increase market penetration into target markets;</w:t>
      </w:r>
    </w:p>
    <w:p>
      <w:pPr>
        <w:spacing w:after="0" w:line="27" w:lineRule="exact"/>
        <w:rPr>
          <w:rFonts w:ascii="Times New Roman" w:cs="Times New Roman" w:eastAsia="Times New Roman" w:hAnsi="Times New Roman"/>
          <w:sz w:val="18"/>
          <w:szCs w:val="18"/>
          <w:color w:val="auto"/>
        </w:rPr>
      </w:pP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we intend to target do not grow as expected;</w:t>
      </w:r>
    </w:p>
    <w:p>
      <w:pPr>
        <w:spacing w:after="0" w:line="9" w:lineRule="exact"/>
        <w:rPr>
          <w:rFonts w:ascii="Times New Roman" w:cs="Times New Roman" w:eastAsia="Times New Roman" w:hAnsi="Times New Roman"/>
          <w:sz w:val="18"/>
          <w:szCs w:val="18"/>
          <w:color w:val="auto"/>
        </w:rPr>
      </w:pPr>
    </w:p>
    <w:p>
      <w:pPr>
        <w:jc w:val="both"/>
        <w:ind w:left="840" w:hanging="652"/>
        <w:spacing w:after="0" w:line="250" w:lineRule="auto"/>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our failure to timely achieve the anticipated benefits of our customer arrangements with THOR Industries and its affiliate brands (including Keystone RV Company (“Keystone”)), including Keystone’s decision in July 2023, that, due to weaker demand for its products and its subsequent focus on reducing costs, it would no longer install our storage solutions as standard equipment, but rather return to offering those solutions as an option to dealers and consumers;</w:t>
      </w:r>
    </w:p>
    <w:p>
      <w:pPr>
        <w:spacing w:after="0" w:line="1" w:lineRule="exact"/>
        <w:rPr>
          <w:rFonts w:ascii="Times New Roman" w:cs="Times New Roman" w:eastAsia="Times New Roman" w:hAnsi="Times New Roman"/>
          <w:sz w:val="18"/>
          <w:szCs w:val="18"/>
          <w:color w:val="auto"/>
        </w:rPr>
      </w:pP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and our ability to achieve and maintain profitability;</w:t>
      </w:r>
    </w:p>
    <w:p>
      <w:pPr>
        <w:spacing w:after="0" w:line="9" w:lineRule="exact"/>
        <w:rPr>
          <w:rFonts w:ascii="Times New Roman" w:cs="Times New Roman" w:eastAsia="Times New Roman" w:hAnsi="Times New Roman"/>
          <w:sz w:val="18"/>
          <w:szCs w:val="18"/>
          <w:color w:val="auto"/>
        </w:rPr>
      </w:pP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our senior management team or other key personnel;</w:t>
      </w:r>
    </w:p>
    <w:p>
      <w:pPr>
        <w:spacing w:after="0" w:line="9" w:lineRule="exact"/>
        <w:rPr>
          <w:rFonts w:ascii="Times New Roman" w:cs="Times New Roman" w:eastAsia="Times New Roman" w:hAnsi="Times New Roman"/>
          <w:sz w:val="18"/>
          <w:szCs w:val="18"/>
          <w:color w:val="auto"/>
        </w:rPr>
      </w:pP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9" w:lineRule="exact"/>
        <w:rPr>
          <w:rFonts w:ascii="Times New Roman" w:cs="Times New Roman" w:eastAsia="Times New Roman" w:hAnsi="Times New Roman"/>
          <w:sz w:val="18"/>
          <w:szCs w:val="18"/>
          <w:color w:val="auto"/>
        </w:rPr>
      </w:pP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9" w:lineRule="exact"/>
        <w:rPr>
          <w:rFonts w:ascii="Times New Roman" w:cs="Times New Roman" w:eastAsia="Times New Roman" w:hAnsi="Times New Roman"/>
          <w:sz w:val="18"/>
          <w:szCs w:val="18"/>
          <w:color w:val="auto"/>
        </w:rPr>
      </w:pP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intellectual property;</w:t>
      </w:r>
    </w:p>
    <w:p>
      <w:pPr>
        <w:spacing w:after="0" w:line="9" w:lineRule="exact"/>
        <w:rPr>
          <w:rFonts w:ascii="Times New Roman" w:cs="Times New Roman" w:eastAsia="Times New Roman" w:hAnsi="Times New Roman"/>
          <w:sz w:val="18"/>
          <w:szCs w:val="18"/>
          <w:color w:val="auto"/>
        </w:rPr>
      </w:pPr>
    </w:p>
    <w:p>
      <w:pPr>
        <w:ind w:left="840" w:hanging="652"/>
        <w:spacing w:after="0" w:line="250" w:lineRule="auto"/>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solid-state cells or to produce commercially viable solid-state cells in a timely manner or at all, or to scale to mass production;</w:t>
      </w:r>
    </w:p>
    <w:p>
      <w:pPr>
        <w:ind w:left="840" w:right="20" w:hanging="652"/>
        <w:spacing w:after="0" w:line="250" w:lineRule="auto"/>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including changes in the rates of tariffs or any adjustments to the amounts payable by us to customs as a result of improperly identifying the applicable tariff rate payable on our products;</w:t>
      </w: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and public warrants on the Nasdaq Capital Market;</w:t>
      </w:r>
    </w:p>
    <w:p>
      <w:pPr>
        <w:spacing w:after="0" w:line="9" w:lineRule="exact"/>
        <w:rPr>
          <w:rFonts w:ascii="Times New Roman" w:cs="Times New Roman" w:eastAsia="Times New Roman" w:hAnsi="Times New Roman"/>
          <w:sz w:val="18"/>
          <w:szCs w:val="18"/>
          <w:color w:val="auto"/>
        </w:rPr>
      </w:pPr>
    </w:p>
    <w:p>
      <w:pPr>
        <w:ind w:left="840" w:right="20" w:hanging="652"/>
        <w:spacing w:after="0" w:line="250" w:lineRule="auto"/>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(including an economic slowdown or inflationary pressures);</w:t>
      </w: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the desired amounts of shares of Common Stock at desired prices under our equity facility;</w:t>
      </w:r>
    </w:p>
    <w:p>
      <w:pPr>
        <w:spacing w:after="0" w:line="9" w:lineRule="exact"/>
        <w:rPr>
          <w:rFonts w:ascii="Times New Roman" w:cs="Times New Roman" w:eastAsia="Times New Roman" w:hAnsi="Times New Roman"/>
          <w:sz w:val="18"/>
          <w:szCs w:val="18"/>
          <w:color w:val="auto"/>
        </w:rPr>
      </w:pP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w:t>
      </w:r>
    </w:p>
    <w:p>
      <w:pPr>
        <w:spacing w:after="0" w:line="9" w:lineRule="exact"/>
        <w:rPr>
          <w:rFonts w:ascii="Times New Roman" w:cs="Times New Roman" w:eastAsia="Times New Roman" w:hAnsi="Times New Roman"/>
          <w:sz w:val="18"/>
          <w:szCs w:val="18"/>
          <w:color w:val="auto"/>
        </w:rPr>
      </w:pP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and need for additional financing;</w:t>
      </w:r>
    </w:p>
    <w:p>
      <w:pPr>
        <w:spacing w:after="0" w:line="9" w:lineRule="exact"/>
        <w:rPr>
          <w:rFonts w:ascii="Times New Roman" w:cs="Times New Roman" w:eastAsia="Times New Roman" w:hAnsi="Times New Roman"/>
          <w:sz w:val="18"/>
          <w:szCs w:val="18"/>
          <w:color w:val="auto"/>
        </w:rPr>
      </w:pP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9" w:lineRule="exact"/>
        <w:rPr>
          <w:rFonts w:ascii="Times New Roman" w:cs="Times New Roman" w:eastAsia="Times New Roman" w:hAnsi="Times New Roman"/>
          <w:sz w:val="18"/>
          <w:szCs w:val="18"/>
          <w:color w:val="auto"/>
        </w:rPr>
      </w:pP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retain these customers for future orders;</w:t>
      </w:r>
    </w:p>
    <w:p>
      <w:pPr>
        <w:spacing w:after="0" w:line="9" w:lineRule="exact"/>
        <w:rPr>
          <w:rFonts w:ascii="Times New Roman" w:cs="Times New Roman" w:eastAsia="Times New Roman" w:hAnsi="Times New Roman"/>
          <w:sz w:val="18"/>
          <w:szCs w:val="18"/>
          <w:color w:val="auto"/>
        </w:rPr>
      </w:pP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two suppliers for our lithium iron phosphate cells and a single supplier for the manufacture of our battery management system;</w:t>
      </w:r>
    </w:p>
    <w:p>
      <w:pPr>
        <w:spacing w:after="0" w:line="9" w:lineRule="exact"/>
        <w:rPr>
          <w:rFonts w:ascii="Times New Roman" w:cs="Times New Roman" w:eastAsia="Times New Roman" w:hAnsi="Times New Roman"/>
          <w:sz w:val="18"/>
          <w:szCs w:val="18"/>
          <w:color w:val="auto"/>
        </w:rPr>
      </w:pPr>
    </w:p>
    <w:p>
      <w:pPr>
        <w:ind w:left="840" w:hanging="652"/>
        <w:spacing w:after="0" w:line="250" w:lineRule="auto"/>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geopolitical events, including the Russia-Ukraine conflict and Hamas’ attack on Israel, and their effects on our operations; and</w:t>
      </w:r>
    </w:p>
    <w:p>
      <w:pPr>
        <w:ind w:left="840" w:hanging="652"/>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dependence on two manufacturing facilities.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does not represent an exhaustive list of matters that may be covered by the forward-looking statements contained herein and in the documents incorporated by reference herein or risk factors that we are faced with that may cause our actual results to differ from those anticipate in our forward-looking statements. Factors that may affect our results include, but are not limited to, the risks and uncertainties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on page 4 of this prospectus, in our Annual Report on Form 10-K or in other reports we file with the SEC.</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The Private Securities Litigation Reform Act of 1995 and Section 27A of the Securities Act, do not protect any forward-looking statements that we make in connection with this offering. All forward-looking statements included in this prospectus and in the documents incorporated by reference in this prospectus are based on information available to us on the date of this prospectus or the date of the applicable document incorporated by reference. Except to the extent required by applicable laws or rules, we undertake no obligation to publicly update or revise any forward-looking statement, whether written or oral, that may be made from time to time, whether as a result of new information, future events or otherwise. All subsequent written and oral forward-looking statements attributable to us or persons acting on our behalf are expressly qualified in their entirety by the cautionary statements contained above and throughout this prospectus and in the documents incorporated by reference in this prospectus. We qualify all of our forward-looking statements by these cautionary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receive the exercise price per share for each Warrant exercised for cash; however, we are unable to predict the timing or amount of potential Warrant exercises. As such, we have not allocated any proceeds of such exercises to any particular purpose. Accordingly, all such proceeds will be used for working capital and other general corporate purposes. It is possible that some, or all, of the Warrants may expire and never be exercised.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You are encouraged to read the applicable provisions of the means the Nevada Revised Statutes (the “NRS”), our Articles of Incorporation and our Bylaws in their entirety for a complete description of the rights and preferences of our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255,000,000 shares of capital stock authorized under our Charter, which consists of 250,000,000 shares of Common Stock with a par value of $0.0001 per share and 5,000,000 shares of preferred stock with par value $0.0001 per share.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20, 2024 there were 61,148,917 shares of Common Stock outstanding and no shares of preferred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terms and provisions of the Warrants. This summary is subject to and qualified in its entirety by the form of Warrant which is filed as an exhibit to the registration statement of which this prospectus forms a part.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Duration and Exercise Price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Warrant has an exercise price of $2.00 per share. The Warrants were exercisable upon issuance and may be exercised until five years from the date of issuance. The exercise price and number of shares of Common Stock issuable upon exercise of the Warrants is subject to appropriate adjustment in the event of stock dividends, stock splits, reorganizations or similar events affecting our Common Stock and the exercise price. The Warrants were issued in certificated form only.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Warrants are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A holder (together with its affiliates) may not exercise any portion of such holder’s Warrants to the extent that the holder would own more than 4.99% of the outstanding Common Stock immediately after exercise, except that upon at least 61 days’ prior notice from the holder to us, the holder may increase the amount of ownership of outstanding stock after exercising the holder’s warrants up to 9.99% of the number of shares of our Common Stock outstanding immediately after giving effect to the exercise, as such percentage ownership is determined in accordance with the terms of the Warrants.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Cashless Exercise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at the time a holder exercises its Warrants, a registration statement registering the issuance or resale of the shares of Common Stock underlying the Warrants under the Securities Act is not then effective or available for the issuance of such shares,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Warrant.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at any time while the Warrants are outstanding and there is a fundamental transaction as described in the Warrant where, we, directly or indirectly, (1) effect any merger or consolidation with or into another person, (2) effect any sale, lease, exclusive license, assignment, transfer, conveyance or other disposition of all or substantially all of our assets in one or a series of related transactions, (3) complete any direct or indirect purchase offer, tender offer or exchange offer (whether by us or another person) pursuant to which holders of our Common Stock are permitted to sell, tender or exchange their shares for other securities, cash or property and which has been accepted by the holders of 50% or more of the outstanding Common Stock, (4) effect any reclassification, reorganization or recapitalization of the Common Stock or any compulsory share exchange pursuant to which the Common Stock is effectively converted into or exchanged for other securities, cash or property, or (5) in one or more related transactions consummate a stock or share purchase agreement or other business combination (including a reorganization, recapitalization, spin-off or scheme of arrangement) with another person or group of persons whereby such other person or group acquires more than 50% of the outstanding shares of Common Stock, or each, a Fundamental Transaction, then the holder shall have the right thereafter to receive, upon exercise of the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of the Warrant. Any successor to us or surviving entity shall assume the obligations under the Warrant. Notwithstanding the foregoing, in the event of a Fundamental Transaction approved by our board of directors, the holders of the Warrants have the right to require us or a successor entity to redeem the Warrants for cash in the amount of the Black Scholes Value (as defined in each Warrant) of the unexercised portion of the Warrants on the date of the consummation of the Fundamental Transaction, concurrently with or within 30 days following the consummation of a Fundamental Transaction. In the event of a Fundamental Transaction that is not within our control, including any Fundamental Transaction which is not approved by our board of directors, the holders of the Warrants have the right to receive the same type or form of consideration paid to holders of Common Stock in the Fundamental Transaction in the amount of the Black Scholes Value of the unexercised portion of the Warrants on the date of the consummation of the Fundamental Transaction.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applicable laws, an Warrant may be transferred at the option of the holder upon surrender of the Warrant to us together with the appropriate instruments of transfer.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Fractional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fractional shares of Common Stock will be issued upon the exercise of the Warrants. Rather, the number of shares of Common Stock to be issued will, at our election, either be rounded up to the next whole share or we will pay a cash adjustment in respect of such final fraction in an amount equal to such fraction multiplied by the exercise price.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Market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established trading market for the Warrants, and we do not expect such a market to develop. We do not intend to apply to list the Warrants on any securities exchange or other nationally recognized trading system. Without an active trading market, the liquidity of the Warrants is extremely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as a Stockholder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Warrants or by virtue of the holder’s ownership of shares of our Common Stock, such holder of Warrants does not have the rights or privileges of a holder of our Common Stock, including any voting rights, until such holder exercises such holder’s Warrants. The Warrants will provide that the holders of the Warrants have the right to participate in distributions or dividends paid on our shares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Waivers and Amendments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Warrants may be modified or amended or the provisions of such warrants waived with our consent and the consent of the holders of at least a majority of the outstanding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Transfer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for our shares of Common Stock is Equiniti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Articles of Incorporation authorizes a total of 5,000,000 shares of preferred stock, par value $0.0001 per share.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our Articles of Incorporation, our board of directors is authorized to issue shares of preferred stock in one or more series without stockholder approval. Our board of directors has the discretion to determine the terms, rights, preferences, privileges and restrictions, including voting rights, dividend rights, conversion rights, redemption privileges and liquidation preferences, of each series of preferred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 Provisions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Articles of Incorporation, in Article XI, includes a mandatory forum provision that, to the fullest extent permitted by law, and unless we consent in writing, the Second Judicial District Court, in and for the State of Nevada, located in Washoe County, shall be the sole and exclusive forum for</w:t>
      </w:r>
    </w:p>
    <w:p>
      <w:pPr>
        <w:jc w:val="both"/>
        <w:ind w:firstLine="8"/>
        <w:spacing w:after="0" w:line="253" w:lineRule="auto"/>
        <w:tabs>
          <w:tab w:leader="none" w:pos="2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Articles of Incorporation or Bylaws, (d) any action to interpret, apply, enforce or determine the validity of the Articles of Incorporation or Bylaws or (e) any action asserting a claim governed by the internal affairs doctrine.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Securities Exchange Act of 1934, as amended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Anti-Takeover Effects of the Charter, the Bylaws and Nevada Law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Nevada corporation and are generally governed by the NRS. The following is a brief description of the provisions in our Articles of Incorporation, Bylaws and the NRS that could have an effect of delaying, deferring, or preventing a change in control of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the NRS, our Articles of Incorporation,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Combinations with Interested Stockholders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Following the expiration of the two-year period, the corporation is prohibited from engaging in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Companies are entitled to opt out of the business combination provisions of the NRS. In our Articles of Incorporation, we have not opted out of the business combination provisions of NRS 78.411 to 78.444, inclusive.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Controlling Interests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Nevada law also protects the corporation and its stockholders from persons acquiring a “controlling interest” in a corporation. The provisions can be found in NRS 78.378 to 78.3793, inclusive.</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Common stock and Series A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series, delay, defer, or prevent a change of control of our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78.320 of the NRS,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charter provides otherwise. Our Articles of Incorporation preclude stockholder action by written consent.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Bylaws provide that our board may fix the number of directors at no less than one. Any vacancy on our board may be filled by the affirmative vote of a majority of the remaining directors though less than a quorum of our board. A director elected to fill a vacancy shall be elected for the unexpired term of his predecessor in office, and shall hold such office until his successor is duly elected and qualified. Any directorship to be filled by reason of an increase in the number of directors shall be filled by the affirmative vote of a majority of the directors then in office, even if less than a quorum. A director chosen to fill a position resulting from an increase in the number of directors shall hold office for a term that coincides with the remaining term of that class of director.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Bylaws provide that any director or directors of the corporation, except those elected by the holders of any series or class of preferred stock provided for or fixed pursuant to the provisions of Article V of the Articles of Incorporation, may be removed from office at any time, but only for cause, by the vote or written consent of stockholders representing not less than 66 2/3% of the voting power of all of the then outstanding shares of stock entitled to vote in the election of directors, voting together as a single class.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Bylaws contain advance notice provisions that a stockholder must follow if it intends to bring business proposals or director nominations, as applicable, before a meeting of stockholders. These provisions may preclude our stockholders from bringing matters before the annual meeting of stockholders or from making nominations at the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for Amendment of Certificate of Incorporation and Bylaws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Articles of Incorporation further provides that the affirmative vote of holders of at least 66 2∕3% of the voting power of all of the then outstanding shares of stock entitled to vote in the election of directors, voting as a single class, is required to amend or repeal certain provisions of our Articles of Incorporation, including provisions relating to the size of the board, removal of directors, special meetings and actions by written consent. The affirmative vote of holders of at least 66 2/3% of the voting power of all of the then outstanding shares of stock entitled to vote in the election of directors, voting as a single class, is required to adopt, amend, alter or repeal our Bylaws, although our Bylaws may be adopted, amended, altered or repealed by a majority vote of the board of directors, assuming no vacancies.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“DFLI” and our public warrants are currently listed on The Nasdaq Capital Market under the symbol “DFLIW.”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 AND DETERMINATION OF OFFERING PRICE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deliver shares of our Common Stock offered hereby upon exercise of the Warrants we issued in connection with the Offering. The form of Warrant contains instructions for exercise. In order to exercise the Warrants, the holder must deliver to us the information required in the form of Warrant, along with payment for the exercise price of the shares to be purchased. We will then deliver shares of our Common Stock in the manner described in the applicable form of Warrant, a copy of which is filed as an exhibit to the registration statement of which this prospectus is a part.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Warrant is exercisable into one share of our Common Stock, with an exercise price of $2.00 per share.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compliance by any holder with the instructions for exercise contained in the form of Warrant, we will, within the time allotted by the form of Warrant, issue to the holder shares of Common Stock, free of a restrictive legend. Shares of Common Stock that are held by affiliates will be issued free of legend but will be deemed control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Parsons Behle &amp; Latimer, Reno, Nevada and Lowenstein Sandler LLP, New York,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Dragonfly Energy Holdings Corp. as of and for the year ended December 31, 2023 incorporated by reference into this prospectus and Registration Statement, have been so incorporated in reliance on the report of Marcum LLP, an independent registered public accounting firm given on the authority of said firm as experts in auditing and accounting. The report on the consolidated financial statements contains an explanatory paragraph regarding the Company’s ability to continue as a going concern. The report also contains an explanatory paragraph regarding adjustments described in Note 15 of such report that were applied to revise the 2022 financial statements to correct an error. They were not engaged to audit, review or apply any procedures to the 2022 financial statements other than with respect to the adjustments.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of Dragonfly Energy Holdings Corp. (the Company) as of December 31, 2022 and for the year then ended before the effects of the adjustments for the correction of the error described in Note 15 (not separately included or incorporated by reference in the Prospectus), have been audited by BDO USA, LLP (n/k/a BDO USA, P.C.), an independent registered public accounting firm. The adjustments to those consolidated financial statements to correct the error described in Note 15 have been audited by Marcum LLP, an independent registered public accounting firm. The consolidated financial statements as of December 31, 2022 and for the year then ended incorporated by reference in this Prospectus and in the Registration Statement, have been so incorporated in reliance on (i) the report (which contains an explanatory paragraph regarding the Company’s ability to continue as a going concern) of BDO USA, LLP (n/k/a BDO USA, P.C.) solely with respect to those consolidated financial statements before the effects of the adjustments to correct the error described in Note 15, and (ii) the report of Marcum LLP solely with respect to the adjustments to those financial statements to correct the error described in Note 15, given on the authority of said firms as experts in auditing and accounting.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offered by this prospectus. This prospectus, which is part of the registration statement, omits certain information, exhibits, schedules and undertakings set forth in the registration statement. For further information pertaining to us and our securities, reference is made to our SEC filings and the registration statement and the exhibits and schedules to the registration statement. Statements contained in this prospectus as to the contents or provisions of any documents referred to in this prospectus are not necessarily complete, and in each instance where a copy of the document has been filed as an exhibit to the registration statement, reference is made to the exhibit for a more complete description of the matters involved.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registration statements and certain other filings made with the SEC electronically are publicly available through the SEC’s web site at http://www.sec.gov. The registration statement, including all exhibits and amendments to the registration statement, has been filed electronically with the SEC.</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 and periodic reporting requirements of the Securities Exchange Act of 1934, as amended, and, in accordance with such requirements, will file periodic reports, proxy statements, and other information with the SEC. These periodic reports, proxy statements, and other information will be available for inspection and copying at the web site of the SEC referred to above. We also maintain a website at https://www.dragonflyenergy.com/,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We have included our website address in this prospectus solely as an inactive textual reference.</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 this prospectus and the additional information described above and under the heading “</w:t>
      </w:r>
      <w:r>
        <w:rPr>
          <w:rFonts w:ascii="Times New Roman" w:cs="Times New Roman" w:eastAsia="Times New Roman" w:hAnsi="Times New Roman"/>
          <w:sz w:val="18"/>
          <w:szCs w:val="18"/>
          <w:i w:val="1"/>
          <w:iCs w:val="1"/>
          <w:color w:val="auto"/>
        </w:rPr>
        <w:t>Incorporation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Certain Information by Reference</w:t>
      </w:r>
      <w:r>
        <w:rPr>
          <w:rFonts w:ascii="Times New Roman" w:cs="Times New Roman" w:eastAsia="Times New Roman" w:hAnsi="Times New Roman"/>
          <w:sz w:val="18"/>
          <w:szCs w:val="18"/>
          <w:color w:val="auto"/>
        </w:rPr>
        <w:t>” below. We have not authorized any other person to provide you with different information. If anyone provides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different or inconsistent information, you should not rely upon it. We are not making an offer to sell these securities in any jurisdiction where the offer or sale is not permitted. You should assume that the information in this prospectus was accurate on the date of the front cover of this prospectus only. Our business, financial condition, results of operations and prospects may have changed since that date.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 that we have previously filed with the SEC:</w:t>
      </w:r>
    </w:p>
    <w:p>
      <w:pPr>
        <w:spacing w:after="0" w:line="225" w:lineRule="exact"/>
        <w:rPr>
          <w:sz w:val="20"/>
          <w:szCs w:val="20"/>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auto"/>
          </w:rPr>
          <w:t xml:space="preserve">our Annual Report on Form 10-K for the year ended December 31, 2023 (the “Form 10-K”) filed with the SEC on </w:t>
        </w:r>
        <w:r>
          <w:rPr>
            <w:rFonts w:ascii="Times New Roman" w:cs="Times New Roman" w:eastAsia="Times New Roman" w:hAnsi="Times New Roman"/>
            <w:sz w:val="18"/>
            <w:szCs w:val="18"/>
            <w:u w:val="single" w:color="auto"/>
            <w:color w:val="0000EE"/>
          </w:rPr>
          <w:t>April 16, 2024</w:t>
        </w:r>
        <w:r>
          <w:rPr>
            <w:rFonts w:ascii="Times New Roman" w:cs="Times New Roman" w:eastAsia="Times New Roman" w:hAnsi="Times New Roman"/>
            <w:sz w:val="18"/>
            <w:szCs w:val="18"/>
            <w:color w:val="auto"/>
          </w:rPr>
          <w:t xml:space="preserve">, as amended on </w:t>
        </w:r>
        <w:r>
          <w:rPr>
            <w:rFonts w:ascii="Times New Roman" w:cs="Times New Roman" w:eastAsia="Times New Roman" w:hAnsi="Times New Roman"/>
            <w:sz w:val="18"/>
            <w:szCs w:val="18"/>
            <w:u w:val="single" w:color="auto"/>
            <w:color w:val="0000EE"/>
          </w:rPr>
          <w:t>April</w:t>
        </w:r>
      </w:hyperlink>
      <w:r>
        <w:rPr>
          <w:rFonts w:ascii="Times New Roman" w:cs="Times New Roman" w:eastAsia="Times New Roman" w:hAnsi="Times New Roman"/>
          <w:sz w:val="18"/>
          <w:szCs w:val="18"/>
          <w:color w:val="auto"/>
        </w:rPr>
        <w:t xml:space="preserve"> </w:t>
      </w:r>
      <w:hyperlink r:id="rId30">
        <w:r>
          <w:rPr>
            <w:rFonts w:ascii="Times New Roman" w:cs="Times New Roman" w:eastAsia="Times New Roman" w:hAnsi="Times New Roman"/>
            <w:sz w:val="18"/>
            <w:szCs w:val="18"/>
            <w:u w:val="single" w:color="auto"/>
            <w:color w:val="0000EE"/>
          </w:rPr>
          <w:t>29, 2024</w:t>
        </w:r>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2024 filed with the SEC on </w:t>
      </w:r>
      <w:hyperlink r:id="rId31">
        <w:r>
          <w:rPr>
            <w:rFonts w:ascii="Times New Roman" w:cs="Times New Roman" w:eastAsia="Times New Roman" w:hAnsi="Times New Roman"/>
            <w:sz w:val="18"/>
            <w:szCs w:val="18"/>
            <w:u w:val="single" w:color="auto"/>
            <w:color w:val="0000EE"/>
          </w:rPr>
          <w:t>May 15, 2024</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32">
        <w:r>
          <w:rPr>
            <w:rFonts w:ascii="Times New Roman" w:cs="Times New Roman" w:eastAsia="Times New Roman" w:hAnsi="Times New Roman"/>
            <w:sz w:val="18"/>
            <w:szCs w:val="18"/>
            <w:u w:val="single" w:color="auto"/>
            <w:color w:val="0000EE"/>
          </w:rPr>
          <w:t>March 4, 2024</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March 4, 2024</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April 22, 2024</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May 20, 2024</w:t>
        </w:r>
      </w:hyperlink>
      <w:r>
        <w:rPr>
          <w:rFonts w:ascii="Times New Roman" w:cs="Times New Roman" w:eastAsia="Times New Roman" w:hAnsi="Times New Roman"/>
          <w:sz w:val="18"/>
          <w:szCs w:val="18"/>
          <w:color w:val="auto"/>
        </w:rPr>
        <w:t xml:space="preserve">, and </w:t>
      </w:r>
      <w:hyperlink r:id="rId36">
        <w:r>
          <w:rPr>
            <w:rFonts w:ascii="Times New Roman" w:cs="Times New Roman" w:eastAsia="Times New Roman" w:hAnsi="Times New Roman"/>
            <w:sz w:val="18"/>
            <w:szCs w:val="18"/>
            <w:u w:val="single" w:color="auto"/>
            <w:color w:val="0000EE"/>
          </w:rPr>
          <w:t>June 11,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 each case, excluding any information deemed furnished under Items 2.02 or 7.01 of Form 8-K, including the related exhibits, which information is not incorporated by reference herein);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of the Company contained in our Registration Statement on Form 8-A, filed on </w:t>
      </w:r>
      <w:hyperlink r:id="rId37">
        <w:r>
          <w:rPr>
            <w:rFonts w:ascii="Times New Roman" w:cs="Times New Roman" w:eastAsia="Times New Roman" w:hAnsi="Times New Roman"/>
            <w:sz w:val="18"/>
            <w:szCs w:val="18"/>
            <w:u w:val="single" w:color="auto"/>
            <w:color w:val="0000EE"/>
          </w:rPr>
          <w:t>August 10,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under Section 12(b) of the Exchange Act including any amendments or reports filed for the purpose of updating such description, including </w:t>
      </w:r>
      <w:hyperlink r:id="rId38">
        <w:r>
          <w:rPr>
            <w:rFonts w:ascii="Times New Roman" w:cs="Times New Roman" w:eastAsia="Times New Roman" w:hAnsi="Times New Roman"/>
            <w:sz w:val="18"/>
            <w:szCs w:val="18"/>
            <w:u w:val="single" w:color="auto"/>
            <w:color w:val="0000EE"/>
          </w:rPr>
          <w:t>Exhibit 4.10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Form 10-K.</w:t>
      </w:r>
    </w:p>
    <w:p>
      <w:pPr>
        <w:spacing w:after="0" w:line="176"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All reports and other documents that we file with the SEC under Sections 13(a), 13(c), 14 or 15(d) of the Exchange Act after the date of this prospectus but prior to the termination of the offering of the securities hereunder will also be considered to be incorporated by reference into this prospectus from the date of the filing of these reports and documents, and will supersede the information 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all reports, exhibits and other information that we “furnish” to the SEC will not be considered incorporated by reference into this prospectus. Any statement contained in a document incorporated by reference in this prospectus or any prospectus supplement shall be deemed to be modified or superseded to the extent that a statement contained herein, therein or in any other subsequently filed document that also is incorporated by reference herein or therein modifies or supersedes such statement. Any statement so modified or superseded shall not be deemed, except as so modified or superseded, to constitute a part of this prospectus or any prospectus supplement.</w:t>
      </w:r>
    </w:p>
    <w:p>
      <w:pPr>
        <w:spacing w:after="0" w:line="192"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provide you without charge, upon your oral or written request, with a copy of any or all reports, proxy statements and other documents we file with the SEC, as well as any or all of the documents incorporated by reference in this prospectus or the registration statement (other than exhibits to such documents unless such exhibits are specifically incorporated by reference into such documents). Requests for such copies should be directed to Dragonfly Energy Holdings Corp., Attn: Chief Executive Officer, 1190 Trademark Dr. #108, Reno, Nevada 89521. You may also direct any requests for documents to us by telephone at (775) 622-3448.</w:t>
      </w:r>
    </w:p>
    <w:p>
      <w:pPr>
        <w:spacing w:after="0" w:line="18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11,131,900 Shares of Common Stock Issuable Upon Exercise of Previously Issued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164465</wp:posOffset>
            </wp:positionV>
            <wp:extent cx="1748790" cy="436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748790" cy="43688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July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65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jpeg"/><Relationship Id="rId41" Type="http://schemas.openxmlformats.org/officeDocument/2006/relationships/image" Target="media/image25.png"/><Relationship Id="rId30" Type="http://schemas.openxmlformats.org/officeDocument/2006/relationships/hyperlink" Target="https://www.sec.gov/Archives/edgar/data/1847986/000149315224017000/form10-ka.htm" TargetMode="External"/><Relationship Id="rId31" Type="http://schemas.openxmlformats.org/officeDocument/2006/relationships/hyperlink" Target="https://www.sec.gov/Archives/edgar/data/1847986/000149315224019360/form10-q.htm" TargetMode="External"/><Relationship Id="rId32" Type="http://schemas.openxmlformats.org/officeDocument/2006/relationships/hyperlink" Target="https://www.sec.gov/Archives/edgar/data/1847986/000149315224008733/form8-k.htm" TargetMode="External"/><Relationship Id="rId33" Type="http://schemas.openxmlformats.org/officeDocument/2006/relationships/hyperlink" Target="https://www.sec.gov/Archives/edgar/data/1847986/000149315224008722/form8-k.htm" TargetMode="External"/><Relationship Id="rId34" Type="http://schemas.openxmlformats.org/officeDocument/2006/relationships/hyperlink" Target="https://www.sec.gov/Archives/edgar/data/1847986/000149315224015569/form8-k.htm" TargetMode="External"/><Relationship Id="rId35" Type="http://schemas.openxmlformats.org/officeDocument/2006/relationships/hyperlink" Target="https://www.sec.gov/Archives/edgar/data/1847986/000149315224020704/form8-k.htm" TargetMode="External"/><Relationship Id="rId36" Type="http://schemas.openxmlformats.org/officeDocument/2006/relationships/hyperlink" Target="https://www.sec.gov/Archives/edgar/data/1847986/000149315224023482/form8-k.htm" TargetMode="External"/><Relationship Id="rId37" Type="http://schemas.openxmlformats.org/officeDocument/2006/relationships/hyperlink" Target="https://www.sec.gov/Archives/edgar/data/1847986/000110465921102670/tm2124648d1_8a12b.htm" TargetMode="External"/><Relationship Id="rId38" Type="http://schemas.openxmlformats.org/officeDocument/2006/relationships/hyperlink" Target="https://www.sec.gov/Archives/edgar/data/1847986/000149315224014831/ex4-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2024-07-08T16:27:19Z</dcterms:created>
  <dcterms:modified xsi:type="dcterms:W3CDTF">2024-07-08T16:27:19Z</dcterms:modified>
</cp:coreProperties>
</file>