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333-275559</w:t>
      </w:r>
    </w:p>
    <w:p>
      <w:pPr>
        <w:spacing w:after="0" w:line="200" w:lineRule="exact"/>
        <w:rPr>
          <w:sz w:val="24"/>
          <w:szCs w:val="24"/>
          <w:color w:val="auto"/>
        </w:rPr>
      </w:pP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November 24, 2023)</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21,980,000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163830</wp:posOffset>
            </wp:positionV>
            <wp:extent cx="1748790" cy="4368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48790" cy="4368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32"/>
          <w:szCs w:val="32"/>
          <w:b w:val="1"/>
          <w:bCs w:val="1"/>
          <w:color w:val="auto"/>
        </w:rPr>
        <w:t>Dragonfly Energy Holdings Corp.</w:t>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We are offering 21,980,000 shares of our common stock at a public offering price of $0.25 per share.</w:t>
      </w:r>
    </w:p>
    <w:p>
      <w:pPr>
        <w:spacing w:after="0" w:line="225"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“DFLI” and our public warrants (the “Public Warrants”) are currently listed on the Nasdaq Capital Market under the symbol “DFLIW.” On July 28, 2025, the last reported sales price of our common stock on the Nasdaq Capital Market was $0.3701 per share and the last reported sales price of our Public Warrants was $0.0253.</w:t>
      </w:r>
    </w:p>
    <w:p>
      <w:pPr>
        <w:spacing w:after="0" w:line="176" w:lineRule="exact"/>
        <w:rPr>
          <w:sz w:val="24"/>
          <w:szCs w:val="24"/>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the date of this prospectus supplement, the aggregate market value of our outstanding common stock held by non-affiliates, or the public float, was $19,670,766, which was calculated based on 37,828,397 shares of our outstanding common stock held by non-affiliates at a price of $0.52, per share, the closing price of our common stock on July 22, 2025. Pursuant to General Instruction I.B.6 of Form S-3, in no event will we sell shares pursuant to this prospectus with a value of more than one-third of the aggregate market value of our common stock held by non-affiliates in any 12-month period, so long as the aggregate market value of our common stock held by non-affiliates is less than $75,000,000. During the 12 calendar months prior to, and including, the date of this prospectus supplement, we sold $1,060,928 of securities pursuant to General Instruction I.B.6 of Form S-3.</w:t>
      </w:r>
    </w:p>
    <w:p>
      <w:pPr>
        <w:spacing w:after="0" w:line="187"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and a “smaller reporting company” as defined under the federal securities laws, and, as such, have elected to comply with certain reduced public company reporting requirements for future filings. See “Prospectus Supplement Summary—Emerging Growth Company and Smaller Reporting Company.”</w:t>
      </w:r>
    </w:p>
    <w:p>
      <w:pPr>
        <w:spacing w:after="0" w:line="172" w:lineRule="exact"/>
        <w:rPr>
          <w:sz w:val="24"/>
          <w:szCs w:val="24"/>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risks. Before buying any shares, you should read the discussion of material risks of investing in our securities in “Risk Factors” beginning on page S-6 of this prospectus supplement, on page 3 of the accompanying prospectus and in the documents incorporated by reference in this prospectus supplement.</w:t>
      </w:r>
    </w:p>
    <w:p>
      <w:pPr>
        <w:spacing w:after="0" w:line="171"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300" w:type="dxa"/>
            <w:vAlign w:val="bottom"/>
          </w:tcPr>
          <w:p>
            <w:pPr>
              <w:spacing w:after="0"/>
              <w:rPr>
                <w:sz w:val="20"/>
                <w:szCs w:val="20"/>
                <w:color w:val="auto"/>
              </w:rPr>
            </w:pP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7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5,495,000.00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 (1)</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0.015</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329,700.00</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us, before expenses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0.235</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5,165,300.00</w:t>
            </w:r>
          </w:p>
        </w:tc>
      </w:tr>
    </w:tbl>
    <w:p>
      <w:pPr>
        <w:spacing w:after="0" w:line="194" w:lineRule="exact"/>
        <w:rPr>
          <w:sz w:val="24"/>
          <w:szCs w:val="24"/>
          <w:color w:val="auto"/>
        </w:rPr>
      </w:pPr>
    </w:p>
    <w:p>
      <w:pPr>
        <w:ind w:firstLine="8"/>
        <w:spacing w:after="0" w:line="286" w:lineRule="auto"/>
        <w:tabs>
          <w:tab w:leader="none" w:pos="26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agreed to reimburse the underwriter for certain of their reasonable out-of-pocket expenses. See “Underwriting” beginning on page 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 for more information on this offering and the underwriting arrangements.</w:t>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Delivery of the shares of common stock is expected to be made on or about July 31, 2025.</w:t>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Sole Bookrunner</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Canaccord Genuity</w:t>
      </w: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supplement is July 30,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0"/>
        </w:trPr>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20" w:type="dxa"/>
            <w:vAlign w:val="bottom"/>
            <w:gridSpan w:val="3"/>
          </w:tcPr>
          <w:p>
            <w:pPr>
              <w:jc w:val="center"/>
              <w:ind w:right="35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40" w:type="dxa"/>
            <w:vAlign w:val="bottom"/>
          </w:tcPr>
          <w:p>
            <w:pPr>
              <w:spacing w:after="0"/>
              <w:rPr>
                <w:sz w:val="19"/>
                <w:szCs w:val="19"/>
                <w:color w:val="auto"/>
              </w:rPr>
            </w:pPr>
          </w:p>
        </w:tc>
      </w:tr>
      <w:tr>
        <w:trPr>
          <w:trHeight w:val="234"/>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20" w:type="dxa"/>
            <w:vAlign w:val="bottom"/>
            <w:gridSpan w:val="3"/>
          </w:tcPr>
          <w:p>
            <w:pPr>
              <w:jc w:val="center"/>
              <w:ind w:right="3540"/>
              <w:spacing w:after="0"/>
              <w:rPr>
                <w:sz w:val="20"/>
                <w:szCs w:val="20"/>
                <w:color w:val="auto"/>
              </w:rPr>
            </w:pPr>
            <w:r>
              <w:rPr>
                <w:rFonts w:ascii="Times New Roman" w:cs="Times New Roman" w:eastAsia="Times New Roman" w:hAnsi="Times New Roman"/>
                <w:sz w:val="18"/>
                <w:szCs w:val="18"/>
                <w:color w:val="auto"/>
                <w:w w:val="99"/>
              </w:rPr>
              <w:t>PROSPECTUS SUPPLEMENT</w:t>
            </w:r>
          </w:p>
        </w:tc>
        <w:tc>
          <w:tcPr>
            <w:tcW w:w="640" w:type="dxa"/>
            <w:vAlign w:val="bottom"/>
          </w:tcPr>
          <w:p>
            <w:pPr>
              <w:spacing w:after="0"/>
              <w:rPr>
                <w:sz w:val="20"/>
                <w:szCs w:val="20"/>
                <w:color w:val="auto"/>
              </w:rPr>
            </w:pPr>
          </w:p>
        </w:tc>
      </w:tr>
      <w:tr>
        <w:trPr>
          <w:trHeight w:val="432"/>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90"/>
        </w:trPr>
        <w:tc>
          <w:tcPr>
            <w:tcW w:w="10600" w:type="dxa"/>
            <w:vAlign w:val="bottom"/>
            <w:gridSpan w:val="25"/>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ABOUT THIS PROSPECTUS SUPPLEMENT</w:t>
            </w:r>
          </w:p>
        </w:tc>
        <w:tc>
          <w:tcPr>
            <w:tcW w:w="64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5"/>
              </w:rPr>
              <w:t>S-1</w:t>
            </w:r>
          </w:p>
        </w:tc>
      </w:tr>
      <w:tr>
        <w:trPr>
          <w:trHeight w:val="175"/>
        </w:trPr>
        <w:tc>
          <w:tcPr>
            <w:tcW w:w="3440" w:type="dxa"/>
            <w:vAlign w:val="bottom"/>
            <w:tcBorders>
              <w:top w:val="single" w:sz="8" w:color="0000EE"/>
            </w:tcBorders>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SUMMARY</w:t>
            </w:r>
          </w:p>
        </w:tc>
        <w:tc>
          <w:tcPr>
            <w:tcW w:w="7160" w:type="dxa"/>
            <w:vAlign w:val="bottom"/>
            <w:tcBorders>
              <w:top w:val="single" w:sz="8" w:color="CCEEFF"/>
            </w:tcBorders>
            <w:gridSpan w:val="5"/>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S-5</w:t>
            </w:r>
          </w:p>
        </w:tc>
      </w:tr>
      <w:tr>
        <w:trPr>
          <w:trHeight w:val="176"/>
        </w:trPr>
        <w:tc>
          <w:tcPr>
            <w:tcW w:w="128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w w:val="99"/>
              </w:rPr>
              <w:t>RISK FACTORS</w:t>
            </w:r>
          </w:p>
        </w:tc>
        <w:tc>
          <w:tcPr>
            <w:tcW w:w="9320" w:type="dxa"/>
            <w:vAlign w:val="bottom"/>
            <w:tcBorders>
              <w:top w:val="single" w:sz="8" w:color="CCEEFF"/>
            </w:tcBorders>
            <w:gridSpan w:val="20"/>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S-6</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S-9</w:t>
            </w:r>
          </w:p>
        </w:tc>
      </w:tr>
      <w:tr>
        <w:trPr>
          <w:trHeight w:val="175"/>
        </w:trPr>
        <w:tc>
          <w:tcPr>
            <w:tcW w:w="5340" w:type="dxa"/>
            <w:vAlign w:val="bottom"/>
            <w:tcBorders>
              <w:top w:val="single" w:sz="8" w:color="0000EE"/>
            </w:tcBorders>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526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S-10</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060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S-11</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6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 WE ARE OFFERING</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40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UNDERWRITING</w:t>
            </w:r>
          </w:p>
        </w:tc>
        <w:tc>
          <w:tcPr>
            <w:tcW w:w="9200" w:type="dxa"/>
            <w:vAlign w:val="bottom"/>
            <w:tcBorders>
              <w:bottom w:val="single" w:sz="8" w:color="CCEEFF"/>
            </w:tcBorders>
            <w:gridSpan w:val="19"/>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S-13</w:t>
            </w:r>
          </w:p>
        </w:tc>
      </w:tr>
      <w:tr>
        <w:trPr>
          <w:trHeight w:val="176"/>
        </w:trPr>
        <w:tc>
          <w:tcPr>
            <w:tcW w:w="106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S-23</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9820" w:type="dxa"/>
            <w:vAlign w:val="bottom"/>
            <w:tcBorders>
              <w:bottom w:val="single" w:sz="8" w:color="CCEEFF"/>
            </w:tcBorders>
            <w:gridSpan w:val="2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S-24</w:t>
            </w:r>
          </w:p>
        </w:tc>
      </w:tr>
      <w:tr>
        <w:trPr>
          <w:trHeight w:val="175"/>
        </w:trPr>
        <w:tc>
          <w:tcPr>
            <w:tcW w:w="106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ADDITIONAL INFORMATION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S-25</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060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S-26</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432"/>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20" w:type="dxa"/>
            <w:vAlign w:val="bottom"/>
            <w:gridSpan w:val="3"/>
          </w:tcPr>
          <w:p>
            <w:pPr>
              <w:jc w:val="center"/>
              <w:ind w:right="3540"/>
              <w:spacing w:after="0"/>
              <w:rPr>
                <w:sz w:val="20"/>
                <w:szCs w:val="20"/>
                <w:color w:val="auto"/>
              </w:rPr>
            </w:pPr>
            <w:r>
              <w:rPr>
                <w:rFonts w:ascii="Times New Roman" w:cs="Times New Roman" w:eastAsia="Times New Roman" w:hAnsi="Times New Roman"/>
                <w:sz w:val="18"/>
                <w:szCs w:val="18"/>
                <w:color w:val="auto"/>
                <w:w w:val="99"/>
              </w:rPr>
              <w:t>PROSPECTUS</w:t>
            </w:r>
          </w:p>
        </w:tc>
        <w:tc>
          <w:tcPr>
            <w:tcW w:w="640" w:type="dxa"/>
            <w:vAlign w:val="bottom"/>
          </w:tcPr>
          <w:p>
            <w:pPr>
              <w:spacing w:after="0"/>
              <w:rPr>
                <w:sz w:val="24"/>
                <w:szCs w:val="24"/>
                <w:color w:val="auto"/>
              </w:rPr>
            </w:pPr>
          </w:p>
        </w:tc>
      </w:tr>
      <w:tr>
        <w:trPr>
          <w:trHeight w:val="216"/>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96"/>
        </w:trPr>
        <w:tc>
          <w:tcPr>
            <w:tcW w:w="224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8360" w:type="dxa"/>
            <w:vAlign w:val="bottom"/>
            <w:tcBorders>
              <w:bottom w:val="single" w:sz="8" w:color="CCEEFF"/>
            </w:tcBorders>
            <w:gridSpan w:val="1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5"/>
        </w:trPr>
        <w:tc>
          <w:tcPr>
            <w:tcW w:w="106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PROSPECTUS SUMMARY</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9340" w:type="dxa"/>
            <w:vAlign w:val="bottom"/>
            <w:tcBorders>
              <w:bottom w:val="single" w:sz="8" w:color="CCEEFF"/>
            </w:tcBorders>
            <w:gridSpan w:val="21"/>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176"/>
        </w:trPr>
        <w:tc>
          <w:tcPr>
            <w:tcW w:w="106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060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THE SECURITIES WE MAY OFFER</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CAPITAL STOCK</w:t>
            </w:r>
          </w:p>
        </w:tc>
        <w:tc>
          <w:tcPr>
            <w:tcW w:w="7720" w:type="dxa"/>
            <w:vAlign w:val="bottom"/>
            <w:tcBorders>
              <w:bottom w:val="single" w:sz="8" w:color="CCEEFF"/>
            </w:tcBorders>
            <w:gridSpan w:val="9"/>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175"/>
        </w:trPr>
        <w:tc>
          <w:tcPr>
            <w:tcW w:w="106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DESCRIPTION OF DEBT SECURITIES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3120" w:type="dxa"/>
            <w:vAlign w:val="bottom"/>
            <w:tcBorders>
              <w:bottom w:val="single" w:sz="8" w:color="0000EE"/>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DESCRIPTION OF STOCK WARRANTS</w:t>
            </w:r>
          </w:p>
        </w:tc>
        <w:tc>
          <w:tcPr>
            <w:tcW w:w="7480" w:type="dxa"/>
            <w:vAlign w:val="bottom"/>
            <w:tcBorders>
              <w:bottom w:val="single" w:sz="8" w:color="CCEEFF"/>
            </w:tcBorders>
            <w:gridSpan w:val="6"/>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175"/>
        </w:trPr>
        <w:tc>
          <w:tcPr>
            <w:tcW w:w="106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SUBSCRIPTION RIGHTS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UNITS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21</w:t>
            </w:r>
          </w:p>
        </w:tc>
      </w:tr>
      <w:tr>
        <w:trPr>
          <w:trHeight w:val="175"/>
        </w:trPr>
        <w:tc>
          <w:tcPr>
            <w:tcW w:w="2020" w:type="dxa"/>
            <w:vAlign w:val="bottom"/>
            <w:tcBorders>
              <w:top w:val="single" w:sz="8" w:color="0000EE"/>
            </w:tcBorders>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FORMS OF SECURITIES</w:t>
            </w:r>
          </w:p>
        </w:tc>
        <w:tc>
          <w:tcPr>
            <w:tcW w:w="8580" w:type="dxa"/>
            <w:vAlign w:val="bottom"/>
            <w:tcBorders>
              <w:top w:val="single" w:sz="8" w:color="CCEEFF"/>
            </w:tcBorders>
            <w:gridSpan w:val="15"/>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8540" w:type="dxa"/>
            <w:vAlign w:val="bottom"/>
            <w:tcBorders>
              <w:bottom w:val="single" w:sz="8" w:color="CCEEFF"/>
            </w:tcBorders>
            <w:gridSpan w:val="1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175"/>
        </w:trPr>
        <w:tc>
          <w:tcPr>
            <w:tcW w:w="106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9820" w:type="dxa"/>
            <w:vAlign w:val="bottom"/>
            <w:tcBorders>
              <w:bottom w:val="single" w:sz="8" w:color="CCEEFF"/>
            </w:tcBorders>
            <w:gridSpan w:val="2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176"/>
        </w:trPr>
        <w:tc>
          <w:tcPr>
            <w:tcW w:w="106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ADDITIONAL INFORMATION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060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describes the terms of this offering of common stock and also adds to and updates information contained in the accompanying prospectus and the documents incorporated by reference into this prospectus supplement and the accompanying prospectus. The second part, the accompanying prospectus dated November 24, 2023, including the documents incorporated by reference therein, provides more general information. Generally, when we refer to this prospectus, we are referring to both parts of this document combined. To the extent there is a conflict between the information contained in this prospectus supplement, on the one hand, and the information contained in the accompanying prospectus or in any document incorporated by reference that was filed with the Securities and Exchange Commission, or the SEC, before the date of this prospectus supplement, on the other hand, you should rely on the information in this prospectus supplement. If any statement in one of these documents is inconsistent with a statement in another document having a later date — for example, a document incorporated by reference in the accompanying prospectus — the statement in the document having the later date modifies or supersedes the earlier statement.</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not, and the underwriter has not, authorized anyone to provide you with information different from or inconsistent with the information contained in or incorporated by reference in this prospectus supplement, the accompanying prospectus and in any free writing prospectus that we have authorized for use in connection with this offering. We and the underwriter take no responsibility for, and can provide no assurance as to the reliability of, any other information that others may give you. You should assume that the information appearing in this prospectus supplement, the accompanying prospectus and the documents incorporated by reference in this prospectus supplement and the accompanying prospectus is accurate only as of the date of those respective documents, regardless of the time of delivery of those respective documents. Our business, financial condition, results of operations and prospects may have changed since those dates. You should read this prospectus supplement, the accompanying prospectus and the documents incorporated by reference in this prospectus supplement and the accompanying prospectus in their entirety before making an investment decision. You should also read and consider the information in the documents to which we have referred you in the sections of this prospectus supplement entitled “Additional Information” and “Incorporation of Certain Information by Reference.”</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and the underwriter are offering to sell, and seeking offers to buy, shares of our common stock only in jurisdictions where offers and sales are permitted. The distribution of this prospectus supplement and the accompanying prospectus and the offering of our common stock in certain jurisdictions may be restricted by law. Persons outside the United States who come into possession of this prospectus supplement and the accompanying prospectus must inform themselves about, and observe any restrictions relating to, the offering of our common stock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w:t>
      </w:r>
    </w:p>
    <w:p>
      <w:pPr>
        <w:spacing w:after="0" w:line="18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All references in this prospectus supplement or the accompanying prospectus to “Dragonfly Energy,” the “Company,” “we,” “us,” or “our” mean Dragonfly Energy Holdings Corp. and its subsidiaries unless we state otherwise or the context otherwise indicates. This prospectus supplement and the information incorporated herein by reference contain references to trademarks, service marks and trade names owned by us or other companies. Solely for convenience, trademarks, service marks and trade names referred to in this prospectus supplement and the information incorporated herein, including logos, artwork, and other visual displays, may appear without the ® or ™ symbols, but such references are not intended to indicate, in any way, that we will not assert, to the fullest extent under applicable law, our rights or the rights of the applicable licensor to these trademarks, service marks and trade names. We do not intend our use or display of other companies’ trademarks, service marks or trade names to imply a relationship with, or endorsement or sponsorship of us by, any other companies. Other trademarks, service marks and trade names appearing in this prospectus supplement are the property of their respective owners.</w:t>
      </w:r>
    </w:p>
    <w:p>
      <w:pPr>
        <w:spacing w:after="0" w:line="1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or incorporated by reference into this prospectus supplement or the accompanying prospectus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6064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6064885"/>
                    </a:xfrm>
                    <a:prstGeom prst="rect">
                      <a:avLst/>
                    </a:prstGeom>
                    <a:noFill/>
                  </pic:spPr>
                </pic:pic>
              </a:graphicData>
            </a:graphic>
          </wp:anchor>
        </w:drawing>
        <w:t>SUMMARY</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description about us, our business and this offering highlights selected information contained elsewhere in this prospectus supplement, the accompanying prospectus or incorporated in this prospectus supplement and the accompanying prospectus by reference. This summary does not contain all of the information you should consider before deciding to invest in our common stock. You should carefully read this entire prospectus supplement, the accompanying prospectus, and each of the documents incorporated herein or therein by reference, before making an investment decision. Investors should carefully consider the information set forth under “Risk Factors” on page S-6 and in the documents incorporated by reference into this prospectus supplement and the accompanying prospectus.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manufacturer of non-toxic deep cycle lithium-ion batteries that are designed to displace lead acid batteries in a number of different storage applications and end markets including recreational vehicle (“RV”), marine vessel, and solar, oil and gas and off-grid industries, with disruptive solid-state cell technology currently under development. We believe that the innovative design of our lithium-ion batteries is ideally suited for the demands of modern customers who rely on consumer electronics, connected devices and smart appliances that require continuous, reliable electricity, regardless of location.</w:t>
      </w:r>
    </w:p>
    <w:p>
      <w:pPr>
        <w:spacing w:after="0" w:line="18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currently offer several lines of batteries across our “Battle Born” and “Dragonfly” brands, each differentiated by size, power and capacity, consisting of seven different models, four of which come with a heated option. We primarily sell “Battle Born” branded batteries directly to consumers and “Dragonfly” branded batteries to original equipment manufacturers (“OEMs”). Our RV OEM customers currently include Keystone, THOR Industries, Airstream, and REV, and we are in ongoing discussions with a number of additional RV OEMs to further increase adoption of our products.</w:t>
      </w:r>
    </w:p>
    <w:p>
      <w:pPr>
        <w:spacing w:after="0" w:line="18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To supplement our battery offerings, we are also a reseller of accessories for battery systems. These include chargers, inverters, monitors, controllers and other system accessories from brands such as Victron Energy, Progressive Dynamics, Magnum Energy and Sterling Power. In April 2022, we also acquired the assets, including the Wakespeed Offshore brand of Thomason Jones, allowing us to include our own alternator regulator in systems that we sell.</w:t>
      </w:r>
    </w:p>
    <w:p>
      <w:pPr>
        <w:spacing w:after="0" w:line="18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 addition, we have successfully developed innovative manufacturing processes for dry-electrode manufacturing of lithium-ion cells, and continue development efforts relating to next-generation solid-state technology. Since our inception, we have built a comprehensive patent portfolio around our proprietary dry electrode battery manufacturing process, which eliminates the use of harmful solvents and energy-intensive drying ovens compared to traditional methods. This translates to significant environmental and cost benefits, including reduced energy consumption, smaller space requirements, and a lower carbon footprint.</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Moreover, our solid-state technology in development removes the need for a liquid electrolyte, thereby addressing safety concerns related to flammability. Our unique competitive edge lies in the combination of solid-state technology with its scalable dry-electrode manufacturing process. This enables the rapid production of cells having an intercalation anode (like graphite or silicon), unlike many competitors reliant on less stable lithium metal anodes. We believe this design offers superior cyclability and safety, serving as a key differentiator in the energy storage market. Furthermore, internal production of both conventional and solid-state cells streamlines our supply chain and enables vertical integration, ultimately driving down production costs. In October 2023, we announced the successful dry deposition of anode and cathode electrodes at scale using our patented battery manufacturing process. We are currently producing sample cells for prospective customers across a variety of chemistries and end-markets and expect to begin scaling production during 2025. In addition, we are currently exploring opportunities within North America as part of our efforts to build a cell manufacturing facility.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40"/>
          </w:cols>
          <w:pgMar w:left="480" w:top="914"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88747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8874760"/>
                    </a:xfrm>
                    <a:prstGeom prst="rect">
                      <a:avLst/>
                    </a:prstGeom>
                    <a:noFill/>
                  </pic:spPr>
                </pic:pic>
              </a:graphicData>
            </a:graphic>
          </wp:anchor>
        </w:drawing>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Second Quarter 2025 Preliminary Results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anticipate second quarter 2025 Net Sales of $16.2 million and Adjusted EBITDA of $(2.2 million). The anticipated results represent approximately 23% year-over-year growth in Net Sales and an approximately $4.0 million reduction in Adjusted EBITDA loss. The second quarter 2025 Net Sales and Adjusted EBITDA are preliminary and are subject to finalization and adjustment in connection with the preparation of our Quarterly Report on Form 10-Q for the three months ended June 30, 2025. The preliminary financial results included in this prospectus supplement have been prepared by, and are the responsibility of, our management. CBIZ CPAs P.C., our independent registered public accounting firm, has not audited, reviewed, examined, complied, nor applied agreed-upon procedures with respect to the preliminary financial results. Accordingly, CBIZ CPAs P.C. do not express an opinion or any other form of assurance with respect thereto. During the course of the preparation of our financial statements and related notes as of and for the three months ended June 30, 2025, we may identify items that would require us to make material adjustments to the preliminary financial results presented herein. As a result, investors should exercise caution in relying on this information and should not draw any inferences from this information. This preliminary financial information should not be viewed as a substitute for full financial statements prepared in accordance with United States generally accepted accounting principles (“GAAP”) and reviewed by our independent registered public accounting firm. See “Risk Factors” and “Special Note Regarding Forward-Looking Statements.”</w:t>
      </w:r>
    </w:p>
    <w:p>
      <w:pPr>
        <w:spacing w:after="0" w:line="19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Adjusted EBITDA is a non-GAAP measure and should be considered only as supplemental to, and not as superior to, financial measures prepared in accordance with GAAP. The table below provides a reconciliation between reconciliation of Adjusted EBITDA to its nearest GAAP measure based on preliminary information that is subject to the caveats above: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440" w:type="dxa"/>
            <w:vAlign w:val="bottom"/>
            <w:tcBorders>
              <w:bottom w:val="single" w:sz="8" w:color="auto"/>
            </w:tcBorders>
            <w:gridSpan w:val="5"/>
          </w:tcPr>
          <w:p>
            <w:pPr>
              <w:jc w:val="right"/>
              <w:ind w:right="534"/>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32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June 30,</w:t>
            </w: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June 30,</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2940" w:type="dxa"/>
            <w:vAlign w:val="bottom"/>
            <w:gridSpan w:val="2"/>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 Calculation</w:t>
            </w:r>
          </w:p>
        </w:tc>
        <w:tc>
          <w:tcPr>
            <w:tcW w:w="16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Before Taxes</w:t>
            </w:r>
          </w:p>
        </w:tc>
        <w:tc>
          <w:tcPr>
            <w:tcW w:w="2940" w:type="dxa"/>
            <w:vAlign w:val="bottom"/>
            <w:gridSpan w:val="2"/>
          </w:tcPr>
          <w:p>
            <w:pPr>
              <w:jc w:val="right"/>
              <w:ind w:right="1153"/>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(7,034)</w:t>
            </w:r>
          </w:p>
        </w:tc>
        <w:tc>
          <w:tcPr>
            <w:tcW w:w="1400" w:type="dxa"/>
            <w:vAlign w:val="bottom"/>
            <w:gridSpan w:val="2"/>
          </w:tcPr>
          <w:p>
            <w:pPr>
              <w:jc w:val="right"/>
              <w:ind w:right="1094"/>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16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16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53"/>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(1,101)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94"/>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EBITDA</w:t>
            </w:r>
          </w:p>
        </w:tc>
        <w:tc>
          <w:tcPr>
            <w:tcW w:w="16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Preferred Stock Financing expenses</w:t>
            </w:r>
          </w:p>
        </w:tc>
        <w:tc>
          <w:tcPr>
            <w:tcW w:w="16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Prior Period Tariff estimate change</w:t>
            </w:r>
          </w:p>
        </w:tc>
        <w:tc>
          <w:tcPr>
            <w:tcW w:w="1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Litigation Fees and Loss on Settlement</w:t>
            </w:r>
          </w:p>
        </w:tc>
        <w:tc>
          <w:tcPr>
            <w:tcW w:w="16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 in fair market value of warrant liability</w:t>
            </w:r>
          </w:p>
        </w:tc>
        <w:tc>
          <w:tcPr>
            <w:tcW w:w="16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(1,689)</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6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ind w:right="1153"/>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(2,241)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1094"/>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(U.S. Dollars in Thousands)</w:t>
            </w:r>
          </w:p>
        </w:tc>
        <w:tc>
          <w:tcPr>
            <w:tcW w:w="16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EBITDA is defined as earnings before interest and other income (expenses), income taxes, and depreciation and amortization. Adjusted EBITDA is calculated as EBITDA adjusted for stock-based compensation and changes in fair market value of warrant liabilities. Adjusted EBITDA is a performance measure that we believe is useful to investors and analysts because it illustrates the underlying financial and business trends relating to our core, recurring results of operations and enhances comparability between periods.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EBITDA is not a recognized measure under GAAP and is not intended to be a substitute for any U.S. GAAP financial measure and, as calculated, may not be comparable to other similarly titled measures of performance of other companies in other industries or within the same industry. Investors should exercise caution in comparing our non-GAAP measure to any similarly titled measure used by other companies. This non-GAAP measure excludes certain items required by GAAP and should not be considered as an alternative to information reported in accordance with GAAP.</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Compliance with Nasdaq Continued Listing Standards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May 14, 2025, we received a notice from the Listing Qualifications Staff (the “Staff”) of The Nasdaq Stock Market LLC (“Nasdaq”) indicating that, based upon our non-compliance with the $1.00 minimum bid price requirement for continued listing on The Nasdaq Capital Market under Nasdaq Listing Rule 5550(a)(2) (the “Bid Price Requirement”), the Staff had determined to delist the our securities from Nasdaq, subject to our request for a hearing before a Nasdaq Hearings Panel (the “Panel”). We timely requested a hearing before the Panel. In addition, on June 11, 2025, we received an additional staff determination letter indicating that, based upon our non-compliance with the requirement to maintain a minimum market value of listed securities (“MVLS”) of $35 million for continued listing on The Nasdaq Capital Market under Nasdaq Listing Rule 5550(b)(2) (the “MVLS Requirement”), the Staff had determined such non-compliance served as an additional basis for delisting our securities from Nasdaq. Additionally, as of the date of this prospectus supplement, we do not meet either of the alternative Nasdaq continued listing standards under the Nasdaq Listing Rules, stockholders’ equity of $2,500,000, or net income of $500,000 from continuing operations in the most recently completed fiscal year, or in two of the three most recently completed fiscal years.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40"/>
          </w:cols>
          <w:pgMar w:left="480" w:top="914" w:right="479" w:bottom="1440" w:gutter="0" w:footer="0" w:header="0"/>
        </w:sectPr>
      </w:pPr>
    </w:p>
    <w:bookmarkStart w:id="5" w:name="page6"/>
    <w:bookmarkEnd w:id="5"/>
    <w:p>
      <w:pPr>
        <w:jc w:val="both"/>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6887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6887845"/>
                    </a:xfrm>
                    <a:prstGeom prst="rect">
                      <a:avLst/>
                    </a:prstGeom>
                    <a:noFill/>
                  </pic:spPr>
                </pic:pic>
              </a:graphicData>
            </a:graphic>
          </wp:anchor>
        </w:drawing>
        <w:t>On July 2, 2025, following our hearing with the Panel on June 24, 2025, we received a notice (the “Notice”) from Nasdaq that, based on the plan of compliance that we had submitted, the Panel had granted us an exception until November 10, 2025 (the “Exception”) to regain compliance with the Bid Price Requirement and the MVLS Requirement, subject to our achievement of certain milestones, including the conversion by the holder of its remaining outstanding shares of our preferred stock into shares of our common stock by July 18, 2025 and the restructuring of a portion of our outstanding debt or conversion of such debt into shares of our common stock by mid-August 2025. In order to meet the $2,500,000 stockholders’ equity alternative continued listing standard, following this offering, we may need to raise additional capital depending on the amount of debt we may be able to convert, if any, with the lenders. We also may need to complete a reverse split of our outstanding common stock in order to meet the Bid Price Requirement. In the event we fail to meet these and other milestones set forth in the compliance plan submitted to the Panel or otherwise regain compliance with the Bid Price Requirement and the MVLS Requirement or the alternative criteria by November 10, 2025, our securities will be delisted from Nasdaq.</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Patent Issuance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were issued a new patent that covers powderized ionically conducting feedstock for constructing solid-state electrochemical cells that incorporate a non-flammable, lithium-conductive composite electrolyte and enables high-performance cycling without the use of traditional liquid or gel polymer electrolytes. These innovations are designed to enhance safety and thermal stability while enabling the scalable manufacturing of next-generation battery cells. The patented electrolyte feedstock supports high energy density and can be adapted for various lithium-ion chemistries.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as modified by the Jumpstart Our Business Startups Act of 2012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8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until the earlier of: (1) the last day of the fiscal year (a) ending December 31, 2026, (b) in which we have total annual gross revenue of at least $1.235 billion, or (c) in which we are deemed to be a large accelerated filer, which means the market value of our common stock that is held by non-affiliates exceeds $700 million as of the end of the prior fiscal year’s second fiscal quarter; and (2) the date on which we have issued more than $1.0 billion in non-convertible debt during the prior three-year period. References herein to “emerging growth company” shall have the meaning associated with it in the JOBS 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Smaller Reporting Company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prior June 30, or (ii) our annual revenues exceeded $100 million during such completed fiscal year and the market value of our common stock held by non-affiliates exceeds $700 million as of the prior June 30.</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mailing address of our principal executive office is 12915 Old Virginia Road, Reno, Nevada 89521, and our telephone number is (775) 622-3448. Our corporate website is: www.dragonflyenergy.com. Information contained on or accessible through our website is not incorporated by reference into this prospectus supplement, and you should not consider any information contained on, or that can be accessed through, our website as part of this prospectus supplement.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40"/>
          </w:cols>
          <w:pgMar w:left="480" w:top="918" w:right="47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52419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5241925"/>
                    </a:xfrm>
                    <a:prstGeom prst="rect">
                      <a:avLst/>
                    </a:prstGeom>
                    <a:noFill/>
                  </pic:spPr>
                </pic:pic>
              </a:graphicData>
            </a:graphic>
          </wp:anchor>
        </w:drawing>
        <w:t>THE OFFERING</w:t>
      </w:r>
    </w:p>
    <w:p>
      <w:pPr>
        <w:sectPr>
          <w:pgSz w:w="11900" w:h="16838" w:orient="portrait"/>
          <w:cols w:equalWidth="0" w:num="1">
            <w:col w:w="10940"/>
          </w:cols>
          <w:pgMar w:left="480" w:top="914" w:right="47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Common stock offered by us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21,980,000 shares</w:t>
      </w:r>
    </w:p>
    <w:p>
      <w:pPr>
        <w:spacing w:after="0" w:line="200" w:lineRule="exact"/>
        <w:rPr>
          <w:sz w:val="20"/>
          <w:szCs w:val="20"/>
          <w:color w:val="auto"/>
        </w:rPr>
      </w:pPr>
    </w:p>
    <w:p>
      <w:pPr>
        <w:sectPr>
          <w:pgSz w:w="11900" w:h="16838" w:orient="portrait"/>
          <w:cols w:equalWidth="0" w:num="2">
            <w:col w:w="2080" w:space="660"/>
            <w:col w:w="8200"/>
          </w:cols>
          <w:pgMar w:left="480" w:top="914" w:right="479" w:bottom="1440" w:gutter="0" w:footer="0" w:header="0"/>
          <w:type w:val="continuous"/>
        </w:sectPr>
      </w:pPr>
    </w:p>
    <w:p>
      <w:pPr>
        <w:spacing w:after="0" w:line="37"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Common stock to be outstanding immediately after this offering</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61,724,470 shares</w:t>
      </w:r>
    </w:p>
    <w:p>
      <w:pPr>
        <w:spacing w:after="0" w:line="452" w:lineRule="exact"/>
        <w:rPr>
          <w:sz w:val="20"/>
          <w:szCs w:val="20"/>
          <w:color w:val="auto"/>
        </w:rPr>
      </w:pPr>
    </w:p>
    <w:p>
      <w:pPr>
        <w:sectPr>
          <w:pgSz w:w="11900" w:h="16838" w:orient="portrait"/>
          <w:cols w:equalWidth="0" w:num="2">
            <w:col w:w="2380" w:space="360"/>
            <w:col w:w="8200"/>
          </w:cols>
          <w:pgMar w:left="480" w:top="914"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Use of proceeds</w:t>
      </w:r>
    </w:p>
    <w:p>
      <w:pPr>
        <w:spacing w:after="0" w:line="20" w:lineRule="exact"/>
        <w:rPr>
          <w:sz w:val="20"/>
          <w:szCs w:val="20"/>
          <w:color w:val="auto"/>
        </w:rPr>
      </w:pPr>
      <w:r>
        <w:rPr>
          <w:sz w:val="20"/>
          <w:szCs w:val="20"/>
          <w:color w:val="auto"/>
        </w:rPr>
        <w:br w:type="column"/>
      </w: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for working capital and other general corporate purposes, including the repayment of our indebtedness in the ordinary course. See “Use of Proceeds” on page S-10.</w:t>
      </w:r>
    </w:p>
    <w:p>
      <w:pPr>
        <w:spacing w:after="0" w:line="176" w:lineRule="exact"/>
        <w:rPr>
          <w:sz w:val="20"/>
          <w:szCs w:val="20"/>
          <w:color w:val="auto"/>
        </w:rPr>
      </w:pPr>
    </w:p>
    <w:p>
      <w:pPr>
        <w:sectPr>
          <w:pgSz w:w="11900" w:h="16838" w:orient="portrait"/>
          <w:cols w:equalWidth="0" w:num="2">
            <w:col w:w="2020" w:space="720"/>
            <w:col w:w="8200"/>
          </w:cols>
          <w:pgMar w:left="480" w:top="914"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See “Risk Factors” beginning on page S-6. of this prospectus supplement and under similar headings in the other documents that are filed after the date hereof and incorporated by reference in this prospectus supplement and the accompanying prospectus for a discussion of factors to consider before deciding to purchase our securities.</w:t>
      </w:r>
    </w:p>
    <w:p>
      <w:pPr>
        <w:spacing w:after="0" w:line="180" w:lineRule="exact"/>
        <w:rPr>
          <w:sz w:val="20"/>
          <w:szCs w:val="20"/>
          <w:color w:val="auto"/>
        </w:rPr>
      </w:pPr>
    </w:p>
    <w:p>
      <w:pPr>
        <w:sectPr>
          <w:pgSz w:w="11900" w:h="16838" w:orient="portrait"/>
          <w:cols w:equalWidth="0" w:num="2">
            <w:col w:w="2020" w:space="720"/>
            <w:col w:w="8200"/>
          </w:cols>
          <w:pgMar w:left="480" w:top="914"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Nasdaq Capital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Our common stock is listed on The Nasdaq Capital Market under the symbol “DFLI”.</w:t>
      </w:r>
    </w:p>
    <w:p>
      <w:pPr>
        <w:spacing w:after="0" w:line="200" w:lineRule="exact"/>
        <w:rPr>
          <w:sz w:val="20"/>
          <w:szCs w:val="20"/>
          <w:color w:val="auto"/>
        </w:rPr>
      </w:pPr>
    </w:p>
    <w:p>
      <w:pPr>
        <w:sectPr>
          <w:pgSz w:w="11900" w:h="16838" w:orient="portrait"/>
          <w:cols w:equalWidth="0" w:num="2">
            <w:col w:w="2240" w:space="500"/>
            <w:col w:w="8200"/>
          </w:cols>
          <w:pgMar w:left="480" w:top="914" w:right="479" w:bottom="1440" w:gutter="0" w:footer="0" w:header="0"/>
          <w:type w:val="continuous"/>
        </w:sectPr>
      </w:pPr>
    </w:p>
    <w:p>
      <w:pPr>
        <w:spacing w:after="0" w:line="3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number of shares of common stock to be outstanding after this offering is based on 39,744,470 shares of common stock outstanding on July 23, 2025 and excludes:</w:t>
      </w:r>
    </w:p>
    <w:p>
      <w:pPr>
        <w:spacing w:after="0" w:line="162" w:lineRule="exact"/>
        <w:rPr>
          <w:sz w:val="20"/>
          <w:szCs w:val="20"/>
          <w:color w:val="auto"/>
        </w:rPr>
      </w:pPr>
    </w:p>
    <w:p>
      <w:pPr>
        <w:ind w:left="640" w:hanging="321"/>
        <w:spacing w:after="0" w:line="261"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2,777,778 shares of common stock reserved for issuance in the event of certain milestones in connection with our merger in October 2022 (the “Business Combination”);</w:t>
      </w:r>
    </w:p>
    <w:p>
      <w:pPr>
        <w:ind w:left="640" w:right="20" w:hanging="321"/>
        <w:spacing w:after="0" w:line="250"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1,046,947 shares of common stock issuable upon exercise of Public Warrants outstanding as of July 23, 2025, with an exercise price of $103.50 per share;</w:t>
      </w:r>
    </w:p>
    <w:p>
      <w:pPr>
        <w:ind w:left="640" w:right="20" w:hanging="321"/>
        <w:spacing w:after="0" w:line="250"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166,821 shares of common stock issuable upon exercise of private warrants (the “Private Warrants”) outstanding as of July 23, 2025, with an exercise price of $103.50 per share;</w:t>
      </w:r>
    </w:p>
    <w:p>
      <w:pPr>
        <w:ind w:left="640" w:right="20" w:hanging="321"/>
        <w:spacing w:after="0" w:line="250"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1,300,240 shares of common stock issuable upon exercise of other warrants outstanding as of July 23, 2025, with a weighted average exercise price of $18.22 per share;</w:t>
      </w:r>
    </w:p>
    <w:p>
      <w:pPr>
        <w:ind w:left="640" w:right="20" w:hanging="321"/>
        <w:spacing w:after="0" w:line="250"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1,061,685 shares of common stock issuable upon exercise of penny warrants (the “Penny Warrants”) outstanding as of July 23, 2025, with an exercise price of $0.09 per share;</w:t>
      </w:r>
    </w:p>
    <w:p>
      <w:pPr>
        <w:ind w:left="640" w:right="20" w:hanging="321"/>
        <w:spacing w:after="0" w:line="250"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680,476 shares of common stock issuable upon exercise of Penny Warrants outstanding as of July 23, 2025, with an exercise price of $0.01 per share;</w:t>
      </w:r>
    </w:p>
    <w:p>
      <w:pPr>
        <w:ind w:left="640" w:right="20" w:hanging="321"/>
        <w:spacing w:after="0" w:line="250"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145,890 shares of common stock underlying outstanding options as of July 23, 2025, with a weighted average exercise price of $27.42 per share; and</w:t>
      </w:r>
    </w:p>
    <w:p>
      <w:pPr>
        <w:ind w:left="640" w:hanging="321"/>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195,627 shares of common stock underlying outstanding restricted stock units as of July 23, 2025.</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40"/>
          </w:cols>
          <w:pgMar w:left="480" w:top="914" w:right="47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An investment in our securities involves a high degree of risk. Prior to making a decision about investing in our securities, you should carefully consider the following risks, uncertainties and assumptions, as well as those discussed under Item 1A, “Risk Factors,” in our Annual Report on Form 10-K for the fiscal year ended December 31, 2024, which is incorporated herein by reference and may be amended, supplemented or superseded from time to time by other reports we file with the SEC in the future, together with information in this prospectus supplement and any other information incorporated by reference into this prospectus supplement and the accompanying prospectus, including the risk factors set forth below. See the sections of this prospectus supplement entitled “Additional Information” and “Incorporation of Certain Information by Reference.” Additional risks and uncertainties not presently known to us, or that we currently see as immaterial, may also harm our business. If any of these risks occur, our business, financial condition and operating results could be harmed, the trading price of our common stock could decline and you could lose part or all of your investment.</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This prospectus supplement also contains forward-looking statements that involve risks and uncertainties. Our actual results could differ materially from those anticipated in these forward-looking statements as a result of certain factors, including the risks faced by us described below and elsewhere in this prospectus. See “Special Note Regarding Forward-Looking Statements” for information relating to these forward-looking statements.</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not currently in compliance with the continued listing requirements for The Nasdaq Capital Market. If we do not regain compliance and continue to meet the continued listing requirements, our common stock may be delisted, which could affect the market price and liquidity for our common stock and reduce our ability to raise additional capital.</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14, 2025, we received a notice from the Staff of Nasdaq indicating that, based upon our non-compliance with the Bid Price Requirement, the Staff had determined to delist our securities from Nasdaq, subject to our request for a hearing before the Panel. We timely requested a hearing before the Panel. In addition, on June 11, 2025, we received an additional staff determination letter indicating that, based upon our non-compliance with the MVLS Requirement, the Staff had determined such non-compliance served as an additional basis for delisting our securities from Nasdaq. Additionally, as of the date of this prospectus supplement, we do not meet either of the alternative Nasdaq continued listing standards under the Nasdaq Listing Rules, stockholders’ equity of $2,500,000, or net income of $500,000 from continuing operations in the most recently completed fiscal year, or in two of the three most recently completed fiscal years.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2, 2025, following our hearing with the Panel on June 24, 2025, we received the Notice from Nasdaq that, based on the plan of compliance that we had submitted, the Panel had granted us the Exception, until November 10, 2025, to regain compliance with the Bid Price Requirement and the MVLS Requirement, subject to our achievement of certain milestones, including the conversion by the holder of its remaining outstanding shares of our preferred stock into shares of our common stock by July 18, 2025 and the restructuring of a portion of our outstanding debt or conversion of such debt into shares of our common stock by mid-August 2025. In order to meet the $2,500,000 stockholders’ equity alternative continued listing standard, following this offering, we may need to raise additional capital depending on the amount of debt we may be able to convert, if any, with the lenders. We also may need to complete a reverse split of our outstanding common stock in order to meet the Bid Price Requirement. In the event we fail to meet these and other milestones set forth in the compliance plan submitted to the Panel or otherwise regain compliance with the Bid Price Requirement and the MVLS Requirement or the alternative criteria by November 10, 2025, our securities will be delisted from Nasdaq.</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intend to continue to take definitive steps and use reasonable best efforts to achieve these milestones and achieve compliance with the Bid Price Requirement and the MVLS Requirement within the established dates or maintain compliance with the other Nasdaq listing requirements, there is significant risk that we may not be able to achieve these milestones or regain compliance with the Bid Price Requirement and the MVLS Requirement within the established dates or maintain compliance with the other Nasdaq listing requirements. In the event we are unable to do so, our securities will be delisted from Nasdaq.</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delisting could substantially decrease trading in our common stock, adversely affect the market liquidity of our common stock as a result of the loss of market efficiencies associated with Nasdaq and the loss of federal preemption of state securities laws, result in a default under the terms of our outstanding indebtedness , adversely affect its ability to obtain financing on acceptable terms, if at all, and may result in the potential loss of confidence by investors, suppliers, customers and employees and fewer business development opportunities. Additionally, the market price of our common stock may decline further and stockholders may lose some or all of their investment.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Our preliminary financial information represents management’s current estimates and are subject to change.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preliminary financial results contained in “Prospectus Supplement Summary — Recent Developments — Second Quarter 2025 Preliminary Results” represents only preliminary estimates and is based on information available to management as of the date of this prospectus supplement and these estimates could change. Our actual financial results for the three months ended June 30, 2025 are subject to the completion of our financial statements as of such date, and for such period. Such actual financial results will not be available until after this offering is completed and, consequently, will not be available to you prior to investing in this offering. Our actual financial results as of, and for the three months ended June 30, 2025 may differ materially from the preliminary financial results we have provided as a result of completion of our final adjustments and review by our independent registered public accounting firm. Our independent registered public accounting firm has not audited or completed its review with respect to such preliminary estimates and, accordingly, does not express an opinion or any other form of assurance with respect thereto. Complete results as of, and for the three and six months ended June 30, 2025 will be included in our Quarterly Report on Form 10-Q for the quarterly period ended June 30, 2025. See the other risks described in this section and “Special Note Regarding Forward-Looking Statements” for additional information regarding factors that could result in differences between these preliminary and the actual financial results we will report as of, and for the three months ended June 30,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you purchase shares of common stock in this offering, you will experience immediate and substantial dilution in your investment.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Purchasers of common stock in this offering will experience immediate dilution to the extent of the difference between the public offering price per share of common stock and the pro forma net tangible book value (deficit) per share of common stock immediately after this offering. After giving effect to the sale of shares of our common stock at the public offering price of $0.25 per share, and after deducting underwriting discounts and commissions and estimated offering expenses, you will experience immediate dilution of $0.38 per share, representing the difference between our pro forma net tangible book deficit per share as of March 31, 2025 after giving effect to this offering at the public offering price. See “Dilution” for a more detailed discussion of the dilution you will incur if you purchase shares of common stock in this offering.</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any shares of common stock we issue in connection with the restructuring of our outstanding debt or conversion of such debt into shares of our common stock will result in further dilution to our stockholders.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team may invest or spend the proceeds of this offering in ways with which you may not agree or in ways which may not yield a significant return.</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management will have broad discretion over the use of proceeds from this offering. The net proceeds from this offering will be used for working capital and other general corporate purposes, including the repayment of our indebtedness in the ordinary course.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You will not have the opportunity, as part of your investment decision, to assess whether the proceeds are being used appropriately. The net proceeds from this offering may be used for corporate purposes that do not increase our operating results or enhance the value of our common stock. Pending their use, we may invest the net proceeds from this offering in short-term, investment-grade, interest-bearing securities. These investments may not yield a favorable return to our stockholders. If we do not invest or apply the net proceeds from this offering in ways that enhance stockholder value, we may fail to achieve expected financial results, which could cause our stock price to decline.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shares by existing stockholders could cause our stock price to decline.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July 23, 2025, we had (i) 2,777,778 shares of common stock reserved for issuance in the event of certain milestones in connection the Business Combination; (ii) 1,046,947 shares of common stock issuable upon exercise of Public Warrants, with an exercise price of $103.50 per share; (iii) 166,821 shares of common stock issuable upon exercise of Private Warrants, with an exercise price of $103.50 per share; (iv) 1,300,240 shares of common stock issuable upon exercise of other warrants, with a weighted average exercise price of $18.22 per share; (v) 1,061,685 shares of common stock issuable upon exercise of Penny Warrants, with an exercise price of $0.09 per share; (vi) 680,476 shares of common stock issuable upon exercise of Penny Warrants, with an exercise price of $0.01 per share; (vii) 145,890 shares of common stock underlying outstanding options, with a weighted average exercise price of $27.42 per share; and (viii) 381,335 shares of common stock underlying outstanding restricted stock. The issuance of such common stock will result in further dilution of your investment. If our existing stockholders sell substantial amounts of our common stock in the public market, or if the public perceives that such sales could occur, this could have an adverse impact on the market price of our common stock, even if there is no relationship between such sales and the performance of our business.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information incorporated herein by reference contain forward-looking statements that involve substantial risks and uncertainties for purposes of the safe harbor provided by the Private Securities Litigation Reform Act of 1995. All statements contained in this prospectus other than statements of historical fact, including statements regarding our strategy, future operations, future financial position, liquidity, future revenue, projected expenses, results of operations, expectations concerning the timing and our ability to commence and subsequently report data from planned non-clinical studies and clinical trials, prospects, plans and objectives of management are forward-looking statements. The words “believe,” “may,” “will,” “estimate,” “continue,” “anticipate,” “intend,” “plan,” “expect,” “predict,” “potential,” “opportunity,” “goals,” or “should,” and similar expressions are intended to identify forward-looking statements. Such statements are based on management’s current expectations and involve risks and uncertainties. Actual results and performance could differ materially from those projected in the forward-looking statements as a result of many factors.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future events and financial trends that we believe may affect our business, financial condition and results of operations. These forward-looking statements are subject to a number of risks, uncertainties, and assumptions, including those described in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prospectus. These factors include, but are not limited to:</w:t>
      </w:r>
    </w:p>
    <w:p>
      <w:pPr>
        <w:spacing w:after="0" w:line="176" w:lineRule="exact"/>
        <w:rPr>
          <w:sz w:val="20"/>
          <w:szCs w:val="20"/>
          <w:color w:val="auto"/>
        </w:rPr>
      </w:pPr>
    </w:p>
    <w:p>
      <w:pPr>
        <w:jc w:val="both"/>
        <w:ind w:left="660" w:hanging="328"/>
        <w:spacing w:after="0" w:line="255"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our outstanding indebtedness and comply with the financial covenants in our loan agreement, the failure of which could allow our lenders to accelerate payment under our loan agreement, which would have a material adverse effect on our ability to operate and could require us, among other things, to reduce operations, sell off our assets, seek the protection of bankruptcy courts or shut down our operations and dissolve;</w:t>
      </w:r>
    </w:p>
    <w:p>
      <w:pPr>
        <w:spacing w:after="0" w:line="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to fund our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increase market penetration into target markets;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cure any listing deficiencies and maintain the listing of our common stock and Public Warrants on the Nasdaq Capital Market;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addressable markets that we intend to target do not grow as expected;</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events or circumstances that result in our failure to timely achieve the anticipated benefits of our customer arrangements with THOR Industries and its affiliate brands (including Keystone RV Company (“Keystone”)), including Keystone’s decision in July 2023, that, due to weaker demand for its products and its subsequent focus on reducing costs, it would no longer install our storage solutions as standard equipment, but rather return to offering those solutions as an option to dealers and consumers;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from future product sales in our existing markets or new markets that we enter, including the trucking and industrials markets, and our ability to achieve and maintain profitability;</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members of our senior management team or other key personnel;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relationships with key suppliers, including suppliers in China;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relationships with key customers;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patents and other intellectual property;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engage target customers and successfully retain these customers for future orders;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successfully optimize solid-state cells or to produce commercially viable solid-state cells in a timely manner or at all, or to scale to mass production;</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produce lithium battery cells in the United States in a timely manner or at all, or to scale to mass production;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timely achieve the anticipated benefits of our recent licensing arrangement with Stryten Energy LLC;</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 including changes in the rates of tariffs or any adjustments to the amounts payable by us to customs as a result of improperly identifying the applicable tariff rate payable on our products;</w:t>
      </w:r>
    </w:p>
    <w:p>
      <w:pPr>
        <w:ind w:left="660" w:right="2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business and/or competitive factors (including an economic slowdown or inflationary pressures);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sell the desired amounts of shares of common stock at desired prices under our committed equity facility;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projections and estimates regarding our expenses, capital requirements, cash utilization, and need for additional financing;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reliance on two suppliers for our lithium iron phosphate cells and a single supplier for the manufacture of our battery management system;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dependence on one manufacturing facility; and</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global and macroeconomic conditions, including economic, political and social instability, including the Russia-Ukraine conflict, the India-Pakistan conflict and Hamas’ attack on Israel, and their effects on our operations.</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Moreover, new risks regularly emerge, and it is not possible for our management to predict or articulate all risks we face, nor can we assess the impact of all risks on our business or the extent to which any risk, or combination of risks, may cause actual results to differ from those contained in any forward-looking statements. The Private Securities Litigation Reform Act of 1995 and Section 27A of the Securities Act of 1933, as amended (the “Securities Act”), do not protect any forward-looking statements that we make in connection with this offering. All forward-looking statements included in this prospectus supplement, the accompanying prospectus and the information incorporated herein by reference are based on information available to us on the date of this prospectus supplement, the accompanying prospectus and the information incorporated herein by reference. Except to the extent required by applicable laws or rules, we undertake no obligation to publicly update or revise any forward-looking statement, whether written or oral, that may be made from time to time, whether as a result of new information, future events or otherwise. All subsequent written and oral forward-looking statements attributable to us or persons acting on our behalf are expressly qualified in their entirety by the cautionary statements contained above and throughout this prospectus. We qualify all of our forward-looking statements by these cautionary statements.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should also read carefully the factors described in the “Risk Factors” section of this prospectus supplement, the accompanying prospectus and the information incorporated herein by reference, to better understand the risks and uncertainties inherent in our business and underlying any forward-looking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estimate that the net proceeds we will receive from this offering will be approximately $4.9 million, after deducting the underwriting discounts and commissions and estimated offering expenses payable by us.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for working capital and other general corporate purposes, including the repayment of our indebtedness in the ordinary course. We have not determined the amount of net proceeds to be used specifically for such purposes and, as a result, management will retain broad discretion over the allocation of net proceeds. The occurrence of unforeseen events or changed business conditions could result in the application of the net proceeds from this offering in a manner other than as described in this prospectus supplement. Pending their uses, we intend to invest the net proceeds of this offering in interest-bearing bank accounts or in short-term, interest-bearing, investment-grade securities.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Purchasers of common stock in this offering will experience immediate dilution to the extent of the difference between the public offering price per share of common stock and the pro forma net tangible book value per share of common stock immediately after this offering.</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net tangible book deficit as of March 31, 2025 was approximately $(12.7 million), or $(1.68) per share of common stock. Net tangible book value per share is determined by dividing total tangible assets, which excludes intangible assets, less total liabilities, by the aggregate number of shares of common stock outstanding as of March 31, 2025.</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After giving effect to (i) the conversion of 637.47 shares of our Series A Convertible Preferred Stock, par value $0.0001 per share (the “Series A Preferred Stock”) into 29,902,728 shares of common stock and (ii) the issuance of 2,100,000 shares of common stock in exchange for the remaining shares of Series A Preferred Stock, each subsequent to March 31, 2025 (the “Pro Forma Events”), our pro forma net tangible book deficit as of March 31, 2025, would have been approximately $(12.7 million), or $(0.32) per share of common stock.</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After giving effect to the sale by us of 21,980,000 shares of common stock at the public offering price of $0.25 per share and after deducting underwriting discounts and commissions and estimated offering expenses payable by us, our pro forma net tangible book deficit as of March 31, 2025 would have been approximately $(7.9 million), or $(0.13) per share. This represents an immediate increase in pro forma net tangible book value of $0.19 per share to our existing stockholders and an immediate dilution of $0.38 per share issued to the new investors purchasing securities in this offering.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illustrates this dilution on a per-share basis:</w:t>
            </w:r>
          </w:p>
        </w:tc>
        <w:tc>
          <w:tcPr>
            <w:tcW w:w="4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 per share of common stock</w:t>
            </w: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0" w:type="dxa"/>
            <w:vAlign w:val="bottom"/>
            <w:gridSpan w:val="3"/>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w w:val="95"/>
              </w:rPr>
              <w:t>0.25</w:t>
            </w:r>
          </w:p>
        </w:tc>
        <w:tc>
          <w:tcPr>
            <w:tcW w:w="10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Historical net tangible book deficit per share as of March 31, 2025</w:t>
            </w:r>
          </w:p>
        </w:tc>
        <w:tc>
          <w:tcPr>
            <w:tcW w:w="128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(1.68)</w:t>
            </w: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net tangible book value per share attributable to the Pro Forma Events</w:t>
            </w:r>
          </w:p>
        </w:tc>
        <w:tc>
          <w:tcPr>
            <w:tcW w:w="1280" w:type="dxa"/>
            <w:vAlign w:val="bottom"/>
            <w:gridSpan w:val="2"/>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1.36</w:t>
            </w:r>
          </w:p>
        </w:tc>
        <w:tc>
          <w:tcPr>
            <w:tcW w:w="7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Pro forma net tangible book deficit per share as of March 31, 2025</w:t>
            </w:r>
          </w:p>
        </w:tc>
        <w:tc>
          <w:tcPr>
            <w:tcW w:w="460" w:type="dxa"/>
            <w:vAlign w:val="bottom"/>
          </w:tcPr>
          <w:p>
            <w:pPr>
              <w:spacing w:after="0"/>
              <w:rPr>
                <w:sz w:val="18"/>
                <w:szCs w:val="18"/>
                <w:color w:val="auto"/>
              </w:rPr>
            </w:pPr>
          </w:p>
        </w:tc>
        <w:tc>
          <w:tcPr>
            <w:tcW w:w="820" w:type="dxa"/>
            <w:vAlign w:val="bottom"/>
            <w:tcBorders>
              <w:top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pro forma net tangible book value per share attributable to new investors</w:t>
            </w:r>
          </w:p>
        </w:tc>
        <w:tc>
          <w:tcPr>
            <w:tcW w:w="1280" w:type="dxa"/>
            <w:vAlign w:val="bottom"/>
            <w:gridSpan w:val="2"/>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0.19</w:t>
            </w:r>
          </w:p>
        </w:tc>
        <w:tc>
          <w:tcPr>
            <w:tcW w:w="7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9"/>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Pro forma net tangible book deficit per share after this offering</w:t>
            </w:r>
          </w:p>
        </w:tc>
        <w:tc>
          <w:tcPr>
            <w:tcW w:w="46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10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center"/>
              <w:ind w:left="510"/>
              <w:spacing w:after="0"/>
              <w:rPr>
                <w:sz w:val="20"/>
                <w:szCs w:val="20"/>
                <w:color w:val="auto"/>
              </w:rPr>
            </w:pPr>
            <w:r>
              <w:rPr>
                <w:rFonts w:ascii="Times New Roman" w:cs="Times New Roman" w:eastAsia="Times New Roman" w:hAnsi="Times New Roman"/>
                <w:sz w:val="18"/>
                <w:szCs w:val="18"/>
                <w:color w:val="auto"/>
              </w:rPr>
              <w:t>(0.13)</w:t>
            </w:r>
          </w:p>
        </w:tc>
      </w:tr>
      <w:tr>
        <w:trPr>
          <w:trHeight w:val="223"/>
        </w:trPr>
        <w:tc>
          <w:tcPr>
            <w:tcW w:w="6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w:t>
            </w: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w w:val="95"/>
              </w:rPr>
              <w:t>0.38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above table excludes:</w:t>
      </w:r>
    </w:p>
    <w:p>
      <w:pPr>
        <w:spacing w:after="0" w:line="225"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2,777,778 shares of common stock reserved for issuance in the event of certain milestones in connection with the Business Combination;</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1,046,947 shares of common stock issuable upon exercise of Public Warrants outstanding as of March 31, 2025, with an exercise price of $103.50 per share;</w:t>
      </w: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166,821 shares of common stock issuable upon exercise of Private Warrants outstanding as of March 31, 2025, with an exercise price of $103.50 per share;</w:t>
      </w:r>
    </w:p>
    <w:p>
      <w:pPr>
        <w:ind w:left="660" w:right="2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1,300,240 shares of common stock issuable upon exercise of warrants outstanding as of March 31, 2025, with a weighted average exercise price of $18.22 per share;</w:t>
      </w: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1,061,685 shares of common stock issuable upon exercise of Penny Warrants outstanding as of March 31, 2025, with an exercise price of $0.09 per share;</w:t>
      </w:r>
    </w:p>
    <w:p>
      <w:pPr>
        <w:ind w:left="660" w:right="2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680,476 shares of common stock issuable upon exercise of Penny Warrants outstanding as of March 31, 2025, with an exercise price of $0.01 per share;</w:t>
      </w: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161,939 shares of common stock underlying outstanding options as of March 31, 2025, with a weighted average exercise price of $25.66 per share; and</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410,704 shares of common stock underlying outstanding restricted stock units as of March 31, 2025.</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the extent that options or warrants are exercised, new options are issued, or we issue additional shares of common stock in the future, there may be further dilution to investors participating in this offering.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 WE ARE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material terms and provisions of our common stock and each other class of our securities that qualifies or limits our common stock are described under the caption “</w:t>
      </w:r>
      <w:r>
        <w:rPr>
          <w:rFonts w:ascii="Times New Roman" w:cs="Times New Roman" w:eastAsia="Times New Roman" w:hAnsi="Times New Roman"/>
          <w:sz w:val="18"/>
          <w:szCs w:val="18"/>
          <w:i w:val="1"/>
          <w:iCs w:val="1"/>
          <w:color w:val="auto"/>
        </w:rPr>
        <w:t>Description of Capital Stock</w:t>
      </w:r>
      <w:r>
        <w:rPr>
          <w:rFonts w:ascii="Times New Roman" w:cs="Times New Roman" w:eastAsia="Times New Roman" w:hAnsi="Times New Roman"/>
          <w:sz w:val="18"/>
          <w:szCs w:val="18"/>
          <w:color w:val="auto"/>
        </w:rPr>
        <w:t>” in the accompanying prospectus. We have 405,000,000 shares of capital stock authorized under our Articles of Incorporation, which consists of 400,000,000 shares of common stock with a par value of $0.0001 per share and 5,000,000 shares of preferred stock with par value $0.0001 per share. Our common stock is listed on The Nasdaq Capital Market under the symbol “DFLI.” Our transfer agent is Equiniti Trust Company, LLC.</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Subject to the terms and conditions set forth in the underwriting agreement, dated July 30, 2025, between us and Canaccord Genuity LLC, or Canaccord Genuity, the underwriter, we have agreed to sell to the underwriter, and the underwriter has agreed to purchase from us, the number of shares of common stock shown opposite its name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38"/>
        </w:trPr>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UNDERWRITER</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r>
      <w:tr>
        <w:trPr>
          <w:trHeight w:val="210"/>
        </w:trPr>
        <w:tc>
          <w:tcPr>
            <w:tcW w:w="9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Canaccord Genuity LLC</w:t>
            </w:r>
          </w:p>
        </w:tc>
        <w:tc>
          <w:tcPr>
            <w:tcW w:w="24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21,980,000</w:t>
            </w:r>
          </w:p>
        </w:tc>
      </w:tr>
    </w:tbl>
    <w:p>
      <w:pPr>
        <w:spacing w:after="0" w:line="1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underwriting agreement provides that the obligations of the underwriter are subject to certain conditions precedent such as the receipt by the underwriter of officers’ certificates and legal opinions and approval of certain legal matters by their counsel. The underwriting agreement provides that the underwriter will purchase all of the shares of common stock if any of them are purchased.</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 and certain of its controlling persons against certain liabilities, including liabilities under the Securities Act, and to contribute to payments that the underwriter may be required to make in respect of those liabilities.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underwriter has advised us that, following the completion of this offering, it currently intends to make a market in the common stock as permitted by applicable laws and regulations. However, the underwriter is not obligated to do so, and the underwriter may discontinue any market-making activities at any time without notice in its sole discretion. Accordingly, no assurance can be given as to the liquidity of the trading market for the common stock, that you will be able to sell any of the common stock held by you at a particular time or that the prices that you receive when you sell will be favorable.</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underwriter is offering the shares of common stock subject to its acceptance of the shares of common stock from us and subject to prior sale. The underwriter reserves the right to withdraw, cancel or modify offers to the public and to reject orders in whole or in part. In addition, the underwriter has advised us that it does not intend to confirm sales to any account over which they exercise discretionary authority.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Commission and Expenses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underwriter has advised us that it proposes to offer the shares of common stock to the public at the public offering price set forth on the cover page of this prospectus supplement and to certain dealers, which may include the underwriter, at that price less a concession not in excess of $0.0090 per share of common stock. After the offering, the public offering price, concession and reallowance to dealers may be reduced by the representative. No such reduction will change the amount of proceeds to be received by us as set forth on the cover page of this prospectus supplement.</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shows the public offering price, the underwriting discounts and commissions that we are to pay the underwriter and the proceeds, before expenses, to us in connection with this offering.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PER</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4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SHARE</w:t>
            </w: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7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220" w:type="dxa"/>
            <w:vAlign w:val="bottom"/>
            <w:tcBorders>
              <w:top w:val="single" w:sz="8" w:color="auto"/>
            </w:tcBorders>
            <w:shd w:val="clear" w:color="auto" w:fill="CCEEFF"/>
          </w:tcPr>
          <w:p>
            <w:pPr>
              <w:jc w:val="right"/>
              <w:ind w:right="1053"/>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5,495,000.00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 paid by us</w:t>
            </w:r>
          </w:p>
        </w:tc>
        <w:tc>
          <w:tcPr>
            <w:tcW w:w="1220" w:type="dxa"/>
            <w:vAlign w:val="bottom"/>
          </w:tcPr>
          <w:p>
            <w:pPr>
              <w:jc w:val="right"/>
              <w:ind w:right="105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0.015</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329,700.00</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us, before expenses</w:t>
            </w:r>
          </w:p>
        </w:tc>
        <w:tc>
          <w:tcPr>
            <w:tcW w:w="1220" w:type="dxa"/>
            <w:vAlign w:val="bottom"/>
            <w:shd w:val="clear" w:color="auto" w:fill="CCEEFF"/>
          </w:tcPr>
          <w:p>
            <w:pPr>
              <w:jc w:val="right"/>
              <w:ind w:right="105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0.235</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5,165,300.00</w:t>
            </w: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estimate net expenses payable by us in connection with this offering, other than the estimated underwriting discounts and commissions referred to above, will be approximately $310,000. We have agreed to reimburse the underwriter for certain of their expenses incurred in connection with this offering in an amount not to exceed $130,000 in the aggregate.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Listing</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under the trading symbol “DFLI.”</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Stamp Taxes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you purchase shares of securities offered in this prospectus supplement, you may be required to pay stamp taxes and other charges under the laws and practices of the country of purchase, in addition to the offering price listed on the cover page of this prospectus supplement.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Sales of Similar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agreed, subject to specified exceptions, not to directly or indirectly:</w:t>
      </w:r>
    </w:p>
    <w:p>
      <w:pPr>
        <w:spacing w:after="0" w:line="225" w:lineRule="exact"/>
        <w:rPr>
          <w:sz w:val="20"/>
          <w:szCs w:val="20"/>
          <w:color w:val="auto"/>
        </w:rPr>
      </w:pPr>
    </w:p>
    <w:p>
      <w:pPr>
        <w:jc w:val="both"/>
        <w:ind w:left="660" w:hanging="328"/>
        <w:spacing w:after="0" w:line="25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sell, contract to sell, pledge, hedge, or otherwise dispose of (or enter into any transaction which is designed to, or might reasonably be expected to, result in the disposition (whether by actual disposition or effective economic disposition due to cash settlement or otherwise) by us or our affiliates or any person in privity with us or our affiliates), directly or indirectly, including the filing or submission (or participation in the filing or submission) of a registration statement with the SEC in respect of, or establish or increase a put equivalent position or liquidate or decrease a call equivalent position within the meaning of Section 16 of the Exchange Act, any other shares of common stock or any securities convertible into, or exercisable, or exchangeable for, shares of common stock; or</w:t>
      </w:r>
    </w:p>
    <w:p>
      <w:pPr>
        <w:spacing w:after="0" w:line="18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announce an intention to do any of the foregoing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period of 90 days after the date of this prospectus supplement without the prior written consent of Canaccord Genuity.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Lock-Up Agreements</w:t>
      </w:r>
    </w:p>
    <w:p>
      <w:pPr>
        <w:spacing w:after="0" w:line="21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Pursuant to certain ‘‘lock-up’’ agreements, our executive officers and directors have agreed, subject to certain exceptions, not to (i) directly or indirectly, offer, pledge, sell, contract to sell, sell any option or contract to purchase, purchase any option or contract to sell, grant any option, right or warrant to purchase or otherwise transfer or dispose of any shares of our common stock or any securities convertible into or exercisable or exchangeable for our common stock or file any registration statement under the Securities Act with respect to any of the foregoing or (ii) enter into any swap or any other agreement or any transaction that transfers, in whole or in part, directly or indirectly, the economic consequence of ownership of our common stock, whether any such swap or transaction described in clause (i) or (ii) above is to be settled by delivery of our common stock or other securities, in cash or otherwise, without the prior written consent of the underwriter, for a period of 90 days after the date of this prospectus.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underwriter, in its sole discretion, may release our common stock and other securities subject to the lock-up agreements described above in whole or in part at any time. When determining whether or not to release our common stock and other securities from lock-up agreements, the underwriter will consider, among other factors, the holder’s reasons for requesting the release, the number of shares for which the release is being requested and market conditions at the time of the request.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Electronic Distribution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 prospectus in electronic format may be made available by e-mail or on the web sites or through online services maintained by the underwriter or its affiliates. In those cases, prospective investors may view offering terms online and may be allowed to place orders online. The underwriter may agree with us to allocate a specific number of shares of common stock for sale to online brokerage account holders. Any such allocation for online distributions will be made by the underwriter on the same basis as other allocations. Other than the prospectus in electronic format, the information on the underwriter’s web sites and any information contained in any other web site maintained by the underwriter is not part of this prospectus supplement, has not been approved and/or endorsed by us or the underwriter and should not be relied upon by investors.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Activities and Relationships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underwriter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 and certain of its affiliates have, from time to time, performed, and may in the future perform, various commercial and investment banking and financial advisory services for us and our affiliates, for which they received or will receive customary fees and expenses.</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 and certain of its affiliates may make or hold a broad array of investments and actively trade debt and equity securities (or related derivative securities) and financial instruments (including bank loans) for their own accounts and for the accounts of their respective customers, and such investment and securities activities may involve securities and/or instruments issued by us and our affiliates. If the underwriter or its affiliates have a lending relationship with us, they routinely hedge their credit exposure to us consistent with their customary risk management policies. The underwriter and its affiliates may hedge such exposure by entering into transactions which consist of either the purchase of credit default swaps or the creation of short positions in our securities or the securities of our affiliates, including potentially the common stock offered hereby. Any such short positions could adversely affect future trading prices of the common stock offered hereby. The underwriter and certain of its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Restrictions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to Prospective Investors in the European Economic Area</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“Relevant Member State”), no securities have been offered or will be offered pursuant to the offering to the public in that Relevant Member State prior to the publication of a prospectus in relation to the securities which have been approved by the competent authority in that Relevant Member State or, where appropriate, approved in another Relevant Member State and notified to the competent authority in that Relevant Member State, all in accordance with the Prospectus Regulation, except that the securities may be offered to the public in that Relevant Member State at any time:</w:t>
      </w:r>
    </w:p>
    <w:p>
      <w:pPr>
        <w:spacing w:after="0" w:line="183"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Prospectus Regulation;</w:t>
      </w:r>
    </w:p>
    <w:p>
      <w:pPr>
        <w:spacing w:after="0" w:line="27"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Prospectus Regulation) subject to obtaining the prior consent of the representative for any such offer; or</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07"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provided that no such offer of the securities shall require the Company or any of the representative to publish a prospectus pursuant to Article 3 of the Prospectus Regulation or supplement a prospectus pursuant to Article 23 of the Prospectus Regulation.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 w:name="page19"/>
    <w:bookmarkEnd w:id="18"/>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the securities in any Relevant Member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Each person in a Relevant Member State who receives any communication in respect of, or who acquires any securities under, the offering contemplated hereby will be deemed to have represented, warranted and agreed to and with the underwriter and its affiliates and us that:</w:t>
      </w:r>
    </w:p>
    <w:p>
      <w:pPr>
        <w:spacing w:after="0" w:line="162"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 qualified investor within the meaning of the Prospectus Regulation; and</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securities acquired by it as a financial intermediary, as that term is used in Article 5 of the Prospectus Regulation, (i) the securities acquired by it in the offering have not been acquired on a non-discretionary basis on behalf of, nor have they been acquired with a view to their offer or resale to, persons in any Relevant Member State other than qualified investors, as that term is defined in the Prospectus Regulation, or have been acquired in other circumstances falling within the points (a) to (d) of Article 1(4) of the Prospectus Regulation and the prior consent of the book-running manager has been given to the offer or resale; or (ii) where the securities have been acquired by it on behalf of persons in any Relevant Member State other than qualified investors, the offer of those securities to it is not treated under the Prospectus Regulation as having been made to such persons.</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the underwriter and its affiliates, and others will rely upon the truth and accuracy of the foregoing representation, acknowledgement and agreement. Notwithstanding the above, a person who is not a qualified investor and who has notified the underwriter of such fact in writing may, with the prior consent of the underwriter, be permitted to acquire securities in the offering.</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European Economic Area selling restriction is in addition to any other selling restrictions set out below.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to Prospective Investors in the United Kingdom</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relation to the United Kingdom, no shares have been offered or will be offered pursuant to the offering to the public in the United Kingdom prior to the publication of a prospectus in relation to the shares which has been approved by the Financial Conduct Authority in accordance with the transition provisions in Regulation 74 of the Prospectus (Amendment etc.) (EU Exit) Regulations 2019, except that it may make an offer to the public in the United Kingdom of any shares at any time under the following exemptions under the UK Prospectus Regulation:</w:t>
      </w:r>
    </w:p>
    <w:p>
      <w:pPr>
        <w:spacing w:after="0" w:line="180"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UK Prospectus Regulation;</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UK Prospectus Regulation), subject to obtaining the prior consent of the representative for any such offer; or</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Financial Services and Markets Act 2000 (as amended, the “FSMA”),</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provided that no such offer of the shares shall require the Company or the underwriter to publish a prospectus pursuant to section 85 of the FSMA or supplement a prospectus pursuant to Article 23 of the UK Prospectus Regulation.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In the United Kingdom, the offering is only addressed to, and is directed only at, “qualified investors” within the meaning of Article 2(e) of the UK Prospectus Regulation, who are also (i) persons having professional experience in matters relating to investments who fall within the definition of “investment professionals” in Article 19(5) of the Financial Services and Markets Act 2000 (Financial Promotion) Order 2005 (as amended, the “Order”);</w:t>
      </w:r>
    </w:p>
    <w:p>
      <w:pPr>
        <w:spacing w:after="0" w:line="1" w:lineRule="exact"/>
        <w:rPr>
          <w:sz w:val="20"/>
          <w:szCs w:val="20"/>
          <w:color w:val="auto"/>
        </w:rPr>
      </w:pPr>
    </w:p>
    <w:p>
      <w:pPr>
        <w:jc w:val="both"/>
        <w:ind w:firstLine="8"/>
        <w:spacing w:after="0" w:line="253" w:lineRule="auto"/>
        <w:tabs>
          <w:tab w:leader="none" w:pos="29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net worth entities or other persons falling within Article 49(2)(a) to (d) of the Order; or (iii) persons to whom it may otherwise lawfully be communicated (all such persons being referred to as “relevant persons”). This document must not be acted on or relied on by persons who are not relevant persons. Any investment or investment activity to which this document relates is available only to relevant persons and will be engaged in only with relevant persons.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the shares in the United Kingdom means the communication in any form and by any means of sufficient information on the terms of the offering and any shares to be offered so as to enable an investor to decide to purchase or subscribe for any shares, and the expression “UK Prospectus Regulation” means the Regulation (EU) 2017/1129 as it forms part of domestic law by virtue of the European Union (Withdrawal) Act 2018.</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Each person in the UK who acquires any securities in the offer or to whom any offer is made will be deemed to have represented, acknowledged and agreed to and with us, the underwriter and its affiliates that it meets the criteria outlined in this section.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to Prospective Investors in Bermuda</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Securities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to Prospective Investors in Australia</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prospectus supplement is not a disclosure document for the purposes of Australia’s Corporations Act 2001 (Cth) of Australia, or Corporations Act, has not been lodged with the Australian Securities &amp; Investments Commission and is only directed to the categories of exempt persons set out below. Accordingly, if you receive this prospectus supplement in Australia, you confirm and warrant that you are either:</w:t>
      </w:r>
    </w:p>
    <w:p>
      <w:pPr>
        <w:spacing w:after="0" w:line="176"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“sophisticated investor” under section 708(8)(a) or (b) of the Corporations Act;</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associated with the Company under Section 708(12) of the Corporations Act;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“professional investor” within the meaning of section 708(11)(a) or (b) of the Corporations Act.</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To the extent that you are unable to confirm or warrant that you are an exempt sophisticated investor, associated person or professional investor under the Corporations Act any offer made to you under this prospectus supplement is void and incapable of acceptance.</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You warrant and agree that you will not offer any of the securities issued to you pursuant to this prospectus supplement for resale in Australia within 12 months of those securities being issued unless any such resale offer is exempt from the requirement to issue a disclosure document under section 708 of the Corporations Act.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to Prospective Investors in Hong Kong</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No securities have been offered or sold, and no securities may be offered or sold, in Hong Kong, by means of any document, other than to persons whose ordinary business is to buy or sell shares or debentures, whether as principal or agent; or to “professional investors” as defined in the Securities and Futures Ordinance (Cap. 571) of Hong Kong and any rules made under that Ordinance; or in other circumstances which do not result in the document being a “prospectus” as defined in the Companies Ordinance (Cap. 32) of Hong Kong or which do not constitute an offer or invitation to the public within the meaning of the Companies Ordinance (Cap. 32) or the Securities and Futures Ordinance (Cap. 571) of Hong Kong. No document, invitation or advertisement relating to the securities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securities which are or are intended to be disposed of only to persons outside Hong Kong or only to “professional investors” as defined in the Securities and Futures Ordinance (Cap. 571) of Hong Kong and any rules made under that Ordinance.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prospectus supplement has not been registered with the Registrar of Companies in Hong Kong. Accordingly, this prospectus supplement may not be issued, circulated or distributed in Hong Kong, and the securities may not be offered for subscription to members of the public in Hong Kong. Each person acquiring the securities will be required, and is deemed by the acquisition of the securities, to confirm that he is aware of the restriction on offers of the securities described in this prospectus supplement and the relevant offering documents and that he is not acquiring, and has not been offered, any securities in circumstances that contravene any such restrictions.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to Prospective Investors in Japan</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offering has not been and will not be registered under the Financial Instruments and Exchange Law of Japan (Law No. 25 of 1948 of Japan, as amended), or FIEL, and the underwriter will not offer or sell any securities, directly or indirectly, in Japan or to, or for the benefit of, any resident of Japan (which term as used herein means, unless otherwise provided herein, any person resident in Japan, including any corporation or other entity organized under the laws of Japan), or to others for re-offering or resale, directly or indirectly, in Japan or to or for the benefit of a resident of Japan, except pursuant to an exemption from S-30 the registration requirements of, and otherwise in compliance with, the FIEL and any other applicable laws, regulations and ministerial guidelines of Japan.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to Prospective Investors in Singapore</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This prospectus supplement has not been registered as a prospectus with the Monetary Authority of Singapore. Accordingly, this prospectus supplement and any other document or material in connection with the offer or sale, or the invitation for subscription or purchase, of the securities may not be issued, circulated or distributed, nor may the securities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Where the securities are subscribed or purchased under Section 275 of the SFA by a relevant person which is:</w:t>
      </w:r>
    </w:p>
    <w:p>
      <w:pPr>
        <w:spacing w:after="0" w:line="225" w:lineRule="exact"/>
        <w:rPr>
          <w:sz w:val="20"/>
          <w:szCs w:val="20"/>
          <w:color w:val="auto"/>
        </w:rPr>
      </w:pPr>
    </w:p>
    <w:p>
      <w:pPr>
        <w:ind w:left="660" w:hanging="328"/>
        <w:spacing w:after="0" w:line="26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jc w:val="both"/>
        <w:ind w:left="660" w:hanging="328"/>
        <w:spacing w:after="0" w:line="253"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 w:name="page22"/>
    <w:bookmarkEnd w:id="21"/>
    <w:p>
      <w:pPr>
        <w:ind w:left="660" w:hanging="328"/>
        <w:spacing w:after="0" w:line="261"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defined in Section 275(2) of the SFA, or to any person arising from an offer referred to in Section 275(1A) or Section 276(4)(i)(B) of the SFA;</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32 of the Securities and Futures (Offers of Investments) (Shares and Debentures) Regulations 2005 of Singapore.</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Singapore SFA Product Classification - In connection with Section 309B of the SFA and the Securities and Futures (Capital Markets Products) Regulations 2018 (the “CMP Regulations 2018”), we have determined, and hereby notify all relevant persons (as defined in the CMP Regulations 2018),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to Prospective Investors in Switzerland</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securities may not be publicly offered in Switzerland and will not be listed on the SIX Swiss Exchange, or SIX, or on any other stock exchange or regulated trading facility in Switzerland. This prospectus supplement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supplement nor any other offering or marketing material relating to the securities or the offering may be publicly distributed or otherwise made publicly available in Switzerland.</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Neither this prospectus supplement nor any other offering or marketing material relating to the offering, the Company or the securities have been or will be filed with or approved by any Swiss regulatory authority. In particular, this document will not be filed with and the offer of securities will not be supervised by, the Swiss Financial Market Supervisory Authority FINMA (FINMA) and the offer of securities has not been and will not be authorized under the Swiss Federal Act on Collective Investment Schemes, or CISA. The investor protection afforded to acquirers of interests in collective investment schemes under the CISA does not extend to acquirers of the securities.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to Prospective Investors in Canada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Resale Restrictions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distribution of securities in Canada is being made only in the provinces of Ontario, Quebec, Alberta, British Columbia, Manitoba, New Brunswick and Nova Scotia on a private placement basis exempt from the requirement that we prepare and file a prospectus with the securities regulatory authorities in each province where trades of these securities are made. Any resale of the securities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securities.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 Representations of Canadian Purchasers</w:t>
      </w:r>
    </w:p>
    <w:p>
      <w:pPr>
        <w:spacing w:after="0" w:line="2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By purchasing securities in Canada and accepting delivery of a purchase confirmation, a purchaser is representing to us and the dealer from whom the purchase confirmation is received that:</w:t>
      </w:r>
    </w:p>
    <w:p>
      <w:pPr>
        <w:spacing w:after="0" w:line="162" w:lineRule="exact"/>
        <w:rPr>
          <w:sz w:val="20"/>
          <w:szCs w:val="20"/>
          <w:color w:val="auto"/>
        </w:rPr>
      </w:pPr>
    </w:p>
    <w:p>
      <w:pPr>
        <w:jc w:val="both"/>
        <w:ind w:left="66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purchaser is entitled under applicable provincial securities laws to purchase the securities without the benefit of a prospectus qualified under those securities laws as it is an “accredited investor” as defined under National Instrument 45-106 - Prospectus Exemptions or Section 73.3(1)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as applicable;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 w:name="page23"/>
    <w:bookmarkEnd w:id="22"/>
    <w:p>
      <w:pPr>
        <w:ind w:left="660" w:right="20" w:hanging="328"/>
        <w:spacing w:after="0" w:line="261"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is a “permitted client” as defined in National Instrument 31-103 - Registration Requirements, Exemptions and Ongoing Registrant Obligations;</w:t>
      </w:r>
    </w:p>
    <w:p>
      <w:pPr>
        <w:ind w:left="660" w:hanging="328"/>
        <w:spacing w:after="0"/>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required by law, the purchaser is purchasing as principal and not as agent;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has reviewed the text above under Resale Restrictions.</w:t>
      </w:r>
    </w:p>
    <w:p>
      <w:pPr>
        <w:spacing w:after="0" w:line="204"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Conflicts of Interest</w:t>
      </w:r>
    </w:p>
    <w:p>
      <w:pPr>
        <w:spacing w:after="0" w:line="2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Canadian purchasers are hereby notified that the underwriter is relying on the exemption set out in section 3A.3 or 3A.4, if applicable, of National Instrument 33-105 - Underwriting Conflicts from having to provide certain conflict of interest disclosure in this document.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 Statutory Rights of Action</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the prospectus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 Enforcement of Legal Rights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 Taxation and Eligibility for Investment</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Canadian purchasers of securities should consult their own legal and tax advisors with respect to the tax consequences of an investment in the securities in their particular circumstances and about the eligibility of the securities for investment by the purchaser under relevant Canadian legislation.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to Prospective Investors in Israel</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prospectus supplement does not constitute a prospectus under the Israeli Securities Law, 5728-1968, or the Securities Law, and has not been filed with or approved by the Israel Securities Authority. In Israel, this prospectus supplement is being distributed only to, and is directed only at, and any offer of our securities is directed only at, (i) a limited number of persons in accordance with the Israeli Securities Law and (ii)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Non-U.S. Legend</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prospectus supplement is for use solely in connection with the proposed offering in certain jurisdictions. This prospectus supplement is not to be distributed in any other jurisdiction and is not to be used in connection with any offer of, or any invitation or solicitation by or on behalf of the Company to subscribe for or purchase, securities in any other jurisdiction. This prospectus supplement is personal to each offeree and does not constitute an offer to any person or to the public generally to subscribe for or otherwise acquire the securities. Distribution of this prospectus supplement to any person other than the prospective investor and any person retained to advise such prospective investor with respect to its purchase is unauthorized.</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Delivery of this prospectus supplement shall not constitute an offer to sell or the solicitation of an offer to buy the securities described herein.</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distribution of this prospectus supplement in certain jurisdictions may be restricted by law. You must inform yourself about, and observe, any such restrictions. You must comply with all applicable laws and regulations in force in any jurisdiction in which you purchase, offer or sell the securities or possess or distribute this prospectus supplement and must obtain any consent, approval or permission required for your purchase, offer or sale of the securities under the laws and regulations in force in any jurisdiction to which you are subject or in which you make such purchases, offers or sales. We and the underwriter are not making an offer of, or invitation to purchase, any of the securities to any person in any jurisdiction in which such offer or solicitation would be unlawful.</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This prospectus supplement has not been submitted to the review or registration procedures of any regulatory authority outside the United States. The offering of the securities pursuant to this prospectus supplement has not been approved or recommended by any governmental securities regulator.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validity of the securities being offered will be passed upon for us by Parsons Behle &amp; Latimer, Reno, Nevada and Lowenstein Sandler LLP, New York, New York. Mintz, Levin, Cohn, Ferris, Glovsky and Popeo, P.C., New York, New York is counsel for the underwriter in connection with this offering.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Dragonfly Energy Holdings Corp. as of and for the years ended December 31, 2024 and 2023 have been so incorporated in reliance on the report of Marcum LLP, an independent registered public accounting firm given on the authority of said firm as experts in auditing and accounting. The report on the consolidated financial statements contains an explanatory paragraph regarding the Company’s ability to continue as a going concern.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subject to the informational requirements of the Exchange Act and in accordance therewith we file annual, quarterly, and other reports, proxy statements and other information with the SEC under the Exchange Act. Such reports, proxy statements and other information, including the Registration Statement, and exhibits and schedules thereto, are available to the public through the SEC’s website at www.sec.gov.</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make available free of charge on or through our website our Annual Reports on Form 10-K, Quarterly Reports on Form 10-Q, Current Reports on Form 8-K and amendments to those reports filed or furnished pursuant to Section 13(a) or 15(d) of the Securities Exchange Act of 1934, as amended, as soon as reasonably practicable after we electronically file such material with or otherwise furnish it to the SEC.</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filed with the SEC a registration statement under the Securities Act, relating to the offering of these securities. The registration statement, including the attached exhibits, contains additional relevant information about us and the securities. This prospectus supplement does not contain all of the information set forth in the registration statement. You can obtain a copy of the registration statement, at prescribed rates, from the SEC at the address listed above, or for free at www.sec.gov. The registration statement and the documents referred to below under “</w:t>
      </w:r>
      <w:r>
        <w:rPr>
          <w:rFonts w:ascii="Times New Roman" w:cs="Times New Roman" w:eastAsia="Times New Roman" w:hAnsi="Times New Roman"/>
          <w:sz w:val="18"/>
          <w:szCs w:val="18"/>
          <w:i w:val="1"/>
          <w:iCs w:val="1"/>
          <w:color w:val="auto"/>
        </w:rPr>
        <w:t>Incorporation of Certain Information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Reference</w:t>
      </w:r>
      <w:r>
        <w:rPr>
          <w:rFonts w:ascii="Times New Roman" w:cs="Times New Roman" w:eastAsia="Times New Roman" w:hAnsi="Times New Roman"/>
          <w:sz w:val="18"/>
          <w:szCs w:val="18"/>
          <w:color w:val="auto"/>
        </w:rPr>
        <w:t>” are also available on our website, https://www.dragonflyenergy.com/.</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not incorporated by reference into this prospectus supplement the information on our website, and you should not consider it to be a part of this prospectus supplement.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SEC allows us to “incorporate by reference” information that we file with it into this prospectus supplement and the accompanying prospectus, which means that we can disclose important information to you by referring you to those documents. The information incorporated by reference is an important part of this prospectus. The information incorporated by reference is considered to be a part of this prospectus, and information that we file later with the SEC will automatically update and supersede information contained in this prospectus supplement, the accompanying prospectus and any accompanying prospectus supplement.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incorporate by reference the documents listed below that we have previously filed with the SEC:</w:t>
      </w:r>
    </w:p>
    <w:p>
      <w:pPr>
        <w:spacing w:after="0" w:line="225"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w:t>
      </w:r>
      <w:hyperlink r:id="rId40">
        <w:r>
          <w:rPr>
            <w:rFonts w:ascii="Times New Roman" w:cs="Times New Roman" w:eastAsia="Times New Roman" w:hAnsi="Times New Roman"/>
            <w:sz w:val="18"/>
            <w:szCs w:val="18"/>
            <w:u w:val="single" w:color="auto"/>
            <w:color w:val="0000EE"/>
          </w:rPr>
          <w:t>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2024, filed with the SEC on March 31, 2025;</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Form </w:t>
      </w:r>
      <w:hyperlink r:id="rId41">
        <w:r>
          <w:rPr>
            <w:rFonts w:ascii="Times New Roman" w:cs="Times New Roman" w:eastAsia="Times New Roman" w:hAnsi="Times New Roman"/>
            <w:sz w:val="18"/>
            <w:szCs w:val="18"/>
            <w:u w:val="single" w:color="auto"/>
            <w:color w:val="0000EE"/>
          </w:rPr>
          <w:t>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quarter ended March 31, 2025, filed with the SEC on May 16, 2025;</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42">
        <w:r>
          <w:rPr>
            <w:rFonts w:ascii="Times New Roman" w:cs="Times New Roman" w:eastAsia="Times New Roman" w:hAnsi="Times New Roman"/>
            <w:sz w:val="18"/>
            <w:szCs w:val="18"/>
            <w:u w:val="single" w:color="auto"/>
            <w:color w:val="0000EE"/>
          </w:rPr>
          <w:t>January 3, 2025</w:t>
        </w:r>
      </w:hyperlink>
      <w:r>
        <w:rPr>
          <w:rFonts w:ascii="Times New Roman" w:cs="Times New Roman" w:eastAsia="Times New Roman" w:hAnsi="Times New Roman"/>
          <w:sz w:val="18"/>
          <w:szCs w:val="18"/>
          <w:color w:val="auto"/>
        </w:rPr>
        <w:t xml:space="preserve">, </w:t>
      </w:r>
      <w:hyperlink r:id="rId43">
        <w:r>
          <w:rPr>
            <w:rFonts w:ascii="Times New Roman" w:cs="Times New Roman" w:eastAsia="Times New Roman" w:hAnsi="Times New Roman"/>
            <w:sz w:val="18"/>
            <w:szCs w:val="18"/>
            <w:u w:val="single" w:color="auto"/>
            <w:color w:val="0000EE"/>
          </w:rPr>
          <w:t>February 5, 2025</w:t>
        </w:r>
      </w:hyperlink>
      <w:r>
        <w:rPr>
          <w:rFonts w:ascii="Times New Roman" w:cs="Times New Roman" w:eastAsia="Times New Roman" w:hAnsi="Times New Roman"/>
          <w:sz w:val="18"/>
          <w:szCs w:val="18"/>
          <w:color w:val="auto"/>
        </w:rPr>
        <w:t xml:space="preserve">, </w:t>
      </w:r>
      <w:hyperlink r:id="rId44">
        <w:r>
          <w:rPr>
            <w:rFonts w:ascii="Times New Roman" w:cs="Times New Roman" w:eastAsia="Times New Roman" w:hAnsi="Times New Roman"/>
            <w:sz w:val="18"/>
            <w:szCs w:val="18"/>
            <w:u w:val="single" w:color="auto"/>
            <w:color w:val="0000EE"/>
          </w:rPr>
          <w:t>February 27, 2025</w:t>
        </w:r>
      </w:hyperlink>
      <w:r>
        <w:rPr>
          <w:rFonts w:ascii="Times New Roman" w:cs="Times New Roman" w:eastAsia="Times New Roman" w:hAnsi="Times New Roman"/>
          <w:sz w:val="18"/>
          <w:szCs w:val="18"/>
          <w:color w:val="auto"/>
        </w:rPr>
        <w:t xml:space="preserve">, </w:t>
      </w:r>
      <w:hyperlink r:id="rId45">
        <w:r>
          <w:rPr>
            <w:rFonts w:ascii="Times New Roman" w:cs="Times New Roman" w:eastAsia="Times New Roman" w:hAnsi="Times New Roman"/>
            <w:sz w:val="18"/>
            <w:szCs w:val="18"/>
            <w:u w:val="single" w:color="auto"/>
            <w:color w:val="0000EE"/>
          </w:rPr>
          <w:t>March 10, 2025</w:t>
        </w:r>
      </w:hyperlink>
      <w:r>
        <w:rPr>
          <w:rFonts w:ascii="Times New Roman" w:cs="Times New Roman" w:eastAsia="Times New Roman" w:hAnsi="Times New Roman"/>
          <w:sz w:val="18"/>
          <w:szCs w:val="18"/>
          <w:color w:val="auto"/>
        </w:rPr>
        <w:t xml:space="preserve">, </w:t>
      </w:r>
      <w:hyperlink r:id="rId46">
        <w:r>
          <w:rPr>
            <w:rFonts w:ascii="Times New Roman" w:cs="Times New Roman" w:eastAsia="Times New Roman" w:hAnsi="Times New Roman"/>
            <w:sz w:val="18"/>
            <w:szCs w:val="18"/>
            <w:u w:val="single" w:color="auto"/>
            <w:color w:val="0000EE"/>
          </w:rPr>
          <w:t>March 24, 2025</w:t>
        </w:r>
      </w:hyperlink>
      <w:r>
        <w:rPr>
          <w:rFonts w:ascii="Times New Roman" w:cs="Times New Roman" w:eastAsia="Times New Roman" w:hAnsi="Times New Roman"/>
          <w:sz w:val="18"/>
          <w:szCs w:val="18"/>
          <w:color w:val="auto"/>
        </w:rPr>
        <w:t xml:space="preserve">, </w:t>
      </w:r>
      <w:hyperlink r:id="rId47">
        <w:r>
          <w:rPr>
            <w:rFonts w:ascii="Times New Roman" w:cs="Times New Roman" w:eastAsia="Times New Roman" w:hAnsi="Times New Roman"/>
            <w:sz w:val="18"/>
            <w:szCs w:val="18"/>
            <w:u w:val="single" w:color="auto"/>
            <w:color w:val="0000EE"/>
          </w:rPr>
          <w:t>April 28,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8">
        <w:r>
          <w:rPr>
            <w:rFonts w:ascii="Times New Roman" w:cs="Times New Roman" w:eastAsia="Times New Roman" w:hAnsi="Times New Roman"/>
            <w:sz w:val="18"/>
            <w:szCs w:val="18"/>
            <w:u w:val="single" w:color="auto"/>
            <w:color w:val="0000EE"/>
          </w:rPr>
          <w:t>May 8,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9">
        <w:r>
          <w:rPr>
            <w:rFonts w:ascii="Times New Roman" w:cs="Times New Roman" w:eastAsia="Times New Roman" w:hAnsi="Times New Roman"/>
            <w:sz w:val="18"/>
            <w:szCs w:val="18"/>
            <w:u w:val="single" w:color="auto"/>
            <w:color w:val="0000EE"/>
          </w:rPr>
          <w:t>June 3,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0">
        <w:r>
          <w:rPr>
            <w:rFonts w:ascii="Times New Roman" w:cs="Times New Roman" w:eastAsia="Times New Roman" w:hAnsi="Times New Roman"/>
            <w:sz w:val="18"/>
            <w:szCs w:val="18"/>
            <w:u w:val="single" w:color="auto"/>
            <w:color w:val="0000EE"/>
          </w:rPr>
          <w:t>June 13,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1">
        <w:r>
          <w:rPr>
            <w:rFonts w:ascii="Times New Roman" w:cs="Times New Roman" w:eastAsia="Times New Roman" w:hAnsi="Times New Roman"/>
            <w:sz w:val="18"/>
            <w:szCs w:val="18"/>
            <w:u w:val="single" w:color="auto"/>
            <w:color w:val="0000EE"/>
          </w:rPr>
          <w:t>June 24,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2">
        <w:r>
          <w:rPr>
            <w:rFonts w:ascii="Times New Roman" w:cs="Times New Roman" w:eastAsia="Times New Roman" w:hAnsi="Times New Roman"/>
            <w:sz w:val="18"/>
            <w:szCs w:val="18"/>
            <w:u w:val="single" w:color="auto"/>
            <w:color w:val="0000EE"/>
          </w:rPr>
          <w:t>June 27,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3">
        <w:r>
          <w:rPr>
            <w:rFonts w:ascii="Times New Roman" w:cs="Times New Roman" w:eastAsia="Times New Roman" w:hAnsi="Times New Roman"/>
            <w:sz w:val="18"/>
            <w:szCs w:val="18"/>
            <w:u w:val="single" w:color="auto"/>
            <w:color w:val="0000EE"/>
          </w:rPr>
          <w:t>July 7,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4">
        <w:r>
          <w:rPr>
            <w:rFonts w:ascii="Times New Roman" w:cs="Times New Roman" w:eastAsia="Times New Roman" w:hAnsi="Times New Roman"/>
            <w:sz w:val="18"/>
            <w:szCs w:val="18"/>
            <w:u w:val="single" w:color="auto"/>
            <w:color w:val="0000EE"/>
          </w:rPr>
          <w:t xml:space="preserve">July 21, 2025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55">
        <w:r>
          <w:rPr>
            <w:rFonts w:ascii="Times New Roman" w:cs="Times New Roman" w:eastAsia="Times New Roman" w:hAnsi="Times New Roman"/>
            <w:sz w:val="18"/>
            <w:szCs w:val="18"/>
            <w:u w:val="single" w:color="auto"/>
            <w:color w:val="0000EE"/>
          </w:rPr>
          <w:t>July 29,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p>
    <w:p>
      <w:pPr>
        <w:spacing w:after="0" w:line="161" w:lineRule="exact"/>
        <w:rPr>
          <w:rFonts w:ascii="Times New Roman" w:cs="Times New Roman" w:eastAsia="Times New Roman" w:hAnsi="Times New Roman"/>
          <w:sz w:val="18"/>
          <w:szCs w:val="18"/>
          <w:color w:val="0000EE"/>
        </w:rPr>
      </w:pPr>
    </w:p>
    <w:p>
      <w:pPr>
        <w:jc w:val="both"/>
        <w:ind w:left="660" w:right="2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common stock of the Company contained in our Registration Statement on </w:t>
      </w:r>
      <w:hyperlink r:id="rId56">
        <w:r>
          <w:rPr>
            <w:rFonts w:ascii="Times New Roman" w:cs="Times New Roman" w:eastAsia="Times New Roman" w:hAnsi="Times New Roman"/>
            <w:sz w:val="18"/>
            <w:szCs w:val="18"/>
            <w:u w:val="single" w:color="auto"/>
            <w:color w:val="0000EE"/>
          </w:rPr>
          <w:t>Form 8-A</w:t>
        </w:r>
      </w:hyperlink>
      <w:r>
        <w:rPr>
          <w:rFonts w:ascii="Times New Roman" w:cs="Times New Roman" w:eastAsia="Times New Roman" w:hAnsi="Times New Roman"/>
          <w:sz w:val="18"/>
          <w:szCs w:val="18"/>
          <w:color w:val="auto"/>
        </w:rPr>
        <w:t xml:space="preserve">, filed on August 10, 2021 under Section 12(b) of the Exchange Act including any amendments or reports filed for the purpose of updating such description, including </w:t>
      </w:r>
      <w:hyperlink r:id="rId57">
        <w:r>
          <w:rPr>
            <w:rFonts w:ascii="Times New Roman" w:cs="Times New Roman" w:eastAsia="Times New Roman" w:hAnsi="Times New Roman"/>
            <w:sz w:val="18"/>
            <w:szCs w:val="18"/>
            <w:u w:val="single" w:color="auto"/>
            <w:color w:val="0000EE"/>
          </w:rPr>
          <w:t>Exhibit 4.18</w:t>
        </w:r>
      </w:hyperlink>
      <w:r>
        <w:rPr>
          <w:rFonts w:ascii="Times New Roman" w:cs="Times New Roman" w:eastAsia="Times New Roman" w:hAnsi="Times New Roman"/>
          <w:sz w:val="18"/>
          <w:szCs w:val="18"/>
          <w:color w:val="auto"/>
        </w:rPr>
        <w:t xml:space="preserve"> to our Annual Report Form 10-K Form </w:t>
      </w:r>
      <w:hyperlink r:id="rId58">
        <w:r>
          <w:rPr>
            <w:rFonts w:ascii="Times New Roman" w:cs="Times New Roman" w:eastAsia="Times New Roman" w:hAnsi="Times New Roman"/>
            <w:sz w:val="18"/>
            <w:szCs w:val="18"/>
            <w:u w:val="single" w:color="auto"/>
            <w:color w:val="0000EE"/>
          </w:rPr>
          <w:t>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2024, filed with the SEC on March 31, 2025.</w:t>
      </w:r>
    </w:p>
    <w:p>
      <w:pPr>
        <w:spacing w:after="0" w:line="176" w:lineRule="exact"/>
        <w:rPr>
          <w:rFonts w:ascii="Times New Roman" w:cs="Times New Roman" w:eastAsia="Times New Roman" w:hAnsi="Times New Roman"/>
          <w:sz w:val="18"/>
          <w:szCs w:val="18"/>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All reports and other documents that we file with the SEC under Sections 13(a), 13(c), 14 or 15(d) of the Exchange Act after the date of the initial registration statement and prior to effectiveness of the registration statement, and after the date of this prospectus but prior to the termination of the offering of the securities hereunder will also be considered to be incorporated by reference into this prospectus from the date of the filing of these reports and documents, and will supersede the information herein;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all reports, exhibits and other information that we “furnish” to the SEC will not be considered incorporated by reference into this prospectus. Any statement contained in a document incorporated by reference in this prospectus or any subsequent prospectus supplement shall be deemed to be modified or superseded to the extent that a statement contained herein, therein or in any other subsequently filed document that also is incorporated by reference herein or therein modifies or supersedes such statement. Any statement so modified or superseded shall not be deemed, except as so modified or superseded, to constitute a part of this prospectus or any subsequent prospectus supplement.</w:t>
      </w:r>
    </w:p>
    <w:p>
      <w:pPr>
        <w:spacing w:after="0" w:line="192" w:lineRule="exact"/>
        <w:rPr>
          <w:rFonts w:ascii="Times New Roman" w:cs="Times New Roman" w:eastAsia="Times New Roman" w:hAnsi="Times New Roman"/>
          <w:sz w:val="18"/>
          <w:szCs w:val="18"/>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will provide you without charge, upon your oral or written request, with a copy of any or all reports, proxy statements and other documents we file with the SEC, as well as any or all of the documents incorporated by reference in this prospectus or the registration statement (other than exhibits to such documents unless such exhibits are specifically incorporated by reference into such documents). Requests for such copies should be directed to Dragonfly Energy Holdings Corp., Attn: Chief Executive Officer, 12915 Old Virginia Road, Reno, Nevada 89521. You may also direct any requests for documents to us by telephone at (775) 622-3448.</w:t>
      </w:r>
    </w:p>
    <w:p>
      <w:pPr>
        <w:spacing w:after="0" w:line="183"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S-26</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156845</wp:posOffset>
            </wp:positionV>
            <wp:extent cx="1842770" cy="8826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0">
                      <a:extLst>
                        <a:ext uri="{28A0092B-C50C-407E-A947-70E740481C1C}"/>
                      </a:extLst>
                    </a:blip>
                    <a:srcRect/>
                    <a:stretch>
                      <a:fillRect/>
                    </a:stretch>
                  </pic:blipFill>
                  <pic:spPr bwMode="auto">
                    <a:xfrm>
                      <a:off x="0" y="0"/>
                      <a:ext cx="1842770" cy="88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$150,000,000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Subscription Rights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offer, issue and sell from time to time together or separately, in one or more offerings, any combination of (i) our common stock, (ii) our preferred stock, which we may issue in one or more series, (iii) warrants, (iv) senior or subordinated debt securities, (v) subscription rights and (vi) units. The debt securities may consist of debentures, notes, or other types of debt. The debt securities, preferred stock, warrants and subscription rights may be convertible into, or exercisable or exchangeable for, common or preferred stock or other securities of ours. The units may consist of any combination of the securities listed above.</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aggregate public offering price of the securities that we may offer will not exceed $150,000,000. We will offer the securities in an amount and on terms that market conditions will determine at the time of the offering. Our common stock, par value $0.0001 per share, is currently listed on the Nasdaq Global Market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under the symbol “DFLI” and our public warrants are currently listed on the Nasdaq Capital Market under the symbol “DFLIW”. On November 9, 2023, the last reported sale price of our common stock was $0.716 per share. On November 9, 2023, the last reported sale price of our public warrants was $0.056. You are urged to obtain current market quotations of our common stock and public warrants. We have no preferred stock, debt securities, subscription rights or units listed on any market. Each prospectus supplement will indicate if the securities offered thereby will be listed on any securities exchange.</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involves risk. You should carefully consider the risks that we refer you to under the section captioned “Risk Factors” in this prospectus on page 3 before buying our securities.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Should we offer any of the securities described in this prospectus, we will provide you with the specific terms of the particular securities being offered in supplements to this prospectus. You should read this prospectus and any supplement, together with additional information described under the headings “Additional Information” and “Incorporation of Certain Information by Reference” carefully before you invest. This prospectus may not be used to sell securities unless accompanied by a prospectus supplement.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sell these securities directly to our stockholders or to other purchasers or through agents on our behalf or through underwriters or dealers as designated from time to time. If any agents or underwriters are involved in the sale of any of these securities, the applicable prospectus supplement will provide the names of the agents or underwriters and any applicable fees, commissions or discounts.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November 24,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20" w:type="dxa"/>
            <w:vAlign w:val="bottom"/>
            <w:gridSpan w:val="4"/>
          </w:tcPr>
          <w:p>
            <w:pPr>
              <w:ind w:left="11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540" w:type="dxa"/>
            <w:vAlign w:val="bottom"/>
          </w:tcPr>
          <w:p>
            <w:pPr>
              <w:spacing w:after="0"/>
              <w:rPr>
                <w:sz w:val="17"/>
                <w:szCs w:val="17"/>
                <w:color w:val="auto"/>
              </w:rPr>
            </w:pPr>
          </w:p>
        </w:tc>
      </w:tr>
      <w:tr>
        <w:trPr>
          <w:trHeight w:val="237"/>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2120" w:type="dxa"/>
            <w:vAlign w:val="bottom"/>
          </w:tcPr>
          <w:p>
            <w:pPr>
              <w:spacing w:after="0"/>
              <w:rPr>
                <w:sz w:val="20"/>
                <w:szCs w:val="20"/>
                <w:color w:val="auto"/>
              </w:rPr>
            </w:pPr>
          </w:p>
        </w:tc>
        <w:tc>
          <w:tcPr>
            <w:tcW w:w="2540" w:type="dxa"/>
            <w:vAlign w:val="bottom"/>
          </w:tcPr>
          <w:p>
            <w:pPr>
              <w:spacing w:after="0"/>
              <w:rPr>
                <w:sz w:val="20"/>
                <w:szCs w:val="20"/>
                <w:color w:val="auto"/>
              </w:rPr>
            </w:pPr>
          </w:p>
        </w:tc>
      </w:tr>
      <w:tr>
        <w:trPr>
          <w:trHeight w:val="196"/>
        </w:trPr>
        <w:tc>
          <w:tcPr>
            <w:tcW w:w="224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6460" w:type="dxa"/>
            <w:vAlign w:val="bottom"/>
            <w:tcBorders>
              <w:bottom w:val="single" w:sz="8" w:color="CCEEFF"/>
            </w:tcBorders>
            <w:gridSpan w:val="11"/>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5"/>
        </w:trPr>
        <w:tc>
          <w:tcPr>
            <w:tcW w:w="87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PROSPECTUS SUMMARY</w:t>
            </w:r>
          </w:p>
        </w:tc>
        <w:tc>
          <w:tcPr>
            <w:tcW w:w="2540" w:type="dxa"/>
            <w:vAlign w:val="bottom"/>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7440" w:type="dxa"/>
            <w:vAlign w:val="bottom"/>
            <w:tcBorders>
              <w:bottom w:val="single" w:sz="8" w:color="CCEEFF"/>
            </w:tcBorders>
            <w:gridSpan w:val="18"/>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176"/>
        </w:trPr>
        <w:tc>
          <w:tcPr>
            <w:tcW w:w="87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2540" w:type="dxa"/>
            <w:vAlign w:val="bottom"/>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76"/>
        </w:trPr>
        <w:tc>
          <w:tcPr>
            <w:tcW w:w="87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2540" w:type="dxa"/>
            <w:vAlign w:val="bottom"/>
            <w:shd w:val="clear" w:color="auto" w:fill="CCEEFF"/>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7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THE SECURITIES WE MAY OFFER</w:t>
            </w:r>
          </w:p>
        </w:tc>
        <w:tc>
          <w:tcPr>
            <w:tcW w:w="2540" w:type="dxa"/>
            <w:vAlign w:val="bottom"/>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CAPITAL STOCK</w:t>
            </w:r>
          </w:p>
        </w:tc>
        <w:tc>
          <w:tcPr>
            <w:tcW w:w="5820" w:type="dxa"/>
            <w:vAlign w:val="bottom"/>
            <w:tcBorders>
              <w:bottom w:val="single" w:sz="8" w:color="CCEEFF"/>
            </w:tcBorders>
            <w:gridSpan w:val="8"/>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176"/>
        </w:trPr>
        <w:tc>
          <w:tcPr>
            <w:tcW w:w="87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DESCRIPTION OF DEBT SECURITIES</w:t>
            </w:r>
          </w:p>
        </w:tc>
        <w:tc>
          <w:tcPr>
            <w:tcW w:w="2540" w:type="dxa"/>
            <w:vAlign w:val="bottom"/>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312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DESCRIPTION OF STOCK WARRANTS</w:t>
            </w:r>
          </w:p>
        </w:tc>
        <w:tc>
          <w:tcPr>
            <w:tcW w:w="5580" w:type="dxa"/>
            <w:vAlign w:val="bottom"/>
            <w:tcBorders>
              <w:bottom w:val="single" w:sz="8" w:color="CCEEFF"/>
            </w:tcBorders>
            <w:gridSpan w:val="5"/>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176"/>
        </w:trPr>
        <w:tc>
          <w:tcPr>
            <w:tcW w:w="87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SUBSCRIPTION RIGHTS</w:t>
            </w:r>
          </w:p>
        </w:tc>
        <w:tc>
          <w:tcPr>
            <w:tcW w:w="2540" w:type="dxa"/>
            <w:vAlign w:val="bottom"/>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87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UNITS</w:t>
            </w:r>
          </w:p>
        </w:tc>
        <w:tc>
          <w:tcPr>
            <w:tcW w:w="2540" w:type="dxa"/>
            <w:vAlign w:val="bottom"/>
            <w:shd w:val="clear" w:color="auto" w:fill="CCEEFF"/>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21</w:t>
            </w:r>
          </w:p>
        </w:tc>
      </w:tr>
      <w:tr>
        <w:trPr>
          <w:trHeight w:val="175"/>
        </w:trPr>
        <w:tc>
          <w:tcPr>
            <w:tcW w:w="202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FORMS OF SECURITIES</w:t>
            </w:r>
          </w:p>
        </w:tc>
        <w:tc>
          <w:tcPr>
            <w:tcW w:w="6680" w:type="dxa"/>
            <w:vAlign w:val="bottom"/>
            <w:tcBorders>
              <w:top w:val="single" w:sz="8" w:color="CCEEFF"/>
            </w:tcBorders>
            <w:gridSpan w:val="14"/>
          </w:tcPr>
          <w:p>
            <w:pPr>
              <w:spacing w:after="0"/>
              <w:rPr>
                <w:sz w:val="15"/>
                <w:szCs w:val="15"/>
                <w:color w:val="auto"/>
              </w:rPr>
            </w:pPr>
          </w:p>
        </w:tc>
        <w:tc>
          <w:tcPr>
            <w:tcW w:w="2540" w:type="dxa"/>
            <w:vAlign w:val="bottom"/>
            <w:tcBorders>
              <w:top w:val="single" w:sz="8" w:color="CCEEFF"/>
            </w:tcBorders>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6640" w:type="dxa"/>
            <w:vAlign w:val="bottom"/>
            <w:tcBorders>
              <w:bottom w:val="single" w:sz="8" w:color="CCEEFF"/>
            </w:tcBorders>
            <w:gridSpan w:val="13"/>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176"/>
        </w:trPr>
        <w:tc>
          <w:tcPr>
            <w:tcW w:w="87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2540" w:type="dxa"/>
            <w:vAlign w:val="bottom"/>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7920" w:type="dxa"/>
            <w:vAlign w:val="bottom"/>
            <w:tcBorders>
              <w:bottom w:val="single" w:sz="8" w:color="CCEEFF"/>
            </w:tcBorders>
            <w:gridSpan w:val="19"/>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176"/>
        </w:trPr>
        <w:tc>
          <w:tcPr>
            <w:tcW w:w="87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ADDITIONAL INFORMATION</w:t>
            </w:r>
          </w:p>
        </w:tc>
        <w:tc>
          <w:tcPr>
            <w:tcW w:w="2540" w:type="dxa"/>
            <w:vAlign w:val="bottom"/>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75"/>
        </w:trPr>
        <w:tc>
          <w:tcPr>
            <w:tcW w:w="87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2540" w:type="dxa"/>
            <w:vAlign w:val="bottom"/>
            <w:shd w:val="clear" w:color="auto" w:fill="CCEEFF"/>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Dragonfly Energy Holdings Corp. is referred to herein as “Dragonfly Energy,” “the Company,” “we,” “us,” and “our,” unless the context otherwise indicates.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You may only rely on the information contained in this prospectus and the accompanying prospectus supplement or that we have referred you to. We have not authorized anyone to provide you with different information. This prospectus and any prospectus supplement do not constitute an offer to sell or a solicitation of an offer to buy any securities other than the securities offered by this prospectus and the prospectus supplement. This prospectus and any prospectus supplement do not constitute an offer to sell or a solicitation of an offer to buy any securities in any circumstances in which such offer or solicitation is unlawful. Neither the delivery of this prospectus or any prospectus supplement nor any sale made hereunder shall, under any circumstances, create any implication that there has been no change in our affairs since the date of this prospectus or such prospectus supplement or that the information contained by reference to this prospectus or any prospectus supplement is correct as of any time after its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or SEC, using a “shelf” registration process. Under this shelf registration process, we may from time to time offer and sell, in one or more offerings, any or all of the securities described in this prospectus, separately or together, up to an aggregate offering price of $150,000,000. This prospectus provides you with a general description of our securities being offered. When we issue the securities being offered by this prospectus,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“Additional Information” and “Incorporation of Certain Information by Reference.”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summary highlights some information from this prospectus. It is not complete and does not contain all of the information that you should consider before making an investment decision. You should read this entire prospectus, including the “Risk Factors” section on page 3 and the disclosures to which that section refers you, the financial statements and related notes and the other more detailed information appearing elsewhere or incorporated by reference into this prospectus before investing in any of the securities described in this prospectus.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a manufacturer of non-toxic deep cycle lithium-ion batteries that are designed to displace lead acid batteries in a number of different storage applications and end markets including recreational vehicles, marine vessel, solar and off-grid residence industries, with disruptive solid-state cell technology currently under development. Our goal is to develop technology to deliver environmentally impactful solutions for energy storage to everyone globally. We believe that the innovative design of our lithium-ion batteries is ideally suited for the demands of modern customers who rely on consumer electronics, connected devices and smart appliances that require continuous, reliable electricity, regardless of location.</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Since 2020, we have sold over 281,000 batteries. We currently offer a line of batteries across our “Battle Born” and “Dragonfly” brands, each differentiated by size, power and capacity, consisting of seven different models, four of which come with a heated option. We primarily sell “Battle Born” branded batteries directly to consumers and “Dragonfly” branded batteries to original equipment manufacturers.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currently source the lithium iron phosphate cells incorporated into our batteries from a limited number of carefully selected suppliers that can meet our demanding quality standards and with whom we have developed long-term relationships.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supplement our battery offerings, we also offer our line of proprietary Wakespeed alternator regulation products which are necessary to ensure that the alternator does not get unduly stressed during the current delivery to the batteries, and that the current delivery remains within the operating limits of the onboard battery bank. In addition to its own accessories, we are also a reseller of accessories for battery systems. These include chargers, inverters, monitors, controllers, solar panels and other system accessories from brands such as Victron Energy, Progressive Dynamics, REDARK, Rich Solar, and Sterling Power.</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In addition to our conventional lithium iron phosphate (“</w:t>
      </w:r>
      <w:r>
        <w:rPr>
          <w:rFonts w:ascii="Times New Roman" w:cs="Times New Roman" w:eastAsia="Times New Roman" w:hAnsi="Times New Roman"/>
          <w:sz w:val="18"/>
          <w:szCs w:val="18"/>
          <w:b w:val="1"/>
          <w:bCs w:val="1"/>
          <w:color w:val="auto"/>
        </w:rPr>
        <w:t>LFP</w:t>
      </w:r>
      <w:r>
        <w:rPr>
          <w:rFonts w:ascii="Times New Roman" w:cs="Times New Roman" w:eastAsia="Times New Roman" w:hAnsi="Times New Roman"/>
          <w:sz w:val="18"/>
          <w:szCs w:val="18"/>
          <w:color w:val="auto"/>
        </w:rPr>
        <w:t>”) batteries, we are currently developing the next generation of LFP solid-state cells. Since our founding, we have been developing proprietary battery cell manufacturing processes and solid-state battery cell technology for which we have issued patents and pending patent applications, where appropriate. Solid-state lithium-ion technology eliminates the use of a liquid electrolyte, which addresses the residual heat and flammability issues arising from lithium-ion batteries.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unique competitive advantage of our cell manufacturing process is highlighted by our dry deposition technology, which completely displaces the need for toxic solvents in the manufacturing process and allows for the rapid and scalable production of chemistry-agnostic cells. Additionally, our internal production of battery cells will streamline our supply chain, allowing us to vertically integrate our cells into our batteries, thereby lowering our production costs. In October 2023, we announced the successful dry deposition of anode and cathode electrodes at scale using our patented battery manufacturing process. We expect to begin producing LFP cells in the United States by the end of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Business Combination</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7, 2022, Chardan NexTech 2 Acquisition Corp., a Delaware company (“</w:t>
      </w:r>
      <w:r>
        <w:rPr>
          <w:rFonts w:ascii="Times New Roman" w:cs="Times New Roman" w:eastAsia="Times New Roman" w:hAnsi="Times New Roman"/>
          <w:sz w:val="18"/>
          <w:szCs w:val="18"/>
          <w:b w:val="1"/>
          <w:bCs w:val="1"/>
          <w:color w:val="auto"/>
        </w:rPr>
        <w:t>CNTQ</w:t>
      </w:r>
      <w:r>
        <w:rPr>
          <w:rFonts w:ascii="Times New Roman" w:cs="Times New Roman" w:eastAsia="Times New Roman" w:hAnsi="Times New Roman"/>
          <w:sz w:val="18"/>
          <w:szCs w:val="18"/>
          <w:color w:val="auto"/>
        </w:rPr>
        <w:t>”), and Dragonfly Energy Corp., a Nevada corporation (“</w:t>
      </w:r>
      <w:r>
        <w:rPr>
          <w:rFonts w:ascii="Times New Roman" w:cs="Times New Roman" w:eastAsia="Times New Roman" w:hAnsi="Times New Roman"/>
          <w:sz w:val="18"/>
          <w:szCs w:val="18"/>
          <w:b w:val="1"/>
          <w:bCs w:val="1"/>
          <w:color w:val="auto"/>
        </w:rPr>
        <w:t>Legacy Dragonfly</w:t>
      </w:r>
      <w:r>
        <w:rPr>
          <w:rFonts w:ascii="Times New Roman" w:cs="Times New Roman" w:eastAsia="Times New Roman" w:hAnsi="Times New Roman"/>
          <w:sz w:val="18"/>
          <w:szCs w:val="18"/>
          <w:color w:val="auto"/>
        </w:rPr>
        <w:t>”) consummated the merger pursuant to the Agreement and Plan of Merger, dated as of May 15, 2022 (as amended, the “</w:t>
      </w:r>
      <w:r>
        <w:rPr>
          <w:rFonts w:ascii="Times New Roman" w:cs="Times New Roman" w:eastAsia="Times New Roman" w:hAnsi="Times New Roman"/>
          <w:sz w:val="18"/>
          <w:szCs w:val="18"/>
          <w:b w:val="1"/>
          <w:b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Combination Agreement</w:t>
      </w:r>
      <w:r>
        <w:rPr>
          <w:rFonts w:ascii="Times New Roman" w:cs="Times New Roman" w:eastAsia="Times New Roman" w:hAnsi="Times New Roman"/>
          <w:sz w:val="18"/>
          <w:szCs w:val="18"/>
          <w:color w:val="auto"/>
        </w:rPr>
        <w:t>”), by and among CNTQ, Bronco Merger Sub, Inc., a Delaware corporation and wholly-owned subsidiary of CNTQ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and Legacy Dragonfly. Pursuant to the Business Combination Agreement, Merger Sub merged with and into Legacy Dragonfly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together with the other transactions contemplated by the Business Combination Agreement, the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with Legacy Dragonfly continuing as the surviving corporation in the Merger and as our wholly owned subsidiary. In connection with the Business Combination, we changed our name from “Chardan NexTech Acquisition 2 Corp.” to “Dragonfly Energy Holdings Corp.” Following the Business Combination, our business is the business of Legacy Dragonfly.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as modified by the Jumpstart Our Business Startups Act of 2012 (the “</w:t>
      </w:r>
      <w:r>
        <w:rPr>
          <w:rFonts w:ascii="Times New Roman" w:cs="Times New Roman" w:eastAsia="Times New Roman" w:hAnsi="Times New Roman"/>
          <w:sz w:val="18"/>
          <w:szCs w:val="18"/>
          <w:b w:val="1"/>
          <w:bCs w:val="1"/>
          <w:color w:val="auto"/>
        </w:rPr>
        <w:t>JOBS Act</w:t>
      </w:r>
      <w:r>
        <w:rPr>
          <w:rFonts w:ascii="Times New Roman" w:cs="Times New Roman" w:eastAsia="Times New Roman" w:hAnsi="Times New Roman"/>
          <w:sz w:val="18"/>
          <w:szCs w:val="18"/>
          <w:color w:val="auto"/>
        </w:rPr>
        <w: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(the “</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until the earlier of: (1) the last day of the fiscal year (a) ending December 31, 2026, (b) in which we have total annual gross revenue of at least $1.235 billion, or (c) in which we are deemed to be a large accelerated filer, which means the market value of our common stock that is held by non-affiliates exceeds $700 million as of the end of the prior fiscal year’s second fiscal quarter; and (2) the date on which we have issued more than $1.0 billion in non-convertible debt during the prior three-year period. References herein to “emerging growth company” shall have the meaning associated with it in the JOBS 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Smaller Reporting Company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prior June 30, or (ii) our annual revenues exceeded $100 million during such completed fiscal year and the market value of our common stock held by non-affiliates exceeds $700 million as of the prior June 30.</w:t>
      </w:r>
    </w:p>
    <w:p>
      <w:pPr>
        <w:sectPr>
          <w:pgSz w:w="11900" w:h="16838" w:orient="portrait"/>
          <w:cols w:equalWidth="0" w:num="1">
            <w:col w:w="11240"/>
          </w:cols>
          <w:pgMar w:left="320" w:top="684" w:right="339" w:bottom="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address is 1190 Trademark Dr. #108, Reno, Nevada 89521, and our telephone number is (775) 622-3448. Our corporate website is: www.dragonflyenergy.com. The content of our website shall not be deemed incorporated by reference in this prospectus and you should not consider such information as part of this prospectus.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Investing in our securities involves significant risks. Before making an investment decision, you should carefully consider the risks and other information we include or incorporate by reference in this prospectus and any prospectus supplement. In particular, you should consider the risk factors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included in our most recent Annual Report on Form 10-K, as may be revised or supplemented by our subsequent Quarterly Reports on Form 10-Q or Current Reports on Form 8-K, each of which are on file with the SEC and are incorporated herein by reference, and which may be amended, supplemented or superseded from time to time by other reports we file with the SEC in the future. The risks and uncertainties we have described are not the only ones facing our company. Additional risks and uncertainties not currently known to us may also affect our business operations. Additional risk factors may be included in a prospectus supplement relating to a particular offering of securities. Our business, financial condition or results of operations could be materially adversely affected by any of these risks. The trading price of our securities could decline due to any of these risks, and you may lose all or part of your investment. This prospectus is qualified in its entirety by these risk factors.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prospectus, including the documents that we incorporate by reference, contains forward-looking statements as that term is defined in the federal securities laws. The events described in forward-looking statements contained in this prospectus, including the documents that we incorporate by reference, may not occur. Generally, these statements relate to our business plans or strategies, projected or anticipated benefits or other consequences of our plans or strategies, financing plans, projected or anticipated benefits from acquisitions that we may make, or projections involving anticipated revenues, earnings or other aspects of our operating results or financial position, and the outcome of any contingencies. Any such forward-looking statements are based on current expectations, estimates and projections of management. We intend for these forward-looking statements to be covered by the safe-harbor provisions for forward-looking statements. Words such as “may,” “expect,” “believe,” “anticipate,” “project,” “plan,” “intend,” “estimate,” and “continue,” and their opposites and similar expressions are intended to identify forward-looking statements. We caution you that these statements are not guarantees of future performance or events and are subject to a number of uncertainties, risks and other influences, many of which are beyond our control that may influence the accuracy of the statements and the projections upon which the statements are based. Factors that may affect our results include, but are not limited to, the risks and uncertainties discussed in the “Risk Factors” section on page 3 of this prospectus, in our Annual Report on Form 10-K for the fiscal year ended December 31, 2022 or in other reports we file with the SEC.</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one or more of these uncertainties, risks and other influences could materially affect our results of operations and whether forward-looking statements made by us ultimately prove to be accurate. Our actual results, performance and achievements could differ materially from those expressed or implied in these forward-looking statements. We undertake no obligation to publicly update or revise any forward-looking statements, whether from new information, future events or otherwise.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You should rely only on the information in this prospectus. We have not authorized any other person to provide you with different information. If anyone provides you with different or inconsistent information, you should not rely upon it.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Unless we inform you otherwise in the prospectus supplement relating to a particular offering of securities, we will use the net proceeds from the sale of the securities offered by this prospectus and the exercise price from the exercise of any convertible securities, if any, for the repayment of all or a portion of our outstanding debt and for working capital and other general corporate purposes, which may include funding acquisitions or investments in businesses, products or technologies that are complementary to our own.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When particular securities are offered, the prospectus supplement relating to that offering will set forth our intended use of the net proceeds received from the sale of those securities we sell. Pending the application of the net proceeds for these purposes, we expect to invest the proceeds in short-term, interest-bearing instruments or other investment-grade securities.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WE MAY OFFER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descriptions of the securities contained in this prospectus, together with the applicable prospectus supplements, summarize all of the material terms and provisions of the various types of securities that we may offer. We will describe in the applicable prospectus supplement relating to any securities the particular terms of the securities offered by that prospectus supplement. If we indicate in the applicable prospectus supplement, the terms of the securities may differ from the terms we have summarized below. We may also include in the prospectus supplement information about material United States federal income tax considerations relating to the securities, and the securities exchange, if any, on which the securities will be listed.</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may sell from time to time, in one or more offerings:</w:t>
      </w:r>
    </w:p>
    <w:p>
      <w:pPr>
        <w:spacing w:after="0" w:line="225"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shares of common stock or preferred stock;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rights to purchase shares of common stock, preferred stock or debt securities;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units consisting of any combination of the securities listed above.</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this prospectus, we refer to the common stock, preferred stock, warrants, debt securities, subscription rights and units collectively as “securities.” The total dollar amount of all securities that we may sell pursuant to this prospectus will not exceed $150,000,000.</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issue debt securities at a discount from their original stated principal amount, then, for purposes of calculating the total dollar amount of all securities issued under this prospectus, we will treat the initial offering price of the debt securities as the total original principal amount of the debt securities.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prospectus may not be used to consummate a sale of securities unless it is accompanied by a prospectus supplement.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summary of the material terms of our securities is not intended to be a complete summary of the rights and preferences of such securities. You are encouraged to read the applicable provisions of the Nevada Revised Statutes, as amended (“</w:t>
      </w:r>
      <w:r>
        <w:rPr>
          <w:rFonts w:ascii="Times New Roman" w:cs="Times New Roman" w:eastAsia="Times New Roman" w:hAnsi="Times New Roman"/>
          <w:sz w:val="18"/>
          <w:szCs w:val="18"/>
          <w:b w:val="1"/>
          <w:bCs w:val="1"/>
          <w:color w:val="auto"/>
        </w:rPr>
        <w:t>NRS</w:t>
      </w:r>
      <w:r>
        <w:rPr>
          <w:rFonts w:ascii="Times New Roman" w:cs="Times New Roman" w:eastAsia="Times New Roman" w:hAnsi="Times New Roman"/>
          <w:sz w:val="18"/>
          <w:szCs w:val="18"/>
          <w:color w:val="auto"/>
        </w:rPr>
        <w:t>”), our Articles of Incorporation and our Bylaws in their entirety for a complete description of the rights and preferences of our securities. Copies of our Articles of Incorporation and Bylaws are filed as exhibits to our Annual Report on Form 10-K for the year ended December 31, 2022, filed with the SEC on April 17, 2023, as amended on May 1, 2023, and forms of securities, copies of which are filed as exhibits to the registration statement of which this prospectus forms a part, which are incorporated by reference herein.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Capitalization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175,000,000 shares of capital stock authorized under our Articles of Incorporation, which consists of 170,000,000 shares of common stock with a par value of $0.0001 per share and 5,000,000 shares of preferred stock with par value $0.0001 per share.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November 9, 2023 there were 59,550,812 shares of common stock outstanding and no shares of preferred stock outstanding.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Holders of our common stock are entitled to such dividends as may be declared by our board of directors out of funds legally available for such purposes. Holders of our common stock are entitled to receive proportionately any dividends as may be declared by our board, subject to any preferential dividend rights of any series of preferred stock that we may designate and issue in the future. The shares of common stock are neither redeemable nor convertible. Holders of common stock have no preemptive or subscription rights to purchase any of our securities. The rights, preferences and privileges of holders of our common stock are subject to and may be adversely affected by the rights of the holders of shares of any series of preferred stock that we may designate and issue in the future. Each holder of our common stock is entitled to one vote for each such share outstanding in the holder’s name. No holder of common stock is entitled to cumulate votes in voting for directors.</w:t>
      </w:r>
    </w:p>
    <w:p>
      <w:pPr>
        <w:spacing w:after="0" w:line="18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the event of our liquidation, dissolution or winding up, the holders of our common stock are entitled to receive a pro rata share of our assets, which are legally available for distribution, after payments of all debts and other liabilities. All of the outstanding shares of our common stock are fully paid and non-assessable.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Redeemable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On October 7, 2022, we issued public warrants to purchase 9,487,500 shares of our common stock (the “</w:t>
      </w:r>
      <w:r>
        <w:rPr>
          <w:rFonts w:ascii="Times New Roman" w:cs="Times New Roman" w:eastAsia="Times New Roman" w:hAnsi="Times New Roman"/>
          <w:sz w:val="18"/>
          <w:szCs w:val="18"/>
          <w:b w:val="1"/>
          <w:bCs w:val="1"/>
          <w:color w:val="auto"/>
        </w:rPr>
        <w:t>Public Warrants</w:t>
      </w:r>
      <w:r>
        <w:rPr>
          <w:rFonts w:ascii="Times New Roman" w:cs="Times New Roman" w:eastAsia="Times New Roman" w:hAnsi="Times New Roman"/>
          <w:sz w:val="18"/>
          <w:szCs w:val="18"/>
          <w:color w:val="auto"/>
        </w:rPr>
        <w:t>”). Each whole redeemable Public Warrant entitles the registered holder to purchase one share of common stock at a price of $11.50 per share, subject to adjustment as described below. The Public Warrants will expire on October 7, 2027 at 5:00 p.m., New York City time, or earlier upon redemption or liquidation. The Public Warrants are exercisable, at the option of each holder, in whole or in part by delivering to us and the warrant agent a duly executed exercise notice accompanied by payment in full for the number of common stock purchased upon such exercise. As of November 9, 2023, Public Warrants to purchase up to 9,422,905 shares of our common stock were issued and outstanding.</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exercise price for the Public Warrants is subject to adjustment for stock splits or combinations, stock dividends and distributions, reclassifications, subdivisions, and other similar transactions. Pursuant to the Warrant Agreement (as defined below), a Public Warrant holder may exercise its warrants only for a whole number of shares of common stock. No fractional shares will be issued in connection with the exercise of a Public Warrant. In lieu of fractional shares, we will, upon exercise, round down to the nearest whole number of shares of common stock to be issued to the Public Warrant holder.</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 registration statement registering under the Securities Act the issuance of the shares of common stock underlying the Public Warrants is not effective or available, the holder may, in its sole discretion, elect to exercise the Public Warrants for cash or on a cashless basis, and we will not be obligated to issue any shares to registered holders seeking to exercise their Public Warrants, unless the issuance of the shares upon such exercise is registered or qualified under the securities laws of the state of the exercising registered holder, or an exemption from registration or qualification is available.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We may call the Public Warrants for redemption in accordance with the terms summarized below:</w:t>
      </w:r>
    </w:p>
    <w:p>
      <w:pPr>
        <w:spacing w:after="0" w:line="225"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Public Warrant;</w:t>
      </w:r>
    </w:p>
    <w:p>
      <w:pPr>
        <w:spacing w:after="0" w:line="2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(the “</w:t>
      </w:r>
      <w:r>
        <w:rPr>
          <w:rFonts w:ascii="Times New Roman" w:cs="Times New Roman" w:eastAsia="Times New Roman" w:hAnsi="Times New Roman"/>
          <w:sz w:val="18"/>
          <w:szCs w:val="18"/>
          <w:b w:val="1"/>
          <w:bCs w:val="1"/>
          <w:color w:val="auto"/>
        </w:rPr>
        <w:t>30-day redemption period</w:t>
      </w:r>
      <w:r>
        <w:rPr>
          <w:rFonts w:ascii="Times New Roman" w:cs="Times New Roman" w:eastAsia="Times New Roman" w:hAnsi="Times New Roman"/>
          <w:sz w:val="18"/>
          <w:szCs w:val="18"/>
          <w:color w:val="auto"/>
        </w:rPr>
        <w:t>”) to each warrant holder;</w:t>
      </w:r>
    </w:p>
    <w:p>
      <w:pPr>
        <w:spacing w:after="0" w:line="229"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last sales price of our common stock equals or exceeds $16.00 per share for any ten (10) trading days within a 30-trading day period ending three business days before we send the notice of redemption;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offer and sale of the shares of common stock underlying such Public Warrants at the time of redemption and for the entire 30-trading day period referred to above and continuing each day thereafter until the date of redemption.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not exercise our redemption right if the issuance of shares of common stock upon exercise of the Public Warrants (i) is not exempt from registration or qualification under applicable state blue sky laws – we will use our best efforts to register or qualify such shares or (ii) we are unable to effect such registration or qualification. However, there may be instances in which registered holders of our public warrants may be unable to exercise such public warrants but registered holders of our Private Warrants, described below, may be able to exercise such Private Warrants.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event that we elect to redeem all of the Public Warrants, we will fix a date for the redemption, and a notice of redemption will then be mailed by first class mail, postage prepaid, not less than 30 days prior to the date fixed for redemption to the registered holders of the warrants to be redeemed at their last addresses as they appear on the registration books. Any notice mailed in the foregoing manner will be conclusively presumed to have been duly given whether or not the registered holder received such notice. Additionally, while we are required to provide such notice of redemption, we are not separately required to, and do not currently intend to, notify any holders of when the warrants become eligible for redemption.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holder of a Public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9.99% (or such other amount as a holder may specify) of the shares of common stock outstanding immediately after giving effect to such exercise.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Public Warrants have certain anti-dilution and adjustment rights upon certain events.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Public Warrants are issued in registered form under the warrant agreement between American Stock Transfer &amp; Trust Company, LLC, as warrant agent, and us (the “</w:t>
      </w:r>
      <w:r>
        <w:rPr>
          <w:rFonts w:ascii="Times New Roman" w:cs="Times New Roman" w:eastAsia="Times New Roman" w:hAnsi="Times New Roman"/>
          <w:sz w:val="18"/>
          <w:szCs w:val="18"/>
          <w:b w:val="1"/>
          <w:bCs w:val="1"/>
          <w:color w:val="auto"/>
        </w:rPr>
        <w:t>Warrant Agreement</w:t>
      </w:r>
      <w:r>
        <w:rPr>
          <w:rFonts w:ascii="Times New Roman" w:cs="Times New Roman" w:eastAsia="Times New Roman" w:hAnsi="Times New Roman"/>
          <w:sz w:val="18"/>
          <w:szCs w:val="18"/>
          <w:color w:val="auto"/>
        </w:rPr>
        <w:t>”). The Warrant Agreement provides that the terms of the Public Warrants may be amended without the consent of any holder to cure any ambiguity or correct any defective provision, but requires the approval by the holders of at least a majority of the then issued and outstanding Public Warrants to make any change that adversely affects the interests of the registered holders of Public Warrants.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Public Warrants may be exercised only for a whole number of shares of common stock. No fractional shares will be issued upon exercise of the Public Warrants. If, upon exercise of the warrants, a holder would be entitled to receive a fractional interest in a share, we will, upon exercise, round down to the nearest whole number of shares of common stock to be issued to the warrant holder.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Warrants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October 7, 2022, we issued warrants to purchase 4,627,858 shares of our common stock (the “</w:t>
      </w:r>
      <w:r>
        <w:rPr>
          <w:rFonts w:ascii="Times New Roman" w:cs="Times New Roman" w:eastAsia="Times New Roman" w:hAnsi="Times New Roman"/>
          <w:sz w:val="18"/>
          <w:szCs w:val="18"/>
          <w:b w:val="1"/>
          <w:bCs w:val="1"/>
          <w:color w:val="auto"/>
        </w:rPr>
        <w:t>Private Warrants</w:t>
      </w:r>
      <w:r>
        <w:rPr>
          <w:rFonts w:ascii="Times New Roman" w:cs="Times New Roman" w:eastAsia="Times New Roman" w:hAnsi="Times New Roman"/>
          <w:sz w:val="18"/>
          <w:szCs w:val="18"/>
          <w:color w:val="auto"/>
        </w:rPr>
        <w:t>”) to an affiliate of Chardan NexTech Investments 2 LLC (the “</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in a private placement. The Private Warrants (including the common stock issuable upon their exercise of the Private Warrants) are not redeemable by us so long as they are held by Sponsor or its permitted transferees. Sponsor, or its permitted transferees, have the option to exercise the Private Warrants on a cashless basis. Except as described below, the Private Warrants have terms and provisions that are identical to those of the Public Warrants, including as to exercise price, exercisability and exercise period. If the Private Warrants are held by holders other than Sponsor or its permitted transferees, the Private Warrants will be redeemable by us and exercisable by the holders on the same basis as the Public Warrants. As of November 9, 2023, Private Warrants to purchase up to 1,501,386 shares of our common stock were issued and outstanding.</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9" w:name="page40"/>
    <w:bookmarkEnd w:id="39"/>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holders of the Private Warrants elect to exercise them on a cashless basis, they would pay the exercise price by surrendering their Private Warrants for that number of shares of common stock equal to the quotient obtained by dividing (x) the product of the number of shares of common stock underlying the Private Warrants, multiplied by the difference between the exercise price of the Private Warrant warrants and the “fair market value” (defined below) by (y) the fair market value. The “fair market value” shall mean the volume weighted average last reported sale price of the common stock for the 10 trading days ending on the third trading day prior to the date on which the notice of warrant exercise is sent to the warrant agent.</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Holders of our Private Warrants are entitled to certain registration rights. The Private Warrants purchased by Sponsor will not be exercisable on or after August 10, 2026, in accordance with the Financial Industry Regulatory Authority, Inc. (“</w:t>
      </w:r>
      <w:r>
        <w:rPr>
          <w:rFonts w:ascii="Times New Roman" w:cs="Times New Roman" w:eastAsia="Times New Roman" w:hAnsi="Times New Roman"/>
          <w:sz w:val="18"/>
          <w:szCs w:val="18"/>
          <w:b w:val="1"/>
          <w:bCs w:val="1"/>
          <w:color w:val="auto"/>
        </w:rPr>
        <w:t>FINRA</w:t>
      </w:r>
      <w:r>
        <w:rPr>
          <w:rFonts w:ascii="Times New Roman" w:cs="Times New Roman" w:eastAsia="Times New Roman" w:hAnsi="Times New Roman"/>
          <w:sz w:val="18"/>
          <w:szCs w:val="18"/>
          <w:color w:val="auto"/>
        </w:rPr>
        <w:t>”) Rule 5110(g), as long as Sponsor or any of its related persons beneficially own the Private Warrants.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Penny Warrants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October 7, 2022, we issued warrants to purchase 2,593,056 shares of our common stock at an exercise price of $0.01 per share (the “</w:t>
      </w:r>
      <w:r>
        <w:rPr>
          <w:rFonts w:ascii="Times New Roman" w:cs="Times New Roman" w:eastAsia="Times New Roman" w:hAnsi="Times New Roman"/>
          <w:sz w:val="18"/>
          <w:szCs w:val="18"/>
          <w:b w:val="1"/>
          <w:bCs w:val="1"/>
          <w:color w:val="auto"/>
        </w:rPr>
        <w:t>Penny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The Penny Warrants have an exercise period of 10 years from the date of issuance. The Penny Warrants have specified weighted average anti-dilution protection against subsequent equity sales or distributions at below $10 per share, subject to customary exclusions including for issuances upon conversion exercise or exchange of securities outstanding as of October 7, 2022, issuances pursuant to agreements in effect as of October 7, 2022 (provided such issuances are taken into account in the calculation of “on a fully diluted basis” as provided above), issuances pursuant to employee benefit plans and similar arrangements, issuances in joint ventures, strategic arrangements or other non-financing type transactions, issuances in debt financings as equity kickers, issuances in public offerings and similar transactions. In addition, no anti-dilution adjustment will be made with respect to issuances of common stock pursuant to our $150 million equity facility with Chardan Capital Markets LLC (or replacement thereof) sold at a per share price above $5.00. The shares issued and issuable upon exercise of the Penny Warrants have customary registration rights requiring us to file and keep effective a resale registration statement registering the resale of the shares of common stock underlying the Penny Warrants.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November 9, 2023, Penny Warrants to purchase up to 597,834 shares of our common stock were issued and outstanding.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 Warrants</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On June 22, 2023, we issued warrants to purchase 11,405,000 shares of our common stock at an exercise price of $2.00 per share (the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in an underwritten public offering (the “</w:t>
      </w:r>
      <w:r>
        <w:rPr>
          <w:rFonts w:ascii="Times New Roman" w:cs="Times New Roman" w:eastAsia="Times New Roman" w:hAnsi="Times New Roman"/>
          <w:sz w:val="18"/>
          <w:szCs w:val="18"/>
          <w:b w:val="1"/>
          <w:bCs w:val="1"/>
          <w:color w:val="auto"/>
        </w:rPr>
        <w:t>June 2023 Offering</w:t>
      </w:r>
      <w:r>
        <w:rPr>
          <w:rFonts w:ascii="Times New Roman" w:cs="Times New Roman" w:eastAsia="Times New Roman" w:hAnsi="Times New Roman"/>
          <w:sz w:val="18"/>
          <w:szCs w:val="18"/>
          <w:color w:val="auto"/>
        </w:rPr>
        <w:t>”). The Investor Warrants expire on June 22, 2028 and were immediately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exercisable upon issuable. In the event of certain fundamental transactions, holders of the Investor Warrants will have the right to receive the Black Scholes Value (as defined in the Investor Warrants) of their Investor Warrants calculated pursuant to the formula set forth in the Investor Warrants, payable either in cash or in the same type or form of consideration that is being offered and being paid to the holders of common stock.</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November 9, 2023, Investor Warrants to purchase up to 11,131,900 shares of our common stock were issued and outstanding.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Underwriters’ Warrants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The 570,250 underwriters’ warrants issued in connection with our June 2023 Offering (the “</w:t>
      </w:r>
      <w:r>
        <w:rPr>
          <w:rFonts w:ascii="Times New Roman" w:cs="Times New Roman" w:eastAsia="Times New Roman" w:hAnsi="Times New Roman"/>
          <w:sz w:val="18"/>
          <w:szCs w:val="18"/>
          <w:b w:val="1"/>
          <w:bCs w:val="1"/>
          <w:color w:val="auto"/>
        </w:rPr>
        <w:t>Underwriters’ Warrants</w:t>
      </w:r>
      <w:r>
        <w:rPr>
          <w:rFonts w:ascii="Times New Roman" w:cs="Times New Roman" w:eastAsia="Times New Roman" w:hAnsi="Times New Roman"/>
          <w:sz w:val="18"/>
          <w:szCs w:val="18"/>
          <w:color w:val="auto"/>
        </w:rPr>
        <w:t>”) were exercisable upon issuance and will expire on June 20, 2028. The initial exercise price of the Underwriters’ Warrants is $2.50 per share. The Underwriters’ Warrants have substantially the same rights as the Investor Warrants. As of November 9, 2023, Underwriters’ Warrants to purchase up to 570,250 shares of our common stock were issued and outstanding.</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not paid any cash dividends on our shares of common stock to date. The payment of cash dividends in the future will be dependent upon our revenues and earnings, if any, capital requirements and general financial condition. The payment of any dividends will be within the discretion of our then board of directors. It is the present intention of our board of directors to retain all earnings, if any, for use in our business operations and, accordingly, our board does not anticipate declaring any dividends in the foreseeable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Transfer Agent and Warrant Agent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 agent for our shares of common stock and warrant agent for our Public Warrants is Equiniti Trust Company, LLC.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Articles of Incorporation authorizes a total of 5,000,000 shares of preferred stock, par value $0.0001 per share.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terms of our Articles of Incorporation, our board of directors is authorized to issue shares of preferred stock in one or more series without stockholder approval. Our board of directors has the discretion to determine the terms, rights, preferences, privileges and restrictions, including voting rights, dividend rights, conversion rights, redemption privileges and liquidation preferences, of each series of preferred stock.</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We have no present plans to issue any shares of preferred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Choice of Forum Provisions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Articles of Incorporation, in Article XI, includes a mandatory forum provision that, to the fullest extent permitted by law, and unless we consent in writing, the Second Judicial District Court, in and for the State of Nevada, located in Washoe County, shall be the sole and exclusive forum for</w:t>
      </w:r>
    </w:p>
    <w:p>
      <w:pPr>
        <w:jc w:val="both"/>
        <w:ind w:firstLine="8"/>
        <w:spacing w:after="0" w:line="253" w:lineRule="auto"/>
        <w:tabs>
          <w:tab w:leader="none" w:pos="25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in the name or right of the Company or on our behalf, (b) any action asserting a claim for breach of any fiduciary duty owed by any of our current or former directors, officers, employees or stockholders to the Company or our stockholders, (c) any action arising or asserting a claim arising pursuant to any provision of NRS Chapters 78 or 92A or any provision of the Articles of Incorporation or Bylaws, (d) any action to interpret, apply, enforce or determine the validity of the Articles of Incorporation or Bylaws or (e) any action asserting a claim governed by the internal affairs doctrine.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These provisions would not apply to suits brought to enforce a duty or liability created by the Exchange Act, or any other claim for which the federal courts have exclusive jurisdiction. Any person or entity purchasing or otherwise acquiring or holding any interest in our securities shall be deemed to have notice of and consented to these provisions. Our exclusive forum provision will not relieve us of our duties to comply with the federal securities laws and the rules and regulations thereunder, and our shareholders will not be deemed to have waived our compliance with these laws, rules and regulations.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the Articles of Incorporation, the Bylaws and Nevada Law</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a Nevada corporation and are generally governed by the NRS. The following is a brief description of the provisions in our Articles of Incorporation, Bylaws and the NRS that could have an effect of delaying, deferring, or preventing a change in control of the Company.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provisions of the NRS, our Articles of Incorporation, and Bylaws could have the effect of discouraging others from attempting hostile takeovers and, as a consequence, they may also inhibit temporary fluctuations in the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Combinations with Interested Stockholders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“combinations with interested stockholders” provisions of Sections 78.411 to 78.444, inclusive, prohibit a Nevada corporation with at least 200 stockholders of record from engaging in various business “combinations” with any person deemed to be an “interested stockholder” for a period of two years after the date that the person first become an interested stockholder, unless the business combination or the transaction by which the person first became an interested stockholder is approved by the corporation’s board of directors before the person first became an interested stockholder, or the business combination is approved by the board of directors and thereafter is approved at a meeting of the corporation’s stockholders by the affirmative vote of at least 60% of the outstanding voting power of the corporation not beneficially owned by the interested stockholder, its affiliates, and associates.</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Following the expiration of the two-year period, the corporation is prohibited from engaging in business “combinations” with the interested stockholder, unless: (i) the business combination or the transaction by which the person first became an interested stockholder is approved by the corporation’s board of directors before the person first became an interested stockholder; (ii) the business combination is approved by a majority of the outstanding voting power of the corporation held by disinterested stockholders; or (iii) the aggregate amount of the consideration to be received in the business combination by all of the holders of outstanding common shares of the corporation not beneficially owned by the interested stockholder is at least equal to the higher of: (a) the highest price per share paid by the interested stockholder, at a time when the interested stockholder was the beneficial owner, directly or indirectly, of 5 percent or more of the outstanding voting shares of the corporation, for any common shares of the same class or series acquired by the interested stockholder within two years immediately before the date of announcement with respect to the combination or within two years immediately before, or in, the transaction in which the person became an interested stockholder, whichever is higher, plus, in either case, interest compounded annually from the earliest date on which the highest price per share was paid through the date of consummation at the rate for one-year obligations of the United States Treasury in effect on that earliest date, less the aggregate amount of any dividends paid in cash and the market value of any dividends paid other than in cash, per common share since that earliest date, and (b) the market value per common share on the date of the announcement of the business combination or on the date that the person first became an interested stockholder, whichever is higher, plus interest compounded annually from that date through the date of consummation at the rate for one-year obligations of the United States Treasury in effect on that date, less the aggregate amount of any dividends paid in cash and the market value of any dividends paid other than in cash, per common share since that date.</w:t>
      </w:r>
    </w:p>
    <w:p>
      <w:pPr>
        <w:spacing w:after="0" w:line="19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general, an “interested stockholder” is any person who is (i) the direct or indirect beneficial owner of 10% or more of the voting power of the outstanding voting shares of the corporation, or (ii) an affiliate or associate of the corporation and at any time within two years immediately before the date in question was the direct or indirect beneficial owner of 10% or more of the voting power of the then outstanding shares of the corporation.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Companies are entitled to opt out of the business combination provisions of the NRS. In our Articles of Incorporation, we have not opted out of the business combination provisions of NRS 78.411 to 78.444, inclusive.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Controlling Interests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Nevada law also protects the corporation and its stockholders from persons acquiring a “controlling interest” in a corporation. The provisions can be found in NRS 78.378 to 78.3793, inclusive.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2" w:name="page43"/>
    <w:bookmarkEnd w:id="42"/>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restriction on acquisition of a controlling interest applies to corporations which have 200 or more stockholders of record (at least 100 of whom have had addresses in Nevada at all times during the 90 days immediately preceding the date of the acquisition) and conducts business in Nevada, unless the charter or bylaws of the corporation in effect on the tenth day after the acquisition of a controlling interest provide otherwise. NRS 78.3785 provides that a “controlling interest” means the ownership of outstanding voting shares of an issuing corporation sufficient to enable the acquiring person, individually or in association with others, directly or indirectly, to exercise (i) one fifth or more but less than one third, (ii) one third or more but less than a majority, or (iii) a majority or more of the voting power of the issuing corporation in the election of directors. Once an acquirer crosses one of these thresholds by acquiring a controlling interest in the corporation, the shares which the acquirer acquired in the transaction taking it over the threshold and within the 90 days immediately preceding the date when the acquiring person acquired or offered to acquire a controlling interest in the corporation become “control shares.” Pursuant to NRS 78.379, any person who acquires a controlling interest in a corporation may not exercise voting rights on any control shares unless such voting rights are conferred by a majority vote of the disinterested stockholders of the issuing corporation at an annual meeting or a special meeting of such stockholders held upon the request and at the expense of the acquiring person, or, if the acquisition would adversely alter or change any preference or any relative or other right given to any other class or series of outstanding shares, the holders of a majority of each class or series affected. In the event that the control shares are accorded full voting rights and the acquiring person acquires control shares with a majority or more of all the voting power, any stockholder, other than the acquiring person, who does not vote in favor of authorizing voting rights for the control shares is entitled to demand payment for the fair value of such person’s shares, and, provided that the proper procedure is adhered to, the corporation must comply with the demand.</w:t>
      </w:r>
    </w:p>
    <w:p>
      <w:pPr>
        <w:spacing w:after="0" w:line="19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NRS 78.378(1) provides that the control share statutes of the NRS do not apply to any acquisition of a controlling interest in an issuing corporation if the charter or bylaws of the corporation in effect on the 10th day following the acquisition of a controlling interest by the acquiring person provide that the provisions of those sections do not apply to the corporation or to an acquisition of a controlling interest specifically by types of existing or future stockholders, whether or not identified. NRS 78.378(2) provides that the corporation may impose stricter requirements if it so desires. We have not opted out of the control share statutes, and will be subject to these statutes if we are an “issuing corporation” as defined in such statutes.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effect of the Nevada control share statutes is that the acquiring person, and those acting in association with the acquiring person, will obtain only such voting rights in the control shares as are conferred by a resolution of the stockholders at an annual or special meeting. The Nevada control share law, if applicable, could have the effect of discouraging takeovers of our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Shares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78.207 of the NRS provides that without any action by our shareholders, we may increase or decrease the number of authorized shares in a class or series of our shares and correspondingly effect a forward or reverse split of any class or series of the our shares (and change the par value thereof), so long as the action taken does not adversely change or alter any right or preference of our shareholders and does not include any provision or provisions pursuant to which only money will be paid or scrip issued to stockholders who hold 10% or more of the outstanding shares of the affected class and series, and who would otherwise be entitled to receive fractions of shares in exchange for the cancellation of all of their outstanding shares. Common stock and Series A Preferred Stock have been established, and our board has authority to establish more than one series of preferred stock, and the different series shall have such relative rights and preferences, with such designations, as our board may by resolution provide. Issuance of such a new series could, depending upon the terms of the series, delay, defer, or prevent a change of control of our Company.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 by Written Consent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Section 78.320 of the NRS,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the charter provides otherwise. Our Articles of Incorporation preclude stockholder action by written consent.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Number of Directors; Vacancies; Removal</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Bylaws provide that our board may fix the number of directors at no less than one. Any vacancy on our board may be filled by the affirmative vote of a majority of the remaining directors though less than a quorum of our board. A director elected to fill a vacancy shall be elected for the unexpired term of his predecessor in office, and shall hold such office until his successor is duly elected and qualified. Any directorship to be filled by reason of an increase in the number of directors shall be filled by the affirmative vote of a majority of the directors then in office, even if less than a quorum. A director chosen to fill a position resulting from an increase in the number of directors shall hold office for a term that coincides with the remaining term of that class of director.</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NRS requires the vote of the holders of at least two-thirds of the shares or class or series of shares of the issued and outstanding stock entitled to vote at an election of directors in order to remove a director or all of the directors. Furthermore, the NRS does not make a distinction between removals for cause and removals without cause. The articles of incorporation may provide for a higher voting threshold but not a lower one.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Bylaws provide that any director or directors of the corporation, except those elected by the holders of any series or class of preferred stock provided for or fixed pursuant to the provisions of Article V of the Articles of Incorporation, may be removed from office at any time, but only for cause, by the vote or written consent of stockholders representing not less than 66 2/3% of the voting power of all of the then outstanding shares of stock entitled to vote in the election of directors, voting together as a single class.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 Notice Requirements for Stockholder Proposals and Director Nominations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Bylaws contain advance notice provisions that a stockholder must follow if it intends to bring business proposals or director nominations, as applicable, before a meeting of stockholders. These provisions may preclude our stockholders from bringing matters before the annual meeting of stockholders or from making nominations at the annual meeting of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 for Amendment of Articles of Incorporation and Bylaws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Articles of Incorporation further provides that the affirmative vote of holders of at least 66 2∕3% of the voting power of all of the then outstanding shares of stock entitled to vote in the election of directors, voting as a single class, is required to amend or repeal certain provisions of our Articles of Incorporation, including provisions relating to the size of the board, removal of directors, special meetings and actions by written consent. The affirmative vote of holders of at least 66 2/3% of the voting power of all of the then outstanding shares of stock entitled to vote in the election of directors, voting as a single class, is required to adopt, amend, alter or repeal our Bylaws, although our Bylaws may be adopted, amended, altered or repealed by a majority vote of the board of directors, assuming no vacancies.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common stock is currently listed on Nasdaq under the symbol “DFLI” and our Public Warrants are currently listed on the Nasdaq Capital Market under the symbol “DFLIW”.</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prospectus describes certain general terms and provisions of debt securities that we may offer. The debt securities may be issued pursuant to, in the case of senior debt securities, a senior indenture, and in the case of subordinated debt securities, a subordinated indenture, in each case in the forms filed as exhibits to this registration statement, which we refer to as the “indentures.” The indentures will be entered into between us and a trustee to be named prior to the issuance of any debt securities, which we refer to as the “trustee.” The indentures will not limit the amount of debt securities that can be issued thereunder and will provide that the debt securities may be issued from time to time in one or more series pursuant to the terms of one or more securities resolutions or supplemental indentures creating such series.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summarized below the material provisions of the indentures and the debt securities or indicated which material provisions will be described in the related prospectus supplement for any offering of debt securities. These descriptions are only summaries, and you should refer to the relevant indenture for the particular offering of debt securities itself which will describe completely the terms and definitions of the offered debt securities and contain additional information about the debt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When we offer to sell a particular series of debt securities, we will describe the specific terms of the securities in a prospectus supplement. The prospectus supplement will set forth the following terms, as applicable, of the debt securities offered thereby:</w:t>
      </w:r>
    </w:p>
    <w:p>
      <w:pPr>
        <w:spacing w:after="0" w:line="162" w:lineRule="exact"/>
        <w:rPr>
          <w:sz w:val="20"/>
          <w:szCs w:val="20"/>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aggregate principal amount, currency or composite currency and denominations;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such debt securities will be issued and, if an index formula or other method is used, the method for determining amounts of principal or interest;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and other dates, if any, on which principal will be payable;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debt securities will be secured or unsecured, and the terms of any secured debt;</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rank as senior debt, senior subordinated debt, subordinated debt or any combination thereof, and the terms of any subordination;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(which may be fixed or variable), if 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interest will accrue and on which interest will be payable, and the record dates for the payment of interest;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of paying principal and interest;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and interest will be payable;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mandatory or optional redemption by us or any third party including any sinking fund;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conversion or exchange;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redemption at the option of holders or put by the holders;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indemnity provisions;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provide that payments of principal or interest may be made in a currency other than that in which the debt securities are denominated, the manner for determining such payments;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principal payable upon acceleration of a Discounted Debt Security (as defined below);</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upon what terms debt securities may be defeased;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of default or covenants in addition to or in lieu of those set forth in the indentures;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electronic issuance of debt securities or for the issuance of debt securities in uncertificated form; and</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provisions or other special terms not inconsistent with the provisions of the indentures, including any terms that may be required or advisable under United States or other applicable laws or regulations, or advisable in connection with the marketing of the debt securities.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Debt securities of any series may be issued as registered debt securities or uncertificated debt securities, in such denominations as specified in the terms of the series.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Securities may be issued under the indentures as Discounted Debt Securities to be offered and sold at a substantial discount from the principal amount thereof. Special United States federal income tax and other considerations applicable thereto will be described in the prospectus supplement relating to such Discounted Debt Securities. “Discounted Debt Security” means a security where the amount of principal due upon acceleration is less than the stated principal amount.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258" w:gutter="0" w:footer="0" w:header="0"/>
        </w:sectPr>
      </w:pPr>
    </w:p>
    <w:bookmarkStart w:id="45" w:name="page46"/>
    <w:bookmarkEnd w:id="4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not obligated to issue all debt securities of one series at the same time and, unless otherwise provided in the prospectus supplement, we may reopen a series, without the consent of the holders of the debt securities of that series, for the issuance of additional debt securities of that series. Additional debt securities of a particular series will have the same terms and conditions as outstanding debt securities of such series, except for the date of original issuance and the offering price, and will be consolidated with, and form a single series with, such outstanding debt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Ranking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senior debt securities will rank equally with all of our other senior and unsubordinated debt. Our secured debt, if any, will be effectively senior to the senior debt securities to the extent of the value of the assets securing such debt. The subordinated debt securities will be subordinate and junior in right of payment to all of our present and future senior indebtedness to the extent and in the manner described in the prospectus supplement and as set forth in the board resolution, officer’s certificate or supplemental indenture relating to such offering.</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only a stockholder’s claim on the assets of our subsidiaries. This stockholder’s claim is junior to the claims that creditors of our subsidiaries have against our subsidiaries. Holders of our debt securities will be our creditors and not creditors of any of our subsidiaries. As a result, all the existing and future liabilities of our subsidiaries, including any claims of their creditors, will effectively be senior to the debt securities with respect to the assets of our subsidiaries. In addition, to the extent that we issue any secured debt, the debt securities will be effectively subordinated to such secured debt to the extent of the value of the assets securing such secured debt.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debt securities will be obligations exclusively of Dragonfly Energy Holdings Corp. To the extent that our ability to service our debt, including the debt securities, may be dependent upon the earnings of our future subsidiaries, if any, our ability to do so will be dependent on the ability of our subsidiaries to distribute those earnings to us as dividends, loans or other payments.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covenants that may apply to a particular series of debt securities will be described in the prospectus supplement relating thereto.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Successor Obligor</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indentures provide that, unless otherwise specified in the securities resolution or supplemental indenture establishing a series of debt securities, we shall not consolidate with or merge into, or transfer all or substantially all of our assets to, any person in any transaction in which we are not the survivor, unless:</w:t>
      </w:r>
    </w:p>
    <w:p>
      <w:pPr>
        <w:spacing w:after="0" w:line="176" w:lineRule="exact"/>
        <w:rPr>
          <w:sz w:val="20"/>
          <w:szCs w:val="20"/>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is organized under the laws of the United States or a jurisdiction within the United States;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assumes by supplemental indenture all of our obligations under the relevant indenture, the debt securities and any coupons;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the transaction no Default (as defined below) exists;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deliver to the trustee an officers’ certificate and opinion of counsel stating that the transaction complies with the foregoing requirements and that all conditions precedent provided for in the indenture relating to the transaction have been complied with.</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such event, the successor will be substituted for us, and thereafter all of our obligations under the relevant indenture, the debt securities and any coupons will terminate.</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indentures provide that these limitations shall not apply if our board of directors makes a good faith determination that the principal purpose of the transaction is to change our state of incorporation.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Exchange of Debt Securities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Registered debt securities may be exchanged for an equal aggregate principal amount of registered debt securities of the same series and date of maturity in such authorized denominations as may be requested upon surrender of the registered debt securities at an agency of the Company maintained for such purpose and upon fulfillment of all other requirements of such agent.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Default and Remedies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the securities resolution or supplemental indenture establishing the series otherwise provides (in which event the prospectus supplement will so state), an “Event of Default” with respect to a series of debt securities will occur if:</w:t>
      </w:r>
    </w:p>
    <w:p>
      <w:pPr>
        <w:spacing w:after="0" w:line="162" w:lineRule="exact"/>
        <w:rPr>
          <w:sz w:val="20"/>
          <w:szCs w:val="20"/>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default in any payment of interest on any debt securities of such series when the same becomes due and payable and the default continues for a period of 30 days;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default in the payment of all or any part of the principal and premium, if any, of any debt securities of such series when the same becomes due and payable at maturity or upon redemption, acceleration or otherwise and such default shall continue for five or more days;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default in the performance of any of our other agreements applicable to the series and the default continues for 30 days after the notice specified below;</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or decree under any Bankruptcy Law (as defined below) that: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for relief against us in an involuntary case,</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a Custodian (as defined below) for us or for any substantial part of our property, or</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the winding up or liquidation of us, and the order or decree remains unstayed and in effect for 90 consecutive days;</w:t>
      </w:r>
    </w:p>
    <w:p>
      <w:pPr>
        <w:spacing w:after="0" w:line="20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pursuant to or within the meaning of any Bankruptcy Law:</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a voluntary case,</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the entry of an order for relief against us in an involuntary case,</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the appointment of a Custodian for us or for any substantial part of our property, or</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 general assignment for the benefit of our creditors; or</w:t>
      </w:r>
    </w:p>
    <w:p>
      <w:pPr>
        <w:spacing w:after="0" w:line="20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occurs any other Event of Default provided for in such series.</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term “Bankruptcy Law” means Title 11 of the United States Code or any similar Federal or State law for the relief of debtors. The term “Custodian” means any receiver, trustee, assignee, liquidator or a similar official under any Bankruptcy Law.</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7" w:name="page48"/>
    <w:bookmarkEnd w:id="4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“Default” means any event which is, or after notice or passage of time would be, an Event of Default. A Default under subparagraph (3) above is not an Event of Default until the trustee or the holders of at least 25% in principal amount of the series notify us of the Default and we do not cure the Default within the time specified after receipt of the notice.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trustee may require indemnity satisfactory to it before it enforces the indentures or the debt securities of the series. Subject to certain limitations, holders of a majority in principal amount of the debt securities of the series may direct the trustee in its exercise of any trust or power with respect to such series. Except in the case of Default in payment on a series, the trustee may withhold from securityholders of such series notice of any continuing Default if the trustee determines that withholding notice is in the interest of such securityholders. We are required to furnish the trustee annually a brief certificate as to our compliance with all conditions and covenants under the indentures.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indentures do not have cross-default provisions. Thus, a default by us on any other debt, including any other series of debt securities, would not constitute an Event of Default.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Amendments and Waivers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indentures and the debt securities or any coupons of the series may be amended, and any Default may be waived as follows: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Unless the securities resolution or supplemental indenture otherwise provides (in which event the applicable prospectus supplement will so state), the debt securities and the indentures may be amended with the consent of the holders of a majority in principal amount of the debt securities of all series affected voting as one class. Unless the securities resolution or supplemental indenture otherwise provides (in which event the applicable prospectus supplement will so state), a Default other than a Default in payment on a particular series may be waived with the consent of the holders of a majority in principal amount of the debt securities of the series. However, without the consent of each securityholder affected, no amendment or waiver may:</w:t>
      </w:r>
    </w:p>
    <w:p>
      <w:pPr>
        <w:spacing w:after="0" w:line="183" w:lineRule="exact"/>
        <w:rPr>
          <w:sz w:val="20"/>
          <w:szCs w:val="20"/>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fixed maturity of or the time for payment of interest on any debt security;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premium or interest payable with respect to any debt security;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place of payment of a debt security or the currency in which the principal or interest on a debt security is payable;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provisions for calculating any redemption or repurchase price with respect to any debt security;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any holder’s right to receive payment of principal and interest or to institute suit for the enforcement of any such payment;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whose holders must consent to an amendment or waiver;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that materially adversely affects the right to convert any debt security;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any Default in payment of principal of or interest on a debt security;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any holder’s rights with respect to redemption or repurchase of a debt security.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Without the consent of any securityholder, the indentures or the debt securities may be amended to:</w:t>
      </w:r>
    </w:p>
    <w:p>
      <w:pPr>
        <w:spacing w:after="0" w:line="225" w:lineRule="exact"/>
        <w:rPr>
          <w:sz w:val="20"/>
          <w:szCs w:val="20"/>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assumption of our obligations to securityholders in the event of a merger or consolidation requiring such assumption;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 any ambiguity, omission, defect or inconsistency;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 the terms of the debt securities to the description thereof in the prospectus and prospectus supplement offering such debt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 series and establish its terms;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acceptance of appointment by a successor trustee or to facilitate the administration of the trusts by more than one trustee;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uncertificated or unregistered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that does not adversely affect the rights of any securityholder;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to our covenants;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other change to the indentures so long as no debt securities are outstanding.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Rights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 securities resolution or supplemental indenture establishing a series of debt securities may provide that the debt securities of such series will be convertible at the option of the holders thereof into or for our common stock or other equity or debt instruments. The securities resolution or supplemental indenture may establish, among other things, (1) the number or amount of shares of common stock or other equity or debt instruments for which $1,000 aggregate principal amount of the debt securities of the series is convertible, as may be adjusted pursuant to the terms of the relevant indenture and the securities resolution; and (2) provisions for adjustments to the conversion rate and limitations upon exercise of the conversion right. The indentures provide that we will not be required to make an adjustment in the conversion rate unless the adjustment would require a cumulative change of at least 1% in the conversion rate. However, we will carry forward any adjustments that are less than 1% of the conversion rate and take them into account in any subsequent adjustment of the conversion rate.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Legal Defeasance and Covenant Defeasance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Debt securities of a series may be defeased in accordance with their terms and, unless the securities resolution or supplemental indenture establishing the terms of the series otherwise provides, as set forth below. We at any time may terminate as to a series all of our obligations (except for certain obligations, including obligations with respect to the defeasance trust and obligations to register the transfer or exchange of a debt security, to replace destroyed, lost or stolen debt securities and coupons and to maintain paying agencies in respect of the debt securities) with respect to the debt securities of the series and any related coupons and the relevant indenture, which we refer to as legal defeasance. We at any time may terminate as to a series our obligations with respect to any restrictive covenants which may be applicable to a particular series, which we refer to as covenant defeasance.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exercise our legal defeasance option notwithstanding our prior exercise of our covenant defeasance option. If we exercise our legal defeasance option, a series may not be accelerated because of an Event of Default. If we exercise our covenant defeasance option, a series may not be accelerated by reference to any covenant which may be applicable to a series.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To exercise either defeasance option as to a series, we must (1) irrevocably deposit in trust with the trustee (or another trustee) money or U.S. Government Obligations (as defined below), deliver a certificate from a nationally recognized firm of independent accountants expressing their opinion that the payments of principal and interest when due on the deposited U.S. Government Obligations, without reinvestment, plus any deposited money without investment will provide cash at such times and in such amounts as will be sufficient to pay the principal and interest when due on all debt securities of such series to maturity or redemption, as the case may be; and (2) comply with certain other conditions. In particular, we must obtain an opinion of tax counsel that the defeasance will not result in recognition of any gain or loss to holders for federal income tax purposes.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“U.S. Government Obligations” means direct obligations of the United States or any agency or instrumentality of the United States, the payment of which is unconditionally guaranteed by the United States, which, in either case, have the full faith and credit of the United States pledged for payment and which are not callable at the issuer’s option, or certificates representing an ownership interest in such obligations.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Regarding the Trustee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otherwise indicated in a prospectus supplement, the trustee will also act as depository of funds, transfer agent, paying agent and conversion agent, as applicable, with respect to the debt securities. In certain circumstances, we or the securityholders may remove the trustee as the trustee under a given indenture. The indenture trustee may also provide additional unrelated services to us as a depository of funds, registrar, trustee and similar services.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The indentures and the debt securities will be governed by New York law, except to the extent that the Trust Indenture Act of 1939 is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STOCK WARRANTS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summarize below some of the provisions that will apply to the warrants unless the applicable prospectus supplement provides otherwise. This summary may not contain all information that is important to you. The complete terms of the warrants will be contained in the applicable warrant certificate and warrant agreement. These documents have been or will be included or incorporated by reference as exhibits to the registration statement of which this prospectus is a part. You should read the warrant certificate and the warrant agreement. You should also read the prospectus supplement, which will contain additional information and which may update or change some of the information below.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issue, together with common or preferred stock as units or separately, warrants for the purchase of shares of our common or preferred stock. The terms of each warrant will be discussed in the applicable prospectus supplement relating to the particular series of warrants. The form(s) of certificate representing the warrants and/or the warrant agreement will be, in each case, filed with the SEC as an exhibit to a document incorporated by reference in the registration statement of which this prospectus is a part on or prior to the date of any prospectus supplement relating to an offering of the particular warrant. The following summary of material provisions of the warrants and the warrant agreements are subject to, and qualified in their entirety by reference to, all the provisions of the warrant agreement and warrant certificate applicable to a particular series of warrants.</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any series of warrants that are offered by this prospectus will describe, among other things, the following terms to the extent they are applicable to that series of warrants:</w:t>
      </w:r>
    </w:p>
    <w:p>
      <w:pPr>
        <w:spacing w:after="0" w:line="162" w:lineRule="exact"/>
        <w:rPr>
          <w:sz w:val="20"/>
          <w:szCs w:val="20"/>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and conditions relating to the exercise of the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our common or preferred stock, if any, issued with the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warrants and any related shares of our common or preferred stock will be separately transferable;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of the warrants, if any;</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our common or preferred stock which may be purchased upon exercise of the warrants and the price or prices at which the shares may be purchased upon exercise;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begin and the date on which the right will expire;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the material United States federal income tax considerations applicable to the exercise of the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anti-dilution provisions of the warrants, if 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call provisions of the warrants, if any;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 of the warrants.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warrant may entitle the holder to purchase for cash, or, in limited circumstances, by effecting a cashless exercise for, the number of shares of our common or preferred stock at the exercise price that is described in the applicable prospectus supplement. Warrants will be exercisable during the period of time described in the applicable prospectus supplement. After that period, unexercised warrants will be void. Warrants may be exercised in the manner described in the applicable prospectus supplement.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holder of a warrant will not have any of the rights of a holder of our common or preferred stock before the stock is purchased upon exercise of the warrant. Therefore, before a warrant is exercised, the holder of the warrant will not be entitled to receive any dividend payments or exercise any voting or other rights associated with shares of our common or preferred stock which may be purchased when the warrant is exercised.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 agent and registrar, if any, for any warrants will be set forth in the applicable prospectus supplement.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SUBSCRIPTION RIGHTS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issue subscription rights to purchase our equity securities or debt securities. These subscription rights may be offered independently or together with any other security offered hereby and may or may not be transferable by the stockholder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any subscription rights we offer, if any, will, to the extent applicable, include specific terms relating to the offering, including some or all of the following:</w:t>
      </w:r>
    </w:p>
    <w:p>
      <w:pPr>
        <w:spacing w:after="0" w:line="162" w:lineRule="exact"/>
        <w:rPr>
          <w:sz w:val="20"/>
          <w:szCs w:val="20"/>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if any, for the subscription rights;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payable for our equity securities or debt securities upon the exercise of the subscription rights;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subscription rights to be issued to each stockholder;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terms of our equity securities and debt securities which may be purchased per each subscription right;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are transferable;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subscription rights, including the terms, procedures and limitations relating to the exchange and exercise of the subscription rights;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subscription rights shall commence, and the date on which the subscription rights shall expire;</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may include an over-subscription privilege with respect to unsubscribed securities or an over-allotment privilege to the extent the securities are fully subscribed;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material terms of any standby underwriting or purchase arrangement which may be entered into by us in connection with the offering of subscription rights.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issue units comprised of one or more of the other securities described in this prospectus in any combination. Each unit will be issued so that the holder of the unit is also the holder of each security included in the unit. Thus, the holder of a unit will have the rights and obligations of a holder of each included security (but, to the extent convertible securities are included in the units, the holder of the units will be deemed the holder of the convertible securities and not the holder of the underlying securities). The unit agreement under which a unit is issued, if any, may provide that the securities included in the unit may not be held or transferred separately, at any time or at any time before a specified date. The applicable prospectus supplement may describe:</w:t>
      </w:r>
    </w:p>
    <w:p>
      <w:pPr>
        <w:spacing w:after="0" w:line="183" w:lineRule="exact"/>
        <w:rPr>
          <w:sz w:val="20"/>
          <w:szCs w:val="20"/>
          <w:color w:val="auto"/>
        </w:rPr>
      </w:pPr>
    </w:p>
    <w:p>
      <w:pPr>
        <w:ind w:left="980" w:hanging="324"/>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unit agreement governing the units;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federal income tax considerations relevant to the units;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units will be issued in fully registered global form.</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summary of certain general terms of units and any summary description of units in the applicable prospectus supplement do not purport to be complete and are qualified in their entirety by reference to all provisions of the applicable unit agreement and, if applicable, collateral arrangements and depositary arrangements relating to such units. The forms of the unit agreements and other documents relating to a particular issue of units will be filed with the SEC each time we issue units, and you should read those documents for provisions that may be important to you.</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FORMS OF SECURITIES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Each debt security, and to the extent applicable, warrant, subscription right and unit, will be represented either by a certificate issued in definitive form to a particular investor or by one or more global securities representing the entire issuance of securities.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or warrants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Registered Global Securities</w:t>
      </w:r>
      <w:r>
        <w:rPr>
          <w:rFonts w:ascii="Times New Roman" w:cs="Times New Roman" w:eastAsia="Times New Roman" w:hAnsi="Times New Roman"/>
          <w:sz w:val="18"/>
          <w:szCs w:val="18"/>
          <w:color w:val="auto"/>
        </w:rPr>
        <w:t>. We may issue the registered debt securities and, to the extent applicable, warrants, subscription rights and units,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form of one or more fully registered global 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registered global securities.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or warrant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or warrant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or warrant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or warrant agreement,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Principal, premium, if any, interest payments on debt securities and any payments to holders with respect to warrants represented by a registered global security registered in the name of a depositary or its nominee will be made to the depositary or its nominee, as the case may be, as the registered owner of the registered global security. None of the Company, the trustees, the warrant agents or any other agent of the Company, the trustees or the warrant agents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the depositary for any of these securities represented by a registered global security is at any time unwilling or unable to continue as depositary or ceases to be a clearing agency registered under the Securities Exchange Act of 1934, as amended, or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or warrant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69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Initial Offering and Sale of Securities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Unless otherwise set forth in a prospectus supplement accompanying this prospectus, we may sell the securities being offered hereby, from time to time, by one or more of the following methods:</w:t>
      </w:r>
    </w:p>
    <w:p>
      <w:pPr>
        <w:spacing w:after="0" w:line="162" w:lineRule="exact"/>
        <w:rPr>
          <w:sz w:val="20"/>
          <w:szCs w:val="20"/>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underwriting syndicates represented by managing underwriters;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one or more underwriters without a syndicate for them to offer and sell to the public;</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dealers or agents;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investors directly in negotiated sales or in competitively bid transactions.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Offerings of securities covered by this prospectus also may be made into an existing trading market for those securities in transactions at other than a fixed price, either:</w:t>
      </w:r>
    </w:p>
    <w:p>
      <w:pPr>
        <w:spacing w:after="0" w:line="162" w:lineRule="exact"/>
        <w:rPr>
          <w:sz w:val="20"/>
          <w:szCs w:val="20"/>
          <w:color w:val="auto"/>
        </w:rPr>
      </w:pPr>
    </w:p>
    <w:p>
      <w:pPr>
        <w:ind w:left="980" w:hanging="324"/>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through the facilities of Nasdaq or the Nasdaq Capital Market or any other securities exchange or quotation or trading service on which those securities may be listed, quoted, or traded at the time of sale; and/or</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a market maker other than on the securities exchanges or quotation or trading services set forth above.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Those at-the-market offerings, if any, will be conducted by underwriters acting as principal or agent of the Company, who may also be third-party sellers of securities as described above. The prospectus supplement with respect to the offered securities will set forth the terms of the offering of the offered securities, including:</w:t>
      </w:r>
    </w:p>
    <w:p>
      <w:pPr>
        <w:spacing w:after="0" w:line="176" w:lineRule="exact"/>
        <w:rPr>
          <w:sz w:val="20"/>
          <w:szCs w:val="20"/>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or agents;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offered securities and the proceeds to us from such sale;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and commissions or agency fees and other items constituting underwriters’ or agents’ compensation;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initial public offering price and any discounts or concessions allowed or reallowed or paid to dealers;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on which such offered securities may be listed;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underwriter, agent or dealer involved in the offer and sale of any series of the securities.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distribution of the securities may be effected from time to time in one or more transactions:</w:t>
      </w:r>
    </w:p>
    <w:p>
      <w:pPr>
        <w:spacing w:after="0" w:line="225" w:lineRule="exact"/>
        <w:rPr>
          <w:sz w:val="20"/>
          <w:szCs w:val="20"/>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fixed prices, which may be changed;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the sale;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varying prices determined at the time of sale;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prospectus supplement will set forth the manner and terms of an offering of securities including:</w:t>
      </w:r>
    </w:p>
    <w:p>
      <w:pPr>
        <w:spacing w:after="0" w:line="225" w:lineRule="exact"/>
        <w:rPr>
          <w:sz w:val="20"/>
          <w:szCs w:val="20"/>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that offering is being made to underwriters, through agents or directly to the public;</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and procedures for any auction or bidding process, if used;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purchase price or initial public offering price;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we anticipate from the sale of the securities, if any.</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we may enter into derivative or hedging transactions with third parties, or sell securities not covered by this prospectus to third parties in privately negotiated transactions. The applicable prospectus supplement may indicate, in connection with such a transaction, that the third parties may sell securities covered by and pursuant to this prospectus and an applicable prospectus supplement. If so, the third party may use securities pledged by us or borrowed from us or others to settle such sales and may use securities received from us to close out any related short positions. We may also loan or pledge securities covered by this prospectus and an applicable prospectus supplement to third parties, who may sell the loaned securities or, in an event of default in the case of a pledge, sell the pledged securities pursuant to this prospectus and the applicable prospectus supplement.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122"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Sales Through Underwriters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underwriters are used in the sale of some or all of the securities covered by this prospectus, the underwriters will acquire the securities for their own account. The underwriters may resell the securities, either directly to the public or to securities dealers, at various times in one or more transactions, including negotiated transactions, at a fixed public offering price or at varying prices determined at the time of sale. The obligations of the underwriters to purchase the securities will be subject to certain conditions. Unless indicated otherwise in a prospectus supplement, the underwriters will be obligated to purchase all the securities of the series offered if any of the securities are purchased.</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initial public offering price and any concessions allowed or reallowed to dealers may be changed intermittently.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Through Agents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when securities are sold through an agent, the designated agent will agree, for the period of its appointment as agent, to use specified efforts to sell the securities for our account and will receive commissions from us as will be set forth in the applicable prospectus supplement.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Securities bought in accordance with a redemption or repayment under their terms also may be offered and sold, if so indicated in the applicable prospectus supplement, in connection with a remarketing by one or more firms acting as principals for their own accounts or as agents for us. Any remarketing firm will be identified and the terms of its agreement, if any, with us and its compensation will be described in the prospectus supplement. Remarketing firms may be deemed to be underwriters in connection with the securities remarketed by them.</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so indicated in the applicable prospectus supplement, we may authorize agents, underwriters or dealers to solicit offers by certain specified institutions to purchase securities at a price set forth in the prospectus supplement pursuant to delayed delivery contracts providing for payment and delivery on a future date specified in the prospectus supplement. These contracts will be subject only to those conditions set forth in the applicable prospectus supplement, and the prospectus supplement will set forth the commissions payable for solicitation of these contracts.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 Sales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may also sell offered securities directly to institutional investors or others. In this case, no underwriters or agents would be involved. The terms of such sales will be described in the applicable prospectus supplement.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Broker-dealers, agents or underwriters may receive compensation in the form of discounts, concessions or commissions from us and/or the purchasers of securities for whom such broker-dealers, agents or underwriters may act as agents or to whom they sell as principal, or both. This compensation to a particular broker-dealer might be in excess of customary commissions.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Underwriters, dealers and agents that participate in any distribution of the offered securities may be deemed “underwriters” within the meaning of the Securities Act of 1933, as amended, or the Securities Act, so any discounts or commissions they receive in connection with the distribution may be deemed to be underwriting compensation. Those underwriters and agents may be entitled, under their agreements with us, to indemnification by us against certain civil liabilities, including liabilities under the Securities Act, or to contribution by us to payments that they may be required to make in respect of those civil liabilities. Certain of those underwriters or agents may be customers of, engage in transactions with, or perform services for, us or our affiliates in the ordinary course of business. We will identify any underwriters or agents, and describe their compensation, in a prospectus supplement. Any institutional investors or others that purchase offered securities directly, and then resell the securities, may be deemed to be underwriters, and any discounts or commissions received by them from us and any profit on the resale of the securities by them may be deemed to be underwriting discounts and commissions under the Securities Act.</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5" w:name="page56"/>
    <w:bookmarkEnd w:id="5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will file a supplement to this prospectus, if required, pursuant to Rule 424(b) under the Securities Act, if we enter into any material arrangement with a broker, dealer, agent or underwriter for the sale of securities through a block trade, special offering, exchange distribution or secondary distribution or a purchase by a broker or dealer. Such prospectus supplement will disclose:</w:t>
      </w:r>
    </w:p>
    <w:p>
      <w:pPr>
        <w:spacing w:after="0" w:line="176" w:lineRule="exact"/>
        <w:rPr>
          <w:sz w:val="20"/>
          <w:szCs w:val="20"/>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any participating broker, dealer, agent or underwriter;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type of securities involved;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such securities were sold;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exchanges on which such securities may be listed;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commissions paid or discounts or concessions allowed to any such broker, dealer, agent or underwriter, where applicable;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facts material to the transaction.</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order to facilitate the offering of certain securities under this prospectus or an applicable prospectus supplement, certain persons participating in the offering of those securities may engage in transactions that stabilize, maintain or otherwise affect the price of those securities during and after the offering of those securities. Specifically, if the applicable prospectus supplement permits, the underwriters of those securities may over-allot or otherwise create a short position in those securities for their own account by selling more of those securities than have been sold to them by us and may elect to cover any such short position by purchasing those securities in the open market.</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the underwriters may stabilize or maintain the price of those securities by bidding for or purchasing those securities in the open market and may impose penalty bids, under which selling concessions allowed to syndicate members or other broker-dealers participating in the offering are reclaimed if securities previously distributed in the offering are repurchased in connection with stabilization transactions or otherwise. The effect of these transactions may be to stabilize or maintain the market price of the securities at a level above that which might otherwise prevail in the open market. The imposition of a penalty bid may also affect the price of securities to the extent that it discourages resales of the securities. No representation is made as to the magnitude or effect of any such stabilization or other transactions. Such transactions, if commenced, may be discontinued at any time.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Rule 15c6-1 under the Exchange Act generally requires that trades in the secondary market settle in two business days, unless the parties to any such trade expressly agree otherwise. Your prospectus supplement may provide that the original issue date for your securities may be more than two scheduled business days after the trade date for your securities. Accordingly, in such a case, if you wish to trade securities on any date prior to the second business day before the original issue date for your securities, you will be required, by virtue of the fact that your securities initially are expected to settle in more than two scheduled business days after the trade date for your securities, to make alternative settlement arrangements to prevent a failed settlement.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prospectus, any applicable prospectus supplement and any applicable pricing supplement in electronic format may be made available on the Internet sites of, or through other online services maintained by, us and/or one or more of the agents and/or dealers participating in an offering of securities, or by their affiliates. In those cases, prospective investors may be able to view offering terms online and, depending upon the particular agent or dealer, prospective investors may be allowed to place orders online.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6" w:name="page57"/>
    <w:bookmarkEnd w:id="56"/>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Other than this prospectus, any applicable prospectus supplement and any applicable pricing supplement in electronic format, the information on our website or the website of any agent or dealer, and any information contained in any other website maintained by any agent or dealer:</w:t>
      </w:r>
    </w:p>
    <w:p>
      <w:pPr>
        <w:spacing w:after="0" w:line="162" w:lineRule="exact"/>
        <w:rPr>
          <w:sz w:val="20"/>
          <w:szCs w:val="20"/>
          <w:color w:val="auto"/>
        </w:rPr>
      </w:pPr>
    </w:p>
    <w:p>
      <w:pPr>
        <w:ind w:left="980" w:right="440" w:hanging="324"/>
        <w:spacing w:after="0" w:line="282"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part of this prospectus, any applicable prospectus supplement or any applicable pricing supplement or the registration statement of which they form a part;</w:t>
      </w:r>
    </w:p>
    <w:p>
      <w:pPr>
        <w:spacing w:after="0" w:line="161" w:lineRule="exact"/>
        <w:rPr>
          <w:rFonts w:ascii="Times New Roman" w:cs="Times New Roman" w:eastAsia="Times New Roman" w:hAnsi="Times New Roman"/>
          <w:sz w:val="18"/>
          <w:szCs w:val="18"/>
          <w:color w:val="auto"/>
        </w:rPr>
      </w:pPr>
    </w:p>
    <w:p>
      <w:pPr>
        <w:ind w:left="980" w:right="260" w:hanging="324"/>
        <w:spacing w:after="0" w:line="282"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been approved or endorsed by us or by any agent or dealer in its capacity as an agent or dealer, except, in each case, with respect to the respective website maintained by such entity;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not be relied upon by investors.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can be no assurance that we will sell all or any of the securities offered by this prospectus.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prospectus may also be used in connection with any issuance of common stock or preferred stock upon exercise of a warrant if such issuance is not exempt from the registration requirements of the Securities Act.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we may issue the securities as a dividend or distribution or in a subscription right’s offering to our existing securityholders. In some cases, we or dealers acting with us or on our behalf may also purchase securities and reoffer them to the public by one or more of the methods described above. This prospectus may be used in connection with any offering of our securities through any of these methods or other methods described in the applicable prospectus supplement.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the validity of the securities offered hereby will be passed upon for us by Parsons Behle &amp; Latimer, Reno, Nevada and Lowenstein Sandler LLP, New York, New York. If the validity of the securities offered hereby in connection with offerings made pursuant to this prospectus are passed upon by counsel for the underwriters, dealers or agents, if any, such counsel will be named in the prospectus supplement relating to such offering.</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8" w:name="page59"/>
    <w:bookmarkEnd w:id="5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as of December 31, 2022 and 2021 and for each of the two years in the period ended December 31, 2022 included in this Prospectus and in the Registration Statement have been so included in reliance on the report of BDO USA, LLP (n/k/a BDO USA, P.C.), an independent registered public accounting firm, given on the authority of said firm as experts in auditing and accounting. The report on the consolidated financial statements contains an explanatory paragraph regarding the Company’s ability to continue as a going concern.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have filed with the SEC relating to the shares of our securities being offered hereby. This prospectus does not contain all of the information in the Registration Statement and its exhibits. The Registration Statement, its exhibits and the documents incorporated by reference in this prospectus and their exhibits, all contain information that is material to the offering of the securities hereby. Whenever a reference is made in this prospectus to any of our contracts or other documents, the reference may not be complete. You should refer to the exhibits that are a part of the Registration Statement in order to review a copy of the contract or documents. The Registration Statement and the exhibits are available at the SEC’s Public Reference Room or through its website.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The SEC maintains an Internet site at http://www.sec.gov that contains reports, proxy and information statements, and other information regarding issuers, such as us, that file electronically with the SEC. Additionally, you may access our filings with the SEC through our website at www.dragonflyenergy.com. We have included our website address as an inactive textual reference only and our website and the information contained on, or that can be accessed through, our website will not be deemed to be incorporated by reference in, and are not considered part of, this prospectus.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will provide you without charge, upon your oral or written request, with an electronic or paper copy of any or all reports, proxy statements and other documents we file with the SEC, as well as any or all of the documents incorporated by reference in this prospectus (other than exhibits to such documents unless such exhibits are specifically incorporated by reference into such documents). Requests for such copies should be directed to:</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Attn: Denis Phares, Chairman of the Board, President, Secretary,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Executive Officer and Interim 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1190 Trademark Drive, #108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Reno, Nevada 89521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Tel: (775) 622-3488</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You should rely only on the information in this prospectus and the additional information described above and under the heading “Incorporation of Certain Information by Reference” below. We have not authorized any other person to provide you with different information. If anyone provides you with different or inconsistent information, you should not rely upon it. We are not making an offer to sell these securities in any jurisdiction where such offer or sale is not permitted. You should assume that the information in this prospectus was accurate on the date of the front cover of this prospectus only. Our business, financial condition, results of operations and prospects may have changed since that date.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information that we file with it into this prospectus, which means that we can disclose important information to you by referring you to those documents. The information incorporated by reference is an important part of this prospectus. The information incorporated by reference is considered to be a part of this prospectus, and information that we file later with the SEC will automatically update and supersede information contained in this prospectus and any accompanying prospectus supplement.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incorporate by reference the documents listed below that we have previously filed with the SEC:</w:t>
      </w:r>
    </w:p>
    <w:p>
      <w:pPr>
        <w:spacing w:after="0" w:line="225" w:lineRule="exact"/>
        <w:rPr>
          <w:sz w:val="20"/>
          <w:szCs w:val="20"/>
          <w:color w:val="auto"/>
        </w:rPr>
      </w:pPr>
    </w:p>
    <w:p>
      <w:pPr>
        <w:ind w:left="1300" w:hanging="644"/>
        <w:spacing w:after="0" w:line="282" w:lineRule="auto"/>
        <w:tabs>
          <w:tab w:leader="none" w:pos="1300" w:val="left"/>
        </w:tabs>
        <w:numPr>
          <w:ilvl w:val="0"/>
          <w:numId w:val="34"/>
        </w:numPr>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auto"/>
          </w:rPr>
          <w:t xml:space="preserve">our Annual Report on Form 10-K for the year ended December 31, 2022, as filed with the SEC on </w:t>
        </w:r>
        <w:r>
          <w:rPr>
            <w:rFonts w:ascii="Times New Roman" w:cs="Times New Roman" w:eastAsia="Times New Roman" w:hAnsi="Times New Roman"/>
            <w:sz w:val="18"/>
            <w:szCs w:val="18"/>
            <w:u w:val="single" w:color="auto"/>
            <w:color w:val="0000EE"/>
          </w:rPr>
          <w:t>April 17, 2023</w:t>
        </w:r>
        <w:r>
          <w:rPr>
            <w:rFonts w:ascii="Times New Roman" w:cs="Times New Roman" w:eastAsia="Times New Roman" w:hAnsi="Times New Roman"/>
            <w:sz w:val="18"/>
            <w:szCs w:val="18"/>
            <w:color w:val="auto"/>
          </w:rPr>
          <w:t xml:space="preserve">, as amended on </w:t>
        </w:r>
        <w:r>
          <w:rPr>
            <w:rFonts w:ascii="Times New Roman" w:cs="Times New Roman" w:eastAsia="Times New Roman" w:hAnsi="Times New Roman"/>
            <w:sz w:val="18"/>
            <w:szCs w:val="18"/>
            <w:u w:val="single" w:color="auto"/>
            <w:color w:val="0000EE"/>
          </w:rPr>
          <w:t>May 1,</w:t>
        </w:r>
      </w:hyperlink>
      <w:r>
        <w:rPr>
          <w:rFonts w:ascii="Times New Roman" w:cs="Times New Roman" w:eastAsia="Times New Roman" w:hAnsi="Times New Roman"/>
          <w:sz w:val="18"/>
          <w:szCs w:val="18"/>
          <w:color w:val="auto"/>
        </w:rPr>
        <w:t xml:space="preserve"> </w:t>
      </w:r>
      <w:hyperlink r:id="rId92">
        <w:r>
          <w:rPr>
            <w:rFonts w:ascii="Times New Roman" w:cs="Times New Roman" w:eastAsia="Times New Roman" w:hAnsi="Times New Roman"/>
            <w:sz w:val="18"/>
            <w:szCs w:val="18"/>
            <w:u w:val="single" w:color="auto"/>
            <w:color w:val="0000EE"/>
          </w:rPr>
          <w:t>2023</w:t>
        </w:r>
        <w:r>
          <w:rPr>
            <w:rFonts w:ascii="Times New Roman" w:cs="Times New Roman" w:eastAsia="Times New Roman" w:hAnsi="Times New Roman"/>
            <w:sz w:val="18"/>
            <w:szCs w:val="18"/>
            <w:color w:val="000000"/>
          </w:rPr>
          <w:t>;</w:t>
        </w:r>
      </w:hyperlink>
    </w:p>
    <w:p>
      <w:pPr>
        <w:spacing w:after="0" w:line="161" w:lineRule="exact"/>
        <w:rPr>
          <w:rFonts w:ascii="Times New Roman" w:cs="Times New Roman" w:eastAsia="Times New Roman" w:hAnsi="Times New Roman"/>
          <w:sz w:val="18"/>
          <w:szCs w:val="18"/>
          <w:color w:val="0000EE"/>
        </w:rPr>
      </w:pPr>
    </w:p>
    <w:p>
      <w:pPr>
        <w:ind w:left="1300" w:hanging="644"/>
        <w:spacing w:after="0" w:line="282" w:lineRule="auto"/>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quarters ended </w:t>
      </w:r>
      <w:hyperlink r:id="rId93">
        <w:r>
          <w:rPr>
            <w:rFonts w:ascii="Times New Roman" w:cs="Times New Roman" w:eastAsia="Times New Roman" w:hAnsi="Times New Roman"/>
            <w:sz w:val="18"/>
            <w:szCs w:val="18"/>
            <w:u w:val="single" w:color="auto"/>
            <w:color w:val="0000EE"/>
          </w:rPr>
          <w:t>March 31, 2023</w:t>
        </w:r>
      </w:hyperlink>
      <w:r>
        <w:rPr>
          <w:rFonts w:ascii="Times New Roman" w:cs="Times New Roman" w:eastAsia="Times New Roman" w:hAnsi="Times New Roman"/>
          <w:sz w:val="18"/>
          <w:szCs w:val="18"/>
          <w:color w:val="auto"/>
        </w:rPr>
        <w:t xml:space="preserve">, </w:t>
      </w:r>
      <w:hyperlink r:id="rId94">
        <w:r>
          <w:rPr>
            <w:rFonts w:ascii="Times New Roman" w:cs="Times New Roman" w:eastAsia="Times New Roman" w:hAnsi="Times New Roman"/>
            <w:sz w:val="18"/>
            <w:szCs w:val="18"/>
            <w:u w:val="single" w:color="auto"/>
            <w:color w:val="0000EE"/>
          </w:rPr>
          <w:t>June 30,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95">
        <w:r>
          <w:rPr>
            <w:rFonts w:ascii="Times New Roman" w:cs="Times New Roman" w:eastAsia="Times New Roman" w:hAnsi="Times New Roman"/>
            <w:sz w:val="18"/>
            <w:szCs w:val="18"/>
            <w:u w:val="single" w:color="auto"/>
            <w:color w:val="0000EE"/>
          </w:rPr>
          <w:t>September 30, 2023</w:t>
        </w:r>
      </w:hyperlink>
      <w:r>
        <w:rPr>
          <w:rFonts w:ascii="Times New Roman" w:cs="Times New Roman" w:eastAsia="Times New Roman" w:hAnsi="Times New Roman"/>
          <w:sz w:val="18"/>
          <w:szCs w:val="18"/>
          <w:color w:val="auto"/>
        </w:rPr>
        <w:t>, as filed with the SEC on May 15, 2023, August 21, 2023 and November 14, 2023, respectively;</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34"/>
        </w:numPr>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auto"/>
          </w:rPr>
          <w:t xml:space="preserve">our Current Reports on Form 8-K as filed with the SEC on </w:t>
        </w:r>
        <w:r>
          <w:rPr>
            <w:rFonts w:ascii="Times New Roman" w:cs="Times New Roman" w:eastAsia="Times New Roman" w:hAnsi="Times New Roman"/>
            <w:sz w:val="18"/>
            <w:szCs w:val="18"/>
            <w:u w:val="single" w:color="auto"/>
            <w:color w:val="0000EE"/>
          </w:rPr>
          <w:t>March 2,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9,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10,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29,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31,</w:t>
        </w:r>
      </w:hyperlink>
      <w:r>
        <w:rPr>
          <w:rFonts w:ascii="Times New Roman" w:cs="Times New Roman" w:eastAsia="Times New Roman" w:hAnsi="Times New Roman"/>
          <w:sz w:val="18"/>
          <w:szCs w:val="18"/>
          <w:color w:val="auto"/>
        </w:rPr>
        <w:t xml:space="preserve"> </w:t>
      </w:r>
      <w:hyperlink r:id="rId96">
        <w:r>
          <w:rPr>
            <w:rFonts w:ascii="Times New Roman" w:cs="Times New Roman" w:eastAsia="Times New Roman" w:hAnsi="Times New Roman"/>
            <w:sz w:val="18"/>
            <w:szCs w:val="18"/>
            <w:u w:val="single" w:color="auto"/>
            <w:color w:val="0000EE"/>
          </w:rPr>
          <w:t>2023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97">
        <w:r>
          <w:rPr>
            <w:rFonts w:ascii="Times New Roman" w:cs="Times New Roman" w:eastAsia="Times New Roman" w:hAnsi="Times New Roman"/>
            <w:sz w:val="18"/>
            <w:szCs w:val="18"/>
            <w:u w:val="single" w:color="auto"/>
            <w:color w:val="0000EE"/>
          </w:rPr>
          <w:t xml:space="preserve">May 1, 2023 </w:t>
        </w:r>
      </w:hyperlink>
      <w:hyperlink r:id="rId96">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98">
        <w:r>
          <w:rPr>
            <w:rFonts w:ascii="Times New Roman" w:cs="Times New Roman" w:eastAsia="Times New Roman" w:hAnsi="Times New Roman"/>
            <w:sz w:val="18"/>
            <w:szCs w:val="18"/>
            <w:u w:val="single" w:color="auto"/>
            <w:color w:val="0000EE"/>
          </w:rPr>
          <w:t>June 21, 2023</w:t>
        </w:r>
      </w:hyperlink>
      <w:hyperlink r:id="rId96">
        <w:r>
          <w:rPr>
            <w:rFonts w:ascii="Times New Roman" w:cs="Times New Roman" w:eastAsia="Times New Roman" w:hAnsi="Times New Roman"/>
            <w:sz w:val="18"/>
            <w:szCs w:val="18"/>
            <w:color w:val="000000"/>
          </w:rPr>
          <w:t>;</w:t>
        </w:r>
      </w:hyperlink>
    </w:p>
    <w:p>
      <w:pPr>
        <w:spacing w:after="0" w:line="161" w:lineRule="exact"/>
        <w:rPr>
          <w:rFonts w:ascii="Times New Roman" w:cs="Times New Roman" w:eastAsia="Times New Roman" w:hAnsi="Times New Roman"/>
          <w:sz w:val="18"/>
          <w:szCs w:val="18"/>
          <w:color w:val="0000EE"/>
        </w:rPr>
      </w:pPr>
    </w:p>
    <w:p>
      <w:pPr>
        <w:jc w:val="both"/>
        <w:ind w:left="1300" w:hanging="644"/>
        <w:spacing w:after="0" w:line="261" w:lineRule="auto"/>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and Warrants contained in our Registration Statement on </w:t>
      </w:r>
      <w:hyperlink r:id="rId56">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with the SEC on August 10, 2021 under Section 12 of the Exchange Act, including any amendments and reports filed for the purpose of updating such description, including the description of our common stock included as </w:t>
      </w:r>
      <w:hyperlink r:id="rId99">
        <w:r>
          <w:rPr>
            <w:rFonts w:ascii="Times New Roman" w:cs="Times New Roman" w:eastAsia="Times New Roman" w:hAnsi="Times New Roman"/>
            <w:sz w:val="18"/>
            <w:szCs w:val="18"/>
            <w:u w:val="single" w:color="auto"/>
            <w:color w:val="0000EE"/>
          </w:rPr>
          <w:t>Exhibit 4.7</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for the year ended December 31, 2022, filed with the SEC on April 17, 2023.</w:t>
      </w:r>
    </w:p>
    <w:p>
      <w:pPr>
        <w:spacing w:after="0" w:line="180" w:lineRule="exact"/>
        <w:rPr>
          <w:rFonts w:ascii="Times New Roman" w:cs="Times New Roman" w:eastAsia="Times New Roman" w:hAnsi="Times New Roman"/>
          <w:sz w:val="18"/>
          <w:szCs w:val="18"/>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All reports and other documents that we file with the SEC under Sections 13(a), 13(c), 14 or 15(d) of the Exchange Act after the date of the initial registration statement and prior to effectiveness of the registration statement, and after the date of this prospectus but before the termination of the offering of the securities hereunder will also be considered to be incorporated by reference into this prospectus from the date of the filing of these reports and documents, and will supersede the information herein; provided, however, that all reports, exhibits and other information that we “furnish” to the SEC will not be considered incorporated by reference into this prospectus. We undertake to provide without charge to each person (including any beneficial owner) who receives a copy of this prospectus, upon written or oral request, a copy of all of the preceding documents that are incorporated by reference (other than exhibits, unless the exhibits are specifically incorporated by reference into these documents). You may request a copy of these materials in the manner set forth under the heading “Additional Information,” above.</w:t>
      </w:r>
    </w:p>
    <w:p>
      <w:pPr>
        <w:spacing w:after="0" w:line="192"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1" w:name="page62"/>
    <w:bookmarkEnd w:id="61"/>
    <w:p>
      <w:pPr>
        <w:spacing w:after="0" w:line="14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2900045</wp:posOffset>
            </wp:positionH>
            <wp:positionV relativeFrom="page">
              <wp:posOffset>448945</wp:posOffset>
            </wp:positionV>
            <wp:extent cx="1748790" cy="4368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1">
                      <a:clrChange>
                        <a:clrFrom>
                          <a:srgbClr val="FFFFFF"/>
                        </a:clrFrom>
                        <a:clrTo>
                          <a:srgbClr val="FFFFFF">
                            <a:alpha val="0"/>
                          </a:srgbClr>
                        </a:clrTo>
                      </a:clrChange>
                      <a:extLst>
                        <a:ext uri="{28A0092B-C50C-407E-A947-70E740481C1C}"/>
                      </a:extLst>
                    </a:blip>
                    <a:srcRect/>
                    <a:stretch>
                      <a:fillRect/>
                    </a:stretch>
                  </pic:blipFill>
                  <pic:spPr bwMode="auto">
                    <a:xfrm>
                      <a:off x="0" y="0"/>
                      <a:ext cx="1748790" cy="43688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21,980,000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161290</wp:posOffset>
            </wp:positionV>
            <wp:extent cx="17830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161290</wp:posOffset>
            </wp:positionV>
            <wp:extent cx="17830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Sole Bookrunner</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Canaccord Genuity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276860</wp:posOffset>
            </wp:positionV>
            <wp:extent cx="17830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July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19B500D"/>
    <w:multiLevelType w:val="hybridMultilevel"/>
    <w:lvl w:ilvl="0">
      <w:lvlJc w:val="left"/>
      <w:lvlText w:val="(%1)"/>
      <w:numFmt w:val="decimal"/>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1)"/>
      <w:numFmt w:val="lowerLetter"/>
      <w:start w:val="1"/>
    </w:lvl>
  </w:abstractNum>
  <w:abstractNum w:abstractNumId="6">
    <w:nsid w:val="436C6125"/>
    <w:multiLevelType w:val="hybridMultilevel"/>
    <w:lvl w:ilvl="0">
      <w:lvlJc w:val="left"/>
      <w:lvlText w:val="%1)"/>
      <w:numFmt w:val="lowerLetter"/>
      <w:start w:val="1"/>
    </w:lvl>
  </w:abstractNum>
  <w:abstractNum w:abstractNumId="7">
    <w:nsid w:val="628C895D"/>
    <w:multiLevelType w:val="hybridMultilevel"/>
    <w:lvl w:ilvl="0">
      <w:lvlJc w:val="left"/>
      <w:lvlText w:val="%1)"/>
      <w:numFmt w:val="lowerLetter"/>
      <w:start w:val="1"/>
    </w:lvl>
  </w:abstractNum>
  <w:abstractNum w:abstractNumId="8">
    <w:nsid w:val="333AB105"/>
    <w:multiLevelType w:val="hybridMultilevel"/>
    <w:lvl w:ilvl="0">
      <w:lvlJc w:val="left"/>
      <w:lvlText w:val="(%1)"/>
      <w:numFmt w:val="lowerRoman"/>
      <w:start w:val="2"/>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1)"/>
      <w:numFmt w:val="upperLetter"/>
      <w:start w:val="2"/>
    </w:lvl>
    <w:lvl w:ilvl="1">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1)"/>
      <w:numFmt w:val="lowerLetter"/>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1."/>
      <w:numFmt w:val="decimal"/>
      <w:start w:val="1"/>
    </w:lvl>
    <w:lvl w:ilvl="1">
      <w:lvlJc w:val="left"/>
      <w:lvlText w:val="(%2)"/>
      <w:numFmt w:val="upperLetter"/>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
      <w:numFmt w:val="bullet"/>
      <w:start w:val="1"/>
    </w:lvl>
  </w:abstractNum>
  <w:abstractNum w:abstractNumId="31">
    <w:nsid w:val="4516DDE9"/>
    <w:multiLevelType w:val="hybridMultilevel"/>
    <w:lvl w:ilvl="0">
      <w:lvlJc w:val="left"/>
      <w:lvlText w:val="●"/>
      <w:numFmt w:val="bullet"/>
      <w:start w:val="1"/>
    </w:lvl>
  </w:abstractNum>
  <w:abstractNum w:abstractNumId="32">
    <w:nsid w:val="3006C83E"/>
    <w:multiLevelType w:val="hybridMultilevel"/>
    <w:lvl w:ilvl="0">
      <w:lvlJc w:val="left"/>
      <w:lvlText w:val="●"/>
      <w:numFmt w:val="bullet"/>
      <w:start w:val="1"/>
    </w:lvl>
  </w:abstractNum>
  <w:abstractNum w:abstractNumId="33">
    <w:nsid w:val="614FD4A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59" Type="http://schemas.openxmlformats.org/officeDocument/2006/relationships/image" Target="media/image33.png"/><Relationship Id="rId60" Type="http://schemas.openxmlformats.org/officeDocument/2006/relationships/image" Target="media/image34.jpeg"/><Relationship Id="rId61" Type="http://schemas.openxmlformats.org/officeDocument/2006/relationships/image" Target="media/image35.png"/><Relationship Id="rId62" Type="http://schemas.openxmlformats.org/officeDocument/2006/relationships/image" Target="media/image36.png"/><Relationship Id="rId63" Type="http://schemas.openxmlformats.org/officeDocument/2006/relationships/image" Target="media/image37.png"/><Relationship Id="rId64" Type="http://schemas.openxmlformats.org/officeDocument/2006/relationships/image" Target="media/image38.png"/><Relationship Id="rId65" Type="http://schemas.openxmlformats.org/officeDocument/2006/relationships/image" Target="media/image39.png"/><Relationship Id="rId66" Type="http://schemas.openxmlformats.org/officeDocument/2006/relationships/image" Target="media/image40.png"/><Relationship Id="rId67" Type="http://schemas.openxmlformats.org/officeDocument/2006/relationships/image" Target="media/image41.png"/><Relationship Id="rId68" Type="http://schemas.openxmlformats.org/officeDocument/2006/relationships/image" Target="media/image42.png"/><Relationship Id="rId69" Type="http://schemas.openxmlformats.org/officeDocument/2006/relationships/image" Target="media/image43.png"/><Relationship Id="rId70" Type="http://schemas.openxmlformats.org/officeDocument/2006/relationships/image" Target="media/image44.png"/><Relationship Id="rId71" Type="http://schemas.openxmlformats.org/officeDocument/2006/relationships/image" Target="media/image45.png"/><Relationship Id="rId72" Type="http://schemas.openxmlformats.org/officeDocument/2006/relationships/image" Target="media/image46.png"/><Relationship Id="rId73" Type="http://schemas.openxmlformats.org/officeDocument/2006/relationships/image" Target="media/image47.png"/><Relationship Id="rId74" Type="http://schemas.openxmlformats.org/officeDocument/2006/relationships/image" Target="media/image48.png"/><Relationship Id="rId75" Type="http://schemas.openxmlformats.org/officeDocument/2006/relationships/image" Target="media/image49.png"/><Relationship Id="rId76" Type="http://schemas.openxmlformats.org/officeDocument/2006/relationships/image" Target="media/image50.png"/><Relationship Id="rId77" Type="http://schemas.openxmlformats.org/officeDocument/2006/relationships/image" Target="media/image51.png"/><Relationship Id="rId78" Type="http://schemas.openxmlformats.org/officeDocument/2006/relationships/image" Target="media/image52.png"/><Relationship Id="rId79" Type="http://schemas.openxmlformats.org/officeDocument/2006/relationships/image" Target="media/image53.png"/><Relationship Id="rId80" Type="http://schemas.openxmlformats.org/officeDocument/2006/relationships/image" Target="media/image54.png"/><Relationship Id="rId81" Type="http://schemas.openxmlformats.org/officeDocument/2006/relationships/image" Target="media/image55.png"/><Relationship Id="rId82" Type="http://schemas.openxmlformats.org/officeDocument/2006/relationships/image" Target="media/image56.png"/><Relationship Id="rId83" Type="http://schemas.openxmlformats.org/officeDocument/2006/relationships/image" Target="media/image57.png"/><Relationship Id="rId84" Type="http://schemas.openxmlformats.org/officeDocument/2006/relationships/image" Target="media/image58.png"/><Relationship Id="rId85" Type="http://schemas.openxmlformats.org/officeDocument/2006/relationships/image" Target="media/image59.png"/><Relationship Id="rId86" Type="http://schemas.openxmlformats.org/officeDocument/2006/relationships/image" Target="media/image60.png"/><Relationship Id="rId87" Type="http://schemas.openxmlformats.org/officeDocument/2006/relationships/image" Target="media/image61.png"/><Relationship Id="rId88" Type="http://schemas.openxmlformats.org/officeDocument/2006/relationships/image" Target="media/image62.png"/><Relationship Id="rId89" Type="http://schemas.openxmlformats.org/officeDocument/2006/relationships/image" Target="media/image63.png"/><Relationship Id="rId90" Type="http://schemas.openxmlformats.org/officeDocument/2006/relationships/image" Target="media/image64.png"/><Relationship Id="rId91" Type="http://schemas.openxmlformats.org/officeDocument/2006/relationships/image" Target="media/image65.png"/><Relationship Id="rId100" Type="http://schemas.openxmlformats.org/officeDocument/2006/relationships/image" Target="media/image66.png"/><Relationship Id="rId101" Type="http://schemas.openxmlformats.org/officeDocument/2006/relationships/image" Target="media/image67.jpeg"/><Relationship Id="rId102" Type="http://schemas.openxmlformats.org/officeDocument/2006/relationships/image" Target="media/image68.png"/><Relationship Id="rId103" Type="http://schemas.openxmlformats.org/officeDocument/2006/relationships/image" Target="media/image69.png"/><Relationship Id="rId104" Type="http://schemas.openxmlformats.org/officeDocument/2006/relationships/image" Target="media/image70.png"/><Relationship Id="rId105" Type="http://schemas.openxmlformats.org/officeDocument/2006/relationships/image" Target="media/image71.png"/><Relationship Id="rId40" Type="http://schemas.openxmlformats.org/officeDocument/2006/relationships/hyperlink" Target="https://www.sec.gov/ix?doc=/Archives/edgar/data/1847986/000164117225001755/form10-k.htm" TargetMode="External"/><Relationship Id="rId41" Type="http://schemas.openxmlformats.org/officeDocument/2006/relationships/hyperlink" Target="https://www.sec.gov/ix?doc=/Archives/edgar/data/1847986/000164117225011280/form10-q.htm" TargetMode="External"/><Relationship Id="rId42" Type="http://schemas.openxmlformats.org/officeDocument/2006/relationships/hyperlink" Target="https://www.sec.gov/ix?doc=/Archives/edgar/data/1847986/000149315225000307/form8-k.htm" TargetMode="External"/><Relationship Id="rId43" Type="http://schemas.openxmlformats.org/officeDocument/2006/relationships/hyperlink" Target="https://www.sec.gov/ix?doc=/Archives/edgar/data/1847986/000149315225005013/form8-k.htm" TargetMode="External"/><Relationship Id="rId44" Type="http://schemas.openxmlformats.org/officeDocument/2006/relationships/hyperlink" Target="https://www.sec.gov/ix?doc=/Archives/edgar/data/1847986/000149315225008445/form8-k.htm" TargetMode="External"/><Relationship Id="rId45" Type="http://schemas.openxmlformats.org/officeDocument/2006/relationships/hyperlink" Target="https://www.sec.gov/ix?doc=/Archives/edgar/data/1847986/000149315225009633/form8-k.htm" TargetMode="External"/><Relationship Id="rId46" Type="http://schemas.openxmlformats.org/officeDocument/2006/relationships/hyperlink" Target="https://www.sec.gov/ix?doc=/Archives/edgar/data/1847986/000164117225000298/form8-k.htm" TargetMode="External"/><Relationship Id="rId47" Type="http://schemas.openxmlformats.org/officeDocument/2006/relationships/hyperlink" Target="https://www.sec.gov/ix?doc=/Archives/edgar/data/1847986/000164117225006463/form8-k.htm" TargetMode="External"/><Relationship Id="rId48" Type="http://schemas.openxmlformats.org/officeDocument/2006/relationships/hyperlink" Target="https://www.sec.gov/ix?doc=/Archives/edgar/data/1847986/000164117225009296/form8-k.htm" TargetMode="External"/><Relationship Id="rId49" Type="http://schemas.openxmlformats.org/officeDocument/2006/relationships/hyperlink" Target="https://www.sec.gov/ix?doc=/Archives/edgar/data/1847986/000164117225013480/form8-k.htm" TargetMode="External"/><Relationship Id="rId50" Type="http://schemas.openxmlformats.org/officeDocument/2006/relationships/hyperlink" Target="https://www.sec.gov/ix?doc=/Archives/edgar/data/1847986/000164117225015095/form8-k.htm" TargetMode="External"/><Relationship Id="rId51" Type="http://schemas.openxmlformats.org/officeDocument/2006/relationships/hyperlink" Target="https://www.sec.gov/ix?doc=/Archives/edgar/data/1847986/000164117225016196/form8-k.htm" TargetMode="External"/><Relationship Id="rId52" Type="http://schemas.openxmlformats.org/officeDocument/2006/relationships/hyperlink" Target="https://www.sec.gov/ix?doc=/Archives/edgar/data/1847986/000164117225016938/form8-k.htm" TargetMode="External"/><Relationship Id="rId53" Type="http://schemas.openxmlformats.org/officeDocument/2006/relationships/hyperlink" Target="https://www.sec.gov/ix?doc=/Archives/edgar/data/1847986/000164117225017928/form8-k.htm" TargetMode="External"/><Relationship Id="rId54" Type="http://schemas.openxmlformats.org/officeDocument/2006/relationships/hyperlink" Target="https://www.sec.gov/ix?doc=/Archives/edgar/data/1847986/000164117225020360/form8-k.htm" TargetMode="External"/><Relationship Id="rId55" Type="http://schemas.openxmlformats.org/officeDocument/2006/relationships/hyperlink" Target="https://www.sec.gov/Archives/edgar/data/1847986/000164117225021256/form8-k.htm" TargetMode="External"/><Relationship Id="rId56" Type="http://schemas.openxmlformats.org/officeDocument/2006/relationships/hyperlink" Target="https://www.sec.gov/Archives/edgar/data/1847986/000110465921102670/tm2124648d1_8a12b.htm" TargetMode="External"/><Relationship Id="rId57" Type="http://schemas.openxmlformats.org/officeDocument/2006/relationships/hyperlink" Target="https://www.sec.gov/Archives/edgar/data/1847986/000164117225001755/ex4-18.htm" TargetMode="External"/><Relationship Id="rId58" Type="http://schemas.openxmlformats.org/officeDocument/2006/relationships/hyperlink" Target="https://www.sec.gov/Archives/edgar/data/1847986/000164117225001755/form10-k.htm" TargetMode="External"/><Relationship Id="rId92" Type="http://schemas.openxmlformats.org/officeDocument/2006/relationships/hyperlink" Target="https://www.sec.gov/ix?doc=/Archives/edgar/data/1847986/000149315223014966/form10-ka.htm" TargetMode="External"/><Relationship Id="rId93" Type="http://schemas.openxmlformats.org/officeDocument/2006/relationships/hyperlink" Target="https://www.sec.gov/Archives/edgar/data/1847986/000149315223017432/form10-q.htm" TargetMode="External"/><Relationship Id="rId94" Type="http://schemas.openxmlformats.org/officeDocument/2006/relationships/hyperlink" Target="https://www.sec.gov/Archives/edgar/data/1847986/000149315223029680/form10-q.htm" TargetMode="External"/><Relationship Id="rId95" Type="http://schemas.openxmlformats.org/officeDocument/2006/relationships/hyperlink" Target="https://www.sec.gov/ix?doc=/Archives/edgar/data/1847986/000149315223041072/form10-q.htm" TargetMode="External"/><Relationship Id="rId96" Type="http://schemas.openxmlformats.org/officeDocument/2006/relationships/hyperlink" Target="https://www.sec.gov/ix?doc=/Archives/edgar/data/0001847986/000149315223010262/form8-k.htm" TargetMode="External"/><Relationship Id="rId97" Type="http://schemas.openxmlformats.org/officeDocument/2006/relationships/hyperlink" Target="https://www.sec.gov/ix?doc=/Archives/edgar/data/0001847986/000149315223014971/form8-k.htm" TargetMode="External"/><Relationship Id="rId98" Type="http://schemas.openxmlformats.org/officeDocument/2006/relationships/hyperlink" Target="https://www.sec.gov/ix?doc=/Archives/edgar/data/0001847986/000149315223021997/form8-k.htm" TargetMode="External"/><Relationship Id="rId99" Type="http://schemas.openxmlformats.org/officeDocument/2006/relationships/hyperlink" Target="https://www.sec.gov/Archives/edgar/data/1847986/000149315223012533/ex4-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2025-07-30T16:19:28Z</dcterms:created>
  <dcterms:modified xsi:type="dcterms:W3CDTF">2025-07-30T16:19:28Z</dcterms:modified>
</cp:coreProperties>
</file>