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31,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2024,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Dragonfly Energy Corp. and Battle Born Battery Products, LLC entered into a limited waiver and fourth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its Term Loan, Guarantee and Security Agreement (as amended,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the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in regards to its compliance with the Senior Leverage Ratio and Fixed Charge Coverage Ratio tests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as of the last day of the quarter ended December 31, 2024 and certain amendments to the Loan Agreement. The Amendment provided for a one-time issuance of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to purchase up to 350,000 shares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an exercise price of $0.01 per share, in connection with the Lenders’ agreement to waive the Tests under the Loan Agreement for the quarter ended December 31, 2024 and to amend the Loan Agreement. The Penny Warrants will expire ten years from the date of issuance and will be exercisable at such time that the Company obtains the Warrant issuance Shareholder Approval (as defined below).</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Amendment, the Company agreed to use commercially reasonable efforts to obtain shareholder approval for the issuance of up to 1,400,000 shares of Common Stock underlying penny warrants issued to the Lenders on and after the date of the Amendment, including the Penny Warrant Shares and the Accrued Warrant Shares (as defined below), in accordance with Rules 5635(b) and 5635(d) of the Nasdaq Stock Market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Shareholder Approval</w:t>
      </w:r>
      <w:r>
        <w:rPr>
          <w:rFonts w:ascii="Times New Roman" w:cs="Times New Roman" w:eastAsia="Times New Roman" w:hAnsi="Times New Roman"/>
          <w:sz w:val="18"/>
          <w:szCs w:val="18"/>
          <w:color w:val="auto"/>
        </w:rPr>
        <w:t>”). Further, the Company agreed to issue the Lenders additional penny warrants (the “</w:t>
      </w:r>
      <w:r>
        <w:rPr>
          <w:rFonts w:ascii="Times New Roman" w:cs="Times New Roman" w:eastAsia="Times New Roman" w:hAnsi="Times New Roman"/>
          <w:sz w:val="18"/>
          <w:szCs w:val="18"/>
          <w:b w:val="1"/>
          <w:bCs w:val="1"/>
          <w:color w:val="auto"/>
        </w:rPr>
        <w:t>Accrued Penny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for a number of shares of Common Stock pursuant to the formula set forth in the Amendment (the “</w:t>
      </w:r>
      <w:r>
        <w:rPr>
          <w:rFonts w:ascii="Times New Roman" w:cs="Times New Roman" w:eastAsia="Times New Roman" w:hAnsi="Times New Roman"/>
          <w:sz w:val="18"/>
          <w:szCs w:val="18"/>
          <w:b w:val="1"/>
          <w:bCs w:val="1"/>
          <w:color w:val="auto"/>
        </w:rPr>
        <w:t>Accrued Warrant Shares</w:t>
      </w:r>
      <w:r>
        <w:rPr>
          <w:rFonts w:ascii="Times New Roman" w:cs="Times New Roman" w:eastAsia="Times New Roman" w:hAnsi="Times New Roman"/>
          <w:sz w:val="18"/>
          <w:szCs w:val="18"/>
          <w:color w:val="auto"/>
        </w:rPr>
        <w:t>”) upon the earlier to occur of (i) five business days after the end of the Waiver Period (as defined below) or (ii) five business days prior to the effectiveness of a Change of Control (as defined in the Loan Agreement), in which such Accrued Penny Warrants would not be exercisable prior to receipt of the Warrant Issuance Shareholder Approval.</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Amendment, the Lenders agreed to temporarily suspend the Lenders’ rights under Section 4(b) of the Warrants (as defined in the Amendment) to receive additional warrant shares in connection with the issuances by Company of shares of Common Stock pursuant to the Committed Equity Facility (as defined in the Penny Warrants) during the period from December 31, 2024 through the earliest of (x) the Company obtaining the Warrant Issuance Shareholder Approval, (y) the occurrence of a Change of Control, or (z) December 31, 2025 (the “</w:t>
      </w:r>
      <w:r>
        <w:rPr>
          <w:rFonts w:ascii="Times New Roman" w:cs="Times New Roman" w:eastAsia="Times New Roman" w:hAnsi="Times New Roman"/>
          <w:sz w:val="18"/>
          <w:szCs w:val="18"/>
          <w:b w:val="1"/>
          <w:bCs w:val="1"/>
          <w:color w:val="auto"/>
        </w:rPr>
        <w:t>Waiver Period</w:t>
      </w:r>
      <w:r>
        <w:rPr>
          <w:rFonts w:ascii="Times New Roman" w:cs="Times New Roman" w:eastAsia="Times New Roman" w:hAnsi="Times New Roman"/>
          <w:sz w:val="18"/>
          <w:szCs w:val="18"/>
          <w:color w:val="auto"/>
        </w:rPr>
        <w:t>”). In addition, the Amendment: (i) provided for the interest to be paid on the Payment Date (as defined in the Loan Agreement) occurring on January 1, 2025 to be payable partly in cash and the remainder payable-in-kind as set forth in the Amendment; and (ii) reduced the liquidity requirement under the Loan Agreement to be $3.5 million as of the last day of the fiscal month ended December 31,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Amendment also provided for a support agreement to be entered into by and among the Company and specified shareholders of the Company that hold in excess of 20% of the voting stock of the Company as of the date of the Amendment by which such shareholders agree to (i) be present at any meeting of shareholders of the Company and (ii) vote in favor of a proposal to obtain the Warrant Issuance Shareholder Approval (the “</w:t>
      </w:r>
      <w:r>
        <w:rPr>
          <w:rFonts w:ascii="Times New Roman" w:cs="Times New Roman" w:eastAsia="Times New Roman" w:hAnsi="Times New Roman"/>
          <w:sz w:val="18"/>
          <w:szCs w:val="18"/>
          <w:b w:val="1"/>
          <w:bCs w:val="1"/>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On December 31, 2024, the Company entered into the Support Agreement with the specified shareholder signatory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Amendment, the Support Agreement and the Penny Warrants does not purport to be complete and is qualified in its entirety by reference to the full text of the form of Penny Warrant, the Amendment and the Support Agreement, copies of which are filed as Exhibits 4.1, 10.1 and 10.2, respectively to this Current Report on Form 8-K and are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related to the Amendment, Penny Warrant, the Penny Warrant Shares, the Accrued Penny Warrants and the Accrued Warrant Shares is hereby incorporated by reference into this Item 3.02. The Penny Warrant and the Penny Warrant Shares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are instead being offered pursuant to the exemption provided in Section 4(a)(2) under the Securities Act.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Form of Penny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Limited Waiver and Fourth Amendment to Term Loan, Guarantee and Security Agreement, dated as of December 31, 2024, by and among</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Dragonfly Energy Holdings Corp., Dragonfly Energy Corp., Battle Born Battery Products, LLC, the lenders from time to time party thereto</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and Alter Domus (US) LLC.</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Support Agreement, dated as of December 31, 2024, by and among Dragonfly Energy Holdings Corp. and the shareholder identified on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signature pages thereto.</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3,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PENNY WARRANT</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REGISTRπATION</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IS AVAILABLE. THIS WARRANT MUST BE SURRENDERED TO THE COMPANY OR ITS TRANSFER AGENT AS A CONDITION PRECEDENT TO THE SALE, TRANSFER, PLEDGE OR HYPOTHECATION OF ANY INTEREST IN ANY OF THE SECURITIES REPRESENTED HEREBY.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_________</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 WARRANTS</w:t>
            </w:r>
          </w:p>
        </w:tc>
      </w:tr>
      <w:tr>
        <w:trPr>
          <w:trHeight w:val="432"/>
        </w:trPr>
        <w:tc>
          <w:tcPr>
            <w:tcW w:w="11240" w:type="dxa"/>
            <w:vAlign w:val="bottom"/>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tc>
      </w:tr>
      <w:tr>
        <w:trPr>
          <w:trHeight w:val="410"/>
        </w:trPr>
        <w:tc>
          <w:tcPr>
            <w:tcW w:w="88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DRAGONFLY ENERGY HOLDINGS CORP.</w:t>
            </w:r>
          </w:p>
        </w:tc>
        <w:tc>
          <w:tcPr>
            <w:tcW w:w="2360" w:type="dxa"/>
            <w:vAlign w:val="bottom"/>
          </w:tcPr>
          <w:p>
            <w:pPr>
              <w:spacing w:after="0"/>
              <w:rPr>
                <w:sz w:val="24"/>
                <w:szCs w:val="24"/>
                <w:color w:val="auto"/>
              </w:rPr>
            </w:pPr>
          </w:p>
        </w:tc>
      </w:tr>
      <w:tr>
        <w:trPr>
          <w:trHeight w:val="238"/>
        </w:trPr>
        <w:tc>
          <w:tcPr>
            <w:tcW w:w="88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360" w:type="dxa"/>
            <w:vAlign w:val="bottom"/>
          </w:tcPr>
          <w:p>
            <w:pPr>
              <w:spacing w:after="0"/>
              <w:rPr>
                <w:sz w:val="20"/>
                <w:szCs w:val="20"/>
                <w:color w:val="auto"/>
              </w:rPr>
            </w:pPr>
          </w:p>
        </w:tc>
      </w:tr>
      <w:tr>
        <w:trPr>
          <w:trHeight w:val="392"/>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_____________, is the registered holder (the “Holder”)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a warrant or warrants (the</w:t>
            </w:r>
          </w:p>
        </w:tc>
      </w:tr>
      <w:tr>
        <w:trPr>
          <w:trHeight w:val="20"/>
        </w:trPr>
        <w:tc>
          <w:tcPr>
            <w:tcW w:w="8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is entitled to purchase up to fully paid and non-assessable shares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(as amended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(ii) Limited Waiver and Fourth Amendment to Term Loan, Guarantee and Security Agreement among Alter Domus (US) LLC, Dragonfly Energy Corp. and the other partiesπ signatory thereto (the “</w:t>
      </w: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This Warrant shall not be exercisable until such time as the Company has received approval of its stockholders for such exercise in compliance with the rules and regulations of the Nasdaq Stock Market.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legal@dragonflyenergy.com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 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972"/>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72" w:hanging="324"/>
        <w:spacing w:after="0" w:line="255"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21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5" w:name="page6"/>
    <w:bookmarkEnd w:id="5"/>
    <w:p>
      <w:pPr>
        <w:ind w:left="972" w:hanging="324"/>
        <w:spacing w:after="0" w:line="282"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6" w:lineRule="exact"/>
        <w:rPr>
          <w:sz w:val="20"/>
          <w:szCs w:val="20"/>
          <w:color w:val="auto"/>
        </w:rPr>
      </w:pPr>
    </w:p>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180" w:lineRule="exact"/>
        <w:rPr>
          <w:sz w:val="20"/>
          <w:szCs w:val="20"/>
          <w:color w:val="auto"/>
        </w:rPr>
      </w:pPr>
    </w:p>
    <w:p>
      <w:pPr>
        <w:ind w:left="332" w:hanging="332"/>
        <w:spacing w:after="0"/>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6" w:name="page7"/>
    <w:bookmarkEnd w:id="6"/>
    <w:p>
      <w:pPr>
        <w:jc w:val="both"/>
        <w:ind w:left="964" w:hanging="316"/>
        <w:spacing w:after="0" w:line="256"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214"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$90 (as proportionately adjusted to account for stock splits, stock combinations, stock dividends or other distributions and recapitalizations affecting the Common Stock on or after the Issuance Date)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192" w:lineRule="exact"/>
        <w:rPr>
          <w:sz w:val="20"/>
          <w:szCs w:val="20"/>
          <w:color w:val="auto"/>
        </w:rPr>
      </w:pPr>
    </w:p>
    <w:p>
      <w:pPr>
        <w:ind w:left="3804"/>
        <w:spacing w:after="0"/>
        <w:rPr>
          <w:sz w:val="20"/>
          <w:szCs w:val="20"/>
          <w:color w:val="auto"/>
        </w:rPr>
      </w:pPr>
      <w:r>
        <w:rPr>
          <w:rFonts w:ascii="Times New Roman" w:cs="Times New Roman" w:eastAsia="Times New Roman" w:hAnsi="Times New Roman"/>
          <w:sz w:val="18"/>
          <w:szCs w:val="18"/>
          <w:color w:val="auto"/>
        </w:rPr>
        <w:t>S1 = S x [(OS + D) / (OS + PS)]</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S1 = new number of Shares issuable upon exercise of this Warrant</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9" w:lineRule="exact"/>
        <w:rPr>
          <w:sz w:val="20"/>
          <w:szCs w:val="20"/>
          <w:color w:val="auto"/>
        </w:rPr>
      </w:pPr>
    </w:p>
    <w:p>
      <w:pPr>
        <w:ind w:left="324"/>
        <w:spacing w:after="0" w:line="250" w:lineRule="auto"/>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 D = the maximum number of Shares deliverable upon issuance of such securities</w:t>
      </w:r>
    </w:p>
    <w:p>
      <w:pPr>
        <w:spacing w:after="0" w:line="1" w:lineRule="exact"/>
        <w:rPr>
          <w:sz w:val="20"/>
          <w:szCs w:val="20"/>
          <w:color w:val="auto"/>
        </w:rPr>
      </w:pPr>
    </w:p>
    <w:p>
      <w:pPr>
        <w:ind w:left="324"/>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324" w:hanging="324"/>
        <w:spacing w:after="0" w:line="253"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282575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 w:name="page8"/>
    <w:bookmarkEnd w:id="7"/>
    <w:p>
      <w:pPr>
        <w:jc w:val="both"/>
        <w:ind w:left="972" w:hanging="324"/>
        <w:spacing w:after="0" w:line="25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$45 per share (as proportionately adjusted to account for stock splits, stock combinations, stock dividends or other distributions or recapitalizations affecting the Common Stock on or after the issue Date). For example (x) if the Company issues equity securities in a PIPE Transaction or pursuant to the Committed Equity Facility, and the consideration paid for those equity securities is $36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$45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952" w:hanging="304"/>
        <w:spacing w:after="0" w:line="252" w:lineRule="auto"/>
        <w:tabs>
          <w:tab w:leader="none" w:pos="9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8" w:name="page9"/>
    <w:bookmarkEnd w:id="8"/>
    <w:p>
      <w:pPr>
        <w:jc w:val="both"/>
        <w:ind w:left="324" w:hanging="324"/>
        <w:spacing w:after="0" w:line="253"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52"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 w:name="page10"/>
    <w:bookmarkEnd w:id="9"/>
    <w:p>
      <w:pPr>
        <w:jc w:val="both"/>
        <w:ind w:left="1064" w:hanging="335"/>
        <w:spacing w:after="0" w:line="254" w:lineRule="auto"/>
        <w:tabs>
          <w:tab w:leader="none" w:pos="10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064" w:hanging="335"/>
        <w:spacing w:after="0" w:line="282" w:lineRule="auto"/>
        <w:tabs>
          <w:tab w:leader="none" w:pos="10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064" w:hanging="335"/>
        <w:spacing w:after="0" w:line="282" w:lineRule="auto"/>
        <w:tabs>
          <w:tab w:leader="none" w:pos="10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 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 w:name="page11"/>
    <w:bookmarkEnd w:id="10"/>
    <w:p>
      <w:pPr>
        <w:jc w:val="both"/>
        <w:ind w:left="972" w:hanging="324"/>
        <w:spacing w:after="0" w:line="261"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90"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52" w:hanging="304"/>
        <w:spacing w:after="0" w:line="256" w:lineRule="auto"/>
        <w:tabs>
          <w:tab w:leader="none" w:pos="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1" w:name="page12"/>
    <w:bookmarkEnd w:id="11"/>
    <w:p>
      <w:pPr>
        <w:jc w:val="both"/>
        <w:ind w:left="952" w:hanging="304"/>
        <w:spacing w:after="0" w:line="255" w:lineRule="auto"/>
        <w:tabs>
          <w:tab w:leader="none" w:pos="9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52" w:hanging="304"/>
        <w:spacing w:after="0" w:line="258" w:lineRule="auto"/>
        <w:tabs>
          <w:tab w:leader="none" w:pos="9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52"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2" w:name="page13"/>
    <w:bookmarkEnd w:id="12"/>
    <w:p>
      <w:pPr>
        <w:jc w:val="both"/>
        <w:ind w:left="972" w:hanging="324"/>
        <w:spacing w:after="0" w:line="253"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w:t>
      </w:r>
      <w:r>
        <w:rPr>
          <w:rFonts w:ascii="Times New Roman" w:cs="Times New Roman" w:eastAsia="Times New Roman" w:hAnsi="Times New Roman"/>
          <w:sz w:val="18"/>
          <w:szCs w:val="18"/>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94"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215"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3" w:name="page14"/>
    <w:bookmarkEnd w:id="13"/>
    <w:p>
      <w:pPr>
        <w:ind w:left="332" w:hanging="332"/>
        <w:spacing w:after="0"/>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52"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__,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 Warrants represented by this Warrant Certificate, and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1137285</wp:posOffset>
            </wp:positionV>
            <wp:extent cx="6069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069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069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6069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 Warrants represented by this Warrant Certificate, and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Shares issuable upon the exercise of such Warrants, </w:t>
      </w:r>
      <w:r>
        <w:rPr>
          <w:rFonts w:ascii="Times New Roman" w:cs="Times New Roman" w:eastAsia="Times New Roman" w:hAnsi="Times New Roman"/>
          <w:sz w:val="18"/>
          <w:szCs w:val="18"/>
          <w:b w:val="1"/>
          <w:bCs w:val="1"/>
          <w:color w:val="auto"/>
        </w:rPr>
        <w:t>using the Cashless Exercise___________ method, resulting in the issuance of Shares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has calculated the number of Shares to be issued to it in accordance with the following formula set forth in Section 1(d)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Where the Fair Market Value of one Share is $[ ],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Certificates for such shares shall be issued in the name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_____________</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6069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069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2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 AND EMAIL)</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6069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1980" w:val="left"/>
          <w:tab w:leader="none" w:pos="2420" w:val="left"/>
          <w:tab w:leader="none" w:pos="3280" w:val="left"/>
          <w:tab w:leader="none" w:pos="4340" w:val="left"/>
          <w:tab w:leader="none" w:pos="4740" w:val="left"/>
          <w:tab w:leader="none" w:pos="5220" w:val="left"/>
          <w:tab w:leader="none" w:pos="6020" w:val="left"/>
          <w:tab w:leader="none" w:pos="7040" w:val="left"/>
          <w:tab w:leader="none" w:pos="7520" w:val="left"/>
          <w:tab w:leader="none" w:pos="8240" w:val="left"/>
          <w:tab w:leader="none" w:pos="9280" w:val="left"/>
          <w:tab w:leader="none" w:pos="10200" w:val="left"/>
          <w:tab w:leader="none" w:pos="10680" w:val="left"/>
        </w:tabs>
        <w:rPr>
          <w:sz w:val="20"/>
          <w:szCs w:val="20"/>
          <w:color w:val="auto"/>
        </w:rPr>
      </w:pPr>
      <w:r>
        <w:rPr>
          <w:rFonts w:ascii="Times New Roman" w:cs="Times New Roman" w:eastAsia="Times New Roman" w:hAnsi="Times New Roman"/>
          <w:sz w:val="18"/>
          <w:szCs w:val="18"/>
          <w:color w:val="auto"/>
        </w:rPr>
        <w:t>__________________of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_________________________Attorney to transfer this Warrant Certificate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 AND FOURTH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 AND TEMPORARY, LIMITED SUSPENSION AND WAIVER OF WARRANT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 AND FOURTH AMENDMENT TO TERM LOAN, GUARANTEE AND SECURITY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TEMPORARY, LIMITED SUSPENSION AND WAIVER OF WARRANT TERMS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December 31, 2024,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BATTLE BORN BATTERY PRODUCTS, LLC (“</w:t>
      </w:r>
      <w:r>
        <w:rPr>
          <w:rFonts w:ascii="Times New Roman" w:cs="Times New Roman" w:eastAsia="Times New Roman" w:hAnsi="Times New Roman"/>
          <w:sz w:val="18"/>
          <w:szCs w:val="18"/>
          <w:u w:val="single" w:color="auto"/>
          <w:color w:val="auto"/>
        </w:rPr>
        <w:t>Battle Born</w:t>
      </w:r>
      <w:r>
        <w:rPr>
          <w:rFonts w:ascii="Times New Roman" w:cs="Times New Roman" w:eastAsia="Times New Roman" w:hAnsi="Times New Roman"/>
          <w:sz w:val="18"/>
          <w:szCs w:val="18"/>
          <w:color w:val="auto"/>
        </w:rPr>
        <w:t>”, and together with Holdings,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Lenders signatory hereto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Borrower, Holdings, the Required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and as may be further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Loan Agreement, the Credit Parties are required to measure the Senior Leverage Ratio as of the last day of the Fiscal Quarter ending December 31, 2024 (the “</w:t>
      </w:r>
      <w:r>
        <w:rPr>
          <w:rFonts w:ascii="Times New Roman" w:cs="Times New Roman" w:eastAsia="Times New Roman" w:hAnsi="Times New Roman"/>
          <w:sz w:val="18"/>
          <w:szCs w:val="18"/>
          <w:u w:val="single" w:color="auto"/>
          <w:color w:val="auto"/>
        </w:rPr>
        <w:t>Senior Leverage Ratio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Loan Agreement, the Credit Parties are required to measure the Fixed Charge Coverage Ratio for the trailing four (4) Fiscal Quarter period ending on December 31, 2024 if Liquidity is less than $15,000,000 as of the last day of the Fiscal Quarter ending December 31, 2024 (the “</w:t>
      </w:r>
      <w:r>
        <w:rPr>
          <w:rFonts w:ascii="Times New Roman" w:cs="Times New Roman" w:eastAsia="Times New Roman" w:hAnsi="Times New Roman"/>
          <w:sz w:val="18"/>
          <w:szCs w:val="18"/>
          <w:u w:val="single" w:color="auto"/>
          <w:color w:val="auto"/>
        </w:rPr>
        <w:t>Fixed Charge Coverage Ratio Test</w:t>
      </w:r>
      <w:r>
        <w:rPr>
          <w:rFonts w:ascii="Times New Roman" w:cs="Times New Roman" w:eastAsia="Times New Roman" w:hAnsi="Times New Roman"/>
          <w:sz w:val="18"/>
          <w:szCs w:val="18"/>
          <w:color w:val="auto"/>
        </w:rPr>
        <w:t>” and together with the Senior Leverage Ratio Test, the “</w:t>
      </w:r>
      <w:r>
        <w:rPr>
          <w:rFonts w:ascii="Times New Roman" w:cs="Times New Roman" w:eastAsia="Times New Roman" w:hAnsi="Times New Roman"/>
          <w:sz w:val="18"/>
          <w:szCs w:val="18"/>
          <w:u w:val="single" w:color="auto"/>
          <w:color w:val="auto"/>
        </w:rPr>
        <w:t>Tests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Required Lenders (i) waive the Tests for the Fiscal Quarter ending December 31, 2024 and (ii) amend certain provisions of the Loan Agreement and, subject to the satisfaction of the conditions set forth below, each of the Agent and the Required Lenders are willing to waive the Tests for the Fiscal Quarter ending December 31, 2024 and amend the Loan Agreement on the terms set forth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WHEREAS, Holdings has issued that certain (i) Penny Warrant, dated as of October 7, 2022, to BP Holdings XVII LP, (ii) Penny Warrant, dated as of October 7, 2022, to Energy Impact Credit Fund I LP, (iii) Penny Warrant, dated as of October 7, 2022, to Energy Impact Credit Fund II LP, (iv) Penny Warrant, dated as of December 29, 2023, to BP Holdings XVII LP, (v) Penny Warrant, dated as of December 29, 2023, to Energy Impact Credit Fund I LP,</w:t>
      </w:r>
    </w:p>
    <w:p>
      <w:pPr>
        <w:spacing w:after="0" w:line="2" w:lineRule="exact"/>
        <w:rPr>
          <w:sz w:val="20"/>
          <w:szCs w:val="20"/>
          <w:color w:val="auto"/>
        </w:rPr>
      </w:pPr>
    </w:p>
    <w:p>
      <w:pPr>
        <w:jc w:val="both"/>
        <w:ind w:firstLine="8"/>
        <w:spacing w:after="0" w:line="251"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 dated as of December 29, 2023, to Energy Impact Credit Fund II LP, (vii) Penny Warrant, dated as of May 13, 2024, to BP Holdings XVII LP, (viii) Penny Warrant, dated as of May 13, 2024, to Energy Impact Credit Fund I LP, (ix) Penny Warrant, dated as of May 13, 2024, to Energy Impact Credit Fund II LP, (x) Penny Warrant, dated as of June 28, 2024, to BP Holdings XVII LP, (xi) Penny Warrant, dated as of June 28, 2024, to Energy Impact Credit Fund I LP, (xii) Penny Warrant, dated as of June 28, 2024, to Energy Impact Credit Fund II LP, (xiii) Penny Warrant, dated as of September 30, 2024, to BP Holdings XVII LP, (xiv) Penny Warrant, dated as of September 30, 2024, to Energy Impact Credit Fund I LP, (xv) Penny Warrant, dated as of September 30, 2024, to Energy Impact Credit Fund II LP, and (xvi) additional Penny Warrants as a result of the anti-dilution provisions in the Penny Warrants set forth in subsections (i)-(xv) above (as each may be further amended, modified, extended, restated, replaced, and/or supplemented from time to time, collectively,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Lenders have agreed to temporarily waive certain anti-dilution protections in accordance with the terms set forth in Section 1(b) below;</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each of the Agent (acting at the direction of the Required Lenders) and the Required Lenders hereby waives the Tests for the Fiscal Quarter ending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only to the Tests for the Fiscal Quarter ending December 31, 2024 and to no other current or prospective financial covenants under the Loan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hereby temporarily suspend (but do not release, terminate or otherwise impair) the warrant holders’ rights under Section 4(b) of the Warrants to receive additional warrant shares in connection with issuances by Holdings of shares pursuant to the Committed Equity Facility (as defined in the Warrants) during the period from the Fourth Amendment Effective Date through the earliest of (x) Holdings obtaining the Warrant Issuance Shareholder Approval, (y) the occurrence of a Change of Control, and (z) December 31, 2025 (the “</w:t>
      </w:r>
      <w:r>
        <w:rPr>
          <w:rFonts w:ascii="Times New Roman" w:cs="Times New Roman" w:eastAsia="Times New Roman" w:hAnsi="Times New Roman"/>
          <w:sz w:val="18"/>
          <w:szCs w:val="18"/>
          <w:u w:val="single" w:color="auto"/>
          <w:color w:val="auto"/>
        </w:rPr>
        <w:t>Waiver Period</w:t>
      </w:r>
      <w:r>
        <w:rPr>
          <w:rFonts w:ascii="Times New Roman" w:cs="Times New Roman" w:eastAsia="Times New Roman" w:hAnsi="Times New Roman"/>
          <w:sz w:val="18"/>
          <w:szCs w:val="18"/>
          <w:color w:val="auto"/>
        </w:rPr>
        <w:t>”). Within five Business Days of the end of the Waiver Period (or, in the case of a Change of Control, at least five Business Days prior to the effectiveness of such Change of Control), Holdings shall issue to each holder of Warrants a notice of adjustment, as contemplated by Section 4(f) of the Warrants, (i) computing the number of additional warrant shares that would have been required to be issued to such holder pursuant to the terms of such Warrant if this temporary suspension and waiver had not been granted (the “</w:t>
      </w:r>
      <w:r>
        <w:rPr>
          <w:rFonts w:ascii="Times New Roman" w:cs="Times New Roman" w:eastAsia="Times New Roman" w:hAnsi="Times New Roman"/>
          <w:sz w:val="18"/>
          <w:szCs w:val="18"/>
          <w:u w:val="single" w:color="auto"/>
          <w:color w:val="auto"/>
        </w:rPr>
        <w:t>Accrued Warrant Shares</w:t>
      </w:r>
      <w:r>
        <w:rPr>
          <w:rFonts w:ascii="Times New Roman" w:cs="Times New Roman" w:eastAsia="Times New Roman" w:hAnsi="Times New Roman"/>
          <w:sz w:val="18"/>
          <w:szCs w:val="18"/>
          <w:color w:val="auto"/>
        </w:rPr>
        <w:t>”), (ii) confirming that the number of warrant shares for which such Warrant is then exercisable for has been increased by the amount of Accrued Warrant Shares, which, in the case of a Change of Control, shall become effective as of immediately prior to the end of the Waiver Period and (iii) in the event, the Warrant Issuance Shareholder Approval has not been obtained prior to the end of the Waiver Period, a confirmation that the Accrued Warrant Shares shall not be exercisable until the Warrant Issuance Shareholder Approval (as defined below) is obtained. In addition, Holdings shall deliver to the holders of the Warrants such other documentation as may be reasonably requested by the Lenders evidencing such additional issuance of warrant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20" w:firstLine="656"/>
        <w:spacing w:after="0" w:line="282" w:lineRule="auto"/>
        <w:tabs>
          <w:tab w:leader="none" w:pos="8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Loan Agreement</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Loan Agreement is hereby amended as of the date hereof as follows:</w:t>
      </w:r>
    </w:p>
    <w:p>
      <w:pPr>
        <w:spacing w:after="0" w:line="162" w:lineRule="exact"/>
        <w:rPr>
          <w:sz w:val="20"/>
          <w:szCs w:val="20"/>
          <w:color w:val="auto"/>
        </w:rPr>
      </w:pPr>
    </w:p>
    <w:p>
      <w:pPr>
        <w:ind w:left="880" w:hanging="24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(Interest) shall be amended by amending and restating clause (b) thereof to read as follows:</w:t>
      </w:r>
    </w:p>
    <w:p>
      <w:pPr>
        <w:spacing w:after="0" w:line="225" w:lineRule="exact"/>
        <w:rPr>
          <w:rFonts w:ascii="Times New Roman" w:cs="Times New Roman" w:eastAsia="Times New Roman" w:hAnsi="Times New Roman"/>
          <w:sz w:val="18"/>
          <w:szCs w:val="18"/>
          <w:color w:val="auto"/>
        </w:rPr>
      </w:pPr>
    </w:p>
    <w:p>
      <w:pPr>
        <w:jc w:val="both"/>
        <w:ind w:left="1280" w:right="1300" w:firstLine="652"/>
        <w:spacing w:after="0" w:line="251" w:lineRule="auto"/>
        <w:tabs>
          <w:tab w:leader="none" w:pos="21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interest to Agent for the pro rata benefit of the Lenders on the outstanding balance of the Loan on a quarterly basis. Interest shall be payable on the balance of the Loan (i) quarterly in arrears and shall be due on the first Business Day of each Fiscal Quarter, (ii) on the Maturity Date of the Loan, and (iii) if any interest accrues or remains payable after the Maturity Date of the Loan, upon demand by Agent. For each Payment Date from the Closing Date until and including January 1, 2025 (other than the Payment Dates occurring on July 1, 2024, October 1, 2024 and January 1, 2025 which are governed by the provided clauses at the end of this sentence), interest shall be payable partly in cash and payable partly in-kind at a rate per annum equal to Adjusted Term SOFR </w:t>
      </w:r>
      <w:r>
        <w:rPr>
          <w:rFonts w:ascii="Times New Roman" w:cs="Times New Roman" w:eastAsia="Times New Roman" w:hAnsi="Times New Roman"/>
          <w:sz w:val="18"/>
          <w:szCs w:val="18"/>
          <w:i w:val="1"/>
          <w:iCs w:val="1"/>
          <w:color w:val="auto"/>
        </w:rPr>
        <w:t>plus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Margin, </w:t>
      </w:r>
      <w:r>
        <w:rPr>
          <w:rFonts w:ascii="Times New Roman" w:cs="Times New Roman" w:eastAsia="Times New Roman" w:hAnsi="Times New Roman"/>
          <w:sz w:val="18"/>
          <w:szCs w:val="18"/>
          <w:color w:val="auto"/>
        </w:rPr>
        <w:t>with the portion payable in-kind at the Applicable PIK Rate which shall be capitalized, compounded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thereby increase the outstanding principal amount of the Loan on a quarterly basis on each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solely in the case of the Payment Date occurring on July 1, 2024, all interest payable on such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shall be payable in-kind at a per annum rate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which shall be capitalized, compounded and thereby increase the outstanding principal amount of the Loan on such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solely in the case of the Payment Date occurring on October 1, 2024, interest shall be payable in cash and payable in-kind as follows: (x) $1,500,000 shall be paid in cash for the pro rata benefit of the Lenders on the outstanding balance of the Loan on a quarterly basis and (y) all remaining interest shall be payable in-kind which shall be capitalized, compounded and thereby increase the outstanding principal amount of the Loan on a quarterly basis on such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solely in the case of the Payment Date occurring on January 1, 2025, all interest payable on such Payment Date shall be payable in-kind at a per annum rate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which shall be capitalized, compounded and thereby increase the outstanding principal amount of the Loan on such Payment Date. For each Payment Date occurring on and after April 1, 2025 (for the avoidance of doubt, including all interest accruing for the period beginning January 1, 2025 and ending March 31, 2025), all interest shall be payable in cash at a rate per annum equal to Adjusted Term SOFR </w:t>
      </w:r>
      <w:r>
        <w:rPr>
          <w:rFonts w:ascii="Times New Roman" w:cs="Times New Roman" w:eastAsia="Times New Roman" w:hAnsi="Times New Roman"/>
          <w:sz w:val="18"/>
          <w:szCs w:val="18"/>
          <w:i w:val="1"/>
          <w:iCs w:val="1"/>
          <w:color w:val="auto"/>
        </w:rPr>
        <w:t>plus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Margin.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3" w:name="page24"/>
    <w:bookmarkEnd w:id="23"/>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is hereby amended by adding a new Section 1.5(f) to read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from and after the Fourth Amendment Effective Date use commercially reasonable efforts to obtain shareholder approval (on terms reasonably acceptable to the Required Lenders) (the “</w:t>
      </w:r>
      <w:r>
        <w:rPr>
          <w:rFonts w:ascii="Times New Roman" w:cs="Times New Roman" w:eastAsia="Times New Roman" w:hAnsi="Times New Roman"/>
          <w:sz w:val="18"/>
          <w:szCs w:val="18"/>
          <w:u w:val="single" w:color="auto"/>
          <w:color w:val="auto"/>
        </w:rPr>
        <w:t>Warrant Issuance Shareholder Approval</w:t>
      </w:r>
      <w:r>
        <w:rPr>
          <w:rFonts w:ascii="Times New Roman" w:cs="Times New Roman" w:eastAsia="Times New Roman" w:hAnsi="Times New Roman"/>
          <w:sz w:val="18"/>
          <w:szCs w:val="18"/>
          <w:color w:val="auto"/>
        </w:rPr>
        <w:t>”) in accordance with rules 5635(b) and (d) of the Nasdaq Stock Market (the “</w:t>
      </w:r>
      <w:r>
        <w:rPr>
          <w:rFonts w:ascii="Times New Roman" w:cs="Times New Roman" w:eastAsia="Times New Roman" w:hAnsi="Times New Roman"/>
          <w:sz w:val="18"/>
          <w:szCs w:val="18"/>
          <w:u w:val="single" w:color="auto"/>
          <w:color w:val="auto"/>
        </w:rPr>
        <w:t>Nasdaq Rules</w:t>
      </w:r>
      <w:r>
        <w:rPr>
          <w:rFonts w:ascii="Times New Roman" w:cs="Times New Roman" w:eastAsia="Times New Roman" w:hAnsi="Times New Roman"/>
          <w:sz w:val="18"/>
          <w:szCs w:val="18"/>
          <w:color w:val="auto"/>
        </w:rPr>
        <w:t>”) for the issuances of shares of common stock of Holdings underlying warrants that shall from and after the date hereof, be issued to the Lenders, including the Accrued Warrant Shares (collectively, the “</w:t>
      </w:r>
      <w:r>
        <w:rPr>
          <w:rFonts w:ascii="Times New Roman" w:cs="Times New Roman" w:eastAsia="Times New Roman" w:hAnsi="Times New Roman"/>
          <w:sz w:val="18"/>
          <w:szCs w:val="18"/>
          <w:u w:val="single" w:color="auto"/>
          <w:color w:val="auto"/>
        </w:rPr>
        <w:t>Lender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Issuances</w:t>
      </w:r>
      <w:r>
        <w:rPr>
          <w:rFonts w:ascii="Times New Roman" w:cs="Times New Roman" w:eastAsia="Times New Roman" w:hAnsi="Times New Roman"/>
          <w:sz w:val="18"/>
          <w:szCs w:val="18"/>
          <w:color w:val="auto"/>
        </w:rPr>
        <w:t>”) for an aggregate amount of additional shares of common stock of Holdings underlying such warrants up to 1,400,000 shares. If the warrants included in the Lender Warrant Issuances are not exercisable by December 31, 2025 in accordance with the N</w:t>
      </w:r>
      <w:r>
        <w:rPr>
          <w:rFonts w:ascii="Times New Roman" w:cs="Times New Roman" w:eastAsia="Times New Roman" w:hAnsi="Times New Roman"/>
          <w:sz w:val="18"/>
          <w:szCs w:val="18"/>
          <w:u w:val="single" w:color="auto"/>
          <w:color w:val="auto"/>
        </w:rPr>
        <w:t>asdaq Rules</w:t>
      </w:r>
      <w:r>
        <w:rPr>
          <w:rFonts w:ascii="Times New Roman" w:cs="Times New Roman" w:eastAsia="Times New Roman" w:hAnsi="Times New Roman"/>
          <w:sz w:val="18"/>
          <w:szCs w:val="18"/>
          <w:color w:val="auto"/>
        </w:rPr>
        <w:t>, then the Loan Parties shall on January 1, 2026 make a payment in cash of additional interest to the Agent for the pro rata benefit of the Lenders in an amount equal to the fair market value (the “</w:t>
      </w:r>
      <w:r>
        <w:rPr>
          <w:rFonts w:ascii="Times New Roman" w:cs="Times New Roman" w:eastAsia="Times New Roman" w:hAnsi="Times New Roman"/>
          <w:sz w:val="18"/>
          <w:szCs w:val="18"/>
          <w:u w:val="single" w:color="auto"/>
          <w:color w:val="auto"/>
        </w:rPr>
        <w:t>Warrants FMV</w:t>
      </w:r>
      <w:r>
        <w:rPr>
          <w:rFonts w:ascii="Times New Roman" w:cs="Times New Roman" w:eastAsia="Times New Roman" w:hAnsi="Times New Roman"/>
          <w:sz w:val="18"/>
          <w:szCs w:val="18"/>
          <w:color w:val="auto"/>
        </w:rPr>
        <w:t>”) of (x) any of the new warrants issued to the Lenders in connection with this Agreement and any other warrants issued to the Lenders from and after the Fourth Amendment Effective Date that are not exercisable in accordance with the Nasdaq Rules and (y) the additional warrant shares that, but for the temporary suspension and waiver of antidilution provisions under the Penny Warrants as set forth in Section 1(b) to the Fourth Amendment, would have been issued to the Lenders from and after the Fourth Amendment Effective Date and that are not exercisable in accordance with the Nasdaq Rules, which payment of additional interest shall be shared by the Lenders on a ratable basis based on the number of shares of Holdings stock issuable to each Lender under such warrants. The Warrants FMV will be determined by the Loan Parties and the Lenders, acting reasonably, as of December 31, 2025; provided, that if the Loan Parties and Lenders are unable to agree on the Warrants FMV after a period of 10 Business Days, the Warrants FMV shall be determined by an independent accountant selected by the Lenders and reasonably acceptable to Holdings (the expenses of which accountant shall be the responsibility of the Loan Parties and treated as Obligations). The independent accountant’s determination of the Warrants FMV shall be binding upon all parties absent demonstrable error. Upon the determination of the Warrants FMV, the Lenders shall provide the Warrants FMV to the Agent in writing.</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(Financial Covenants) shall be amended by amending and restating clause (b) thereof to read as follows:</w:t>
      </w:r>
    </w:p>
    <w:p>
      <w:pPr>
        <w:spacing w:after="0" w:line="225" w:lineRule="exact"/>
        <w:rPr>
          <w:sz w:val="20"/>
          <w:szCs w:val="20"/>
          <w:color w:val="auto"/>
        </w:rPr>
      </w:pPr>
    </w:p>
    <w:p>
      <w:pPr>
        <w:jc w:val="both"/>
        <w:ind w:left="1300" w:right="1300" w:firstLine="652"/>
        <w:spacing w:after="0" w:line="257" w:lineRule="auto"/>
        <w:tabs>
          <w:tab w:leader="none" w:pos="220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The Credit Parties shall not permit their Liquidity (determined on a consolidated basis) to be less than (i) $3,500,000 as of the last day of the Fiscal Month ending June 30, 2024, (ii) $7,000,000 as of the last day of the Fiscal Month ending September 30, 2024, (iii) $3,500,000 as of the last day of the Fiscal Month ending December 31,</w:t>
      </w:r>
    </w:p>
    <w:p>
      <w:pPr>
        <w:spacing w:after="0" w:line="1" w:lineRule="exact"/>
        <w:rPr>
          <w:rFonts w:ascii="Times New Roman" w:cs="Times New Roman" w:eastAsia="Times New Roman" w:hAnsi="Times New Roman"/>
          <w:sz w:val="18"/>
          <w:szCs w:val="18"/>
          <w:color w:val="auto"/>
        </w:rPr>
      </w:pPr>
    </w:p>
    <w:p>
      <w:pPr>
        <w:ind w:left="1300" w:right="1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and (iv) $10,000,000 as of the last day of each Fiscal Month thereafter (commencing with the Fiscal Month ending January 31, 2025).</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 is hereby amended by deleting the “.” at the end of Section 7(o) and adding “; or” in place thereof and by inserting a new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7(p) to read as follows:</w:t>
      </w:r>
    </w:p>
    <w:p>
      <w:pPr>
        <w:spacing w:after="0" w:line="206" w:lineRule="exact"/>
        <w:rPr>
          <w:rFonts w:ascii="Times New Roman" w:cs="Times New Roman" w:eastAsia="Times New Roman" w:hAnsi="Times New Roman"/>
          <w:sz w:val="18"/>
          <w:szCs w:val="18"/>
          <w:color w:val="auto"/>
        </w:rPr>
      </w:pPr>
    </w:p>
    <w:p>
      <w:pPr>
        <w:ind w:left="1300" w:firstLine="4"/>
        <w:spacing w:after="0" w:line="282" w:lineRule="auto"/>
        <w:tabs>
          <w:tab w:leader="none" w:pos="15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failed to obtain, by December 31, 2025, the exercisability of the warrants issuable under the Lender Warrant Issuances in accordance with the Nasdaq Rules.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8"/>
          <w:szCs w:val="18"/>
          <w:color w:val="auto"/>
        </w:rPr>
        <w:t>(e) Schedule A is hereby amended by inserting the following new defined terms in the appropriate alphabetical position:</w:t>
      </w:r>
    </w:p>
    <w:p>
      <w:pPr>
        <w:spacing w:after="0" w:line="221" w:lineRule="exact"/>
        <w:rPr>
          <w:sz w:val="20"/>
          <w:szCs w:val="20"/>
          <w:color w:val="auto"/>
        </w:rPr>
      </w:pPr>
    </w:p>
    <w:p>
      <w:pPr>
        <w:ind w:lef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Fourth Amendment</w:t>
      </w:r>
      <w:r>
        <w:rPr>
          <w:rFonts w:ascii="Times New Roman" w:cs="Times New Roman" w:eastAsia="Times New Roman" w:hAnsi="Times New Roman"/>
          <w:sz w:val="18"/>
          <w:szCs w:val="18"/>
          <w:color w:val="auto"/>
        </w:rPr>
        <w:t>” means that certain Limited Waiver and Fourth Amendment to this Agreement, dated as of the Fourth Amendment Effective Date.</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Fourth Amendment Effective Date</w:t>
      </w:r>
      <w:r>
        <w:rPr>
          <w:rFonts w:ascii="Times New Roman" w:cs="Times New Roman" w:eastAsia="Times New Roman" w:hAnsi="Times New Roman"/>
          <w:sz w:val="18"/>
          <w:szCs w:val="18"/>
          <w:color w:val="auto"/>
        </w:rPr>
        <w:t>” means December [31], 2024.</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Lender Warrant Issuances</w:t>
      </w:r>
      <w:r>
        <w:rPr>
          <w:rFonts w:ascii="Times New Roman" w:cs="Times New Roman" w:eastAsia="Times New Roman" w:hAnsi="Times New Roman"/>
          <w:sz w:val="18"/>
          <w:szCs w:val="18"/>
          <w:color w:val="auto"/>
        </w:rPr>
        <w:t>” has the meaning assigned thereto in Section 1.5(f).</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Warrant Issuance Shareholder Approval</w:t>
      </w:r>
      <w:r>
        <w:rPr>
          <w:rFonts w:ascii="Times New Roman" w:cs="Times New Roman" w:eastAsia="Times New Roman" w:hAnsi="Times New Roman"/>
          <w:sz w:val="18"/>
          <w:szCs w:val="18"/>
          <w:color w:val="auto"/>
        </w:rPr>
        <w:t>” has the meaning assigned thereto in Section 1.5(f).</w:t>
      </w:r>
    </w:p>
    <w:p>
      <w:pPr>
        <w:spacing w:after="0" w:line="229" w:lineRule="exact"/>
        <w:rPr>
          <w:sz w:val="20"/>
          <w:szCs w:val="20"/>
          <w:color w:val="auto"/>
        </w:rPr>
      </w:pPr>
    </w:p>
    <w:p>
      <w:pPr>
        <w:ind w:left="-20" w:firstLine="656"/>
        <w:spacing w:after="0" w:line="282" w:lineRule="auto"/>
        <w:tabs>
          <w:tab w:leader="none" w:pos="8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 the below:</w:t>
      </w:r>
    </w:p>
    <w:p>
      <w:pPr>
        <w:spacing w:after="0" w:line="162" w:lineRule="exact"/>
        <w:rPr>
          <w:sz w:val="20"/>
          <w:szCs w:val="20"/>
          <w:color w:val="auto"/>
        </w:rPr>
      </w:pPr>
    </w:p>
    <w:p>
      <w:pPr>
        <w:ind w:left="880" w:hanging="24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shall have been executed and delivered by the Credit Parties, the Agent and the Required Lenders;</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issued to the Lenders, on or about the date of this Amendment, penny warrants exercisable to purchase 350,000 shares of Holdings’ common stock (of which 210,000 shall be issued to BP Holdings XVII LP and 140,000 shall be issued to Energy Impact Credit Fund I LP and Energy Impact Credit Fund II LP), which penny warrants shall be in form and substance satisfactory to the Lenders;</w:t>
      </w:r>
    </w:p>
    <w:p>
      <w:pPr>
        <w:spacing w:after="0" w:line="175" w:lineRule="exact"/>
        <w:rPr>
          <w:rFonts w:ascii="Times New Roman" w:cs="Times New Roman" w:eastAsia="Times New Roman" w:hAnsi="Times New Roman"/>
          <w:sz w:val="18"/>
          <w:szCs w:val="18"/>
          <w:color w:val="auto"/>
        </w:rPr>
      </w:pPr>
    </w:p>
    <w:p>
      <w:pPr>
        <w:jc w:val="both"/>
        <w:ind w:left="-20" w:right="20" w:firstLine="656"/>
        <w:spacing w:after="0" w:line="266" w:lineRule="auto"/>
        <w:tabs>
          <w:tab w:leader="none" w:pos="8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delivered to the Agent and Lenders a Support Agreement, by and among Holdings and specified shareholders of Holdings that hold in excess of 20% of the voting stock of Holdings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which such shareholders agree to (i) be present and vote at any meeting of shareholders of Holdings, and (ii) vote in favor of a proposal to approve the issuance of the Lender Warrant Issuances;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the legal fees and expenses of Chapman and Cutler LLP, counsel for the Required Lenders, incurred in connection with the preparation, negotiation, execution and delivery of this Amendment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w:t>
      </w:r>
    </w:p>
    <w:p>
      <w:pPr>
        <w:spacing w:after="0" w:line="176" w:lineRule="exact"/>
        <w:rPr>
          <w:sz w:val="20"/>
          <w:szCs w:val="20"/>
          <w:color w:val="auto"/>
        </w:rPr>
      </w:pPr>
    </w:p>
    <w:p>
      <w:pPr>
        <w:ind w:left="820" w:hanging="18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6"/>
        <w:spacing w:after="0" w:line="266" w:lineRule="auto"/>
        <w:tabs>
          <w:tab w:leader="none" w:pos="8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5" w:name="page26"/>
    <w:bookmarkEnd w:id="25"/>
    <w:p>
      <w:pPr>
        <w:ind w:firstLine="656"/>
        <w:spacing w:after="0" w:line="282"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no Default or Event of Default will have occurred and be continuing on and as of the Effective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a true, correct and complete copy of the Support Agreement is attached hereto as Exhibit A.</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upon obtaining the Warrant Issuance Shareholder Approval, (x) all of the warrants that from and after the Fourth Amendment Effective Date are issued to the Lenders and the portion of the Warrants that represent the right to exercise and acquire Accrued Warrant Shares (collectively, the “Specified Warrants”) shall be immediately exercisable, duly authorized, validly issued, fully paid and non-assessable, and free of any liens and encumbrances (including preemptive or similar rights) except for restrictions on transfer provided for (i) in such warrants, (ii) under applicable federal and state securities laws, or (iii) in the Certificate of Incorporation of Holdings, and (y) all the shares of Holdings stock (the “Shares”) which may be issued upon the exercise of such Specified Warrants,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such Specified Warrants, (ii) under applicable federal and state securities laws, or (iii) in the Certificate of Incorporation of Holdings.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upon obtaining the Warrant Issuance Shareholder Approval, the Specified Warrants, and the Shares which may be issued upon the exercise of the Specified Warrants, and all securities, if any, issuable upon conversion of the Shares, shall be registered for resale pursuant to a registration statement filed, and effective with, the SEC in accordance with the registration rights provisions of Article 5 of the Specified Warrants.</w:t>
      </w:r>
    </w:p>
    <w:p>
      <w:pPr>
        <w:spacing w:after="0" w:line="180" w:lineRule="exact"/>
        <w:rPr>
          <w:sz w:val="20"/>
          <w:szCs w:val="20"/>
          <w:color w:val="auto"/>
        </w:rPr>
      </w:pPr>
    </w:p>
    <w:p>
      <w:pPr>
        <w:jc w:val="both"/>
        <w:ind w:firstLine="656"/>
        <w:spacing w:after="0" w:line="266" w:lineRule="auto"/>
        <w:tabs>
          <w:tab w:leader="none" w:pos="8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Credit Parties shall deliver to the Lenders (or their counsel) by no later than January 15, 2025, original, wet ink signed pages (signed by Holdings) to the warrants referred to in Section 3(b) above. It shall be an immediate Event of Default under the Loan Agreement if the Lenders (or their counsel) have not received such signed pages by January 15, 2025.</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is designated a Loan Document by the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56"/>
        <w:spacing w:after="0" w:line="262" w:lineRule="auto"/>
        <w:tabs>
          <w:tab w:leader="none" w:pos="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are for the purposes of reference only and shall not affect the construction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Required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Each of the Required Lenders, by their execution of this Amendment, hereby directs the Agent to execute this Amendment. In doing so, the Agent shall be entitled to all of its rights, benefits and protections set forth in the Loan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DRAGONFLY ENERGY CORP.</w:t>
            </w:r>
          </w:p>
        </w:tc>
      </w:tr>
      <w:tr>
        <w:trPr>
          <w:trHeight w:val="453"/>
        </w:trPr>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GUARANTORS :</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DRAGONFLY ENERGY HOLDINGS CORP. (F/K/A</w:t>
            </w:r>
          </w:p>
        </w:tc>
      </w:tr>
      <w:tr>
        <w:trPr>
          <w:trHeight w:val="237"/>
        </w:trPr>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BATTLE BORN BATTERY PRODUCTS, LLC</w:t>
            </w: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Dragonfly Energy Corp., its sole member</w:t>
            </w: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SIGNATURE PAGE TO LIMITED WAIVER AND FOURTH AMENDMENT AND TEMPORARY, LIMITED SUSPENSION AND WAIVER OF WARRANT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ALTER DOMUS (US)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Counsel</w:t>
      </w:r>
    </w:p>
    <w:p>
      <w:pPr>
        <w:spacing w:after="0" w:line="207" w:lineRule="exact"/>
        <w:rPr>
          <w:sz w:val="20"/>
          <w:szCs w:val="20"/>
          <w:color w:val="auto"/>
        </w:rPr>
      </w:pPr>
    </w:p>
    <w:p>
      <w:pPr>
        <w:jc w:val="center"/>
        <w:ind w:left="600"/>
        <w:spacing w:after="0" w:line="282" w:lineRule="auto"/>
        <w:rPr>
          <w:sz w:val="20"/>
          <w:szCs w:val="20"/>
          <w:color w:val="auto"/>
        </w:rPr>
      </w:pPr>
      <w:r>
        <w:rPr>
          <w:rFonts w:ascii="Times New Roman" w:cs="Times New Roman" w:eastAsia="Times New Roman" w:hAnsi="Times New Roman"/>
          <w:sz w:val="18"/>
          <w:szCs w:val="18"/>
          <w:color w:val="auto"/>
        </w:rPr>
        <w:t>SIGNATURE PAGE TO LIMITED WAIVER AND FOURTH AMENDMENT AND TEMPORARY, LIMITED SUSPENSION AND WAIVER OF WARRANT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684" w:right="619" w:bottom="1440" w:gutter="0" w:footer="0" w:header="0"/>
        </w:sectPr>
      </w:pPr>
    </w:p>
    <w:bookmarkStart w:id="29" w:name="page30"/>
    <w:bookmarkEnd w:id="29"/>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ENERGY IMPACT CREDIT FUND 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Impact Credit Fund I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Harry Giovani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ENERGY IMPACT CREDIT FUND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Impact Credit Fund II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Harry Giovani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BP HOLDINGS XVII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BPC AS Cayman LLC,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BPC AS LLC, its Manager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Allan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Allan Schweitzer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7" w:lineRule="exact"/>
        <w:rPr>
          <w:sz w:val="20"/>
          <w:szCs w:val="20"/>
          <w:color w:val="auto"/>
        </w:rPr>
      </w:pPr>
    </w:p>
    <w:p>
      <w:pPr>
        <w:jc w:val="center"/>
        <w:ind w:left="600"/>
        <w:spacing w:after="0" w:line="282" w:lineRule="auto"/>
        <w:rPr>
          <w:sz w:val="20"/>
          <w:szCs w:val="20"/>
          <w:color w:val="auto"/>
        </w:rPr>
      </w:pPr>
      <w:r>
        <w:rPr>
          <w:rFonts w:ascii="Times New Roman" w:cs="Times New Roman" w:eastAsia="Times New Roman" w:hAnsi="Times New Roman"/>
          <w:sz w:val="18"/>
          <w:szCs w:val="18"/>
          <w:color w:val="auto"/>
        </w:rPr>
        <w:t>SIGNATURE PAGE TO LIMITED WAIVER AND FOURTH AMENDMENT AND TEMPORARY, LIMITED SUSPENSION AND WAIVER OF WARRANT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684" w:right="61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SUPPORT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December 31, 2024, is made by and among Dragonfly Energy Holdings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undersigned holder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of shares of voting capital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as the guarantor, Dragonfly Energy Corp., a Nevada corporation and wholly-owned subsidiary of the Company,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Required Lenders, and Alter Domus (US) LLC, as agent on behalf of the lenders under the Loan Agreement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and as may be further amended, modified, extended, restated, replaced, and/or supplemented from time to time, the “</w:t>
      </w:r>
      <w:r>
        <w:rPr>
          <w:rFonts w:ascii="Times New Roman" w:cs="Times New Roman" w:eastAsia="Times New Roman" w:hAnsi="Times New Roman"/>
          <w:sz w:val="18"/>
          <w:szCs w:val="18"/>
          <w:b w:val="1"/>
          <w:bCs w:val="1"/>
          <w:i w:val="1"/>
          <w:iCs w:val="1"/>
          <w:color w:val="auto"/>
        </w:rPr>
        <w:t>Loan Agreement</w:t>
      </w:r>
      <w:r>
        <w:rPr>
          <w:rFonts w:ascii="Times New Roman" w:cs="Times New Roman" w:eastAsia="Times New Roman" w:hAnsi="Times New Roman"/>
          <w:sz w:val="18"/>
          <w:szCs w:val="18"/>
          <w:color w:val="auto"/>
        </w:rPr>
        <w:t>”) pursuant to which the Lenders provided total lending commitments in the form of a senior secured loan facility for an aggregate principal amount of $75,000,000;</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entry into of this Agreement, the Credit Parties, the Agent and the Lenders signatory thereto (the “</w:t>
      </w:r>
      <w:r>
        <w:rPr>
          <w:rFonts w:ascii="Times New Roman" w:cs="Times New Roman" w:eastAsia="Times New Roman" w:hAnsi="Times New Roman"/>
          <w:sz w:val="18"/>
          <w:szCs w:val="18"/>
          <w:b w:val="1"/>
          <w:bCs w:val="1"/>
          <w:i w:val="1"/>
          <w:iCs w:val="1"/>
          <w:color w:val="auto"/>
        </w:rPr>
        <w:t>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are entering into a Limited Waiver and Fourth Amendment to Term Loan, Guarantee and Security Agreement and Temporary,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Suspension and Waiver of Warrant Terms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Stockholder beneficially owns and has sole or shared voting power with respect to the number of Shares, and holds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shares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restricted stock units to acquire shares of Common Stock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xml:space="preserve">”), and such other rights to acquire shares of Common Stock, as the case may be, in each case in the number of Shares indicated opposite Stockholder’s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an inducement and a condition to the willingness of the Credit Parties, the Agent and the Requisite Lenders to enter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Amendment, Stockholder has agreed to enter into and perform this Agreement; and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capitalized terms used in this Agreement without definition herein shall have the meanings ascribed to them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and as a condition to, the Credit Parties, the Agents and the Required Lenders entering into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proceeding with the transactions contemplated thereby, Stockholder and the Company agree as follows:</w:t>
      </w:r>
    </w:p>
    <w:p>
      <w:pPr>
        <w:spacing w:after="0" w:line="159" w:lineRule="exact"/>
        <w:rPr>
          <w:sz w:val="20"/>
          <w:szCs w:val="20"/>
          <w:color w:val="auto"/>
        </w:rPr>
      </w:pPr>
    </w:p>
    <w:p>
      <w:pPr>
        <w:jc w:val="both"/>
        <w:ind w:firstLine="656"/>
        <w:spacing w:after="0" w:line="26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xml:space="preserve">. Stockholder agrees that, prior to the Expiration Date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at any meeting of the stockholders of the Company or any adjournment or postponement thereof, or in connection with any written consent of the stockholders of the Company, with respect to obtaining the Warrant Issuance Shareholder Approval, Stockholder shall, or shall cause the holder of record on any applicable record date 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 at such meeting or otherwise cause the Shares and any New Shares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be counted as present thereat (in person or by proxy) for purposes of calculating a quorum;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until the Expiration Date, vote (or cause to be voted), or deliver a written consent (or cause a written consent to be delivered) covering all of the Shares and any New Shares that Stockholder shall be entitled to so vote: (i) in favor of obtaining the Warrant Issuance Shareholder Approval and any matter that would reasonably be expected to facilitate obtaining the Warrant Issuance Shareholder Approval; (iii) against any agreement, transaction or other matter that is intended to, or would reasonably be expected to, impede, interfere with, delay, postpone, discourage or materially and adversely affect the consummation of the Warrant Issuance Shareholder Approval; and (iii) to approve any proposal to adjourn or postpone the applicable meeting to a later date, if there are not sufficient votes to obtain the Warrant Issuance Shareholder Approval on the date on which such meeting is held. Stockholder shall not take or commit or agree to take any action inconsistent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left="-8" w:firstLine="656"/>
        <w:spacing w:after="0" w:line="263" w:lineRule="auto"/>
        <w:tabs>
          <w:tab w:leader="none" w:pos="83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As used in this Agreement, the term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shall mean the earlier to occur of (a) the effective time of the Warrant Issuance Shareholder Approval or (b) the date as of which, by mutual written agreement of the Company and Stockholder, this agreement is terminated, or</w:t>
      </w:r>
    </w:p>
    <w:p>
      <w:pPr>
        <w:ind w:left="252" w:hanging="252"/>
        <w:spacing w:after="0"/>
        <w:tabs>
          <w:tab w:leader="none" w:pos="2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2025.</w:t>
      </w:r>
    </w:p>
    <w:p>
      <w:pPr>
        <w:spacing w:after="0" w:line="206"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3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Purchases</w:t>
      </w:r>
      <w:r>
        <w:rPr>
          <w:rFonts w:ascii="Times New Roman" w:cs="Times New Roman" w:eastAsia="Times New Roman" w:hAnsi="Times New Roman"/>
          <w:sz w:val="18"/>
          <w:szCs w:val="18"/>
          <w:color w:val="auto"/>
        </w:rPr>
        <w:t>. Stockholder agrees that any shares of capital stock or other equity securities of the Company that Stockholder purchases or with respect to which Stockholder otherwise acquires sole or shared voting power (including any proxy) after the execution of this Agreement and prior to the Expiration Date, whether by the exercise of any Stock Options, settlement of Restricted Stock Units or otherwise, including by gift, succession, in the event of a stock split or as a dividend or distribution of any Shares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shall be subject to the terms and conditions of this Agreement to the same extent as if they constituted the Shares.</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3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Transfers</w:t>
      </w:r>
      <w:r>
        <w:rPr>
          <w:rFonts w:ascii="Times New Roman" w:cs="Times New Roman" w:eastAsia="Times New Roman" w:hAnsi="Times New Roman"/>
          <w:sz w:val="18"/>
          <w:szCs w:val="18"/>
          <w:color w:val="auto"/>
        </w:rPr>
        <w:t xml:space="preserve">. From and after the date hereof until the Expiration Date, Stockholder shall not, directly or indirectly, (a) sell, assign, transfer, tender, or otherwise dispose of (including by the creation of any Liens (as defined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(i) transfers by will or by operation of law or other transfers for estate planning purposes, in which case this Agreement shall bind the transferee; (ii) with respect to Stockholder’s Stock Options which expire on or prior to the Expiration Date, transfers, sale, or other disposition of Shares or New Shares to the Company as payment for the (A) exercise price of Stockholder’s Stock Options and (B) taxes applicable to the exercise of Stockholder’s Stock Options;</w:t>
      </w:r>
    </w:p>
    <w:p>
      <w:pPr>
        <w:spacing w:after="0" w:line="5"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Stockholder’s Restricted Stock Units, (A) transfers for the net settlement of Stockholder’s Restricted Stock Units settled in Shares or New Shares (to pay any tax withholding obligations) or (B) transfers for receipt upon settlement of Stockholder’s Restricted Stock Units, and the sale of a sufficient number of such Shares acquired upon settlement of such securities as would generate sales proceeds sufficient to pay the aggregate taxes payable by Stockholder as a result of such settlement; (iv) if Stockholder is a partnership or limited liability company, a transfer to one or more partners or members of Stockholder or to an Affiliated corporation, trust or other entity (an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under common control with Stockholder, or if Stockholder is a trust, a transfer to a beneficiary, provided that in each such case the applicable transferee has signed a voting agreement in substantially the form hereof; (v) transfers to another holder of the capital stock of the Company that has signed a voting agreement in substantially the form hereof; (vi) transfers, sales or other dispositions as the Company may otherwise agree in writing as its sole discretion provided that in each such case the applicable transferee has signed a voting agreement in substantially the form hereof; and (vii) transfers, sales or other dispositions of shares of the Company’s Common Stock in connection with a merger, sale or other similar change of control transaction of the Company or any tender offer for shares of the Company’s Common Stock. If any voluntary or involuntary transfer of any Shares or New Shares covered hereby shall occur (including a transfer or disposition permitted by clauses (i) through (vi), sale by a Stockholder’s trustee in bankruptcy, or a sale to a purchaser at any creditor’s or court sale), the transferee (which term, as used herein, shall include any and all transferees and subsequent transferees of the initial transferee) shall take and hold such Shares or New Shares subject to all of the restrictions, liabilities and rights under this Agreement, which shall continue in full force and effect, and, as condition for such transfer, the transferee shall agree in writing to be bound by the terms and conditions of this Agreement and either Stockholder or the transferee provides the Company with a copy of such agreement promptly upon consummation of any such transfer.</w:t>
      </w:r>
    </w:p>
    <w:p>
      <w:pPr>
        <w:spacing w:after="0" w:line="190" w:lineRule="exact"/>
        <w:rPr>
          <w:rFonts w:ascii="Times New Roman" w:cs="Times New Roman" w:eastAsia="Times New Roman" w:hAnsi="Times New Roman"/>
          <w:sz w:val="18"/>
          <w:szCs w:val="18"/>
          <w:color w:val="auto"/>
        </w:rPr>
      </w:pPr>
    </w:p>
    <w:p>
      <w:pPr>
        <w:ind w:left="852" w:hanging="204"/>
        <w:spacing w:after="0"/>
        <w:tabs>
          <w:tab w:leader="none" w:pos="8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and warrants to the Company as follows:</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47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an Entity: (i) Stockholder is duly organized, validly existing and in good standing under the laws of the jurisdiction in which it is incorporated, organized or constituted, (ii) Stockholder has all necessary power and authority to execute and deliver this Agreement, to perform Stockholder’s obligations hereunder and to consummate the transactions contemplated hereby, and (iii) the execution and delivery of this Agreement, performance of Stockholder’s obligations hereunder and the consummation of the transactions contemplated hereby by Stockholder have been duly authorized by all necessary action on the part of Stockholder and no other proceedings on the part of Stockholder are necessary to authorize this Agreement, or to consummate the transactions contemplated hereby. If Stockholder is an individual, Stockholder has the legal capacity to execute and deliver this Agreement, to perform Stockholder’s obligations hereunder and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33" w:name="page34"/>
    <w:bookmarkEnd w:id="33"/>
    <w:p>
      <w:pPr>
        <w:jc w:val="both"/>
        <w:ind w:left="-656" w:firstLine="1304"/>
        <w:spacing w:after="0" w:line="261" w:lineRule="auto"/>
        <w:tabs>
          <w:tab w:leader="none" w:pos="84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or on behalf of Stockholder and, and assuming this Agreement constitutes a valid and binding agreement of the Company,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83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 beneficially owns the number of Shares and other rights with respect to Shares indicated opposite Stockholder’s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will own any New Shares, free and clear of any Liens of any kind whatsoever,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 As of the date hereof, the Shares represent at least 24% of the voting securities of the Company;</w:t>
      </w:r>
    </w:p>
    <w:p>
      <w:pPr>
        <w:spacing w:after="0" w:line="183"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8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Stockholder does not, and the performance by Stockholder of his, her or its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Documents of Stockholder; except for any of the foregoing as would not reasonably be expected to prevent or delay the performance by Stockholder of his, her or its obligations under this Agreement in any material respect;</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82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Stockholder does not, and the performance of this Agreement by Stockholder does not and will not, require any consent, approval, authorization or permit of, or filing with or notification to, any Governmental Authority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her or its obligations under this Agreement in any material respect;</w:t>
      </w:r>
    </w:p>
    <w:p>
      <w:pPr>
        <w:spacing w:after="0" w:line="183" w:lineRule="exact"/>
        <w:rPr>
          <w:rFonts w:ascii="Times New Roman" w:cs="Times New Roman" w:eastAsia="Times New Roman" w:hAnsi="Times New Roman"/>
          <w:sz w:val="18"/>
          <w:szCs w:val="18"/>
          <w:color w:val="auto"/>
        </w:rPr>
      </w:pPr>
    </w:p>
    <w:p>
      <w:pPr>
        <w:ind w:left="-656" w:firstLine="1304"/>
        <w:spacing w:after="0" w:line="282" w:lineRule="auto"/>
        <w:tabs>
          <w:tab w:leader="none" w:pos="8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 banker, broker, finder or other intermediary is entitled to a fee or commission from the Company in respect of this Agreement based upon any contract made by or on behalf of Stockholder; and</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6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Stockholder, threatened against Stockholder that would reasonably be expected to prevent or delay the performance by Stockholder of his, her or its obligations under this Agreement in any material respect.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Subject to the final sentence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by execution of this Agreement, Stockholder does hereby appoint the Company and any of its designees with full power of substitution and resubstitution, as Stockholder’s true and lawful attorney and irrevocable proxy, to the fullest extent of Stockholder’s rights with respect to the Shares or New Shares, to vote and exercise all voting and related rights, including the right to sign Stockholder’s name (solely in its capacity as a stockholder) to any stockholder consent, if Stockholder is unable to perform or otherwise does not perform his, her or its obligations under this Agreement, with respect to such Shares and New Shares solely with respect to the matters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Stockholder intends this proxy to be irrevocable and coupled with an interest hereunder until the Expiration Date, hereby revokes any proxy previously granted by Stockholder with respect to the Shares or New Shares and represents that none of such previously-granted proxies are irrevocable. The irrevocably proxy and power of attorney granted herein shall survive the death or incapacity of Stockholder and the obligations of Stockholder shall be binding on Stockholder’s heirs, personal representatives, successors, transferees and assigns. Stockholder hereby agrees not to grant any subsequent powers of attorney or proxies with respect to any Shares or New Shares with respect to the matters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until after the Expiration Date. Stockholder hereby affirms that the proxy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given in connection with and granted in consideration of and as an inducement to the Credit Parties, the Agent and the Required Lenders to enter into the Fourth Amendment and that such proxy is given to secure the obligations of Stockholder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Notwithstanding anything contained herein to the contrary, this irrevocable proxy shall automatically terminate upon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274320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4" w:name="page35"/>
    <w:bookmarkEnd w:id="34"/>
    <w:p>
      <w:pPr>
        <w:jc w:val="both"/>
        <w:ind w:left="-656" w:firstLine="656"/>
        <w:spacing w:after="0" w:line="255"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without the need of posting bond in any court of the United States or any state having jurisdiction, this being in addition to any other remedy to which they are entitled at law or in equity.</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This Agreement shall apply to Stockholder solely in Stockholder’s capacity as a stockholder of the Company and holder of Stock Options, Restricted Stock Units and other rights to acquire shares of Common Stock, as the case may be, and not in Stockholder’s capacity as a director, officer or employee of the Company or any of its Subsidiaries or in Stockholder’s capacity as a trustee or fiduciary of any employee benefit plan or trust, as applicable. Notwithstanding any provision of this Agreement to the contrary, nothing in this Agreement shall (or require Stockholder to attempt to) limit or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the Company any direct or indirect ownership or incidence of ownership of or with respect to any Shares or New Shares. All rights, ownership and economic benefits of and relating to the Shares or New Shares shall remain vested in and belong to Stockholder.</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elsewhere in this Agreement shall relieve any party from liability for any fraud or for any willful and material breach of this Agreement prior to termination hereof.</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Stockholder shall, from time to time, execute and deliver, or cause to be executed and delivered, such additional or further consents, documents and other instruments as the Company may reasonably request for the purpose of effectively carrying out the transactions contemplated by this Agreement and the Fourth Amendment.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Stockholder hereby agrees that the Company may publish and disclose in any proxy statement or other filing filed with any regulatory authority in connection with the Lender Warrant Issuances and any related documents filed with such regulatory authority and as otherwise required by law, Stockholder’s identity and ownership of Shares and the nature of Stockholder’s commitments, arrangements and understandings under this Agreement and may further file this Agreement as an exhibit to any registration statement or prospectus or in any other filing made by the Company as required by law or the terms of the Fourth Amendment, including with the Securities and Exchange Commission, the Nasdaq Stock Market or other regulatory authority, relating to the Warrant Issuance Shareholder Approval, all subject to prior review and an opportunity to comment by Stockholder’s counsel. Prior to the Expiration Date, Stockholder shall not, and shall use its commercially reasonable efforts to cause its representatives not to, directly or indirectly, make any press release, public announcement or other public communication that criticizes or disparages this Agreement or the Fourth Amendment or obtaining the Warrant Issuance Shareholder Approval, without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or affect any actions taken by Stockholder (or any affiliated officer or director of Stockholder) that would be permitted to be taken by Stockholder or the Company pursuant to the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shall not affect any actions of Stockholder the prohibition of which would be prohibited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5" w:name="page36"/>
    <w:bookmarkEnd w:id="35"/>
    <w:p>
      <w:pPr>
        <w:jc w:val="both"/>
        <w:ind w:left="-656" w:firstLine="656"/>
        <w:spacing w:after="0" w:line="261" w:lineRule="auto"/>
        <w:tabs>
          <w:tab w:leader="none" w:pos="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All notices and other communications hereunder shall be in writing and shall be deemed given if delivered personally or sent by overnight courier (providing proof of delivery), by electronic transmission (providing confirmation of transmission) to the Company, as the case may be, in accordance with Section 10.6 of the Loan Agreement and to Stockholder at his, her or its address or email address (providing confirmation of transmission)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(or at such other address for a party as shall be specified by like notice).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hereto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Waivers</w:t>
      </w:r>
      <w:r>
        <w:rPr>
          <w:rFonts w:ascii="Times New Roman" w:cs="Times New Roman" w:eastAsia="Times New Roman" w:hAnsi="Times New Roman"/>
          <w:sz w:val="18"/>
          <w:szCs w:val="18"/>
          <w:color w:val="auto"/>
        </w:rPr>
        <w:t>. No waivers of any breach of this Agreement extended by the Company to Stockholder shall be construed as a waiver of any rights or remedies of the Company with respect to any other stockholder of the Company who has executed an agreement substantially in the form of this Agreement with respect to Shares or New Shares held or subsequently held by such stockholder or with respect to any subsequent breach of Stockholder or any other stockholder of the Company. No waiver of any provisions hereof by any party shall be deemed a waiver of any other provisions hereof by any such party, nor shall any such waiver be deemed a continuing waiver of any provision hereof by such party.</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Nevada, regardless of the laws that might otherwise govern under applicable principles of conflicts of laws. In any action or legal proceeding between any of the parties arising out of or relating to this Agreement, each of the parties: (a) irrevocably and unconditionally consents and submits to the exclusive jurisdiction and venue of the Superior Court of the State of Nevada or the United States District Court for the District of Nevada, (b) agrees that all claims in respect of such action or legal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(c) waives any objection to laying venue in any such action or legal proceeding in such courts, (d) waives any objection that such courts are an inconvenient forum or do not have jurisdiction over any party, and (e) agrees that service of process upon such party in any such action or legal proceeding shall be effective if notice is given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HERETO HEREBY WAIVE ANY RIGHT TO TRIAL BY JURY WITH RESPECT TO ANY ACTION OR LEGAL PROCEEDING RELATED TO OR ARISING OUT OF THIS AGREEMENT, ANY DOCUMENT EXECUTED IN CONNECTION HEREWITH AND THE MATTERS CONTEMPLATED HEREBY AND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6" w:name="page37"/>
    <w:bookmarkEnd w:id="36"/>
    <w:p>
      <w:pPr>
        <w:jc w:val="both"/>
        <w:ind w:firstLine="656"/>
        <w:spacing w:after="0" w:line="272" w:lineRule="auto"/>
        <w:tabs>
          <w:tab w:leader="none" w:pos="933"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Agreement Until Executed</w:t>
      </w:r>
      <w:r>
        <w:rPr>
          <w:rFonts w:ascii="Times New Roman" w:cs="Times New Roman" w:eastAsia="Times New Roman" w:hAnsi="Times New Roman"/>
          <w:sz w:val="17"/>
          <w:szCs w:val="17"/>
          <w:color w:val="auto"/>
        </w:rPr>
        <w:t>. Irrespective of negotiations among the parties or the exchanging of drafts of this Agreement, this Agreement shall not constitute or be deemed to evidence a contract, agreement, arrangement or understanding between the parties hereto unless and until (a) the Company’s Board has approved the entry into this Agreement and the Fourth Amendment, (b) the Fourth Amendment is executed by all parties thereto, and</w:t>
      </w:r>
    </w:p>
    <w:p>
      <w:pPr>
        <w:spacing w:after="0" w:line="1"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executed by all parties hereto.</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97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via “.pdf” shall be sufficient to bind the parties to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3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not be amended, supplemented or modified, and no provisions hereof may be modified or waived, except by an instrument in writing signed on behalf of each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rights or obligations of any Stockholder may be waived, amended or otherwise modified in a writing signed by the Company and Stockholder.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specifically provided herein, the Fourth Amendment or any other agreement contemplated by the Fourth Amendment to which a party hereto is a party, each party hereto shall bear its own expenses in connection with this Agreement and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This Agreement is executed voluntarily and without any duress or undue influence on the part or behalf of the parties. Each of the parties hereby acknowledges, represents and warrants that (a) it has read and fully understood this Agreement and the implications and consequences thereof; (b) it has been represented in the preparation, negotiation, and execution of this Agreement by legal counsel of its own choice, or it has made a voluntary and informed decision to decline to seek such counsel; and (c) it is fully aware of the legal and binding effect of this Agreement.</w:t>
      </w:r>
    </w:p>
    <w:p>
      <w:pPr>
        <w:spacing w:after="0" w:line="17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9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and “Schedules” are intended to refer to Sections of this Agreement and Schedules to this Agreement, respectively.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9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has Intentionally Been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EXECUTED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 Phares</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Individual</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Address:</w:t>
            </w:r>
          </w:p>
        </w:tc>
        <w:tc>
          <w:tcPr>
            <w:tcW w:w="50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EXECUTED as of the date first above written.</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lowerLetter"/>
      <w:start w:val="1"/>
    </w:lvl>
  </w:abstractNum>
  <w:abstractNum w:abstractNumId="2">
    <w:nsid w:val="79838CB2"/>
    <w:multiLevelType w:val="hybridMultilevel"/>
    <w:lvl w:ilvl="0">
      <w:lvlJc w:val="left"/>
      <w:lvlText w:val="%1"/>
      <w:numFmt w:val="decimal"/>
      <w:start w:val="1"/>
    </w:lvl>
    <w:lvl w:ilvl="1">
      <w:lvlJc w:val="left"/>
      <w:lvlText w:val="(%2)"/>
      <w:numFmt w:val="lowerLetter"/>
      <w:start w:val="4"/>
    </w:lvl>
  </w:abstractNum>
  <w:abstractNum w:abstractNumId="3">
    <w:nsid w:val="4353D0CD"/>
    <w:multiLevelType w:val="hybridMultilevel"/>
    <w:lvl w:ilvl="0">
      <w:lvlJc w:val="left"/>
      <w:lvlText w:val="%1."/>
      <w:numFmt w:val="decimal"/>
      <w:start w:val="2"/>
    </w:lvl>
    <w:lvl w:ilvl="1">
      <w:lvlJc w:val="left"/>
      <w:lvlText w:val="(%2)"/>
      <w:numFmt w:val="lowerLetter"/>
      <w:start w:val="1"/>
    </w:lvl>
  </w:abstractNum>
  <w:abstractNum w:abstractNumId="4">
    <w:nsid w:val="B03E0C6"/>
    <w:multiLevelType w:val="hybridMultilevel"/>
    <w:lvl w:ilvl="0">
      <w:lvlJc w:val="left"/>
      <w:lvlText w:val="%1"/>
      <w:numFmt w:val="decimal"/>
      <w:start w:val="1"/>
    </w:lvl>
    <w:lvl w:ilvl="1">
      <w:lvlJc w:val="left"/>
      <w:lvlText w:val="(%2)"/>
      <w:numFmt w:val="lowerLetter"/>
      <w:start w:val="4"/>
    </w:lvl>
  </w:abstractNum>
  <w:abstractNum w:abstractNumId="5">
    <w:nsid w:val="189A769B"/>
    <w:multiLevelType w:val="hybridMultilevel"/>
    <w:lvl w:ilvl="0">
      <w:lvlJc w:val="left"/>
      <w:lvlText w:val="%1."/>
      <w:numFmt w:val="decimal"/>
      <w:start w:val="3"/>
    </w:lvl>
    <w:lvl w:ilvl="1">
      <w:lvlJc w:val="left"/>
      <w:lvlText w:val="(%2)"/>
      <w:numFmt w:val="lowerLetter"/>
      <w:start w:val="1"/>
    </w:lvl>
  </w:abstractNum>
  <w:abstractNum w:abstractNumId="6">
    <w:nsid w:val="54E49E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71F32454"/>
    <w:multiLevelType w:val="hybridMultilevel"/>
    <w:lvl w:ilvl="0">
      <w:lvlJc w:val="left"/>
      <w:lvlText w:val="%1"/>
      <w:numFmt w:val="lowerLetter"/>
      <w:start w:val="1"/>
    </w:lvl>
    <w:lvl w:ilvl="1">
      <w:lvlJc w:val="left"/>
      <w:lvlText w:val="%2."/>
      <w:numFmt w:val="lowerRoman"/>
      <w:start w:val="2"/>
    </w:lvl>
  </w:abstractNum>
  <w:abstractNum w:abstractNumId="8">
    <w:nsid w:val="2CA88611"/>
    <w:multiLevelType w:val="hybridMultilevel"/>
    <w:lvl w:ilvl="0">
      <w:lvlJc w:val="left"/>
      <w:lvlText w:val="(%1)"/>
      <w:numFmt w:val="lowerLetter"/>
      <w:start w:val="2"/>
    </w:lvl>
    <w:lvl w:ilvl="1">
      <w:lvlJc w:val="left"/>
      <w:lvlText w:val="%2"/>
      <w:numFmt w:val="lowerRoman"/>
      <w:start w:val="1"/>
    </w:lvl>
  </w:abstractNum>
  <w:abstractNum w:abstractNumId="9">
    <w:nsid w:val="836C40E"/>
    <w:multiLevelType w:val="hybridMultilevel"/>
    <w:lvl w:ilvl="0">
      <w:lvlJc w:val="left"/>
      <w:lvlText w:val="(%1)"/>
      <w:numFmt w:val="lowerLetter"/>
      <w:start w:val="3"/>
    </w:lvl>
  </w:abstractNum>
  <w:abstractNum w:abstractNumId="10">
    <w:nsid w:val="2901D82"/>
    <w:multiLevelType w:val="hybridMultilevel"/>
    <w:lvl w:ilvl="0">
      <w:lvlJc w:val="left"/>
      <w:lvlText w:val="%1"/>
      <w:numFmt w:val="decimal"/>
      <w:start w:val="1"/>
    </w:lvl>
    <w:lvl w:ilvl="1">
      <w:lvlJc w:val="left"/>
      <w:lvlText w:val="(%2)"/>
      <w:numFmt w:val="lowerLetter"/>
      <w:start w:val="5"/>
    </w:lvl>
  </w:abstractNum>
  <w:abstractNum w:abstractNumId="11">
    <w:nsid w:val="3A95F874"/>
    <w:multiLevelType w:val="hybridMultilevel"/>
    <w:lvl w:ilvl="0">
      <w:lvlJc w:val="left"/>
      <w:lvlText w:val="%1."/>
      <w:numFmt w:val="decimal"/>
      <w:start w:val="5"/>
    </w:lvl>
    <w:lvl w:ilvl="1">
      <w:lvlJc w:val="left"/>
      <w:lvlText w:val="(%2)"/>
      <w:numFmt w:val="lowerLetter"/>
      <w:start w:val="1"/>
    </w:lvl>
  </w:abstractNum>
  <w:abstractNum w:abstractNumId="12">
    <w:nsid w:val="8138641"/>
    <w:multiLevelType w:val="hybridMultilevel"/>
    <w:lvl w:ilvl="0">
      <w:lvlJc w:val="left"/>
      <w:lvlText w:val="(%1)"/>
      <w:numFmt w:val="lowerLetter"/>
      <w:start w:val="2"/>
    </w:lvl>
    <w:lvl w:ilvl="1">
      <w:lvlJc w:val="left"/>
      <w:lvlText w:val="%2."/>
      <w:numFmt w:val="lowerRoman"/>
      <w:start w:val="1"/>
    </w:lvl>
  </w:abstractNum>
  <w:abstractNum w:abstractNumId="13">
    <w:nsid w:val="1E7FF521"/>
    <w:multiLevelType w:val="hybridMultilevel"/>
    <w:lvl w:ilvl="0">
      <w:lvlJc w:val="left"/>
      <w:lvlText w:val="%1"/>
      <w:numFmt w:val="lowerLetter"/>
      <w:start w:val="1"/>
    </w:lvl>
    <w:lvl w:ilvl="1">
      <w:lvlJc w:val="left"/>
      <w:lvlText w:val="%2."/>
      <w:numFmt w:val="lowerRoman"/>
      <w:start w:val="6"/>
    </w:lvl>
  </w:abstractNum>
  <w:abstractNum w:abstractNumId="14">
    <w:nsid w:val="7C3DBD3D"/>
    <w:multiLevelType w:val="hybridMultilevel"/>
    <w:lvl w:ilvl="0">
      <w:lvlJc w:val="left"/>
      <w:lvlText w:val="(%1)"/>
      <w:numFmt w:val="lowerLetter"/>
      <w:start w:val="5"/>
    </w:lvl>
    <w:lvl w:ilvl="1">
      <w:lvlJc w:val="left"/>
      <w:lvlText w:val="%2"/>
      <w:numFmt w:val="lowerRoman"/>
      <w:start w:val="1"/>
    </w:lvl>
  </w:abstractNum>
  <w:abstractNum w:abstractNumId="15">
    <w:nsid w:val="737B8DDC"/>
    <w:multiLevelType w:val="hybridMultilevel"/>
    <w:lvl w:ilvl="0">
      <w:lvlJc w:val="left"/>
      <w:lvlText w:val="%1"/>
      <w:numFmt w:val="decimal"/>
      <w:start w:val="1"/>
    </w:lvl>
    <w:lvl w:ilvl="1">
      <w:lvlJc w:val="left"/>
      <w:lvlText w:val="(%2)"/>
      <w:numFmt w:val="lowerLetter"/>
      <w:start w:val="9"/>
    </w:lvl>
  </w:abstractNum>
  <w:abstractNum w:abstractNumId="16">
    <w:nsid w:val="6CEAF087"/>
    <w:multiLevelType w:val="hybridMultilevel"/>
    <w:lvl w:ilvl="0">
      <w:lvlJc w:val="left"/>
      <w:lvlText w:val="%1."/>
      <w:numFmt w:val="decimal"/>
      <w:start w:val="6"/>
    </w:lvl>
    <w:lvl w:ilvl="1">
      <w:lvlJc w:val="left"/>
      <w:lvlText w:val="(%2)"/>
      <w:numFmt w:val="lowerLetter"/>
      <w:start w:val="1"/>
    </w:lvl>
  </w:abstractNum>
  <w:abstractNum w:abstractNumId="17">
    <w:nsid w:val="22221A70"/>
    <w:multiLevelType w:val="hybridMultilevel"/>
    <w:lvl w:ilvl="0">
      <w:lvlJc w:val="left"/>
      <w:lvlText w:val="%1"/>
      <w:numFmt w:val="decimal"/>
      <w:start w:val="1"/>
    </w:lvl>
    <w:lvl w:ilvl="1">
      <w:lvlJc w:val="left"/>
      <w:lvlText w:val="(%2)"/>
      <w:numFmt w:val="lowerLetter"/>
      <w:start w:val="2"/>
    </w:lvl>
  </w:abstractNum>
  <w:abstractNum w:abstractNumId="18">
    <w:nsid w:val="4516DDE9"/>
    <w:multiLevelType w:val="hybridMultilevel"/>
    <w:lvl w:ilvl="0">
      <w:lvlJc w:val="left"/>
      <w:lvlText w:val="%1."/>
      <w:numFmt w:val="decimal"/>
      <w:start w:val="7"/>
    </w:lvl>
    <w:lvl w:ilvl="1">
      <w:lvlJc w:val="left"/>
      <w:lvlText w:val="(%2)"/>
      <w:numFmt w:val="lowerLetter"/>
      <w:start w:val="1"/>
    </w:lvl>
  </w:abstractNum>
  <w:abstractNum w:abstractNumId="19">
    <w:nsid w:val="3006C83E"/>
    <w:multiLevelType w:val="hybridMultilevel"/>
    <w:lvl w:ilvl="0">
      <w:lvlJc w:val="left"/>
      <w:lvlText w:val="%1"/>
      <w:numFmt w:val="decimal"/>
      <w:start w:val="1"/>
    </w:lvl>
    <w:lvl w:ilvl="1">
      <w:lvlJc w:val="left"/>
      <w:lvlText w:val="(%2)"/>
      <w:numFmt w:val="lowerLetter"/>
      <w:start w:val="2"/>
    </w:lvl>
  </w:abstractNum>
  <w:abstractNum w:abstractNumId="20">
    <w:nsid w:val="614FD4A1"/>
    <w:multiLevelType w:val="hybridMultilevel"/>
    <w:lvl w:ilvl="0">
      <w:lvlJc w:val="left"/>
      <w:lvlText w:val="%1."/>
      <w:numFmt w:val="decimal"/>
      <w:start w:val="10"/>
    </w:lvl>
    <w:lvl w:ilvl="1">
      <w:lvlJc w:val="left"/>
      <w:lvlText w:val="%2"/>
      <w:numFmt w:val="lowerLetter"/>
      <w:start w:val="1"/>
    </w:lvl>
  </w:abstractNum>
  <w:abstractNum w:abstractNumId="21">
    <w:nsid w:val="419AC241"/>
    <w:multiLevelType w:val="hybridMultilevel"/>
    <w:lvl w:ilvl="0">
      <w:lvlJc w:val="left"/>
      <w:lvlText w:val="%1."/>
      <w:numFmt w:val="decimal"/>
      <w:start w:val="11"/>
    </w:lvl>
    <w:lvl w:ilvl="1">
      <w:lvlJc w:val="left"/>
      <w:lvlText w:val="(%2)"/>
      <w:numFmt w:val="lowerLetter"/>
      <w:start w:val="1"/>
    </w:lvl>
  </w:abstractNum>
  <w:abstractNum w:abstractNumId="22">
    <w:nsid w:val="5577F8E1"/>
    <w:multiLevelType w:val="hybridMultilevel"/>
    <w:lvl w:ilvl="0">
      <w:lvlJc w:val="left"/>
      <w:lvlText w:val="(%1)"/>
      <w:numFmt w:val="lowerRoman"/>
      <w:start w:val="6"/>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decimal"/>
      <w:start w:val="3"/>
    </w:lvl>
  </w:abstractNum>
  <w:abstractNum w:abstractNumId="26">
    <w:nsid w:val="77465F01"/>
    <w:multiLevelType w:val="hybridMultilevel"/>
    <w:lvl w:ilvl="0">
      <w:lvlJc w:val="left"/>
      <w:lvlText w:val="(%1)"/>
      <w:numFmt w:val="lowerLetter"/>
      <w:start w:val="1"/>
    </w:lvl>
    <w:lvl w:ilvl="1">
      <w:lvlJc w:val="left"/>
      <w:lvlText w:val="(%2)"/>
      <w:numFmt w:val="lowerLetter"/>
      <w:start w:val="2"/>
    </w:lvl>
  </w:abstractNum>
  <w:abstractNum w:abstractNumId="27">
    <w:nsid w:val="7724C67E"/>
    <w:multiLevelType w:val="hybridMultilevel"/>
    <w:lvl w:ilvl="0">
      <w:lvlJc w:val="left"/>
      <w:lvlText w:val="(%1)"/>
      <w:numFmt w:val="lowerLetter"/>
      <w:start w:val="2"/>
    </w:lvl>
    <w:lvl w:ilvl="1">
      <w:lvlJc w:val="left"/>
      <w:lvlText w:val="(%2)"/>
      <w:numFmt w:val="lowerLetter"/>
      <w:start w:val="6"/>
    </w:lvl>
  </w:abstractNum>
  <w:abstractNum w:abstractNumId="28">
    <w:nsid w:val="5C482A9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9">
    <w:nsid w:val="2463B9EA"/>
    <w:multiLevelType w:val="hybridMultilevel"/>
    <w:lvl w:ilvl="0">
      <w:lvlJc w:val="left"/>
      <w:lvlText w:val="(%1)"/>
      <w:numFmt w:val="lowerLetter"/>
      <w:start w:val="4"/>
    </w:lvl>
    <w:lvl w:ilvl="1">
      <w:lvlJc w:val="left"/>
      <w:lvlText w:val="(%2)"/>
      <w:numFmt w:val="lowerLetter"/>
      <w:start w:val="16"/>
    </w:lvl>
    <w:lvl w:ilvl="2">
      <w:lvlJc w:val="left"/>
      <w:lvlText w:val="%3"/>
      <w:numFmt w:val="lowerLetter"/>
      <w:start w:val="1"/>
    </w:lvl>
  </w:abstractNum>
  <w:abstractNum w:abstractNumId="30">
    <w:nsid w:val="5E884ADC"/>
    <w:multiLevelType w:val="hybridMultilevel"/>
    <w:lvl w:ilvl="0">
      <w:lvlJc w:val="left"/>
      <w:lvlText w:val="%1."/>
      <w:numFmt w:val="decimal"/>
      <w:start w:val="4"/>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decimal"/>
      <w:start w:val="6"/>
    </w:lvl>
  </w:abstractNum>
  <w:abstractNum w:abstractNumId="36">
    <w:nsid w:val="70A64E2A"/>
    <w:multiLevelType w:val="hybridMultilevel"/>
    <w:lvl w:ilvl="0">
      <w:lvlJc w:val="left"/>
      <w:lvlText w:val="%1."/>
      <w:numFmt w:val="decimal"/>
      <w:start w:val="9"/>
    </w:lvl>
  </w:abstractNum>
  <w:abstractNum w:abstractNumId="37">
    <w:nsid w:val="6A2342EC"/>
    <w:multiLevelType w:val="hybridMultilevel"/>
    <w:lvl w:ilvl="0">
      <w:lvlJc w:val="left"/>
      <w:lvlText w:val="%1)"/>
      <w:numFmt w:val="decimal"/>
      <w:start w:val="1"/>
    </w:lvl>
    <w:lvl w:ilvl="1">
      <w:lvlJc w:val="left"/>
      <w:lvlText w:val="%2)"/>
      <w:numFmt w:val="lowerLetter"/>
      <w:start w:val="1"/>
    </w:lvl>
  </w:abstractNum>
  <w:abstractNum w:abstractNumId="38">
    <w:nsid w:val="2A487CB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9">
    <w:nsid w:val="1D4ED43B"/>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abstractNum>
  <w:abstractNum w:abstractNumId="40">
    <w:nsid w:val="725A06FB"/>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2"/>
    </w:lvl>
  </w:abstractNum>
  <w:abstractNum w:abstractNumId="42">
    <w:nsid w:val="57E4CCAF"/>
    <w:multiLevelType w:val="hybridMultilevel"/>
    <w:lvl w:ilvl="0">
      <w:lvlJc w:val="left"/>
      <w:lvlText w:val="%1)"/>
      <w:numFmt w:val="decimal"/>
      <w:start w:val="6"/>
    </w:lvl>
    <w:lvl w:ilvl="1">
      <w:lvlJc w:val="left"/>
      <w:lvlText w:val="%2"/>
      <w:numFmt w:val="lowerLetter"/>
      <w:start w:val="1"/>
    </w:lvl>
  </w:abstractNum>
  <w:abstractNum w:abstractNumId="43">
    <w:nsid w:val="7A6D8D3C"/>
    <w:multiLevelType w:val="hybridMultilevel"/>
    <w:lvl w:ilvl="0">
      <w:lvlJc w:val="left"/>
      <w:lvlText w:val="%1)"/>
      <w:numFmt w:val="decimal"/>
      <w:start w:val="7"/>
    </w:lvl>
  </w:abstractNum>
  <w:abstractNum w:abstractNumId="44">
    <w:nsid w:val="4B588F54"/>
    <w:multiLevelType w:val="hybridMultilevel"/>
    <w:lvl w:ilvl="0">
      <w:lvlJc w:val="left"/>
      <w:lvlText w:val="%1)"/>
      <w:numFmt w:val="decimal"/>
      <w:start w:val="13"/>
    </w:lvl>
  </w:abstractNum>
  <w:abstractNum w:abstractNumId="45">
    <w:nsid w:val="542289EC"/>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46">
    <w:nsid w:val="6DE91B18"/>
    <w:multiLevelType w:val="hybridMultilevel"/>
    <w:lvl w:ilvl="0">
      <w:lvlJc w:val="left"/>
      <w:lvlText w:val="(%1)"/>
      <w:numFmt w:val="lowerLetter"/>
      <w:start w:val="3"/>
    </w:lvl>
    <w:lvl w:ilvl="1">
      <w:lvlJc w:val="left"/>
      <w:lvlText w:val="%2)"/>
      <w:numFmt w:val="decimal"/>
      <w:start w:val="20"/>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2025-01-03T16:35:17Z</dcterms:created>
  <dcterms:modified xsi:type="dcterms:W3CDTF">2025-01-03T16:35:17Z</dcterms:modified>
</cp:coreProperties>
</file>