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16, 2025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DRAGONFLY ENERGY HOLDINGS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2300" w:type="dxa"/>
            <w:vAlign w:val="bottom"/>
          </w:tcPr>
          <w:p>
            <w:pPr>
              <w:jc w:val="center"/>
              <w:ind w:right="1230"/>
              <w:spacing w:after="0"/>
              <w:rPr>
                <w:sz w:val="20"/>
                <w:szCs w:val="20"/>
                <w:color w:val="auto"/>
              </w:rPr>
            </w:pPr>
            <w:r>
              <w:rPr>
                <w:rFonts w:ascii="Times New Roman" w:cs="Times New Roman" w:eastAsia="Times New Roman" w:hAnsi="Times New Roman"/>
                <w:sz w:val="18"/>
                <w:szCs w:val="18"/>
                <w:b w:val="1"/>
                <w:bCs w:val="1"/>
                <w:color w:val="auto"/>
                <w:w w:val="99"/>
              </w:rPr>
              <w:t>001-40730</w:t>
            </w:r>
          </w:p>
        </w:tc>
        <w:tc>
          <w:tcPr>
            <w:tcW w:w="380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85-1873463</w:t>
            </w:r>
          </w:p>
        </w:tc>
      </w:tr>
      <w:tr>
        <w:trPr>
          <w:trHeight w:val="191"/>
        </w:trPr>
        <w:tc>
          <w:tcPr>
            <w:tcW w:w="362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220" w:type="dxa"/>
            <w:vAlign w:val="bottom"/>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300" w:type="dxa"/>
            <w:vAlign w:val="bottom"/>
            <w:tcBorders>
              <w:top w:val="single" w:sz="8" w:color="auto"/>
            </w:tcBorders>
          </w:tcPr>
          <w:p>
            <w:pPr>
              <w:jc w:val="center"/>
              <w:ind w:right="1210"/>
              <w:spacing w:after="0" w:line="191" w:lineRule="exact"/>
              <w:rPr>
                <w:sz w:val="20"/>
                <w:szCs w:val="20"/>
                <w:color w:val="auto"/>
              </w:rPr>
            </w:pPr>
            <w:r>
              <w:rPr>
                <w:rFonts w:ascii="Times New Roman" w:cs="Times New Roman" w:eastAsia="Times New Roman" w:hAnsi="Times New Roman"/>
                <w:sz w:val="18"/>
                <w:szCs w:val="18"/>
                <w:color w:val="auto"/>
                <w:w w:val="98"/>
              </w:rPr>
              <w:t>(Commission</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5140" w:type="dxa"/>
            <w:vAlign w:val="bottom"/>
            <w:gridSpan w:val="3"/>
          </w:tcPr>
          <w:p>
            <w:pPr>
              <w:jc w:val="center"/>
              <w:ind w:right="152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300" w:type="dxa"/>
            <w:vAlign w:val="bottom"/>
          </w:tcPr>
          <w:p>
            <w:pPr>
              <w:jc w:val="center"/>
              <w:ind w:right="1210"/>
              <w:spacing w:after="0"/>
              <w:rPr>
                <w:sz w:val="20"/>
                <w:szCs w:val="20"/>
                <w:color w:val="auto"/>
              </w:rPr>
            </w:pPr>
            <w:r>
              <w:rPr>
                <w:rFonts w:ascii="Times New Roman" w:cs="Times New Roman" w:eastAsia="Times New Roman" w:hAnsi="Times New Roman"/>
                <w:sz w:val="18"/>
                <w:szCs w:val="18"/>
                <w:color w:val="auto"/>
                <w:w w:val="98"/>
              </w:rPr>
              <w:t>File Number)</w:t>
            </w: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w w:val="99"/>
              </w:rPr>
              <w:t>12915 Old Virginia Road</w:t>
            </w:r>
          </w:p>
        </w:tc>
        <w:tc>
          <w:tcPr>
            <w:tcW w:w="2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5140" w:type="dxa"/>
            <w:vAlign w:val="bottom"/>
            <w:gridSpan w:val="3"/>
          </w:tcPr>
          <w:p>
            <w:pPr>
              <w:jc w:val="center"/>
              <w:ind w:left="2210"/>
              <w:spacing w:after="0"/>
              <w:rPr>
                <w:sz w:val="20"/>
                <w:szCs w:val="20"/>
                <w:color w:val="auto"/>
              </w:rPr>
            </w:pPr>
            <w:r>
              <w:rPr>
                <w:rFonts w:ascii="Times New Roman" w:cs="Times New Roman" w:eastAsia="Times New Roman" w:hAnsi="Times New Roman"/>
                <w:sz w:val="18"/>
                <w:szCs w:val="18"/>
                <w:b w:val="1"/>
                <w:bCs w:val="1"/>
                <w:color w:val="auto"/>
              </w:rPr>
              <w:t>Reno, Nevada</w:t>
            </w:r>
          </w:p>
        </w:tc>
        <w:tc>
          <w:tcPr>
            <w:tcW w:w="2300" w:type="dxa"/>
            <w:vAlign w:val="bottom"/>
          </w:tcPr>
          <w:p>
            <w:pPr>
              <w:spacing w:after="0"/>
              <w:rPr>
                <w:sz w:val="20"/>
                <w:szCs w:val="20"/>
                <w:color w:val="auto"/>
              </w:rPr>
            </w:pPr>
          </w:p>
        </w:tc>
        <w:tc>
          <w:tcPr>
            <w:tcW w:w="3800" w:type="dxa"/>
            <w:vAlign w:val="bottom"/>
            <w:gridSpan w:val="2"/>
          </w:tcPr>
          <w:p>
            <w:pPr>
              <w:jc w:val="right"/>
              <w:ind w:right="1490"/>
              <w:spacing w:after="0"/>
              <w:rPr>
                <w:sz w:val="20"/>
                <w:szCs w:val="20"/>
                <w:color w:val="auto"/>
              </w:rPr>
            </w:pPr>
            <w:r>
              <w:rPr>
                <w:rFonts w:ascii="Times New Roman" w:cs="Times New Roman" w:eastAsia="Times New Roman" w:hAnsi="Times New Roman"/>
                <w:sz w:val="18"/>
                <w:szCs w:val="18"/>
                <w:b w:val="1"/>
                <w:bCs w:val="1"/>
                <w:color w:val="auto"/>
              </w:rPr>
              <w:t>89521</w:t>
            </w:r>
          </w:p>
        </w:tc>
      </w:tr>
      <w:tr>
        <w:trPr>
          <w:trHeight w:val="228"/>
        </w:trPr>
        <w:tc>
          <w:tcPr>
            <w:tcW w:w="5140" w:type="dxa"/>
            <w:vAlign w:val="bottom"/>
            <w:tcBorders>
              <w:top w:val="single" w:sz="8" w:color="auto"/>
            </w:tcBorders>
            <w:gridSpan w:val="3"/>
          </w:tcPr>
          <w:p>
            <w:pPr>
              <w:jc w:val="center"/>
              <w:ind w:left="221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3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u w:val="single" w:color="auto"/>
          <w:color w:val="auto"/>
        </w:rPr>
        <w:t>(775) 622-3448</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00"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0" w:type="dxa"/>
            <w:vAlign w:val="bottom"/>
          </w:tcPr>
          <w:p>
            <w:pPr>
              <w:spacing w:after="0"/>
              <w:rPr>
                <w:sz w:val="20"/>
                <w:szCs w:val="20"/>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Pr>
          <w:p>
            <w:pPr>
              <w:spacing w:after="0"/>
              <w:rPr>
                <w:sz w:val="20"/>
                <w:szCs w:val="20"/>
                <w:color w:val="auto"/>
              </w:rPr>
            </w:pP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191"/>
        </w:trPr>
        <w:tc>
          <w:tcPr>
            <w:tcW w:w="40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par value $0.0001 per share</w:t>
            </w:r>
          </w:p>
        </w:tc>
        <w:tc>
          <w:tcPr>
            <w:tcW w:w="220" w:type="dxa"/>
            <w:vAlign w:val="bottom"/>
          </w:tcPr>
          <w:p>
            <w:pPr>
              <w:spacing w:after="0"/>
              <w:rPr>
                <w:sz w:val="16"/>
                <w:szCs w:val="16"/>
                <w:color w:val="auto"/>
              </w:rPr>
            </w:pPr>
          </w:p>
        </w:tc>
        <w:tc>
          <w:tcPr>
            <w:tcW w:w="22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DFLI</w:t>
            </w:r>
          </w:p>
        </w:tc>
        <w:tc>
          <w:tcPr>
            <w:tcW w:w="22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The Nasdaq Capital Market</w:t>
            </w:r>
          </w:p>
        </w:tc>
      </w:tr>
      <w:tr>
        <w:trPr>
          <w:trHeight w:val="234"/>
        </w:trPr>
        <w:tc>
          <w:tcPr>
            <w:tcW w:w="40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Redeemable warrants, exercisable for common stock</w:t>
            </w:r>
          </w:p>
        </w:tc>
        <w:tc>
          <w:tcPr>
            <w:tcW w:w="2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DFLIW</w:t>
            </w:r>
          </w:p>
        </w:tc>
        <w:tc>
          <w:tcPr>
            <w:tcW w:w="22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Capital Market</w:t>
            </w:r>
          </w:p>
        </w:tc>
      </w:tr>
    </w:tbl>
    <w:p>
      <w:pPr>
        <w:spacing w:after="0" w:line="198"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40"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October 16, 2025, Dragonfly Energy Holdings Corp.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with Canaccord Genuity LLC, as representative of the several underwriters named therein (the “</w:t>
      </w:r>
      <w:r>
        <w:rPr>
          <w:rFonts w:ascii="Times New Roman" w:cs="Times New Roman" w:eastAsia="Times New Roman" w:hAnsi="Times New Roman"/>
          <w:sz w:val="18"/>
          <w:szCs w:val="18"/>
          <w:u w:val="single" w:color="auto"/>
          <w:color w:val="auto"/>
        </w:rPr>
        <w:t>Underwriters</w:t>
      </w:r>
      <w:r>
        <w:rPr>
          <w:rFonts w:ascii="Times New Roman" w:cs="Times New Roman" w:eastAsia="Times New Roman" w:hAnsi="Times New Roman"/>
          <w:sz w:val="18"/>
          <w:szCs w:val="18"/>
          <w:color w:val="auto"/>
        </w:rPr>
        <w:t>”), relating to an underwritten public offering (the “</w:t>
      </w:r>
      <w:r>
        <w:rPr>
          <w:rFonts w:ascii="Times New Roman" w:cs="Times New Roman" w:eastAsia="Times New Roman" w:hAnsi="Times New Roman"/>
          <w:sz w:val="18"/>
          <w:szCs w:val="18"/>
          <w:u w:val="single" w:color="auto"/>
          <w:color w:val="auto"/>
        </w:rPr>
        <w:t>Offering</w:t>
      </w:r>
      <w:r>
        <w:rPr>
          <w:rFonts w:ascii="Times New Roman" w:cs="Times New Roman" w:eastAsia="Times New Roman" w:hAnsi="Times New Roman"/>
          <w:sz w:val="18"/>
          <w:szCs w:val="18"/>
          <w:color w:val="auto"/>
        </w:rPr>
        <w:t>”) of (i) 36,000,000 shares (the “</w:t>
      </w:r>
      <w:r>
        <w:rPr>
          <w:rFonts w:ascii="Times New Roman" w:cs="Times New Roman" w:eastAsia="Times New Roman" w:hAnsi="Times New Roman"/>
          <w:sz w:val="18"/>
          <w:szCs w:val="18"/>
          <w:u w:val="single" w:color="auto"/>
          <w:color w:val="auto"/>
        </w:rPr>
        <w:t>Base Shares</w:t>
      </w:r>
      <w:r>
        <w:rPr>
          <w:rFonts w:ascii="Times New Roman" w:cs="Times New Roman" w:eastAsia="Times New Roman" w:hAnsi="Times New Roman"/>
          <w:sz w:val="18"/>
          <w:szCs w:val="18"/>
          <w:color w:val="auto"/>
        </w:rPr>
        <w:t>”) of the Company’s common stock, par value $0.0001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at a price to the public of $1.35 per share and (ii) pre-funded warrants (the “</w:t>
      </w:r>
      <w:r>
        <w:rPr>
          <w:rFonts w:ascii="Times New Roman" w:cs="Times New Roman" w:eastAsia="Times New Roman" w:hAnsi="Times New Roman"/>
          <w:sz w:val="18"/>
          <w:szCs w:val="18"/>
          <w:u w:val="single" w:color="auto"/>
          <w:color w:val="auto"/>
        </w:rPr>
        <w:t>Pre-Funded Warrants</w:t>
      </w:r>
      <w:r>
        <w:rPr>
          <w:rFonts w:ascii="Times New Roman" w:cs="Times New Roman" w:eastAsia="Times New Roman" w:hAnsi="Times New Roman"/>
          <w:sz w:val="18"/>
          <w:szCs w:val="18"/>
          <w:color w:val="auto"/>
        </w:rPr>
        <w:t>”) to purchase up to 5,000,000 shares of Common Stock (the “</w:t>
      </w:r>
      <w:r>
        <w:rPr>
          <w:rFonts w:ascii="Times New Roman" w:cs="Times New Roman" w:eastAsia="Times New Roman" w:hAnsi="Times New Roman"/>
          <w:sz w:val="18"/>
          <w:szCs w:val="18"/>
          <w:u w:val="single" w:color="auto"/>
          <w:color w:val="auto"/>
        </w:rPr>
        <w:t>Pre-Funded Warrant Shares</w:t>
      </w:r>
      <w:r>
        <w:rPr>
          <w:rFonts w:ascii="Times New Roman" w:cs="Times New Roman" w:eastAsia="Times New Roman" w:hAnsi="Times New Roman"/>
          <w:sz w:val="18"/>
          <w:szCs w:val="18"/>
          <w:color w:val="auto"/>
        </w:rPr>
        <w:t>”) at a price to the public of $1.3499 per Pre-Funded Warrant, which represents the per share public offering price for the Shares (as defined below) less the $0.0001 per share exercise price for each such Pre-Funded Warrant. Pursuant to the terms of the Underwriting Agreement, the Company granted to the Underwriters a 30-day option to purchase up to an additional 6,150,000 shares of Common Stock in the Offering (the “</w:t>
      </w:r>
      <w:r>
        <w:rPr>
          <w:rFonts w:ascii="Times New Roman" w:cs="Times New Roman" w:eastAsia="Times New Roman" w:hAnsi="Times New Roman"/>
          <w:sz w:val="18"/>
          <w:szCs w:val="18"/>
          <w:u w:val="single" w:color="auto"/>
          <w:color w:val="auto"/>
        </w:rPr>
        <w:t>Option Shares</w:t>
      </w:r>
      <w:r>
        <w:rPr>
          <w:rFonts w:ascii="Times New Roman" w:cs="Times New Roman" w:eastAsia="Times New Roman" w:hAnsi="Times New Roman"/>
          <w:sz w:val="18"/>
          <w:szCs w:val="18"/>
          <w:color w:val="auto"/>
        </w:rPr>
        <w:t>” and together with the Base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at the public offering price. All of the Shares and Pre-Funded Warrants in the Offering are being sold by the Company.</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net proceeds to the Company from the Offering are expected to be approximately $51.7 million, after deducting underwriting discounts and commissions and other estimated offering expenses payable by the Company. The Company may receive nominal proceeds, if any, from the exercise of the Pre-Funded Warrants. The Offering is expected to close on or about October 17, 2025, subject to customary closing conditions. The Company intends to use the net proceeds from the Offering for working capital and other general corporate purposes, including repayment of $45.0 million of outstanding indebtedness under its Term Loan Agreement (as defined below), continued investments in initiatives intended to drive near term revenue, and continued strategic investment in next generation battery technologies, including scaling the dry electrode process and its application to solid-state batteries.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Pre-Funded Warrants are immediately exercisable, have an exercise price of $0.0001 and may be exercised at any time after the date of issuance. A holder of Pre-Funded Warrants may not exercise the warrant if the holder, together with its affiliates, would beneficially own more than 9.99% (or, at the election of the purchaser, 4.99%) of the number of shares of the Common Stock outstanding immediately after giving effect to such exercise. A holder of Pre-Funded Warrants may increase or decrease this percentage not in excess of 9.99% by providing at least 61 days’ prior notice to the Company.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Shares and Pre-Funded Warrants are being offered and sold pursuant to a prospectus supplement, dated October 16, 2025 (the “</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to be filed with the Securities and Exchange Commission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and an accompanying base prospectus that forms a part of the Company’s Registration Statement on Form S-3 (File No. 333-275559), which was previously filed with the SEC on November 15, 2023 and declared effective on November 24, 2023.</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Pursuant to the terms of the Underwriting Agreement, the Company has agreed to certain restrictions on the issuance and sale of its Common Stock and securities convertible into shares of Common Stock during the 90 day period following the date of the Underwriting Agreement.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Underwriting Agreement contains customary representations, warranties and covenants of the Company, conditions to closing, and indemnification obligations of the Company and the Underwriters, including for liabilities under the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other obligations of the parties and termination provisions. The representations, warranties and covenants contained in the Underwriting Agreement were made only for purposes of such agreement and as of specific dates, were solely for the benefit of the parties to such agreement, and may be subject to limitations agreed upon by the contracting parties.</w:t>
      </w:r>
    </w:p>
    <w:p>
      <w:pPr>
        <w:spacing w:after="0" w:line="183"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foregoing descriptions of the Underwriting Agreement and Pre-Funded Warrant are not complete and are qualified in their entirety by reference to the full text of the Underwriting Agreement and Form of Pre-Funded Warrant, copies of which will be filed as Exhibit 1.1 and Exhibit 4.1, respectively, to a Current Report on Form 8-K/A, and are incorporated herein by reference. A copy of the opinion of Parsons Behle &amp; Latimer relating to the legality of the issuance and sale of the Shares, Pre-Funded Warrants and Pre-Funded Warrant Shares in the Offering will be filed as Exhibit 5.1 to a Current Report on Form 8-K/A and is incorporated herein by reference, and a copy of the opinion of Lowenstein Sandler LLP relating to the legality of the issuance and sale of the Pre-Funded Warrants in the Offering will be filed as Exhibit 5.2 to a Current Report on Form 8-K/A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Proposed Debt Restructuring</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reached an agreement in principle with the lenders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under its Term Loan, Guarantee and Security Agreement, dated October 7, 2022, with ALTER DOMUS (US) LLC, as agent, and the Lenders (as amended to date, the “</w:t>
      </w:r>
      <w:r>
        <w:rPr>
          <w:rFonts w:ascii="Times New Roman" w:cs="Times New Roman" w:eastAsia="Times New Roman" w:hAnsi="Times New Roman"/>
          <w:sz w:val="18"/>
          <w:szCs w:val="18"/>
          <w:u w:val="single" w:color="auto"/>
          <w:color w:val="auto"/>
        </w:rPr>
        <w:t>Term Loan Agreement</w:t>
      </w:r>
      <w:r>
        <w:rPr>
          <w:rFonts w:ascii="Times New Roman" w:cs="Times New Roman" w:eastAsia="Times New Roman" w:hAnsi="Times New Roman"/>
          <w:sz w:val="18"/>
          <w:szCs w:val="18"/>
          <w:color w:val="auto"/>
        </w:rPr>
        <w:t>”), pursuant to which the Company would restructure its outstanding indebtedness as follows (the “</w:t>
      </w:r>
      <w:r>
        <w:rPr>
          <w:rFonts w:ascii="Times New Roman" w:cs="Times New Roman" w:eastAsia="Times New Roman" w:hAnsi="Times New Roman"/>
          <w:sz w:val="18"/>
          <w:szCs w:val="18"/>
          <w:u w:val="single" w:color="auto"/>
          <w:color w:val="auto"/>
        </w:rPr>
        <w:t>Proposed Restructuring</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60" w:hanging="328"/>
        <w:spacing w:after="0" w:line="261"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make a prepayment of $45.0 million of outstanding indebtedness under the Term Loan Agreement from the net proceeds of the Offering;</w:t>
      </w:r>
    </w:p>
    <w:p>
      <w:pPr>
        <w:jc w:val="both"/>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convert $25 million of the outstanding principal amount of the loan into shares of newly created preferred stock which preferred stock would (i) be convertible into shares of Common Stock at the Lenders option at a conversion price of $3.15 per share, or an aggregate of 7,936,508 shares of Common Stock, (ii) have a dividend of 8% per annum payable quarterly in cash and (iii) have a dividend of 2% per annum payable quarterly in kind. In addition, the Company would have a right to redeem any outstanding shares of such preferred stock at its option at the greater of (i) the stated value plus any outstanding dividends and (ii) the as-converted value of the shares of Common Stock underlying such preferred stock (the “Optional Redemption Price”). The Lenders would also agree not to convert any share of such preferred stock for a period of six months following the closing of the Offering. In connection with any future equity offerings, the Company would be required to use 25% of the net proceeds from such offering to redeem outstanding shares of such preferred stock at the Optional Redemption Price. In the event the Company has not redeemed such preferred stock by October 7, 2027, the holders would have the right to require the Company to redeem the preferred stock at the Optional Redemption Price;</w:t>
      </w:r>
    </w:p>
    <w:p>
      <w:pPr>
        <w:spacing w:after="0" w:line="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Lenders would forgive the repayment of $5 million of the outstanding principal under the Term Loan Agreement;</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outstanding principal amount under the Term Loan Agreement of $17 million, after the repayment and forgiveness disclosed above, would have a fixed interest rate of 12% per annum, payable monthly commencing December 31, 2025 and would mature in October 2027;</w:t>
      </w: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would pay a fee to the Lenders equal to approximately $450,000 in cash and $450,000 added to principal outstanding amount of the loan under the Term Loan Agreement; and</w:t>
      </w:r>
    </w:p>
    <w:p>
      <w:pPr>
        <w:ind w:left="660" w:right="20" w:hanging="328"/>
        <w:spacing w:after="0" w:line="26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covenants under the Term Loan Agreement would be waived through December 31, 2026, except that the Company would agree to a minimum liquidity covenant of $5.0 million calculated on a monthly basis.</w:t>
      </w:r>
    </w:p>
    <w:p>
      <w:pPr>
        <w:spacing w:after="0" w:line="20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agreement in principle is not binding, and there can be no assurance that the Company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is including the below update to its risk factors, for the purpose of supplementing and updating the disclosure contained in its Annual Report on Form 10-K for the fiscal year ended December 31, 2024, filed with the SEC on March 31, 2025, and its Quarterly Reports on Form 10-Q for the period ended March 31, 2025, filed with the SEC on May 16, 2025, and for the period ended June 30, 2025, filed with the SEC on August 14,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3" w:name="page4"/>
    <w:bookmarkEnd w:id="3"/>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agreement in principle with the Lenders regarding the Proposed Restructuring is non-binding and the Company may be unable to consummate the transactions contemplated by such agreement.</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October 15, 2025, the Company reached an agreement in principle with the Lenders regarding the Proposed Restructuring. The agreement in principle is non-binding, and there can be no assurance that the Company and the Lenders will ultimately enter into a definitive agreement for the Proposed Restructuring, that the Proposed Restructuring will be consummated, or as to the timing or ultimate terms of any Proposed Restructuring that may occur. The closing of the Proposed Restructuring would be subject to significant closing conditions, including the negotiation and execution of the definitive agreement and required board approval. Failure to consummate the transactions contemplated by the agreement in principle could have adverse effects on the Company’s business and results of operations and financial condition.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Current Report on Form 8-K contains forward-looking statements that involve estimates, assumptions, risks and uncertainties. Forward-looking statements include, but are not limited to, statements related to the amount of proceeds expected from the Offering, the intended use of proceeds from the Offering, the timing and certainty of completion of the Offering and the proposed restructuring of the Company’s outstanding indebtedness. The risks and uncertainties relating to the Company and the Offering include general market conditions, the proposed restructuring of the Company’s outstanding indebtedness, the Company’s ability to complete the Offering on favorable terms, or at all, as well as other risks detailed from time to time in the Company’s filings with the SEC, including in its Annual Report on Form 10-K for the year ended December 31, 2024 and the Prospectus Supplement. These documents contain important factors that could cause actual results to differ from current expectations and from the forward-looking statements contained in this Current Report on Form 8-K. These forward-looking statements speak only as of the date of this Current Report on Form 8-K and the Company undertakes no obligation to publicly update any forward-looking statements to reflect new information, events or circumstances after the date of this Current Report on Form 8-K.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p>
        </w:tc>
        <w:tc>
          <w:tcPr>
            <w:tcW w:w="75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DRAGONFLY ENERGY HOLDINGS CORP.</w:t>
            </w:r>
          </w:p>
        </w:tc>
      </w:tr>
      <w:tr>
        <w:trPr>
          <w:trHeight w:val="432"/>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Dated: October 16, 2025</w:t>
            </w: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rPr>
              <w:t>/s/ Denis Phares</w:t>
            </w:r>
          </w:p>
        </w:tc>
      </w:tr>
      <w:tr>
        <w:trPr>
          <w:trHeight w:val="191"/>
        </w:trPr>
        <w:tc>
          <w:tcPr>
            <w:tcW w:w="3720" w:type="dxa"/>
            <w:vAlign w:val="bottom"/>
          </w:tcPr>
          <w:p>
            <w:pPr>
              <w:spacing w:after="0"/>
              <w:rPr>
                <w:sz w:val="16"/>
                <w:szCs w:val="16"/>
                <w:color w:val="auto"/>
              </w:rPr>
            </w:pPr>
          </w:p>
        </w:tc>
        <w:tc>
          <w:tcPr>
            <w:tcW w:w="2480" w:type="dxa"/>
            <w:vAlign w:val="bottom"/>
          </w:tcPr>
          <w:p>
            <w:pPr>
              <w:ind w:left="19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Denis Phares</w:t>
            </w:r>
          </w:p>
        </w:tc>
      </w:tr>
      <w:tr>
        <w:trPr>
          <w:trHeight w:val="216"/>
        </w:trPr>
        <w:tc>
          <w:tcPr>
            <w:tcW w:w="3720" w:type="dxa"/>
            <w:vAlign w:val="bottom"/>
          </w:tcPr>
          <w:p>
            <w:pPr>
              <w:spacing w:after="0"/>
              <w:rPr>
                <w:sz w:val="18"/>
                <w:szCs w:val="18"/>
                <w:color w:val="auto"/>
              </w:rPr>
            </w:pPr>
          </w:p>
        </w:tc>
        <w:tc>
          <w:tcPr>
            <w:tcW w:w="248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Interim  Chief  Financial  Officer  and</w:t>
            </w:r>
          </w:p>
        </w:tc>
      </w:tr>
      <w:tr>
        <w:trPr>
          <w:trHeight w:val="234"/>
        </w:trPr>
        <w:tc>
          <w:tcPr>
            <w:tcW w:w="372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37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65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2025-10-16T06:54:58Z</dcterms:created>
  <dcterms:modified xsi:type="dcterms:W3CDTF">2025-10-16T06:54:58Z</dcterms:modified>
</cp:coreProperties>
</file>