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333-268185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35,161,573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12,266,971 Warrants to Purchase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12,266,971 Shares of Common Stock Underlying Warrants</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up to 35,161,573 shares of our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12,266,971 warrants to purchase shares of common stock and 12,266,971 shares of common stock that are issuable upon the exercise of such warrants, consisting of:</w:t>
      </w:r>
    </w:p>
    <w:p>
      <w:pPr>
        <w:spacing w:after="0" w:line="175" w:lineRule="exact"/>
        <w:rPr>
          <w:sz w:val="24"/>
          <w:szCs w:val="24"/>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31,290,514 shares of common stock that were issued as consideration in connection with the consummation of the transactions contemplated by the Business Combination Agreement (as defined below) at a per share value of $10.00 per share (the “</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w:t>
      </w:r>
    </w:p>
    <w:p>
      <w:pPr>
        <w:jc w:val="both"/>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236,417 shares of common stock subject to vesting and/or exercise of Legacy Dragonfly (as defined below) equity awards that were assumed in connection with the Business Combination (the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Upon exercise of the applicable Legacy Dragonfly equity awards, the applicable selling securityholders will acquire the Option Shares at a price of $2.89 per share of common stock;</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3,162,500 shares of common stock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that were originally issued in a private placement at the time of the CNTQ IPO (as defined below). The Founder Shares were acquired at a purchase price equivalent to approximately $0.0079 per share of common stock;</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warrants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that were originally issued in a private placement at the time of the CNTQ IPO. The Private Warrants were acquired at a purchase price of $0.93 per Private Warrant;</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Warrants (as defined below) to initially acquire 2,593,056 shares of common stock that were originally issued to the Term Loan Lenders (as defined below);</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the exercise of the Private Warrants that were originally issued in a private placement at the time of the CNTQ IPO;</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shares of common stock (the “</w:t>
      </w:r>
      <w:r>
        <w:rPr>
          <w:rFonts w:ascii="Times New Roman" w:cs="Times New Roman" w:eastAsia="Times New Roman" w:hAnsi="Times New Roman"/>
          <w:sz w:val="18"/>
          <w:szCs w:val="18"/>
          <w:b w:val="1"/>
          <w:bCs w:val="1"/>
          <w:color w:val="auto"/>
        </w:rPr>
        <w:t>$10 Warrant Shares</w:t>
      </w:r>
      <w:r>
        <w:rPr>
          <w:rFonts w:ascii="Times New Roman" w:cs="Times New Roman" w:eastAsia="Times New Roman" w:hAnsi="Times New Roman"/>
          <w:sz w:val="18"/>
          <w:szCs w:val="18"/>
          <w:color w:val="auto"/>
        </w:rPr>
        <w:t>”) issued upon the exercise of the $10 Warrants (as defined below) issued as part of the Term Loan (as defined below);</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1,343,056 shares of common stock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issuable upon the exercise of the Penny Warrants (as defined below) issued as part of the Term Loan; and</w:t>
      </w:r>
    </w:p>
    <w:p>
      <w:pPr>
        <w:ind w:left="660" w:right="2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shares of common stock (the “</w:t>
      </w:r>
      <w:r>
        <w:rPr>
          <w:rFonts w:ascii="Times New Roman" w:cs="Times New Roman" w:eastAsia="Times New Roman" w:hAnsi="Times New Roman"/>
          <w:sz w:val="18"/>
          <w:szCs w:val="18"/>
          <w:b w:val="1"/>
          <w:bCs w:val="1"/>
          <w:color w:val="auto"/>
        </w:rPr>
        <w:t>PIPE Investment Shares</w:t>
      </w:r>
      <w:r>
        <w:rPr>
          <w:rFonts w:ascii="Times New Roman" w:cs="Times New Roman" w:eastAsia="Times New Roman" w:hAnsi="Times New Roman"/>
          <w:sz w:val="18"/>
          <w:szCs w:val="18"/>
          <w:color w:val="auto"/>
        </w:rPr>
        <w:t>”) purchased by CCM (as defined below) in the PIPE Investment (as defined below).</w:t>
      </w:r>
    </w:p>
    <w:p>
      <w:pPr>
        <w:spacing w:after="0" w:line="177"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prospectus also relates to the issuance by us of up to 12,266,971 shares of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comprised of (i) 9,422,529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that are issuable by us upon the exercise of the public warrants that were sold as part of the units in the CNTQ IPO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(ii) the 1,501,386 Private Warrant Shares, and (iii) the 1,343,056 Penny Warrant Shares. The Public Warrants and Private Warrants entitle the holder thereof to purchase one share of our common stock for $11.50 per share. The Penny Warrants entitle the holder thereof to purchase one share of our common stock for $0.01 per share, subject to weighted average anti-dilution protection.</w:t>
      </w:r>
    </w:p>
    <w:p>
      <w:pPr>
        <w:spacing w:after="0" w:line="18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Because the exercise price of the Public Warrants and Private Warrants substantially exceeds the current trading price of our common stock, it is unlikely that holders of our warrants will be able to exercise such warrants in the near future, if at all. As a result, we are unlikely to receive any proceeds from the exercise of our warrants in the near future, if at all.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104 of this prospectus.</w:t>
      </w:r>
    </w:p>
    <w:p>
      <w:pPr>
        <w:spacing w:after="0" w:line="18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impact may be heightened by the fact that, as described above, certain of the selling securityholders purchased, or are able to purchase, shares of our common stock at prices that are well below the current trading price of our common stock. The 47,428,544 shares that may be resold and/or issued into the public markets pursuant to this prospectus represent approximately 104% of the shares of our common stock outstanding as of April 17, 2023 (after giving effect to the issuance of the Option Shares, Public Warrant Shares and Private Warrant Shares).</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As of April 17, 2023, the closing price of our common stock and warrants was $5.39 and $0.232, respectively.</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applicable federal securities laws and will be subject to reduced public company reporting requirements.</w:t>
      </w:r>
    </w:p>
    <w:p>
      <w:pPr>
        <w:sectPr>
          <w:pgSz w:w="11900" w:h="16838" w:orient="portrait"/>
          <w:cols w:equalWidth="0" w:num="1">
            <w:col w:w="11240"/>
          </w:cols>
          <w:pgMar w:left="320" w:top="441"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9 OF THIS PROSPECTUS.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9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INTRODUCTORY NOTE</w:t>
            </w:r>
          </w:p>
        </w:tc>
        <w:tc>
          <w:tcPr>
            <w:tcW w:w="7920" w:type="dxa"/>
            <w:vAlign w:val="bottom"/>
            <w:tcBorders>
              <w:bottom w:val="single" w:sz="8" w:color="CCEEFF"/>
            </w:tcBorders>
            <w:gridSpan w:val="13"/>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60" w:type="dxa"/>
            <w:vAlign w:val="bottom"/>
            <w:tcBorders>
              <w:bottom w:val="single" w:sz="8" w:color="CCEEFF"/>
            </w:tcBorders>
            <w:gridSpan w:val="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580" w:type="dxa"/>
            <w:vAlign w:val="bottom"/>
            <w:tcBorders>
              <w:top w:val="single" w:sz="8" w:color="CCEEFF"/>
            </w:tcBorders>
            <w:gridSpan w:val="17"/>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000" w:type="dxa"/>
            <w:vAlign w:val="bottom"/>
            <w:tcBorders>
              <w:bottom w:val="single" w:sz="8" w:color="CCEEFF"/>
            </w:tcBorders>
            <w:gridSpan w:val="19"/>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6"/>
        </w:trPr>
        <w:tc>
          <w:tcPr>
            <w:tcW w:w="56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260" w:type="dxa"/>
            <w:vAlign w:val="bottom"/>
            <w:tcBorders>
              <w:top w:val="single" w:sz="8" w:color="CCEEFF"/>
            </w:tcBorders>
            <w:gridSpan w:val="5"/>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120" w:type="dxa"/>
            <w:vAlign w:val="bottom"/>
            <w:tcBorders>
              <w:bottom w:val="single" w:sz="8" w:color="CCEEFF"/>
            </w:tcBorders>
            <w:gridSpan w:val="2"/>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98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60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860" w:type="dxa"/>
            <w:vAlign w:val="bottom"/>
            <w:tcBorders>
              <w:top w:val="single" w:sz="8" w:color="CCEEFF"/>
            </w:tcBorders>
            <w:gridSpan w:val="3"/>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400" w:type="dxa"/>
            <w:vAlign w:val="bottom"/>
            <w:tcBorders>
              <w:top w:val="single" w:sz="8" w:color="CCEEFF"/>
            </w:tcBorders>
            <w:gridSpan w:val="15"/>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175"/>
        </w:trPr>
        <w:tc>
          <w:tcPr>
            <w:tcW w:w="38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040" w:type="dxa"/>
            <w:vAlign w:val="bottom"/>
            <w:tcBorders>
              <w:top w:val="single" w:sz="8" w:color="CCEEFF"/>
            </w:tcBorders>
            <w:gridSpan w:val="7"/>
          </w:tcPr>
          <w:p>
            <w:pPr>
              <w:spacing w:after="0"/>
              <w:rPr>
                <w:sz w:val="15"/>
                <w:szCs w:val="15"/>
                <w:color w:val="auto"/>
              </w:rPr>
            </w:pPr>
          </w:p>
        </w:tc>
        <w:tc>
          <w:tcPr>
            <w:tcW w:w="1380" w:type="dxa"/>
            <w:vAlign w:val="bottom"/>
            <w:tcBorders>
              <w:top w:val="single" w:sz="8" w:color="CCEEFF"/>
            </w:tcBorders>
          </w:tcPr>
          <w:p>
            <w:pPr>
              <w:ind w:left="9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 this prospectus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 On March 31, 2023, Dragonfly was reincorporated under the laws of the State of Nevada pursuant to a reincorporation by conversion.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 issued at Closing in connection with the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the articles of incorporation of Dragonfly, in effect as of the date of this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Nevada corporation.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means the Nevada Revised Statutes.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and the Penny Warrants of Dragonfly.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60" w:right="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our recent Business Combination (as defined herein), which may be affected by, among other things, the factors listed below;</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 Public Warrants (as defined herein) on the Nasdaq Capital Market;</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any mutations or variants thereof, and its effect on business and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a single manufacturing facility.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5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SUMMARY OF THE PROSPECTUS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(including the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Company, allowing us to include our own alternator regulator in systems that we sell.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339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9. Such risks include, but are not limited to, the following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jc w:val="both"/>
        <w:ind w:left="660" w:hanging="331"/>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7"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jc w:val="both"/>
        <w:ind w:left="660" w:right="20" w:hanging="331"/>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9" w:name="page10"/>
    <w:bookmarkEnd w:id="9"/>
    <w:p>
      <w:pPr>
        <w:ind w:left="660" w:right="20" w:hanging="331"/>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10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5104765"/>
                    </a:xfrm>
                    <a:prstGeom prst="rect">
                      <a:avLst/>
                    </a:prstGeom>
                    <a:noFill/>
                  </pic:spPr>
                </pic:pic>
              </a:graphicData>
            </a:graphic>
          </wp:anchor>
        </w:drawing>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660" w:right="20" w:hanging="331"/>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ind w:left="660" w:right="20" w:hanging="331"/>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time-consuming and could cause us to incur substantial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660" w:hanging="33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the Russia-Ukraine conflict, could reduce consumer spending and disrupt our supply chain which could negatively affect our results of operations.</w:t>
      </w:r>
    </w:p>
    <w:p>
      <w:pPr>
        <w:ind w:left="660" w:right="20" w:hanging="331"/>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right="20" w:hanging="331"/>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660" w:right="20" w:hanging="331"/>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jc w:val="both"/>
        <w:ind w:left="660" w:right="20" w:hanging="331"/>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660" w:right="20" w:hanging="331"/>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and may be dilutive to existing stockholders.</w:t>
      </w:r>
    </w:p>
    <w:p>
      <w:pPr>
        <w:spacing w:after="0" w:line="27" w:lineRule="exact"/>
        <w:rPr>
          <w:rFonts w:ascii="Times New Roman" w:cs="Times New Roman" w:eastAsia="Times New Roman" w:hAnsi="Times New Roman"/>
          <w:sz w:val="18"/>
          <w:szCs w:val="18"/>
          <w:color w:val="auto"/>
        </w:rPr>
      </w:pPr>
    </w:p>
    <w:p>
      <w:pPr>
        <w:ind w:left="660" w:right="20" w:hanging="331"/>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10" w:name="page11"/>
    <w:bookmarkEnd w:id="10"/>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0" w:lineRule="exact"/>
        <w:rPr>
          <w:sz w:val="20"/>
          <w:szCs w:val="20"/>
          <w:color w:val="auto"/>
        </w:rPr>
      </w:pPr>
      <w:r>
        <w:rPr>
          <w:sz w:val="20"/>
          <w:szCs w:val="20"/>
          <w:color w:val="auto"/>
        </w:rPr>
        <w:br w:type="column"/>
      </w:r>
    </w:p>
    <w:p>
      <w:pPr>
        <w:ind w:left="1927"/>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-268605</wp:posOffset>
            </wp:positionV>
            <wp:extent cx="7127875" cy="8670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8670925"/>
                    </a:xfrm>
                    <a:prstGeom prst="rect">
                      <a:avLst/>
                    </a:prstGeom>
                    <a:noFill/>
                  </pic:spPr>
                </pic:pic>
              </a:graphicData>
            </a:graphic>
          </wp:anchor>
        </w:drawing>
      </w:r>
    </w:p>
    <w:p>
      <w:pPr>
        <w:spacing w:after="0" w:line="2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 w:right="20"/>
        <w:spacing w:after="0" w:line="261"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named in this prospectus, or their permitted transferees, of an aggregate of 35,161,573 shares of common stock, 12,266,971 warrants to purchase shares of common stock and 12,266,971 shares of common stock issued or issuable upon exercise of warrants, which includes up to:</w:t>
      </w:r>
    </w:p>
    <w:p>
      <w:pPr>
        <w:spacing w:after="0" w:line="180" w:lineRule="exact"/>
        <w:rPr>
          <w:sz w:val="20"/>
          <w:szCs w:val="20"/>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27"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236,417 Option Shares;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 Shares;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1,343,056 Penny Warrant Shares; and</w:t>
      </w:r>
    </w:p>
    <w:p>
      <w:pPr>
        <w:spacing w:after="0" w:line="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207" w:lineRule="exact"/>
        <w:rPr>
          <w:sz w:val="20"/>
          <w:szCs w:val="20"/>
          <w:color w:val="auto"/>
        </w:rPr>
      </w:pPr>
    </w:p>
    <w:p>
      <w:pPr>
        <w:ind w:left="7"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common stock or warrants by the selling securityholders.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564" w:lineRule="exact"/>
        <w:rPr>
          <w:sz w:val="20"/>
          <w:szCs w:val="20"/>
          <w:color w:val="auto"/>
        </w:rPr>
      </w:pPr>
    </w:p>
    <w:p>
      <w:pPr>
        <w:sectPr>
          <w:pgSz w:w="11900" w:h="16838" w:orient="portrait"/>
          <w:cols w:equalWidth="0" w:num="2">
            <w:col w:w="2280" w:space="573"/>
            <w:col w:w="8067"/>
          </w:cols>
          <w:pgMar w:left="480" w:top="927" w:right="499" w:bottom="1440" w:gutter="0" w:footer="0" w:header="0"/>
        </w:sectPr>
      </w:pPr>
    </w:p>
    <w:p>
      <w:pPr>
        <w:spacing w:after="0" w:line="29"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Shares of common stock offered by us ●</w:t>
      </w:r>
      <w:r>
        <w:rPr>
          <w:sz w:val="20"/>
          <w:szCs w:val="20"/>
          <w:color w:val="auto"/>
        </w:rPr>
        <w:tab/>
      </w:r>
      <w:r>
        <w:rPr>
          <w:rFonts w:ascii="Times New Roman" w:cs="Times New Roman" w:eastAsia="Times New Roman" w:hAnsi="Times New Roman"/>
          <w:sz w:val="17"/>
          <w:szCs w:val="17"/>
          <w:color w:val="auto"/>
        </w:rPr>
        <w:t>9,422,529 shares of common stock issuable upon exercise of the Public Warrants;</w:t>
      </w:r>
    </w:p>
    <w:p>
      <w:pPr>
        <w:spacing w:after="0" w:line="27" w:lineRule="exact"/>
        <w:rPr>
          <w:sz w:val="20"/>
          <w:szCs w:val="20"/>
          <w:color w:val="auto"/>
        </w:rPr>
      </w:pPr>
    </w:p>
    <w:p>
      <w:pPr>
        <w:ind w:left="3180" w:hanging="327"/>
        <w:spacing w:after="0"/>
        <w:tabs>
          <w:tab w:leader="none" w:pos="3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issuable upon exercise of the Private Warrants; and</w:t>
      </w:r>
    </w:p>
    <w:p>
      <w:pPr>
        <w:spacing w:after="0" w:line="9" w:lineRule="exact"/>
        <w:rPr>
          <w:rFonts w:ascii="Times New Roman" w:cs="Times New Roman" w:eastAsia="Times New Roman" w:hAnsi="Times New Roman"/>
          <w:sz w:val="18"/>
          <w:szCs w:val="18"/>
          <w:color w:val="auto"/>
        </w:rPr>
      </w:pPr>
    </w:p>
    <w:p>
      <w:pPr>
        <w:ind w:left="3180" w:hanging="327"/>
        <w:spacing w:after="0"/>
        <w:tabs>
          <w:tab w:leader="none" w:pos="3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1,343,056 shares of common stock issuable upon exercise of the Penny Warrants.</w:t>
      </w:r>
    </w:p>
    <w:p>
      <w:pPr>
        <w:spacing w:after="0" w:line="207"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Common stock issued and outstanding ●</w:t>
      </w:r>
      <w:r>
        <w:rPr>
          <w:sz w:val="20"/>
          <w:szCs w:val="20"/>
          <w:color w:val="auto"/>
        </w:rPr>
        <w:tab/>
      </w:r>
      <w:r>
        <w:rPr>
          <w:rFonts w:ascii="Times New Roman" w:cs="Times New Roman" w:eastAsia="Times New Roman" w:hAnsi="Times New Roman"/>
          <w:sz w:val="17"/>
          <w:szCs w:val="17"/>
          <w:color w:val="auto"/>
        </w:rPr>
        <w:t>45,820,750 shares of common stock prior to the exercise of the Warrants; and</w:t>
      </w:r>
    </w:p>
    <w:p>
      <w:pPr>
        <w:spacing w:after="0" w:line="27" w:lineRule="exact"/>
        <w:rPr>
          <w:sz w:val="20"/>
          <w:szCs w:val="20"/>
          <w:color w:val="auto"/>
        </w:rPr>
      </w:pPr>
    </w:p>
    <w:p>
      <w:pPr>
        <w:spacing w:after="0"/>
        <w:tabs>
          <w:tab w:leader="none" w:pos="2840" w:val="left"/>
          <w:tab w:leader="none" w:pos="3160" w:val="left"/>
        </w:tabs>
        <w:rPr>
          <w:sz w:val="20"/>
          <w:szCs w:val="20"/>
          <w:color w:val="auto"/>
        </w:rPr>
      </w:pPr>
      <w:r>
        <w:rPr>
          <w:rFonts w:ascii="Times New Roman" w:cs="Times New Roman" w:eastAsia="Times New Roman" w:hAnsi="Times New Roman"/>
          <w:sz w:val="18"/>
          <w:szCs w:val="18"/>
          <w:color w:val="auto"/>
        </w:rPr>
        <w:t>immediately</w:t>
      </w:r>
      <w:r>
        <w:rPr>
          <w:sz w:val="20"/>
          <w:szCs w:val="20"/>
          <w:color w:val="auto"/>
        </w:rPr>
        <w:tab/>
      </w:r>
      <w:r>
        <w:rPr>
          <w:rFonts w:ascii="Times New Roman" w:cs="Times New Roman" w:eastAsia="Times New Roman" w:hAnsi="Times New Roman"/>
          <w:sz w:val="18"/>
          <w:szCs w:val="18"/>
          <w:color w:val="auto"/>
        </w:rPr>
        <w:t>●</w:t>
        <w:tab/>
        <w:t>58,087,721 shares of common stock assuming the issuance of 12,266,971 shares of common stock upon</w:t>
      </w:r>
    </w:p>
    <w:p>
      <w:pPr>
        <w:spacing w:after="0" w:line="9"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after this offering</w:t>
      </w:r>
      <w:r>
        <w:rPr>
          <w:sz w:val="20"/>
          <w:szCs w:val="20"/>
          <w:color w:val="auto"/>
        </w:rPr>
        <w:tab/>
      </w:r>
      <w:r>
        <w:rPr>
          <w:rFonts w:ascii="Times New Roman" w:cs="Times New Roman" w:eastAsia="Times New Roman" w:hAnsi="Times New Roman"/>
          <w:sz w:val="17"/>
          <w:szCs w:val="17"/>
          <w:color w:val="auto"/>
        </w:rPr>
        <w:t>the exercise of the Warrants.</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 $109 million from the exercise of the Warrants, assuming</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exercise in full of all of Warrants for cash. We expect to use the net proceeds, if any, from the exercise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Warrants for research and development, working capital and general corporate purposes. Because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exercise price of the Public Warrants and Private Warrants substantially exceeds the current trading price of our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common stock, we are unlikely to receive any proceeds from the exercise of our warrants in the near future, if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 all.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Nasdaq ticker symbols</w:t>
      </w:r>
      <w:r>
        <w:rPr>
          <w:sz w:val="20"/>
          <w:szCs w:val="20"/>
          <w:color w:val="auto"/>
        </w:rPr>
        <w:tab/>
      </w:r>
      <w:r>
        <w:rPr>
          <w:rFonts w:ascii="Times New Roman" w:cs="Times New Roman" w:eastAsia="Times New Roman" w:hAnsi="Times New Roman"/>
          <w:sz w:val="18"/>
          <w:szCs w:val="18"/>
          <w:color w:val="auto"/>
        </w:rPr>
        <w:t>Our common stock is currently listed on Nasdaq under the symbol “DFLI” and our public warrants are</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currently listed on the Nasdaq Capital Market under the symbol “DFLIW”.</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 involves a high degree of risk. You should</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w:t>
      </w:r>
    </w:p>
    <w:p>
      <w:pPr>
        <w:spacing w:after="0" w:line="2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resale of shares of our common stock pursuant to this prospectus could have a significant negative impact</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on the trading price of our common stock. This impact may be heightened by the fact that certain of the selling</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securityholders purchased, or are able to purchase, shares of our common stock at prices that are well below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current trading price of our common stock.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April 17, 2023, does not give effect to issuances of our common stock, warrants or options to purchase shares of our common stock, or the exercise of warrants or options after such date, and excludes:</w:t>
      </w:r>
    </w:p>
    <w:p>
      <w:pPr>
        <w:spacing w:after="0" w:line="158" w:lineRule="exact"/>
        <w:rPr>
          <w:sz w:val="20"/>
          <w:szCs w:val="20"/>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4,516,859 shares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2,897,127 shares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 million of shares of common stock we may sell to CCM pursuant to a purchase agreement between us and CCM, dated October 7,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and</w:t>
      </w: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4,372,142 shares of common stock underlying outstanding options.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this prospectus. These risk factors are not exhaustive, and investors are encouraged to perform their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 This impact may be heightened by the fact that, as described in the table below, certain of the selling securityholders purchased, or are able to purchase, shares of our common stock at prices that are well below the current trading price of our common stock. The 47,428,544 shares that may be resold and/or issued into the public markets pursuant to this prospectus represent approximately 104% of the shares of our common stock outstanding as of April 17, 2023 (after giving effect to the issuance of the Option Shares, Public Warrant Shares, Private Warrant Shares and Penny Warrant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 of shares/warrants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Potential profit per</w:t>
            </w: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40" w:type="dxa"/>
            <w:vAlign w:val="bottom"/>
          </w:tcPr>
          <w:p>
            <w:pPr>
              <w:spacing w:after="0"/>
              <w:rPr>
                <w:sz w:val="24"/>
                <w:szCs w:val="24"/>
                <w:color w:val="auto"/>
              </w:rPr>
            </w:pPr>
          </w:p>
        </w:tc>
        <w:tc>
          <w:tcPr>
            <w:tcW w:w="40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24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5"/>
              </w:rPr>
              <w:t>outstanding</w:t>
            </w:r>
            <w:r>
              <w:rPr>
                <w:rFonts w:ascii="Times New Roman" w:cs="Times New Roman" w:eastAsia="Times New Roman" w:hAnsi="Times New Roman"/>
                <w:sz w:val="29"/>
                <w:szCs w:val="29"/>
                <w:b w:val="1"/>
                <w:bCs w:val="1"/>
                <w:color w:val="auto"/>
                <w:w w:val="95"/>
                <w:vertAlign w:val="superscript"/>
              </w:rPr>
              <w:t>(1)</w:t>
            </w:r>
          </w:p>
        </w:tc>
        <w:tc>
          <w:tcPr>
            <w:tcW w:w="202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9"/>
              </w:rPr>
              <w:t>share</w:t>
            </w:r>
            <w:r>
              <w:rPr>
                <w:rFonts w:ascii="Times New Roman" w:cs="Times New Roman" w:eastAsia="Times New Roman" w:hAnsi="Times New Roman"/>
                <w:sz w:val="29"/>
                <w:szCs w:val="29"/>
                <w:b w:val="1"/>
                <w:bCs w:val="1"/>
                <w:color w:val="auto"/>
                <w:w w:val="89"/>
                <w:vertAlign w:val="superscript"/>
              </w:rPr>
              <w:t>(2)</w:t>
            </w:r>
          </w:p>
        </w:tc>
      </w:tr>
      <w:tr>
        <w:trPr>
          <w:trHeight w:val="198"/>
        </w:trPr>
        <w:tc>
          <w:tcPr>
            <w:tcW w:w="2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Consideration Shares (31,290,514</w:t>
            </w:r>
          </w:p>
        </w:tc>
        <w:tc>
          <w:tcPr>
            <w:tcW w:w="240" w:type="dxa"/>
            <w:vAlign w:val="bottom"/>
          </w:tcPr>
          <w:p>
            <w:pPr>
              <w:spacing w:after="0"/>
              <w:rPr>
                <w:sz w:val="17"/>
                <w:szCs w:val="17"/>
                <w:color w:val="auto"/>
              </w:rPr>
            </w:pPr>
          </w:p>
        </w:tc>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Acquired  by  employees,  investors  and  others</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Approximately 68.2%</w:t>
            </w:r>
          </w:p>
        </w:tc>
        <w:tc>
          <w:tcPr>
            <w:tcW w:w="20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$4.98 per share</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through private placements, equity award grants and</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sales of our equity securities at prices that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equate to purchase prices of less than $10.00 per</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 of common stock</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Option Shares (236,417 shares)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$2.89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Approximately 0.5% (after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$0.70 per share</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giving effect to the issuance</w:t>
            </w:r>
          </w:p>
        </w:tc>
        <w:tc>
          <w:tcPr>
            <w:tcW w:w="202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the Option Shares)</w:t>
            </w:r>
          </w:p>
        </w:tc>
        <w:tc>
          <w:tcPr>
            <w:tcW w:w="2020" w:type="dxa"/>
            <w:vAlign w:val="bottom"/>
          </w:tcPr>
          <w:p>
            <w:pPr>
              <w:spacing w:after="0"/>
              <w:rPr>
                <w:sz w:val="20"/>
                <w:szCs w:val="20"/>
                <w:color w:val="auto"/>
              </w:rPr>
            </w:pP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Founders Shares (3,162,500 shares)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Approximately $0.0079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Approximately 6.9%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$5.38 share</w:t>
            </w: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 Shares (9,422,529</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$11.50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Approximately 17.1%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 Shares (1,501,386</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$11.50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Approximately 3.2%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Penny Warrant Shares (1,343,056</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$0.01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Approximately 2.8%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$5.38 per share</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 Warrant Shares (457,142 shares)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$10.00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Approximately 1.0%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PIPE Investment Shares (15,000</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$10.00 per share of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Approximately 0.03%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9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w w:val="98"/>
              </w:rPr>
              <w:t>Public Warrants (9,422,529 warrants)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$0.232</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per Public Warrant</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Approximately 76.8%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9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 (1,501,386</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$0.93 per Private Warrant</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Approximately 12.2%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Penny Warrants</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$0.01 per Penny Warrant</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Approximately 10.9%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(1,343,056 warrants)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based on 45,820,750 shares of common stock and 12,267,472 warrants outstanding, in each case as of April 17, 2023.</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common stock at a price of $5.39 per share, which reflects the closing price of the common stock as of April 17, 2023.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price of the Public Warrants as of April 17,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will determine the timing, pricing and rate at which they sell such shares into the public market. Although the current trading price of our common stock is below $10.00 per share, which was the sales price for units in the CNTQ IPO, as shown in the table above,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demand for our products, including sales to OEM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to our target markets.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LFP batteries use lithium iron phosphate (“</w:t>
      </w:r>
      <w:r>
        <w:rPr>
          <w:rFonts w:ascii="Times New Roman" w:cs="Times New Roman" w:eastAsia="Times New Roman" w:hAnsi="Times New Roman"/>
          <w:sz w:val="18"/>
          <w:szCs w:val="18"/>
          <w:b w:val="1"/>
          <w:bCs w:val="1"/>
          <w:color w:val="auto"/>
        </w:rPr>
        <w:t>LiFePO4</w:t>
      </w:r>
      <w:r>
        <w:rPr>
          <w:rFonts w:ascii="Times New Roman" w:cs="Times New Roman" w:eastAsia="Times New Roman" w:hAnsi="Times New Roman"/>
          <w:sz w:val="18"/>
          <w:szCs w:val="18"/>
          <w:color w:val="auto"/>
        </w:rPr>
        <w:t>”)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solid-state batteries fail to perform as expected, our ability to further develop, market and sell our solid-state batteries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Third-Party Vendors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0"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cash totaling $17.8 million. Our net loss for the year ended December 31, 2022 was $39.6 million and our net income for the year ended December 31, 2021 was $4.3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incurred losses and had a negative cash flow from operations. As of December 31, 2022, we had approximately $17.8 million in cash and cash equivalents and working capital of $32.9 million. Our ability to achieve profitability and positive cash flow depends on our ability to increase revenue, contain our expenses and maintain compliance with the financial covenants in our outstanding indebtedness agreements.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herein)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 These restrictive covenants restrict our ability to, among other things: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outstanding securities may cause the market price of our securities to drop significantly, even if our business is doing well.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the resale of up to 47,428,544 shares that may be sold and/or issued into the public markets by certain securityholders. The shares being registered for resale into the public markets represent 104% of our outstanding common stock as of April 17,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filed a registration statement registering 21,512,027 shares of common stock to be issued and sold to CCM in connection with the ChEF Equity Facility under this prospectus. The 21,512,027 shares that may be resold and/or issued into the public markets pursuant to the ChEF Equity Facility represent approximately 47% of the shares of our common stock outstanding as of April 17,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outstanding warrants to acquire our common stock will increase the number of shares eligible for future resale in the public market and result in dilution to our stockholders. As of April 17,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1,343,557 shares of common stock issuable upon exercise of outstanding Penny Warrants at an exercise price of $0.01 per share. The $10 Warrants have been exercised in full and are no longer outstanding.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5540" w:right="1940" w:hanging="5208"/>
        <w:spacing w:after="0" w:line="532" w:lineRule="auto"/>
        <w:tabs>
          <w:tab w:leader="none" w:pos="6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its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89"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Bylaws without obtaining stockholder approval;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40"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 identified material weaknesses in our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over financial reporting. These material weaknesses could continue to adversely affect our ability to report our results of operations and financial condition accurately and in a timely manner</w:t>
      </w:r>
      <w:r>
        <w:rPr>
          <w:rFonts w:ascii="Times New Roman" w:cs="Times New Roman" w:eastAsia="Times New Roman" w:hAnsi="Times New Roman"/>
          <w:sz w:val="18"/>
          <w:szCs w:val="18"/>
          <w:color w:val="auto"/>
        </w:rPr>
        <w:t>.” We are continuing to develop and refine our disclosure controls and other procedures that are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common stock and the Private Warrants and Penny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receive up to an aggregate of approximately $109 million from the exercise of the Warrants, assuming the exercise in full of all of the Public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it is unlikely that holders of our Public Warrants and Private Warrants will decide to exercise such warrants in the near future, if at all. As a result, we are unlikely to receive any proceeds from the exercise of our warrants in the near future, if at all. We will have broad discretion over the use of proceeds from the exercise of the Warrants. There is no assurance that the holders of the Warrants will elect to exercise any or all of such Warrants, and there may be no economic incentive for such holders of the Public Warrants and Private Warrants to exercise unless and until the trading price of our common stock exceeds $11.50 per share. To the extent that the Warrants are exercised on a “cashless basis,” the amount of cash we would receive from the exercise of the Warrants will decrease.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our capital requirements and sources of liquidity, we have not relied on the receipt of proceeds from the exercise of the Warrants. See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 for more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 As of April 17, 2023, the closing price of our common stock and Public Warrants was $5.39 and $0.232, respectively. As of April 17, 2023, there were 173 holders of record of our common stock and 35 holders of record of our Public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“Dragonfly,” the “Company,” “we,” “us,” or “our” mean Dragonfly Energy Holdings Corp. and its subsidiaries unless stated otherwise or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2020, we have sold over 226,000 batteries. For the years ended December 31, 2022 and 2021, we sold 96,034 and 74,652 batteries, respectively, and had $86.3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and the other parties thereto, we also acquired the assets, including Wakespeed of Thomason Jones, allowing us to include our own alternator regulator in systems that we sell.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jc w:val="both"/>
        <w:ind w:left="660" w:hanging="328"/>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Environmentally Friendly, Socially Responsible and Safer. </w:t>
      </w:r>
      <w:r>
        <w:rPr>
          <w:rFonts w:ascii="Times New Roman" w:cs="Times New Roman" w:eastAsia="Times New Roman" w:hAnsi="Times New Roman"/>
          <w:sz w:val="18"/>
          <w:szCs w:val="18"/>
          <w:color w:val="auto"/>
        </w:rPr>
        <w:t>Lead-acid batteries that are not recycled or disposed of properly are extremely toxic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Longer Lifespan. </w:t>
      </w:r>
      <w:r>
        <w:rPr>
          <w:rFonts w:ascii="Times New Roman" w:cs="Times New Roman" w:eastAsia="Times New Roman" w:hAnsi="Times New Roman"/>
          <w:sz w:val="18"/>
          <w:szCs w:val="18"/>
          <w:color w:val="auto"/>
        </w:rPr>
        <w:t>Lithium-ion batteries have longer lifecycles compared to lead-acid batteries. LFP batteries are able to cycle (i.e., discharge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 and Performance. </w:t>
      </w:r>
      <w:r>
        <w:rPr>
          <w:rFonts w:ascii="Times New Roman" w:cs="Times New Roman" w:eastAsia="Times New Roman" w:hAnsi="Times New Roman"/>
          <w:sz w:val="18"/>
          <w:szCs w:val="18"/>
          <w:color w:val="auto"/>
        </w:rPr>
        <w:t>As new technologies evolve and people consume more electricity, the importance of battery power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Charging. </w:t>
      </w:r>
      <w:r>
        <w:rPr>
          <w:rFonts w:ascii="Times New Roman" w:cs="Times New Roman" w:eastAsia="Times New Roman" w:hAnsi="Times New Roman"/>
          <w:sz w:val="18"/>
          <w:szCs w:val="18"/>
          <w:color w:val="auto"/>
        </w:rPr>
        <w:t>Lead-acid batteries were the first rechargeable batteries on the market. However, due to new advancements in energy density (i.e.,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Maintenance-Free. </w:t>
      </w:r>
      <w:r>
        <w:rPr>
          <w:rFonts w:ascii="Times New Roman" w:cs="Times New Roman" w:eastAsia="Times New Roman" w:hAnsi="Times New Roman"/>
          <w:sz w:val="18"/>
          <w:szCs w:val="18"/>
          <w:color w:val="auto"/>
        </w:rPr>
        <w:t>LFP batteries provide the benefit of being a maintenance-free option compared to lead-acid batteries. Unlike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jc w:val="both"/>
        <w:ind w:left="660" w:hanging="328"/>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Recreational Vehicles. </w:t>
      </w:r>
      <w:r>
        <w:rPr>
          <w:rFonts w:ascii="Times New Roman" w:cs="Times New Roman" w:eastAsia="Times New Roman" w:hAnsi="Times New Roman"/>
          <w:sz w:val="18"/>
          <w:szCs w:val="18"/>
          <w:color w:val="auto"/>
        </w:rPr>
        <w:t>The growth of the RV market is expected to continue to drive demand for LFP storage batteries. According to the 2022 RV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Marine Vessels. </w:t>
      </w:r>
      <w:r>
        <w:rPr>
          <w:rFonts w:ascii="Times New Roman" w:cs="Times New Roman" w:eastAsia="Times New Roman" w:hAnsi="Times New Roman"/>
          <w:sz w:val="18"/>
          <w:szCs w:val="18"/>
          <w:color w:val="auto"/>
        </w:rPr>
        <w:t>As boating becomes more popular in North America, the need for a reliable, non-flammable energy storage system is becoming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Off-Grid Residences. </w:t>
      </w:r>
      <w:r>
        <w:rPr>
          <w:rFonts w:ascii="Times New Roman" w:cs="Times New Roman" w:eastAsia="Times New Roman" w:hAnsi="Times New Roman"/>
          <w:sz w:val="18"/>
          <w:szCs w:val="18"/>
          <w:color w:val="auto"/>
        </w:rPr>
        <w:t>Many people are turning to off-grid housing and, as individuals and governments become more conscious of their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Adjacent Markets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 Material Handlings / Work Truck. </w:t>
      </w:r>
      <w:r>
        <w:rPr>
          <w:rFonts w:ascii="Times New Roman" w:cs="Times New Roman" w:eastAsia="Times New Roman" w:hAnsi="Times New Roman"/>
          <w:sz w:val="18"/>
          <w:szCs w:val="18"/>
          <w:color w:val="auto"/>
        </w:rPr>
        <w:t>The industrial vehicle market includes work trucks, material handling and warehousing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Specialty Vehicles. </w:t>
      </w:r>
      <w:r>
        <w:rPr>
          <w:rFonts w:ascii="Times New Roman" w:cs="Times New Roman" w:eastAsia="Times New Roman" w:hAnsi="Times New Roman"/>
          <w:sz w:val="18"/>
          <w:szCs w:val="18"/>
          <w:color w:val="auto"/>
        </w:rPr>
        <w:t>According to Mordor Intelligence, as of 2019, approximately 40% of the specialty vehicle market in the United States consists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left="328" w:hanging="328"/>
        <w:spacing w:after="0" w:line="255"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Emergency and Standby Power. </w:t>
      </w:r>
      <w:r>
        <w:rPr>
          <w:rFonts w:ascii="Times New Roman" w:cs="Times New Roman" w:eastAsia="Times New Roman" w:hAnsi="Times New Roman"/>
          <w:sz w:val="18"/>
          <w:szCs w:val="18"/>
          <w:color w:val="auto"/>
        </w:rPr>
        <w:t>Demand for reliable emergency and standby power sources is expected to continue to drive demand for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Telecom. </w:t>
      </w:r>
      <w:r>
        <w:rPr>
          <w:rFonts w:ascii="Times New Roman" w:cs="Times New Roman" w:eastAsia="Times New Roman" w:hAnsi="Times New Roman"/>
          <w:sz w:val="18"/>
          <w:szCs w:val="18"/>
          <w:color w:val="auto"/>
        </w:rPr>
        <w:t>Demand for mobile data continues to increase and network providers are investing heavily in 5G networks, particularly in unserved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73" w:lineRule="auto"/>
        <w:tabs>
          <w:tab w:leader="none" w:pos="32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Rail. </w:t>
      </w:r>
      <w:r>
        <w:rPr>
          <w:rFonts w:ascii="Times New Roman" w:cs="Times New Roman" w:eastAsia="Times New Roman" w:hAnsi="Times New Roman"/>
          <w:sz w:val="17"/>
          <w:szCs w:val="17"/>
          <w:color w:val="auto"/>
        </w:rPr>
        <w:t>Rail transportation is a large potential market, with an estimated market size of $98.6 billion in 2022, according to IBISWorld. Many railroad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71" w:lineRule="exact"/>
        <w:rPr>
          <w:rFonts w:ascii="Times New Roman" w:cs="Times New Roman" w:eastAsia="Times New Roman" w:hAnsi="Times New Roman"/>
          <w:sz w:val="17"/>
          <w:szCs w:val="17"/>
          <w:color w:val="auto"/>
        </w:rPr>
      </w:pPr>
    </w:p>
    <w:p>
      <w:pPr>
        <w:jc w:val="both"/>
        <w:ind w:left="328" w:hanging="328"/>
        <w:spacing w:after="0" w:line="254"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Centers. </w:t>
      </w:r>
      <w:r>
        <w:rPr>
          <w:rFonts w:ascii="Times New Roman" w:cs="Times New Roman" w:eastAsia="Times New Roman" w:hAnsi="Times New Roman"/>
          <w:sz w:val="18"/>
          <w:szCs w:val="18"/>
          <w:color w:val="auto"/>
        </w:rPr>
        <w:t>Data centers have seen strong growth in recent years, with over 2,750 data centers in the United States as of January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On-grid Storage. </w:t>
      </w:r>
      <w:r>
        <w:rPr>
          <w:rFonts w:ascii="Times New Roman" w:cs="Times New Roman" w:eastAsia="Times New Roman" w:hAnsi="Times New Roman"/>
          <w:sz w:val="18"/>
          <w:szCs w:val="18"/>
          <w:color w:val="auto"/>
        </w:rPr>
        <w:t>On-grid energy storage is used on a large-scale platform within an electrical power grid in conjunction with variable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58" w:lineRule="exact"/>
        <w:rPr>
          <w:sz w:val="20"/>
          <w:szCs w:val="20"/>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Premier Lithium-Ion Battery Technology. </w:t>
      </w:r>
      <w:r>
        <w:rPr>
          <w:rFonts w:ascii="Times New Roman" w:cs="Times New Roman" w:eastAsia="Times New Roman" w:hAnsi="Times New Roman"/>
          <w:sz w:val="18"/>
          <w:szCs w:val="18"/>
          <w:color w:val="auto"/>
        </w:rPr>
        <w:t>Each of our innovative batteries features custom designed components to enhance power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Growing Patent Portfolio. </w:t>
      </w:r>
      <w:r>
        <w:rPr>
          <w:rFonts w:ascii="Times New Roman" w:cs="Times New Roman" w:eastAsia="Times New Roman" w:hAnsi="Times New Roman"/>
          <w:sz w:val="18"/>
          <w:szCs w:val="18"/>
          <w:color w:val="auto"/>
        </w:rPr>
        <w:t>We have developed and filed patent applications on commercially relevant aspects of our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compositions systems and production processes. To date, we have owned 26 issued patents, with an additional 22 patent applications pending, in the United States, China, Europe, Australia, Canada and other regions.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Proven Go-To-Market Strategy. </w:t>
      </w:r>
      <w:r>
        <w:rPr>
          <w:rFonts w:ascii="Times New Roman" w:cs="Times New Roman" w:eastAsia="Times New Roman" w:hAnsi="Times New Roman"/>
          <w:sz w:val="18"/>
          <w:szCs w:val="18"/>
          <w:color w:val="auto"/>
        </w:rPr>
        <w:t>We have successfully established a direct-to-consumer platform and have developed strong working relationships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Customer Base with Brand Recognition. </w:t>
      </w:r>
      <w:r>
        <w:rPr>
          <w:rFonts w:ascii="Times New Roman" w:cs="Times New Roman" w:eastAsia="Times New Roman" w:hAnsi="Times New Roman"/>
          <w:sz w:val="18"/>
          <w:szCs w:val="18"/>
          <w:color w:val="auto"/>
        </w:rPr>
        <w:t>We have a growing customer base of more than 15,000 customers featuring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Quality Manufacturing Process. </w:t>
      </w:r>
      <w:r>
        <w:rPr>
          <w:rFonts w:ascii="Times New Roman" w:cs="Times New Roman" w:eastAsia="Times New Roman" w:hAnsi="Times New Roman"/>
          <w:sz w:val="18"/>
          <w:szCs w:val="18"/>
          <w:color w:val="auto"/>
        </w:rPr>
        <w:t>Unlike competitors that outsource their manufacturing processes, our batteries are designed,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Drop-in Replacement. </w:t>
      </w:r>
      <w:r>
        <w:rPr>
          <w:rFonts w:ascii="Times New Roman" w:cs="Times New Roman" w:eastAsia="Times New Roman" w:hAnsi="Times New Roman"/>
          <w:sz w:val="18"/>
          <w:szCs w:val="18"/>
          <w:color w:val="auto"/>
        </w:rPr>
        <w:t>Our battery modules are largely designed to be “drop-in replacements” for traditional lead-acid batteries, which means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221" w:lineRule="exact"/>
        <w:rPr>
          <w:sz w:val="20"/>
          <w:szCs w:val="20"/>
          <w:color w:val="auto"/>
        </w:rPr>
      </w:pPr>
    </w:p>
    <w:p>
      <w:pPr>
        <w:jc w:val="both"/>
        <w:ind w:left="660" w:hanging="328"/>
        <w:spacing w:after="0" w:line="25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Product Offerings. </w:t>
      </w:r>
      <w:r>
        <w:rPr>
          <w:rFonts w:ascii="Times New Roman" w:cs="Times New Roman" w:eastAsia="Times New Roman" w:hAnsi="Times New Roman"/>
          <w:sz w:val="18"/>
          <w:szCs w:val="18"/>
          <w:color w:val="auto"/>
        </w:rPr>
        <w:t>In the short-term, our aim is to further diversify our product offerings to give consumers, as well as OEMs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End Markets. </w:t>
      </w:r>
      <w:r>
        <w:rPr>
          <w:rFonts w:ascii="Times New Roman" w:cs="Times New Roman" w:eastAsia="Times New Roman" w:hAnsi="Times New Roman"/>
          <w:sz w:val="18"/>
          <w:szCs w:val="18"/>
          <w:color w:val="auto"/>
        </w:rPr>
        <w:t>We have identified additional end markets that we believe in the medium- to longer-term will increasingly look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Commercialize Solid-State Technology. </w:t>
      </w:r>
      <w:r>
        <w:rPr>
          <w:rFonts w:ascii="Times New Roman" w:cs="Times New Roman" w:eastAsia="Times New Roman" w:hAnsi="Times New Roman"/>
          <w:sz w:val="18"/>
          <w:szCs w:val="18"/>
          <w:color w:val="auto"/>
        </w:rPr>
        <w:t>We believe solid-state technology presents a significant advantage to all products currently on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128270</wp:posOffset>
            </wp:positionV>
            <wp:extent cx="4937760" cy="129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8"/>
          <w:szCs w:val="18"/>
          <w:i w:val="1"/>
          <w:iCs w:val="1"/>
          <w:color w:val="auto"/>
        </w:rPr>
        <w:t>Lithium and Cobalt: A tale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 commodities</w:t>
      </w:r>
      <w:r>
        <w:rPr>
          <w:rFonts w:ascii="Times New Roman" w:cs="Times New Roman" w:eastAsia="Times New Roman" w:hAnsi="Times New Roman"/>
          <w:sz w:val="18"/>
          <w:szCs w:val="18"/>
          <w:color w:val="auto"/>
        </w:rPr>
        <w:t>”, global forecasts for cobalt show supply shortages arising as early as 2022, slowing down NMC battery growth. Both of these elements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125730</wp:posOffset>
            </wp:positionV>
            <wp:extent cx="5743575" cy="2657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35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114300</wp:posOffset>
            </wp:positionV>
            <wp:extent cx="4937760" cy="2108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776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114300</wp:posOffset>
            </wp:positionV>
            <wp:extent cx="4937760" cy="1911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77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under 135 degrees Fahrenheit, and is designed to cut off charging at 24 degrees Fahrenheit to protect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225" w:lineRule="exact"/>
        <w:rPr>
          <w:rFonts w:ascii="Times New Roman" w:cs="Times New Roman" w:eastAsia="Times New Roman" w:hAnsi="Times New Roman"/>
          <w:sz w:val="18"/>
          <w:szCs w:val="18"/>
          <w:color w:val="auto"/>
        </w:rPr>
      </w:pPr>
    </w:p>
    <w:p>
      <w:pPr>
        <w:jc w:val="center"/>
        <w:ind w:left="5540" w:right="200" w:hanging="5208"/>
        <w:spacing w:after="0" w:line="532" w:lineRule="auto"/>
        <w:tabs>
          <w:tab w:leader="none" w:pos="6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Alternator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Products. </w:t>
      </w:r>
      <w:r>
        <w:rPr>
          <w:rFonts w:ascii="Times New Roman" w:cs="Times New Roman" w:eastAsia="Times New Roman" w:hAnsi="Times New Roman"/>
          <w:sz w:val="18"/>
          <w:szCs w:val="18"/>
          <w:color w:val="auto"/>
        </w:rPr>
        <w:t>Our current offerings feature battery products that serve the RV, marine vessel and off-grid markets. Although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were previously capacity constrained the expansion into our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left="660" w:hanging="328"/>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Integrator. </w:t>
      </w:r>
      <w:r>
        <w:rPr>
          <w:rFonts w:ascii="Times New Roman" w:cs="Times New Roman" w:eastAsia="Times New Roman" w:hAnsi="Times New Roman"/>
          <w:sz w:val="18"/>
          <w:szCs w:val="18"/>
          <w:color w:val="auto"/>
        </w:rPr>
        <w:t>A natural evolution of our business is to offer customers a system integration solution providing more efficient power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128270</wp:posOffset>
            </wp:positionV>
            <wp:extent cx="2914650" cy="1971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46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448945</wp:posOffset>
            </wp:positionV>
            <wp:extent cx="3171825" cy="2280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171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37760" cy="934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776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Under the Supply Agreement, we will be the exclusive supplier to Keystone for certain of its future LFP battery requirements, solidifying our long-standing relationship with Keystone.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w:t>
      </w:r>
    </w:p>
    <w:p>
      <w:pPr>
        <w:spacing w:after="0" w:line="27" w:lineRule="exact"/>
        <w:rPr>
          <w:sz w:val="20"/>
          <w:szCs w:val="20"/>
          <w:color w:val="auto"/>
        </w:rPr>
      </w:pPr>
    </w:p>
    <w:p>
      <w:pPr>
        <w:jc w:val="both"/>
        <w:ind w:firstLine="8"/>
        <w:spacing w:after="0" w:line="251"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have 177 employees; 171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 participate in volunteer roles on a safety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 the very beginning. Inclusion and equity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 they used to be. We have responded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by staying mindful and acting intentionally to gather cross-functional input on new initiatives and continuous improvement efforts.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 people. We encourage professional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employees, through ongoing learning, credentialing, and collaboration with their industry peers.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CNTQ and Legacy Dragonfly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CNTQ changed its name to Dragonfly Energy Holdings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completion of the Business Combination, CNTQ was a shell company. CNTQ was incorporated in the state of Delaware on June 23, 2020. CNTQ consummated its initial public offering at a price of $10 per unit on August 13, 2021 (the “</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CNTQ, Merger Sub, Legacy Dragonfly or the holders of any of the following securities:</w:t>
      </w:r>
    </w:p>
    <w:p>
      <w:pPr>
        <w:spacing w:after="0" w:line="158" w:lineRule="exact"/>
        <w:rPr>
          <w:sz w:val="20"/>
          <w:szCs w:val="20"/>
          <w:color w:val="auto"/>
        </w:rPr>
      </w:pPr>
    </w:p>
    <w:p>
      <w:pPr>
        <w:jc w:val="both"/>
        <w:ind w:firstLine="8"/>
        <w:spacing w:after="0" w:line="262" w:lineRule="auto"/>
        <w:tabs>
          <w:tab w:leader="none" w:pos="2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 (“</w:t>
      </w:r>
      <w:r>
        <w:rPr>
          <w:rFonts w:ascii="Times New Roman" w:cs="Times New Roman" w:eastAsia="Times New Roman" w:hAnsi="Times New Roman"/>
          <w:sz w:val="18"/>
          <w:szCs w:val="18"/>
          <w:b w:val="1"/>
          <w:bCs w:val="1"/>
          <w:color w:val="auto"/>
        </w:rPr>
        <w:t>Legacy Dragonfly Common Stock</w:t>
      </w:r>
      <w:r>
        <w:rPr>
          <w:rFonts w:ascii="Times New Roman" w:cs="Times New Roman" w:eastAsia="Times New Roman" w:hAnsi="Times New Roman"/>
          <w:sz w:val="18"/>
          <w:szCs w:val="18"/>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80" w:lineRule="exact"/>
        <w:rPr>
          <w:rFonts w:ascii="Times New Roman" w:cs="Times New Roman" w:eastAsia="Times New Roman" w:hAnsi="Times New Roman"/>
          <w:sz w:val="18"/>
          <w:szCs w:val="18"/>
          <w:color w:val="auto"/>
        </w:rPr>
      </w:pPr>
    </w:p>
    <w:p>
      <w:pPr>
        <w:jc w:val="both"/>
        <w:ind w:firstLine="8"/>
        <w:spacing w:after="0" w:line="256" w:lineRule="auto"/>
        <w:tabs>
          <w:tab w:leader="none" w:pos="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the Sponsor,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our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CNTQ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CNTQ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CNTQ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CNTQ Lender the aggregate amount of the Term Loan held by the CNTQ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(i) 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April 17, 2023, 1,248,294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Consistent Purchase Agreement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w:t>
      </w:r>
    </w:p>
    <w:p>
      <w:pPr>
        <w:spacing w:after="0" w:line="1" w:lineRule="exact"/>
        <w:rPr>
          <w:sz w:val="20"/>
          <w:szCs w:val="20"/>
          <w:color w:val="auto"/>
        </w:rPr>
      </w:pPr>
    </w:p>
    <w:p>
      <w:pPr>
        <w:jc w:val="both"/>
        <w:ind w:firstLine="8"/>
        <w:spacing w:after="0" w:line="253" w:lineRule="auto"/>
        <w:tabs>
          <w:tab w:leader="none" w:pos="2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April 17, 2023, 98,500 shares have been issued pursuant to the Purchase Agreement with CCM for aggregate net proceeds to us of $670,593.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we have agreed to provide CCM with certain registration rights with respect to the shares of common stock issued subject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CNTQ, Legacy Dragonfly and the Sponsor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8"/>
          <w:szCs w:val="18"/>
          <w:b w:val="1"/>
          <w:bCs w:val="1"/>
          <w:color w:val="auto"/>
        </w:rPr>
        <w:t>Insider Registration Rights Agreement</w:t>
      </w:r>
      <w:r>
        <w:rPr>
          <w:rFonts w:ascii="Times New Roman" w:cs="Times New Roman" w:eastAsia="Times New Roman" w:hAnsi="Times New Roman"/>
          <w:sz w:val="18"/>
          <w:szCs w:val="18"/>
          <w:color w:val="auto"/>
        </w:rPr>
        <w:t>”) with the Sponsor, CNTQ’s officers, directors, initial stockholders, CCM and Warrant Holdings, an affiliate of the Sponsor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and certain Legacy Dragonfly stockholders for the registration of certain securities held by the Insiders.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1, 2022, we entered into an asset purchase agreement (the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Bourns Productions, Inc., a Nevada corporation (“</w:t>
      </w:r>
      <w:r>
        <w:rPr>
          <w:rFonts w:ascii="Times New Roman" w:cs="Times New Roman" w:eastAsia="Times New Roman" w:hAnsi="Times New Roman"/>
          <w:sz w:val="18"/>
          <w:szCs w:val="18"/>
          <w:b w:val="1"/>
          <w:bCs w:val="1"/>
          <w:color w:val="auto"/>
        </w:rPr>
        <w:t>Bourns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Production</w:t>
      </w:r>
      <w:r>
        <w:rPr>
          <w:rFonts w:ascii="Times New Roman" w:cs="Times New Roman" w:eastAsia="Times New Roman" w:hAnsi="Times New Roman"/>
          <w:sz w:val="18"/>
          <w:szCs w:val="18"/>
          <w:color w:val="auto"/>
        </w:rPr>
        <w:t>”), pursuant to which we acquired machinery, equipment and a lease for a podcast studio from Bourns Production as set forth in the APA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of approximately $197,000, which was the approximated fair market value. Tyler Bourns, our Chief Marketing Officer, is the owner and president of Bourns Productions.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4, 2022, we entered into an asset purchase agreement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Thomason Jones Company, LLC, a Washington limited liability company (“</w:t>
      </w:r>
      <w:r>
        <w:rPr>
          <w:rFonts w:ascii="Times New Roman" w:cs="Times New Roman" w:eastAsia="Times New Roman" w:hAnsi="Times New Roman"/>
          <w:sz w:val="18"/>
          <w:szCs w:val="18"/>
          <w:b w:val="1"/>
          <w:bCs w:val="1"/>
          <w:color w:val="auto"/>
        </w:rPr>
        <w:t>TJC</w:t>
      </w:r>
      <w:r>
        <w:rPr>
          <w:rFonts w:ascii="Times New Roman" w:cs="Times New Roman" w:eastAsia="Times New Roman" w:hAnsi="Times New Roman"/>
          <w:sz w:val="18"/>
          <w:szCs w:val="18"/>
          <w:color w:val="auto"/>
        </w:rPr>
        <w:t>”), pursuant to which we acquired intellectual property rights and inventory for a purchase price of approximately $444,000 which was the approximated fair market value. William Thomason and Richard Jones, our engineer and sales representative, are the managing members of TJC.</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24, 2023, we entered into the First Amended and Restated Employment Agreement (the “</w:t>
      </w:r>
      <w:r>
        <w:rPr>
          <w:rFonts w:ascii="Times New Roman" w:cs="Times New Roman" w:eastAsia="Times New Roman" w:hAnsi="Times New Roman"/>
          <w:sz w:val="18"/>
          <w:szCs w:val="18"/>
          <w:b w:val="1"/>
          <w:bCs w:val="1"/>
          <w:color w:val="auto"/>
        </w:rPr>
        <w:t>Restated Agreement</w:t>
      </w:r>
      <w:r>
        <w:rPr>
          <w:rFonts w:ascii="Times New Roman" w:cs="Times New Roman" w:eastAsia="Times New Roman" w:hAnsi="Times New Roman"/>
          <w:sz w:val="18"/>
          <w:szCs w:val="18"/>
          <w:color w:val="auto"/>
        </w:rPr>
        <w:t>”) with John Marchetti, our Chief Financial Officer. The Restated Agreement amended and restated the employment agreement, dated October 11, 2022, by and between us and Mr. Marchetti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The Restated Agreement provides that Mr. Marchetti will receive a minimum annual bonus of $175,000 for the fiscal year ending December 31, 2023. All other terms of the Restated Agreement remain the same as the Original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18"/>
          <w:szCs w:val="18"/>
          <w:color w:val="auto"/>
        </w:rPr>
        <w:t>On March 5, 2023, we issued an unsecured convertible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Note became due and payable in full on April 1, 2023. We were also obligated to pay $100,000 (the “</w:t>
      </w:r>
      <w:r>
        <w:rPr>
          <w:rFonts w:ascii="Times New Roman" w:cs="Times New Roman" w:eastAsia="Times New Roman" w:hAnsi="Times New Roman"/>
          <w:sz w:val="18"/>
          <w:szCs w:val="18"/>
          <w:b w:val="1"/>
          <w:bCs w:val="1"/>
          <w:color w:val="auto"/>
        </w:rPr>
        <w:t>Loan Fee</w:t>
      </w:r>
      <w:r>
        <w:rPr>
          <w:rFonts w:ascii="Times New Roman" w:cs="Times New Roman" w:eastAsia="Times New Roman" w:hAnsi="Times New Roman"/>
          <w:sz w:val="18"/>
          <w:szCs w:val="18"/>
          <w:color w:val="auto"/>
        </w:rPr>
        <w:t>”) to Mr. Nelson on April 4, 2023. We paid the Principal Amount and the Loan Fee in full on April 1, 2023 and April 4, 2023,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March 31,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we changed our state of incorporation from the State of Delaware to the State of Nevada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pursuant to a plan of conversion dated March 30, 2023 (the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The Reincorporation was accomplished by filing:</w:t>
      </w:r>
    </w:p>
    <w:p>
      <w:pPr>
        <w:spacing w:after="0" w:line="1" w:lineRule="exact"/>
        <w:rPr>
          <w:sz w:val="20"/>
          <w:szCs w:val="20"/>
          <w:color w:val="auto"/>
        </w:rPr>
      </w:pPr>
    </w:p>
    <w:p>
      <w:pPr>
        <w:jc w:val="both"/>
        <w:ind w:firstLine="8"/>
        <w:spacing w:after="0" w:line="255" w:lineRule="auto"/>
        <w:tabs>
          <w:tab w:leader="none" w:pos="2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with the Secretary of State of the State of Nevada. In connection with the Reincorporation, our board of directors adopted new bylaws in the form attached to the Plan of Conversion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Reincorporation was previously submitted to a vote of, and approved by, the Company’s stockholders at a special meeting of stockholders held on February 28,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17, 2023, 98,500 shares have been issued under the ChEF Equity Facility for aggregate net proceeds to us of $670,593.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2020, we have sold over 226,000 batteries.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CNTQ was treated as the acquired company for financial statement reporting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cash totaling $17.8 million. Our net loss for the year ended December 31, 2022 was $39.6 million and our net income for the year ended December 31, 2021 was $4.3 million. 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Years Ended December 31, 2022 and 2021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86,251</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78,000</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62,247</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48,375</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2,764</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2,689</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41,566</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48.2</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10,621</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13,671</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9,848</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58,001</w:t>
            </w:r>
          </w:p>
        </w:tc>
        <w:tc>
          <w:tcPr>
            <w:tcW w:w="3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(6,945)</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5,446</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80" w:type="dxa"/>
            <w:vAlign w:val="bottom"/>
          </w:tcPr>
          <w:p>
            <w:pPr>
              <w:spacing w:after="0"/>
              <w:rPr>
                <w:sz w:val="20"/>
                <w:szCs w:val="20"/>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(4,824)</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(40,280)</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5,949</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7"/>
                <w:szCs w:val="17"/>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(709)</w:t>
            </w: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1,611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20" w:type="dxa"/>
            <w:vAlign w:val="bottom"/>
            <w:tcBorders>
              <w:bottom w:val="single" w:sz="8" w:color="auto"/>
            </w:tcBorders>
            <w:gridSpan w:val="4"/>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3"/>
          </w:tcPr>
          <w:p>
            <w:pPr>
              <w:jc w:val="center"/>
              <w:ind w:right="45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Retailer</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43,344</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59,042</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Distributor</w:t>
            </w: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9,102</w:t>
            </w:r>
          </w:p>
        </w:tc>
        <w:tc>
          <w:tcPr>
            <w:tcW w:w="1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10,733</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60.8</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33,805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 Warrants” in our accompanying consolidated financial statements for information on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income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6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3"/>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(39,571)</w:t>
            </w: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6,945</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(709)</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891</w:t>
            </w:r>
          </w:p>
        </w:tc>
        <w:tc>
          <w:tcPr>
            <w:tcW w:w="1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(32,444)</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2,467</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257"/>
        </w:trPr>
        <w:tc>
          <w:tcPr>
            <w:tcW w:w="7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ERP Implementation</w:t>
            </w:r>
            <w:r>
              <w:rPr>
                <w:rFonts w:ascii="Times New Roman" w:cs="Times New Roman" w:eastAsia="Times New Roman" w:hAnsi="Times New Roman"/>
                <w:sz w:val="29"/>
                <w:szCs w:val="29"/>
                <w:color w:val="auto"/>
                <w:vertAlign w:val="superscript"/>
              </w:rPr>
              <w:t>(2)</w:t>
            </w:r>
          </w:p>
        </w:tc>
        <w:tc>
          <w:tcPr>
            <w:tcW w:w="1080" w:type="dxa"/>
            <w:vAlign w:val="bottom"/>
          </w:tcPr>
          <w:p>
            <w:pPr>
              <w:spacing w:after="0"/>
              <w:rPr>
                <w:sz w:val="22"/>
                <w:szCs w:val="22"/>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9"/>
                <w:szCs w:val="29"/>
                <w:color w:val="auto"/>
                <w:vertAlign w:val="superscript"/>
              </w:rPr>
              <w:t>(3)</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469</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Separation Agreement</w:t>
            </w:r>
            <w:r>
              <w:rPr>
                <w:rFonts w:ascii="Times New Roman" w:cs="Times New Roman" w:eastAsia="Times New Roman" w:hAnsi="Times New Roman"/>
                <w:sz w:val="29"/>
                <w:szCs w:val="29"/>
                <w:color w:val="auto"/>
                <w:vertAlign w:val="superscript"/>
              </w:rPr>
              <w:t>(4)</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9"/>
                <w:szCs w:val="29"/>
                <w:color w:val="auto"/>
                <w:vertAlign w:val="superscript"/>
              </w:rPr>
              <w:t>(5)</w:t>
            </w:r>
          </w:p>
        </w:tc>
        <w:tc>
          <w:tcPr>
            <w:tcW w:w="1080" w:type="dxa"/>
            <w:vAlign w:val="bottom"/>
          </w:tcPr>
          <w:p>
            <w:pPr>
              <w:spacing w:after="0"/>
              <w:rPr>
                <w:sz w:val="22"/>
                <w:szCs w:val="22"/>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21,337</w:t>
            </w:r>
          </w:p>
        </w:tc>
        <w:tc>
          <w:tcPr>
            <w:tcW w:w="1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Debt extinguishment </w:t>
            </w:r>
            <w:r>
              <w:rPr>
                <w:rFonts w:ascii="Times New Roman" w:cs="Times New Roman" w:eastAsia="Times New Roman" w:hAnsi="Times New Roman"/>
                <w:sz w:val="29"/>
                <w:szCs w:val="29"/>
                <w:color w:val="auto"/>
                <w:vertAlign w:val="superscript"/>
              </w:rPr>
              <w:t>(6)</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4,824</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(7)</w:t>
            </w:r>
          </w:p>
        </w:tc>
        <w:tc>
          <w:tcPr>
            <w:tcW w:w="1080" w:type="dxa"/>
            <w:vAlign w:val="bottom"/>
          </w:tcPr>
          <w:p>
            <w:pPr>
              <w:spacing w:after="0"/>
              <w:rPr>
                <w:sz w:val="24"/>
                <w:szCs w:val="24"/>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(5,446)</w:t>
            </w:r>
          </w:p>
        </w:tc>
        <w:tc>
          <w:tcPr>
            <w:tcW w:w="1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Enterprise Resource Planning (ERP) system in anticipation of the Business Combination and becoming a public company.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expenses, including legal, accounting, and others associated with the Business Combination.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the date the warrants were issued through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2022, we had cash totaling $17.8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December 31, 2022 increased by $22.8 million to $49.9 million, compared to $27.1 million at December 31, 2021.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1" w:lineRule="auto"/>
        <w:tabs>
          <w:tab w:leader="none" w:pos="3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April 17,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a registration statement of which this prospectus forms a part registering the resale of up to 50,857,102 shares that may be resold and/or issued into the public markets, which represents approximately 111% of the shares of our common stock outstanding as of December 31, 2022.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incurred losses and had a negative cash flow from operations. As of December 31, 2022, we had approximately $17.8 million in cash and cash equivalents and working capital of $32.9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2022 and 2021</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440" w:type="dxa"/>
            <w:vAlign w:val="bottom"/>
          </w:tcPr>
          <w:p>
            <w:pPr>
              <w:spacing w:after="0"/>
              <w:rPr>
                <w:sz w:val="24"/>
                <w:szCs w:val="24"/>
                <w:color w:val="auto"/>
              </w:rPr>
            </w:pPr>
          </w:p>
        </w:tc>
        <w:tc>
          <w:tcPr>
            <w:tcW w:w="30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w:t>
            </w:r>
          </w:p>
        </w:tc>
        <w:tc>
          <w:tcPr>
            <w:tcW w:w="1080" w:type="dxa"/>
            <w:vAlign w:val="bottom"/>
          </w:tcPr>
          <w:p>
            <w:pPr>
              <w:spacing w:after="0"/>
              <w:rPr>
                <w:sz w:val="18"/>
                <w:szCs w:val="18"/>
                <w:color w:val="auto"/>
              </w:rPr>
            </w:pPr>
          </w:p>
        </w:tc>
        <w:tc>
          <w:tcPr>
            <w:tcW w:w="20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(45,696)</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(13,573)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(6,827)</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41,674</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December 31, 2022, we had $1.2 million in short-term operating lease liabilities and $3.5 million in long-term operating lease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of directors since October 2022. Dr. Phares is the co-founder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our Chief Financial Officer since October 2022. Mr. Marchetti has also served as the Chief Financial Officer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Prior to the Business Combination, Mr. Bourns served as the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our board since October 2022. Prior to the Business Combination, Ms. Ingargiola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our board since October 2022. Prior to the Business Combination, Mr. Nelson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Perry Boyle </w:t>
      </w:r>
      <w:r>
        <w:rPr>
          <w:rFonts w:ascii="Times New Roman" w:cs="Times New Roman" w:eastAsia="Times New Roman" w:hAnsi="Times New Roman"/>
          <w:sz w:val="18"/>
          <w:szCs w:val="18"/>
          <w:color w:val="auto"/>
        </w:rPr>
        <w:t>has served as a member of our board since October 2022. Prior to the Business Combination, he served on the board of directors of CNTQ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Bellows </w:t>
      </w:r>
      <w:r>
        <w:rPr>
          <w:rFonts w:ascii="Times New Roman" w:cs="Times New Roman" w:eastAsia="Times New Roman" w:hAnsi="Times New Roman"/>
          <w:sz w:val="18"/>
          <w:szCs w:val="18"/>
          <w:color w:val="auto"/>
        </w:rPr>
        <w:t>has served as a member of our board since October 2022. Mr. Bellows currently serves as President of KORE Power, which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Parod </w:t>
      </w:r>
      <w:r>
        <w:rPr>
          <w:rFonts w:ascii="Times New Roman" w:cs="Times New Roman" w:eastAsia="Times New Roman" w:hAnsi="Times New Roman"/>
          <w:sz w:val="18"/>
          <w:szCs w:val="18"/>
          <w:color w:val="auto"/>
        </w:rPr>
        <w:t>has served as a member of our board since October 2022. Mr. Parod currently serves as the CEO of AdeptAg, a company that serves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Karina Montilla Edmonds, Ph.D</w:t>
      </w:r>
      <w:r>
        <w:rPr>
          <w:rFonts w:ascii="Times New Roman" w:cs="Times New Roman" w:eastAsia="Times New Roman" w:hAnsi="Times New Roman"/>
          <w:sz w:val="18"/>
          <w:szCs w:val="18"/>
          <w:color w:val="auto"/>
        </w:rPr>
        <w:t>. has served as a member of our board since October 2022. Dr. Edmonds currently serves as the Senior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Our Charter provides for a staggered, or classified, board of directors consisting of three classes of directors, each serving a staggered three-year term and with one class being elected at each year’s annual meeting of stockholders, as follows:</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2023 annual meeting of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2024 annual meeting of stockholders;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2025 annual meeting of stockholders.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Oversight/Risk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three standing committees —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 charters for each committee are available on our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225" w:lineRule="exact"/>
        <w:rPr>
          <w:sz w:val="20"/>
          <w:szCs w:val="20"/>
          <w:color w:val="auto"/>
        </w:rPr>
      </w:pPr>
    </w:p>
    <w:p>
      <w:pPr>
        <w:ind w:left="660" w:right="2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our independent auditors and consider regular rotation of the accounting firm serving as our independent auditors;</w:t>
      </w: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financial statements and reports and discussing the statements and reports with our independent auditors and management;</w:t>
      </w: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ind w:left="660" w:right="2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 exposures;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and all applicable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ind w:left="66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termination, amendment of equity and cash incentive plans and approving amendments to such plans to the extent authorized by our board;</w:t>
      </w:r>
    </w:p>
    <w:p>
      <w:pPr>
        <w:ind w:left="66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ind w:left="660" w:right="2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ind w:left="660" w:right="2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our periodic reports or proxy statements to be filed with the SEC, to the extent such caption is included in any such report or proxy statement;</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executive officer development and retention and corporate succession plans.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process for recommendation of director candidates by stockholders and publishing such process annually in the our proxy statement;</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our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our board’s committees and making recommendations to our board for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comply with all applicable requirements of the Sarbanes-Oxley Act and all applicable SEC and Nasdaq’s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xml:space="preserve">”) that applies to all of our directors, officers and employees. The full text of the Code of Conduct and Code of Ethics is posted on the investor relations page on our website at </w:t>
      </w:r>
      <w:r>
        <w:rPr>
          <w:rFonts w:ascii="Times New Roman" w:cs="Times New Roman" w:eastAsia="Times New Roman" w:hAnsi="Times New Roman"/>
          <w:sz w:val="18"/>
          <w:szCs w:val="18"/>
          <w:i w:val="1"/>
          <w:iCs w:val="1"/>
          <w:color w:val="auto"/>
        </w:rPr>
        <w:t>https://dragonflyenergy.com/investors/</w:t>
      </w:r>
      <w:r>
        <w:rPr>
          <w:rFonts w:ascii="Times New Roman" w:cs="Times New Roman" w:eastAsia="Times New Roman" w:hAnsi="Times New Roman"/>
          <w:sz w:val="18"/>
          <w:szCs w:val="18"/>
          <w:color w:val="auto"/>
        </w:rPr>
        <w:t>. We will disclose any amendments to our Code of Conduct and Code of Ethics, or waivers of its requirements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identified above, or in filings under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and directors. This discussion may contain forward-looking statements that are based on our current plans, considerations, expectations and determinations regarding future compensation programs.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4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2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806,207</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1,531,545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579,593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362,137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22,234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963,964</w:t>
            </w:r>
          </w:p>
        </w:tc>
        <w:tc>
          <w:tcPr>
            <w:tcW w:w="0" w:type="dxa"/>
            <w:vAlign w:val="bottom"/>
          </w:tcPr>
          <w:p>
            <w:pPr>
              <w:spacing w:after="0"/>
              <w:rPr>
                <w:sz w:val="1"/>
                <w:szCs w:val="1"/>
                <w:color w:val="auto"/>
              </w:rPr>
            </w:pPr>
          </w:p>
        </w:tc>
      </w:tr>
      <w:tr>
        <w:trPr>
          <w:trHeight w:val="196"/>
        </w:trPr>
        <w:tc>
          <w:tcPr>
            <w:tcW w:w="1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Sean Nichols(5)</w:t>
            </w:r>
          </w:p>
        </w:tc>
        <w:tc>
          <w:tcPr>
            <w:tcW w:w="54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598,462</w:t>
            </w:r>
          </w:p>
        </w:tc>
        <w:tc>
          <w:tcPr>
            <w:tcW w:w="8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655,587</w:t>
            </w:r>
          </w:p>
        </w:tc>
        <w:tc>
          <w:tcPr>
            <w:tcW w:w="10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157,693</w:t>
            </w:r>
          </w:p>
        </w:tc>
        <w:tc>
          <w:tcPr>
            <w:tcW w:w="9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1,411,742</w:t>
            </w:r>
          </w:p>
        </w:tc>
        <w:tc>
          <w:tcPr>
            <w:tcW w:w="0" w:type="dxa"/>
            <w:vAlign w:val="bottom"/>
          </w:tcPr>
          <w:p>
            <w:pPr>
              <w:spacing w:after="0"/>
              <w:rPr>
                <w:sz w:val="1"/>
                <w:szCs w:val="1"/>
                <w:color w:val="auto"/>
              </w:rPr>
            </w:pPr>
          </w:p>
        </w:tc>
      </w:tr>
      <w:tr>
        <w:trPr>
          <w:trHeight w:val="236"/>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Chief Operating Officer</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362,137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961,974</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Marchetti(6)</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316,153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769,366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645,998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11,057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1,742,574</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91,154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283,249</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856,402</w:t>
            </w:r>
          </w:p>
        </w:tc>
        <w:tc>
          <w:tcPr>
            <w:tcW w:w="0" w:type="dxa"/>
            <w:vAlign w:val="bottom"/>
          </w:tcPr>
          <w:p>
            <w:pPr>
              <w:spacing w:after="0"/>
              <w:rPr>
                <w:sz w:val="1"/>
                <w:szCs w:val="1"/>
                <w:color w:val="auto"/>
              </w:rPr>
            </w:pPr>
          </w:p>
        </w:tc>
      </w:tr>
      <w:tr>
        <w:trPr>
          <w:trHeight w:val="196"/>
        </w:trPr>
        <w:tc>
          <w:tcPr>
            <w:tcW w:w="1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Nicole Harvey(7)</w:t>
            </w:r>
          </w:p>
        </w:tc>
        <w:tc>
          <w:tcPr>
            <w:tcW w:w="54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242,461</w:t>
            </w:r>
          </w:p>
        </w:tc>
        <w:tc>
          <w:tcPr>
            <w:tcW w:w="8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80,000</w:t>
            </w:r>
          </w:p>
        </w:tc>
        <w:tc>
          <w:tcPr>
            <w:tcW w:w="10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561,000</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883,461</w:t>
            </w: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Legal</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432,967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years ended December 31, 2022 and December 31, 2021.</w:t>
      </w:r>
    </w:p>
    <w:p>
      <w:pPr>
        <w:jc w:val="both"/>
        <w:ind w:left="66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 ended December 31, 2022 under the 2022 Plan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our matching contribution to the executive’s account under our 401(k)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we announced that Mr. Nichols would be stepping down as our Chief Operating Officer on November 7,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Harvey’s employment with us ended on April 26,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194"/>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29"/>
        </w:trPr>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4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3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118,208</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59,108(1)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0.32</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12/5/2029</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177,316</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93,587(2)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142,831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9/13/31</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51,497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57,257</w:t>
            </w:r>
          </w:p>
        </w:tc>
        <w:tc>
          <w:tcPr>
            <w:tcW w:w="1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10/22/2031</w:t>
            </w:r>
          </w:p>
        </w:tc>
      </w:tr>
    </w:tbl>
    <w:p>
      <w:pPr>
        <w:spacing w:after="0" w:line="179"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Equity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2022, on February 10, 2023, Dr. Phares was granted 204,266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Marchetti was granted 86,133 RSUs, and Ms. Harvey was granted 74,800 RSUs. Each grant vested in full on the date of grant.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Plan and 2021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5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April 17, 2023, 787,434 awards have been granted under the 2022 Plan, and 4,179,110 shares authorized under the 2022 Plan are available for award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have been initially authorized for issuance under the ESPP. The share limit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 provides flexibility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 join an offering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start date of that period. Employees may participate in only one offering period at a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 accumulated deductions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of directors may at any time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 the 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Ms. Harvey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Ms. Harvey — $334,000; Mr. Marchetti —  $370,000) and to be eligible for an annual bonus of up to a specified percentage of the executive’s base salary (Dr. Phares — 100%; Ms. Harvey — 46%; Mr. Marchetti — 63%). The executive is generally eligible for an annual bonus only if he or she remains employed with us through the date the bonus is paid (or if the executive’s employment terminates due to his or her death or disability during the year). The executive is also eligible to receive a long-term incentive award each fiscal year with a grant-date value not less than a dollar amount specified in the agreement (Dr. Phares — $1,532,000; Ms. Harvey —  $561,000;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and Ms. Harvey) or 1.0 times the executive’s annual base salary (in the case of Mr. Marchetti), payable in installments over two years following the termination date, (ii) reimbursement of monthly COBRA premiums for the executive and his or her dependents for up to 18 months (in the case of Dr. Phares) or 12 months (in the case of Ms. Harvey and Mr. Marchetti), and</w:t>
      </w:r>
    </w:p>
    <w:p>
      <w:pPr>
        <w:spacing w:after="0" w:line="3" w:lineRule="exact"/>
        <w:rPr>
          <w:sz w:val="20"/>
          <w:szCs w:val="20"/>
          <w:color w:val="auto"/>
        </w:rPr>
      </w:pPr>
    </w:p>
    <w:p>
      <w:pPr>
        <w:jc w:val="both"/>
        <w:ind w:firstLine="8"/>
        <w:spacing w:after="0" w:line="253" w:lineRule="auto"/>
        <w:tabs>
          <w:tab w:leader="none" w:pos="3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Ms. Harvey and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or her providing a release of claims to us and his or her continued compliance with the restrictive covenants in favor of us in the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2023, Ms. Harvey’s employment with us ended and her employment agreement would be deemed terminated as of that date by us without cause for purposes of determining severance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we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 xml:space="preserve">Awards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 xml:space="preserve">Awards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13,741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433,741</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16,078</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436,078</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23,089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443,089</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17,247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245,401(3)</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682,648</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13,741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420,000</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433,741</w:t>
            </w:r>
          </w:p>
        </w:tc>
      </w:tr>
    </w:tbl>
    <w:p>
      <w:pPr>
        <w:spacing w:after="0" w:line="179" w:lineRule="exact"/>
        <w:rPr>
          <w:sz w:val="20"/>
          <w:szCs w:val="20"/>
          <w:color w:val="auto"/>
        </w:rPr>
      </w:pPr>
    </w:p>
    <w:p>
      <w:pPr>
        <w:jc w:val="both"/>
        <w:ind w:left="660" w:hanging="328"/>
        <w:spacing w:after="0" w:line="254"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this amount. As of December 31, 2022, each Non-Employee Director held 30,000 unvested RSUs.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underlying stock options and unvested RSUs outstanding as of December 31, 2022 held by Ms. Ingargiola was 127,521.</w:t>
      </w:r>
    </w:p>
    <w:p>
      <w:pPr>
        <w:ind w:left="660" w:hanging="328"/>
        <w:spacing w:after="0" w:line="26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awards to purchase 70,925 shares of our common stock were granted to Mr. Nelson on May 9, 2022 and vest in 36 equal monthly installments beginning on May 15, 2022.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we describe below each transaction or series of similar transactions, since January 1, 2021, to which we were a party or will be a party, in which:</w:t>
      </w:r>
    </w:p>
    <w:p>
      <w:pPr>
        <w:spacing w:after="0" w:line="16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for our named executive officers and directors are described in the section entitled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with Sean Nichols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with Brian Nelson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Charter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April 17, 2023, we have sold 98,500 shares under the ChEF Equity Facility for aggregate net proceeds to us of $670,593.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0"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by our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Charter,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17, 2023 there were 45,820,750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jc w:val="both"/>
        <w:ind w:left="660" w:hanging="328"/>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a total of 5,000,000 shares of preferred stock, par value $0.0001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Charter,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Charter,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w:t>
      </w:r>
    </w:p>
    <w:p>
      <w:pPr>
        <w:spacing w:after="0" w:line="3" w:lineRule="exact"/>
        <w:rPr>
          <w:sz w:val="20"/>
          <w:szCs w:val="20"/>
          <w:color w:val="auto"/>
        </w:rPr>
      </w:pPr>
    </w:p>
    <w:p>
      <w:pPr>
        <w:jc w:val="both"/>
        <w:ind w:firstLine="8"/>
        <w:spacing w:after="0" w:line="251" w:lineRule="auto"/>
        <w:tabs>
          <w:tab w:leader="none" w:pos="3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17,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April 17, 2023 (“</w:t>
      </w:r>
      <w:r>
        <w:rPr>
          <w:rFonts w:ascii="Times New Roman" w:cs="Times New Roman" w:eastAsia="Times New Roman" w:hAnsi="Times New Roman"/>
          <w:sz w:val="18"/>
          <w:szCs w:val="18"/>
          <w:b w:val="1"/>
          <w:bCs w:val="1"/>
          <w:color w:val="auto"/>
        </w:rPr>
        <w:t>Presently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reflects 45,820,750 shares common stock outstanding as of April 17, 2023 plus any shares issuable upon exercise of Presently Exercisable Securities held by such person or entity.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Dynavolt Technology (HK) Ltd.</w:t>
            </w:r>
            <w:r>
              <w:rPr>
                <w:rFonts w:ascii="Times New Roman" w:cs="Times New Roman" w:eastAsia="Times New Roman" w:hAnsi="Times New Roman"/>
                <w:sz w:val="29"/>
                <w:szCs w:val="29"/>
                <w:color w:val="auto"/>
                <w:vertAlign w:val="superscript"/>
              </w:rPr>
              <w:t>(1)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11,820,900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9"/>
                <w:szCs w:val="29"/>
                <w:color w:val="auto"/>
                <w:vertAlign w:val="superscript"/>
              </w:rPr>
              <w:t>(2)(3)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3,030,500</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9"/>
                <w:szCs w:val="29"/>
                <w:color w:val="auto"/>
                <w:vertAlign w:val="superscript"/>
              </w:rPr>
              <w:t>(2)(3)(4)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3,469,500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 Gong</w:t>
            </w:r>
            <w:r>
              <w:rPr>
                <w:rFonts w:ascii="Times New Roman" w:cs="Times New Roman" w:eastAsia="Times New Roman" w:hAnsi="Times New Roman"/>
                <w:sz w:val="29"/>
                <w:szCs w:val="29"/>
                <w:color w:val="auto"/>
                <w:vertAlign w:val="superscript"/>
              </w:rPr>
              <w:t>(5)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3,073,434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9"/>
                <w:szCs w:val="29"/>
                <w:color w:val="auto"/>
                <w:vertAlign w:val="superscript"/>
              </w:rPr>
              <w:t>(6)(7)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16,251,136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35.35%</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9"/>
                <w:szCs w:val="29"/>
                <w:color w:val="auto"/>
                <w:vertAlign w:val="superscript"/>
              </w:rPr>
              <w:t>(6)(8)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3,735,999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Nicole Harvey</w:t>
            </w:r>
            <w:r>
              <w:rPr>
                <w:rFonts w:ascii="Times New Roman" w:cs="Times New Roman" w:eastAsia="Times New Roman" w:hAnsi="Times New Roman"/>
                <w:sz w:val="29"/>
                <w:szCs w:val="29"/>
                <w:color w:val="auto"/>
                <w:vertAlign w:val="superscript"/>
              </w:rPr>
              <w:t>(9)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141,809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9"/>
                <w:szCs w:val="29"/>
                <w:color w:val="auto"/>
                <w:vertAlign w:val="superscript"/>
              </w:rPr>
              <w:t>(10)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189,562</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Tyler Bourns </w:t>
            </w:r>
            <w:r>
              <w:rPr>
                <w:rFonts w:ascii="Times New Roman" w:cs="Times New Roman" w:eastAsia="Times New Roman" w:hAnsi="Times New Roman"/>
                <w:sz w:val="29"/>
                <w:szCs w:val="29"/>
                <w:color w:val="auto"/>
                <w:vertAlign w:val="superscript"/>
              </w:rPr>
              <w:t>(11)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58,512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Luisa Ingargiola</w:t>
            </w:r>
            <w:r>
              <w:rPr>
                <w:rFonts w:ascii="Times New Roman" w:cs="Times New Roman" w:eastAsia="Times New Roman" w:hAnsi="Times New Roman"/>
                <w:sz w:val="29"/>
                <w:szCs w:val="29"/>
                <w:color w:val="auto"/>
                <w:vertAlign w:val="superscript"/>
              </w:rPr>
              <w:t>(12)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59,598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Nelson</w:t>
            </w:r>
            <w:r>
              <w:rPr>
                <w:rFonts w:ascii="Times New Roman" w:cs="Times New Roman" w:eastAsia="Times New Roman" w:hAnsi="Times New Roman"/>
                <w:sz w:val="29"/>
                <w:szCs w:val="29"/>
                <w:color w:val="auto"/>
                <w:vertAlign w:val="superscript"/>
              </w:rPr>
              <w:t>(13)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27,594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22,000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20,344,401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1" w:lineRule="exact"/>
        <w:rPr>
          <w:sz w:val="20"/>
          <w:szCs w:val="20"/>
          <w:color w:val="auto"/>
        </w:rPr>
      </w:pPr>
    </w:p>
    <w:p>
      <w:pPr>
        <w:ind w:left="340" w:hanging="332"/>
        <w:spacing w:after="0" w:line="28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Dynavolt Technology (HK) Ltd. (“</w:t>
      </w:r>
      <w:r>
        <w:rPr>
          <w:rFonts w:ascii="Times New Roman" w:cs="Times New Roman" w:eastAsia="Times New Roman" w:hAnsi="Times New Roman"/>
          <w:sz w:val="18"/>
          <w:szCs w:val="18"/>
          <w:b w:val="1"/>
          <w:bCs w:val="1"/>
          <w:color w:val="auto"/>
        </w:rPr>
        <w:t>Dynavolt</w:t>
      </w:r>
      <w:r>
        <w:rPr>
          <w:rFonts w:ascii="Times New Roman" w:cs="Times New Roman" w:eastAsia="Times New Roman" w:hAnsi="Times New Roman"/>
          <w:sz w:val="18"/>
          <w:szCs w:val="18"/>
          <w:color w:val="auto"/>
        </w:rPr>
        <w:t>”) on October 12, 2022. The business address of Dynavolt is Flat/Room 02-03 26/F, Bea Tower Millennium City 5, 418 Kwun Tong Road, Kwun Tong, Hong Kong.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joint Schedule 13D/A filed by Sponsor and Jonas Grossman on January 9, 2023. Mr. Grossman is the managing member of the Sponsor and the President and managing partner of CCM, an affiliate of the Sponsor.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Sponsor, CCM, and Mr. Grossman is 17 State Street, 21st Floor, New York, NY 10004. CCM, an affiliate of the Sponsor and Warrant Holdings, is a broker-dealer and a member of the Financial Industry Regulatory Authority, Inc.</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439,000 private warrants issuable upon exercise of outstanding warrants within 60 days of April 17, 2023. Excludes 1,062,386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April 17, 2023. The business address of Mr. Gong is 930 Tahoe Blvd. Suite 802, PMB 860, Incline Village, Nevada 89451.</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shares of common stock not yet payable as the earnout contingencies have not yet been met and will not be met within 60 days of April 17, 2023.</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1,217,906 shares held on behalf of the Phares 2021 GRAT dated July 9, 2021, of which Dr. Phares is the trustee, and (ii) 147,760 shares of common stock issuable upon exercise of outstanding stock options exercisable within 60 days of April 17, 2023.</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55,188 shares of common stock issuable upon exercise of outstanding stock options exercisable within 60 days of April 17, 2023. On April 26, 2023, Ms. Harvey’s employment with us ended.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103,439 shares of common stock issuable upon exercise of outstanding stock options exercisable within 60 days of April 17,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19,953 shares of common stock issuable upon exercise of outstanding stock options exercisable within 60 days of April 17,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59,598 shares of common stock issuable upon exercise of outstanding stock options exercisable within 60 days of April 17,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27,594 shares of common stock issuable upon exercise of outstanding stock options exercisable within 60 days of April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and Penny Warrants being offered for resale by this prospectus, which consists of up to:</w:t>
      </w:r>
    </w:p>
    <w:p>
      <w:pPr>
        <w:spacing w:after="0" w:line="180"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236,417 Option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9,422,529 Public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1,343,056 Penny Warrant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or Private Warrants and Penny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beneficial ownership of our common stock and Private Warrants and Penny Warrants of each selling securityholder, the number of shares of common stock and number of Private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45,820,750 shares of common stock outstanding as of April 17,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table below, we have assumed that (i) no holders of Public Warrants exercise any of the outstanding Warrants, (ii) 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selling securityholders have an incentive to sell because they purchased shares and/or warrants at prices below the initial public offering price of $10 per share and/or below the recent trading prices of our securities.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common stock or Private Warrants, shares underlying the Penny Warrants registered on its behalf.</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common stock and Private Warrants and Penny Warrants.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selling securityholders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Beneficially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 After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98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Securities Being Offered</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in the Offering</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are Sold</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0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27"/>
        </w:trPr>
        <w:tc>
          <w:tcPr>
            <w:tcW w:w="25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Dr. Denis Phares</w:t>
            </w:r>
            <w:r>
              <w:rPr>
                <w:rFonts w:ascii="Times New Roman" w:cs="Times New Roman" w:eastAsia="Times New Roman" w:hAnsi="Times New Roman"/>
                <w:sz w:val="26"/>
                <w:szCs w:val="26"/>
                <w:color w:val="auto"/>
                <w:vertAlign w:val="subscript"/>
              </w:rPr>
              <w:t>(1)(2)</w:t>
            </w:r>
          </w:p>
        </w:tc>
        <w:tc>
          <w:tcPr>
            <w:tcW w:w="160" w:type="dxa"/>
            <w:vAlign w:val="bottom"/>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16,251,136</w:t>
            </w:r>
          </w:p>
        </w:tc>
        <w:tc>
          <w:tcPr>
            <w:tcW w:w="30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240" w:type="dxa"/>
            <w:vAlign w:val="bottom"/>
            <w:vMerge w:val="continue"/>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352,026</w:t>
            </w:r>
          </w:p>
        </w:tc>
        <w:tc>
          <w:tcPr>
            <w:tcW w:w="300" w:type="dxa"/>
            <w:vAlign w:val="bottom"/>
            <w:vMerge w:val="continue"/>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11,820,900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25.80%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Jonas Grossman</w:t>
            </w:r>
            <w:r>
              <w:rPr>
                <w:rFonts w:ascii="Times New Roman" w:cs="Times New Roman" w:eastAsia="Times New Roman" w:hAnsi="Times New Roman"/>
                <w:sz w:val="26"/>
                <w:szCs w:val="26"/>
                <w:color w:val="auto"/>
                <w:vertAlign w:val="subscript"/>
              </w:rPr>
              <w:t>(3)(4)(5)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3,030,500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Chardan NexTech Investments 2</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perscript"/>
              </w:rPr>
              <w:t>LLC</w:t>
            </w:r>
            <w:r>
              <w:rPr>
                <w:rFonts w:ascii="Times New Roman" w:cs="Times New Roman" w:eastAsia="Times New Roman" w:hAnsi="Times New Roman"/>
                <w:sz w:val="13"/>
                <w:szCs w:val="13"/>
                <w:color w:val="auto"/>
              </w:rPr>
              <w:t>(3)(4)</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3,030,500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Chardan NexTech 2 Warrant</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 xml:space="preserve">Holdings LLC </w:t>
            </w:r>
            <w:r>
              <w:rPr>
                <w:rFonts w:ascii="Times New Roman" w:cs="Times New Roman" w:eastAsia="Times New Roman" w:hAnsi="Times New Roman"/>
                <w:sz w:val="28"/>
                <w:szCs w:val="28"/>
                <w:color w:val="auto"/>
                <w:vertAlign w:val="subscript"/>
              </w:rPr>
              <w:t>(6)</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1,501,386</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1,501,386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Sean Nichols</w:t>
            </w:r>
            <w:r>
              <w:rPr>
                <w:rFonts w:ascii="Times New Roman" w:cs="Times New Roman" w:eastAsia="Times New Roman" w:hAnsi="Times New Roman"/>
                <w:sz w:val="26"/>
                <w:szCs w:val="26"/>
                <w:color w:val="auto"/>
                <w:vertAlign w:val="subscript"/>
              </w:rPr>
              <w:t>(1)(7)</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3,735,999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177,316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John Marchetti</w:t>
            </w:r>
            <w:r>
              <w:rPr>
                <w:rFonts w:ascii="Times New Roman" w:cs="Times New Roman" w:eastAsia="Times New Roman" w:hAnsi="Times New Roman"/>
                <w:sz w:val="26"/>
                <w:szCs w:val="26"/>
                <w:color w:val="auto"/>
                <w:vertAlign w:val="subscript"/>
              </w:rPr>
              <w:t>(8)</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322,550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236,417</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86,133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Nicole Harvey</w:t>
            </w:r>
            <w:r>
              <w:rPr>
                <w:rFonts w:ascii="Times New Roman" w:cs="Times New Roman" w:eastAsia="Times New Roman" w:hAnsi="Times New Roman"/>
                <w:sz w:val="26"/>
                <w:szCs w:val="26"/>
                <w:color w:val="auto"/>
                <w:vertAlign w:val="subscript"/>
              </w:rPr>
              <w:t>(9)</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141,809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129,988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Chardan Capital Markets LLC </w:t>
            </w:r>
            <w:r>
              <w:rPr>
                <w:rFonts w:ascii="Times New Roman" w:cs="Times New Roman" w:eastAsia="Times New Roman" w:hAnsi="Times New Roman"/>
                <w:sz w:val="26"/>
                <w:szCs w:val="26"/>
                <w:color w:val="auto"/>
                <w:vertAlign w:val="subscript"/>
              </w:rPr>
              <w:t>(10)</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Biele</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Roderick Hardamon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Jory Des Jardins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Hitesh Thakrar</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Thomson</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BP Holdings XVII LP</w:t>
            </w:r>
            <w:r>
              <w:rPr>
                <w:rFonts w:ascii="Times New Roman" w:cs="Times New Roman" w:eastAsia="Times New Roman" w:hAnsi="Times New Roman"/>
                <w:sz w:val="26"/>
                <w:szCs w:val="26"/>
                <w:color w:val="auto"/>
                <w:vertAlign w:val="subscript"/>
              </w:rPr>
              <w:t>(11)</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274,285</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1,056,228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274,285</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1,055,834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Impact Credit Fund II</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perscript"/>
              </w:rPr>
              <w:t xml:space="preserve">LP </w:t>
            </w:r>
            <w:r>
              <w:rPr>
                <w:rFonts w:ascii="Times New Roman" w:cs="Times New Roman" w:eastAsia="Times New Roman" w:hAnsi="Times New Roman"/>
                <w:sz w:val="13"/>
                <w:szCs w:val="13"/>
                <w:color w:val="auto"/>
              </w:rPr>
              <w:t>(12)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121,920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191,638</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121,920</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191,567</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Energy Impact Credit Fund I</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74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xml:space="preserve">LP </w:t>
            </w:r>
            <w:r>
              <w:rPr>
                <w:rFonts w:ascii="Times New Roman" w:cs="Times New Roman" w:eastAsia="Times New Roman" w:hAnsi="Times New Roman"/>
                <w:sz w:val="15"/>
                <w:szCs w:val="15"/>
                <w:color w:val="auto"/>
              </w:rPr>
              <w:t>(13)</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60,937</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95,691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60,937</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95,655</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*Indicates less than one percent.</w:t>
      </w:r>
    </w:p>
    <w:p>
      <w:pPr>
        <w:spacing w:after="0" w:line="20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 and (ii) 147,760 shares of common stock issuable upon exercise of outstanding stock options exercisable within 60 days of April 17, 2023.</w:t>
      </w:r>
    </w:p>
    <w:p>
      <w:pPr>
        <w:jc w:val="both"/>
        <w:ind w:left="660" w:hanging="328"/>
        <w:spacing w:after="0" w:line="253"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ind w:left="328" w:hanging="328"/>
        <w:spacing w:after="0" w:line="254"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joint Schedule 13D/A filed by the Sponsor and Mr. Grossman on January 9, 2023.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1,501,386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1,501,386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103,439 shares of common stock issuable upon exercise of outstanding stock options exercisable within 60 days of April 17, 2023 and 132,978 shares of common stock issuable upon exercise of outstanding stock options that are not exercisable within 60 days of April 17, 2023.</w:t>
      </w:r>
    </w:p>
    <w:p>
      <w:pPr>
        <w:ind w:left="328"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55,188 shares of common stock issuable upon exercise of outstanding stock options exercisable within 60 days of April 17, 2023. On April 26, 2023, Ms. Harvey’s employment with us ended.</w:t>
      </w:r>
    </w:p>
    <w:p>
      <w:pPr>
        <w:jc w:val="both"/>
        <w:ind w:left="328" w:hanging="328"/>
        <w:spacing w:after="0" w:line="250" w:lineRule="auto"/>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274,285 shares issued upon exercise of the $10 Warrants and 1,056,228 shares underlying the Penny Warrants.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121,920 shares issued upon exercise of the $10 Warrants and 191,638 shares underlying the Penny Warrants.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60,937 shares issued upon exercise of the $10 Warrants and 95,691 shares underlying the Penny Warrants.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 Stock</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both"/>
        <w:ind w:left="660" w:hanging="328"/>
        <w:spacing w:after="0" w:line="25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 Withholding Taxes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securityholder and any of their pledgees, assignees, transferees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subscribers;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jc w:val="both"/>
        <w:ind w:left="66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us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securityholders against certain losses, claims, damages and liabilities, including liabilities under the Securities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all of the securities have been sold pursuant to this prospectus or Rule 144 under the Securities Act or any other rule of similar effect or (ii) they may be sold pursuant to Rule 144 without volume or manner-of-sale restrictions, as determined by us.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or Public Warrants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or Public Warrants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including the common stock issuable upon exercise of the warrants, will be passed upon for us by Parsons Behle &amp; Latimer. The validity of the warrants offered hereby is being passed upon for us by Lowenstein Sandler,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Dragonfly Energy Holdings Corp. as of December 31, 2022 and December 31, 2021, and for the years then ended, included in this prospectus and in this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October 7, 2022, the Audit Committee informed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our independent registered public accounting firm prior to the Transactions, that Withum will be dismissed effective following the completion of our review for the nine month period ended September 30, 2022, which consists only of the pre-Transactions accounts of CNTQ.</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 ended December 31, 2021,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Withum with a copy of the foregoing disclosures.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USA, LLP as our independent registered public accounting firm to audit our consolidated financial statements for the year ended December 31, 2022. BDO USA, LLP served as the independent registered public accounting firm of Legacy Dragonfly prior to the Transactions, including the audit of the consolidated financial statements of Legacy Dragonfly for the fiscal year ended December 31, 2021. During the fiscal year ended December 31, 2021 and the subsequent period through the date of Withum’s dismissal, Legacy Dragonfly did not consult with BDO USA, LLP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USA, LLP concluded was an important factor considered by BDO USA, LLP in reaching a decision as to any accounting, auditing or financial reporting issue, or (ii) any other matter that was the subject of a disagreement or a reportable event (each as defined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7"/>
            <w:shd w:val="clear" w:color="auto" w:fill="CCEC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840" w:type="dxa"/>
            <w:vAlign w:val="bottom"/>
            <w:shd w:val="clear" w:color="auto" w:fill="CCECFF"/>
          </w:tcPr>
          <w:p>
            <w:pPr>
              <w:ind w:left="1400"/>
              <w:spacing w:after="0"/>
              <w:rPr>
                <w:sz w:val="20"/>
                <w:szCs w:val="20"/>
                <w:color w:val="auto"/>
              </w:rPr>
            </w:pPr>
            <w:r>
              <w:rPr>
                <w:rFonts w:ascii="Times New Roman" w:cs="Times New Roman" w:eastAsia="Times New Roman" w:hAnsi="Times New Roman"/>
                <w:sz w:val="18"/>
                <w:szCs w:val="18"/>
                <w:color w:val="auto"/>
              </w:rPr>
              <w:t>F-2</w:t>
            </w:r>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20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1600" w:type="dxa"/>
            <w:vAlign w:val="bottom"/>
            <w:tcBorders>
              <w:top w:val="single" w:sz="8" w:color="CCECFF"/>
            </w:tcBorders>
            <w:shd w:val="clear" w:color="auto" w:fill="CCECFF"/>
          </w:tcPr>
          <w:p>
            <w:pPr>
              <w:spacing w:after="0" w:line="20" w:lineRule="exact"/>
              <w:rPr>
                <w:sz w:val="1"/>
                <w:szCs w:val="1"/>
                <w:color w:val="auto"/>
              </w:rPr>
            </w:pPr>
          </w:p>
        </w:tc>
        <w:tc>
          <w:tcPr>
            <w:tcW w:w="1400" w:type="dxa"/>
            <w:vAlign w:val="bottom"/>
            <w:tcBorders>
              <w:top w:val="single" w:sz="8" w:color="CCECFF"/>
            </w:tcBorders>
            <w:shd w:val="clear" w:color="auto" w:fill="CCECFF"/>
          </w:tcPr>
          <w:p>
            <w:pPr>
              <w:spacing w:after="0" w:line="20" w:lineRule="exact"/>
              <w:rPr>
                <w:sz w:val="1"/>
                <w:szCs w:val="1"/>
                <w:color w:val="auto"/>
              </w:rPr>
            </w:pPr>
          </w:p>
        </w:tc>
        <w:tc>
          <w:tcPr>
            <w:tcW w:w="184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9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1840" w:type="dxa"/>
            <w:vAlign w:val="bottom"/>
          </w:tcPr>
          <w:p>
            <w:pPr>
              <w:ind w:left="14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5"/>
        </w:trPr>
        <w:tc>
          <w:tcPr>
            <w:tcW w:w="9400" w:type="dxa"/>
            <w:vAlign w:val="bottom"/>
            <w:gridSpan w:val="7"/>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2022 and 2021</w:t>
            </w:r>
          </w:p>
        </w:tc>
        <w:tc>
          <w:tcPr>
            <w:tcW w:w="1840" w:type="dxa"/>
            <w:vAlign w:val="bottom"/>
            <w:shd w:val="clear" w:color="auto" w:fill="CCECFF"/>
          </w:tcPr>
          <w:p>
            <w:pPr>
              <w:ind w:left="14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20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940" w:type="dxa"/>
            <w:vAlign w:val="bottom"/>
            <w:tcBorders>
              <w:top w:val="single" w:sz="8" w:color="0000EE"/>
            </w:tcBorders>
            <w:shd w:val="clear" w:color="auto" w:fill="CCECFF"/>
          </w:tcPr>
          <w:p>
            <w:pPr>
              <w:spacing w:after="0" w:line="20" w:lineRule="exact"/>
              <w:rPr>
                <w:sz w:val="1"/>
                <w:szCs w:val="1"/>
                <w:color w:val="auto"/>
              </w:rPr>
            </w:pPr>
          </w:p>
        </w:tc>
        <w:tc>
          <w:tcPr>
            <w:tcW w:w="1600" w:type="dxa"/>
            <w:vAlign w:val="bottom"/>
            <w:tcBorders>
              <w:top w:val="single" w:sz="8" w:color="CCECFF"/>
            </w:tcBorders>
            <w:shd w:val="clear" w:color="auto" w:fill="CCECFF"/>
          </w:tcPr>
          <w:p>
            <w:pPr>
              <w:spacing w:after="0" w:line="20" w:lineRule="exact"/>
              <w:rPr>
                <w:sz w:val="1"/>
                <w:szCs w:val="1"/>
                <w:color w:val="auto"/>
              </w:rPr>
            </w:pPr>
          </w:p>
        </w:tc>
        <w:tc>
          <w:tcPr>
            <w:tcW w:w="1400" w:type="dxa"/>
            <w:vAlign w:val="bottom"/>
            <w:tcBorders>
              <w:top w:val="single" w:sz="8" w:color="CCECFF"/>
            </w:tcBorders>
            <w:shd w:val="clear" w:color="auto" w:fill="CCECFF"/>
          </w:tcPr>
          <w:p>
            <w:pPr>
              <w:spacing w:after="0" w:line="20" w:lineRule="exact"/>
              <w:rPr>
                <w:sz w:val="1"/>
                <w:szCs w:val="1"/>
                <w:color w:val="auto"/>
              </w:rPr>
            </w:pPr>
          </w:p>
        </w:tc>
        <w:tc>
          <w:tcPr>
            <w:tcW w:w="1840" w:type="dxa"/>
            <w:vAlign w:val="bottom"/>
            <w:tcBorders>
              <w:top w:val="single" w:sz="8" w:color="CCECFF"/>
            </w:tcBorders>
            <w:shd w:val="clear" w:color="auto" w:fill="CCECFF"/>
          </w:tcPr>
          <w:p>
            <w:pPr>
              <w:spacing w:after="0" w:line="20" w:lineRule="exact"/>
              <w:rPr>
                <w:sz w:val="1"/>
                <w:szCs w:val="1"/>
                <w:color w:val="auto"/>
              </w:rPr>
            </w:pPr>
          </w:p>
        </w:tc>
      </w:tr>
      <w:tr>
        <w:trPr>
          <w:trHeight w:val="176"/>
        </w:trPr>
        <w:tc>
          <w:tcPr>
            <w:tcW w:w="9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2022 and 2021</w:t>
            </w:r>
          </w:p>
        </w:tc>
        <w:tc>
          <w:tcPr>
            <w:tcW w:w="1840" w:type="dxa"/>
            <w:vAlign w:val="bottom"/>
          </w:tcPr>
          <w:p>
            <w:pPr>
              <w:ind w:left="14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400" w:type="dxa"/>
            <w:vAlign w:val="bottom"/>
            <w:gridSpan w:val="7"/>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2022 and 2021</w:t>
            </w:r>
          </w:p>
        </w:tc>
        <w:tc>
          <w:tcPr>
            <w:tcW w:w="1840" w:type="dxa"/>
            <w:vAlign w:val="bottom"/>
            <w:shd w:val="clear" w:color="auto" w:fill="CCECFF"/>
          </w:tcPr>
          <w:p>
            <w:pPr>
              <w:ind w:left="14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5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3940" w:type="dxa"/>
            <w:vAlign w:val="bottom"/>
            <w:tcBorders>
              <w:top w:val="single" w:sz="8" w:color="CCECFF"/>
            </w:tcBorders>
            <w:gridSpan w:val="3"/>
          </w:tcPr>
          <w:p>
            <w:pPr>
              <w:spacing w:after="0"/>
              <w:rPr>
                <w:sz w:val="15"/>
                <w:szCs w:val="15"/>
                <w:color w:val="auto"/>
              </w:rPr>
            </w:pPr>
          </w:p>
        </w:tc>
        <w:tc>
          <w:tcPr>
            <w:tcW w:w="1840" w:type="dxa"/>
            <w:vAlign w:val="bottom"/>
            <w:tcBorders>
              <w:top w:val="single" w:sz="8" w:color="CCECFF"/>
            </w:tcBorders>
          </w:tcPr>
          <w:p>
            <w:pPr>
              <w:ind w:left="140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59"/>
        </w:trPr>
        <w:tc>
          <w:tcPr>
            <w:tcW w:w="2160" w:type="dxa"/>
            <w:vAlign w:val="bottom"/>
            <w:tcBorders>
              <w:top w:val="single" w:sz="8" w:color="0000EE"/>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17,781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25,586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73,489</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66,081</w:t>
            </w:r>
          </w:p>
        </w:tc>
        <w:tc>
          <w:tcPr>
            <w:tcW w:w="100" w:type="dxa"/>
            <w:vAlign w:val="bottom"/>
            <w:tcBorders>
              <w:top w:val="single" w:sz="8" w:color="CCEEFF"/>
              <w:bottom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10,214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3,615</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12,393</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10,760</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4,461</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r>
      <w:tr>
        <w:trPr>
          <w:trHeight w:val="257"/>
        </w:trPr>
        <w:tc>
          <w:tcPr>
            <w:tcW w:w="744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76,251</w:t>
            </w:r>
          </w:p>
        </w:tc>
        <w:tc>
          <w:tcPr>
            <w:tcW w:w="100" w:type="dxa"/>
            <w:vAlign w:val="bottom"/>
            <w:tcBorders>
              <w:top w:val="single" w:sz="8" w:color="CCEEFF"/>
              <w:bottom w:val="single" w:sz="8" w:color="CCEEFF"/>
            </w:tcBorders>
          </w:tcPr>
          <w:p>
            <w:pPr>
              <w:spacing w:after="0"/>
              <w:rPr>
                <w:sz w:val="22"/>
                <w:szCs w:val="22"/>
                <w:color w:val="auto"/>
              </w:rPr>
            </w:pPr>
          </w:p>
        </w:tc>
      </w:tr>
      <w:tr>
        <w:trPr>
          <w:trHeight w:val="22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13,475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19,242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32,831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long-term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4,694</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36,864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170,000,000 shares, $0.0001 par value, authorized, 43,272,728 and 36,496,998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2022 and 2021,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3,619</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 earnings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11,332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16,061</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Cost of Goods Sold</w:t>
            </w: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62,247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48,375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24,004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41,566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13,671</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(6,945)</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5,446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(40,280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(Loss) Earnings Per Share – Basic</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38,565,307</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35,579,137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38,565,307</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37,742,337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4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860" w:type="dxa"/>
            <w:vAlign w:val="bottom"/>
          </w:tcPr>
          <w:p>
            <w:pPr>
              <w:spacing w:after="0"/>
              <w:rPr>
                <w:sz w:val="21"/>
                <w:szCs w:val="21"/>
                <w:color w:val="auto"/>
              </w:rPr>
            </w:pPr>
          </w:p>
        </w:tc>
        <w:tc>
          <w:tcPr>
            <w:tcW w:w="2080" w:type="dxa"/>
            <w:vAlign w:val="bottom"/>
            <w:tcBorders>
              <w:right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0" w:type="dxa"/>
            <w:vAlign w:val="bottom"/>
          </w:tcPr>
          <w:p>
            <w:pPr>
              <w:spacing w:after="0"/>
              <w:rPr>
                <w:sz w:val="21"/>
                <w:szCs w:val="21"/>
                <w:color w:val="auto"/>
              </w:rPr>
            </w:pPr>
          </w:p>
        </w:tc>
        <w:tc>
          <w:tcPr>
            <w:tcW w:w="16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8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20,040,470</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8,555</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(2,000)</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15,469,477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03"/>
        </w:trPr>
        <w:tc>
          <w:tcPr>
            <w:tcW w:w="38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Adjusted balance, beginning of period</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35,509,947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2,451</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8,100</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10,555</w:t>
            </w:r>
          </w:p>
        </w:tc>
        <w:tc>
          <w:tcPr>
            <w:tcW w:w="100" w:type="dxa"/>
            <w:vAlign w:val="bottom"/>
            <w:tcBorders>
              <w:top w:val="single" w:sz="8" w:color="CCEEFF"/>
            </w:tcBorders>
          </w:tcPr>
          <w:p>
            <w:pPr>
              <w:spacing w:after="0"/>
              <w:rPr>
                <w:sz w:val="17"/>
                <w:szCs w:val="17"/>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987,051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36,496,998</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3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-January 1, 2022, after giving effect to</w:t>
            </w: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recapitalization</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36,496,998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(39,571)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(39,571)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1,498,301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581,351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Reverse capitalization, net of transaction costs</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(See Note 3)</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4,238,936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457,142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16,669</w:t>
            </w:r>
          </w:p>
        </w:tc>
      </w:tr>
      <w:tr>
        <w:trPr>
          <w:trHeight w:val="2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r>
      <w:tr>
        <w:trPr>
          <w:trHeight w:val="23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43,272,728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(27,133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(39,571)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2,467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extinguishment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4,824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1,822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(paid-in-kind)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Assumption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1,990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(22,719)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(1,467)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5,459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1,520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4,428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8,903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(45,696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(6,862)</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from note payable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(10,849)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28,630</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2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773</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3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2,252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13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132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13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32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16,669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Dragonfly Energy Holdings Corp. (“</w:t>
      </w:r>
      <w:r>
        <w:rPr>
          <w:rFonts w:ascii="Times New Roman" w:cs="Times New Roman" w:eastAsia="Times New Roman" w:hAnsi="Times New Roman"/>
          <w:sz w:val="18"/>
          <w:szCs w:val="18"/>
          <w:b w:val="1"/>
          <w:bCs w:val="1"/>
          <w:color w:val="auto"/>
        </w:rPr>
        <w:t>New 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October 7, 2022, a merger transaction between Chardan NexTech Acquisition 2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Dragonfly Energy Corp. (“</w:t>
      </w:r>
      <w:r>
        <w:rPr>
          <w:rFonts w:ascii="Times New Roman" w:cs="Times New Roman" w:eastAsia="Times New Roman" w:hAnsi="Times New Roman"/>
          <w:sz w:val="18"/>
          <w:szCs w:val="18"/>
          <w:b w:val="1"/>
          <w:bCs w:val="1"/>
          <w:color w:val="auto"/>
        </w:rPr>
        <w:t>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and Bronco Merger Sub,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was completed pursuant to which Merger Sub was merged with and into Legacy Dragonfly,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Legacy Dragonfly surviving the merger. As a result of the merger, Legacy Dragonfly became a wholly owned subsidiary of New Dragonfly.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 w:cs="Times New Roman" w:eastAsia="Times New Roman" w:hAnsi="Times New Roman"/>
          <w:sz w:val="18"/>
          <w:szCs w:val="18"/>
          <w:i w:val="1"/>
          <w:iCs w:val="1"/>
          <w:color w:val="auto"/>
        </w:rPr>
        <w:t>Note 3 – Reverse Capitalization</w:t>
      </w:r>
      <w:r>
        <w:rPr>
          <w:rFonts w:ascii="Times New Roman" w:cs="Times New Roman" w:eastAsia="Times New Roman" w:hAnsi="Times New Roman"/>
          <w:sz w:val="18"/>
          <w:szCs w:val="18"/>
          <w:color w:val="auto"/>
        </w:rPr>
        <w:t xml:space="preserve"> for further details of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pursuant to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in accordance with generally accepted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present the consolidated financial statements of the Company and its wholly owned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senior secured term loan facility in an aggregate principal amount of $75,000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May 2021, the Financial Accounting Standards Board (“</w:t>
      </w:r>
      <w:r>
        <w:rPr>
          <w:rFonts w:ascii="Times New Roman" w:cs="Times New Roman" w:eastAsia="Times New Roman" w:hAnsi="Times New Roman"/>
          <w:sz w:val="17"/>
          <w:szCs w:val="17"/>
          <w:b w:val="1"/>
          <w:bCs w:val="1"/>
          <w:color w:val="auto"/>
        </w:rPr>
        <w:t>FASB</w:t>
      </w:r>
      <w:r>
        <w:rPr>
          <w:rFonts w:ascii="Times New Roman" w:cs="Times New Roman" w:eastAsia="Times New Roman" w:hAnsi="Times New Roman"/>
          <w:sz w:val="17"/>
          <w:szCs w:val="17"/>
          <w:color w:val="auto"/>
        </w:rPr>
        <w:t>”) issued Accounting Standards Update (“</w:t>
      </w:r>
      <w:r>
        <w:rPr>
          <w:rFonts w:ascii="Times New Roman" w:cs="Times New Roman" w:eastAsia="Times New Roman" w:hAnsi="Times New Roman"/>
          <w:sz w:val="17"/>
          <w:szCs w:val="17"/>
          <w:b w:val="1"/>
          <w:bCs w:val="1"/>
          <w:color w:val="auto"/>
        </w:rPr>
        <w:t>ASU</w:t>
      </w:r>
      <w:r>
        <w:rPr>
          <w:rFonts w:ascii="Times New Roman" w:cs="Times New Roman" w:eastAsia="Times New Roman" w:hAnsi="Times New Roman"/>
          <w:sz w:val="17"/>
          <w:szCs w:val="17"/>
          <w:color w:val="auto"/>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2020-06</w:t>
      </w:r>
      <w:r>
        <w:rPr>
          <w:rFonts w:ascii="Times New Roman" w:cs="Times New Roman" w:eastAsia="Times New Roman" w:hAnsi="Times New Roman"/>
          <w:sz w:val="18"/>
          <w:szCs w:val="18"/>
          <w:color w:val="auto"/>
        </w:rPr>
        <w:t>”) to simplify accounting for certain financial instruments. ASU 2020-06 eliminates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Restricted 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1900" w:h="16838" w:orient="portrait"/>
          <w:cols w:equalWidth="0" w:num="1">
            <w:col w:w="11240"/>
          </w:cols>
          <w:pgMar w:left="320" w:top="686"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furniture and equipment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Vehicles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8"/>
          <w:szCs w:val="18"/>
          <w:color w:val="auto"/>
        </w:rPr>
        <w:t>5 years</w:t>
      </w:r>
    </w:p>
    <w:p>
      <w:pPr>
        <w:spacing w:after="0" w:line="200" w:lineRule="exact"/>
        <w:rPr>
          <w:sz w:val="20"/>
          <w:szCs w:val="20"/>
          <w:color w:val="auto"/>
        </w:rPr>
      </w:pPr>
    </w:p>
    <w:p>
      <w:pPr>
        <w:sectPr>
          <w:pgSz w:w="11900" w:h="16838" w:orient="portrait"/>
          <w:cols w:equalWidth="0" w:num="2">
            <w:col w:w="4900" w:space="720"/>
            <w:col w:w="5620"/>
          </w:cols>
          <w:pgMar w:left="320" w:top="68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7"/>
          <w:szCs w:val="17"/>
          <w:color w:val="auto"/>
        </w:rPr>
        <w:t>Remaining Term of Lease</w:t>
      </w:r>
    </w:p>
    <w:p>
      <w:pPr>
        <w:spacing w:after="0" w:line="211" w:lineRule="exact"/>
        <w:rPr>
          <w:sz w:val="20"/>
          <w:szCs w:val="20"/>
          <w:color w:val="auto"/>
        </w:rPr>
      </w:pPr>
    </w:p>
    <w:p>
      <w:pPr>
        <w:sectPr>
          <w:pgSz w:w="11900" w:h="16838" w:orient="portrait"/>
          <w:cols w:equalWidth="0" w:num="2">
            <w:col w:w="4900" w:space="720"/>
            <w:col w:w="5620"/>
          </w:cols>
          <w:pgMar w:left="320" w:top="686"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17" w:name="page118"/>
    <w:bookmarkEnd w:id="117"/>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9,102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10,733</w:t>
            </w:r>
          </w:p>
        </w:tc>
        <w:tc>
          <w:tcPr>
            <w:tcW w:w="80" w:type="dxa"/>
            <w:vAlign w:val="bottom"/>
          </w:tcPr>
          <w:p>
            <w:pPr>
              <w:spacing w:after="0"/>
              <w:rPr>
                <w:sz w:val="18"/>
                <w:szCs w:val="18"/>
                <w:color w:val="auto"/>
              </w:rPr>
            </w:pPr>
          </w:p>
        </w:tc>
      </w:tr>
      <w:tr>
        <w:trPr>
          <w:trHeight w:val="250"/>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33,805</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8,225</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one customer accounted for approximately 22% of the Company’s sales for year ended December 31, 2022. There were no significant revenue concentrations for the year ended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61% of accounts payables as of December 31, 2022. There were no significant payable concentrations as of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Earnings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 w:cs="Times New Roman" w:eastAsia="Times New Roman" w:hAnsi="Times New Roman"/>
          <w:sz w:val="18"/>
          <w:szCs w:val="18"/>
          <w:i w:val="1"/>
          <w:iCs w:val="1"/>
          <w:color w:val="auto"/>
        </w:rPr>
        <w:t xml:space="preserve">Note 3 - Reverse Capitalization </w:t>
      </w:r>
      <w:r>
        <w:rPr>
          <w:rFonts w:ascii="Times New Roman" w:cs="Times New Roman" w:eastAsia="Times New Roman" w:hAnsi="Times New Roman"/>
          <w:sz w:val="18"/>
          <w:szCs w:val="18"/>
          <w:color w:val="auto"/>
        </w:rPr>
        <w:t>for details and discussion of the retrospective adjustment of net loss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Times New Roman" w:cs="Times New Roman" w:eastAsia="Times New Roman" w:hAnsi="Times New Roman"/>
          <w:sz w:val="18"/>
          <w:szCs w:val="18"/>
          <w:b w:val="1"/>
          <w:bCs w:val="1"/>
          <w:color w:val="auto"/>
        </w:rPr>
        <w:t>PIPE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CNTQ trust and PIPE Investors</w:t>
            </w:r>
          </w:p>
        </w:tc>
        <w:tc>
          <w:tcPr>
            <w:tcW w:w="3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CNTQ</w:t>
            </w:r>
          </w:p>
        </w:tc>
        <w:tc>
          <w:tcPr>
            <w:tcW w:w="3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in merger transaction</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14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assumed in merger</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CNTQ note payable settlement at close</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14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transaction costs paid at close</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deficit assumed in recapitalization</w:t>
            </w:r>
          </w:p>
        </w:tc>
        <w:tc>
          <w:tcPr>
            <w:tcW w:w="37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5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Number of Shares</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merger</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CNTQ shares</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(2,016,912)</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Public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CNTQ Sponsor Shares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756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Legacy Dragonfly shares </w:t>
            </w:r>
            <w:r>
              <w:rPr>
                <w:rFonts w:ascii="Times New Roman" w:cs="Times New Roman" w:eastAsia="Times New Roman" w:hAnsi="Times New Roman"/>
                <w:sz w:val="29"/>
                <w:szCs w:val="29"/>
                <w:color w:val="auto"/>
                <w:vertAlign w:val="superscript"/>
              </w:rPr>
              <w:t>(1)(2)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29"/>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the merger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hanging="209"/>
        <w:spacing w:after="0" w:line="284" w:lineRule="auto"/>
        <w:rPr>
          <w:sz w:val="20"/>
          <w:szCs w:val="20"/>
          <w:color w:val="auto"/>
        </w:rPr>
      </w:pPr>
      <w:r>
        <w:rPr>
          <w:rFonts w:ascii="Times New Roman" w:cs="Times New Roman" w:eastAsia="Times New Roman" w:hAnsi="Times New Roman"/>
          <w:sz w:val="18"/>
          <w:szCs w:val="18"/>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66" w:lineRule="exact"/>
        <w:rPr>
          <w:sz w:val="20"/>
          <w:szCs w:val="20"/>
          <w:color w:val="auto"/>
        </w:rPr>
      </w:pPr>
    </w:p>
    <w:p>
      <w:pPr>
        <w:ind w:left="280" w:right="20" w:hanging="209"/>
        <w:spacing w:after="0" w:line="284" w:lineRule="auto"/>
        <w:rPr>
          <w:sz w:val="20"/>
          <w:szCs w:val="20"/>
          <w:color w:val="auto"/>
        </w:rPr>
      </w:pP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preferred shares of Legacy Dragonfly were exchanged on a 1 to 1 ratio to common stock and the shares were then exchanged for shares of Dragonfly Energy Holdings Corp. at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reverse capitalization transaction, the Company issued public warrants, private placement warrants and Term Loan warrants. Refer to Note 12 for a further description of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Earnout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ASC 820, Fair Value Measurements and Disclosures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74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Liabilities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3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liability-Term Loan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Pr>
          <w:p>
            <w:pPr>
              <w:spacing w:after="0"/>
              <w:rPr>
                <w:sz w:val="20"/>
                <w:szCs w:val="20"/>
                <w:color w:val="auto"/>
              </w:rPr>
            </w:pPr>
          </w:p>
        </w:tc>
      </w:tr>
      <w:tr>
        <w:trPr>
          <w:trHeight w:val="236"/>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liability-Private Placement Warrants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that were measured at fair value as of December 31, 2021.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December 31, 2022 and 2021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INVENTORY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ectPr>
          <w:pgSz w:w="11900" w:h="16838" w:orient="portrait"/>
          <w:cols w:equalWidth="0" w:num="1">
            <w:col w:w="11240"/>
          </w:cols>
          <w:pgMar w:left="320" w:top="686"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left="-6"/>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6"/>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1287" w:hanging="1287"/>
        <w:spacing w:after="0"/>
        <w:tabs>
          <w:tab w:leader="none" w:pos="12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4,513</w:t>
      </w:r>
    </w:p>
    <w:p>
      <w:pPr>
        <w:spacing w:after="0" w:line="36" w:lineRule="exact"/>
        <w:rPr>
          <w:rFonts w:ascii="Times New Roman" w:cs="Times New Roman" w:eastAsia="Times New Roman" w:hAnsi="Times New Roman"/>
          <w:sz w:val="18"/>
          <w:szCs w:val="18"/>
          <w:color w:val="auto"/>
        </w:rPr>
      </w:pPr>
    </w:p>
    <w:p>
      <w:pPr>
        <w:ind w:left="12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1,188</w:t>
      </w:r>
    </w:p>
    <w:p>
      <w:pPr>
        <w:spacing w:after="0" w:line="27" w:lineRule="exact"/>
        <w:rPr>
          <w:rFonts w:ascii="Times New Roman" w:cs="Times New Roman" w:eastAsia="Times New Roman" w:hAnsi="Times New Roman"/>
          <w:sz w:val="18"/>
          <w:szCs w:val="18"/>
          <w:color w:val="auto"/>
        </w:rPr>
      </w:pPr>
    </w:p>
    <w:p>
      <w:pPr>
        <w:ind w:left="12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3,541</w:t>
      </w:r>
    </w:p>
    <w:p>
      <w:pPr>
        <w:spacing w:after="0" w:line="45" w:lineRule="exact"/>
        <w:rPr>
          <w:sz w:val="20"/>
          <w:szCs w:val="20"/>
          <w:color w:val="auto"/>
        </w:rPr>
      </w:pPr>
    </w:p>
    <w:p>
      <w:pPr>
        <w:ind w:left="1287" w:hanging="1287"/>
        <w:spacing w:after="0"/>
        <w:tabs>
          <w:tab w:leader="none" w:pos="128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801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 years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1262" w:hanging="1262"/>
        <w:spacing w:after="0"/>
        <w:tabs>
          <w:tab w:leader="none" w:pos="12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5,709</w:t>
      </w:r>
    </w:p>
    <w:p>
      <w:pPr>
        <w:spacing w:after="0" w:line="36" w:lineRule="exact"/>
        <w:rPr>
          <w:rFonts w:ascii="Times New Roman" w:cs="Times New Roman" w:eastAsia="Times New Roman" w:hAnsi="Times New Roman"/>
          <w:sz w:val="18"/>
          <w:szCs w:val="18"/>
          <w:color w:val="auto"/>
        </w:rPr>
      </w:pPr>
    </w:p>
    <w:p>
      <w:pPr>
        <w:ind w:left="12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1,082</w:t>
      </w:r>
    </w:p>
    <w:p>
      <w:pPr>
        <w:spacing w:after="0" w:line="27" w:lineRule="exact"/>
        <w:rPr>
          <w:rFonts w:ascii="Times New Roman" w:cs="Times New Roman" w:eastAsia="Times New Roman" w:hAnsi="Times New Roman"/>
          <w:sz w:val="18"/>
          <w:szCs w:val="18"/>
          <w:color w:val="auto"/>
        </w:rPr>
      </w:pPr>
    </w:p>
    <w:p>
      <w:pPr>
        <w:ind w:left="12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4,694</w:t>
      </w:r>
    </w:p>
    <w:p>
      <w:pPr>
        <w:spacing w:after="0" w:line="45" w:lineRule="exact"/>
        <w:rPr>
          <w:sz w:val="20"/>
          <w:szCs w:val="20"/>
          <w:color w:val="auto"/>
        </w:rPr>
      </w:pPr>
    </w:p>
    <w:p>
      <w:pPr>
        <w:ind w:left="1262" w:hanging="1262"/>
        <w:spacing w:after="0"/>
        <w:tabs>
          <w:tab w:leader="none" w:pos="126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29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 years</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5.2%</w:t>
      </w:r>
    </w:p>
    <w:p>
      <w:pPr>
        <w:spacing w:after="0" w:line="200" w:lineRule="exact"/>
        <w:rPr>
          <w:sz w:val="20"/>
          <w:szCs w:val="20"/>
          <w:color w:val="auto"/>
        </w:rPr>
      </w:pPr>
    </w:p>
    <w:p>
      <w:pPr>
        <w:sectPr>
          <w:pgSz w:w="11900" w:h="16838" w:orient="portrait"/>
          <w:cols w:equalWidth="0" w:num="3">
            <w:col w:w="6713" w:space="720"/>
            <w:col w:w="1707" w:space="318"/>
            <w:col w:w="1782"/>
          </w:cols>
          <w:pgMar w:left="320" w:top="686" w:right="339" w:bottom="144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future minimum lease payments under these operating leases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3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vMerge w:val="continue"/>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3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10 for further discussion regarding contingent consideration arising from the April 2022 Asset Purchase agreement with Thomason Jones Company,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further discussion regarding the earnout related to the reverse capitalization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 Trust Indenture</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(the “</w:t>
      </w:r>
      <w:r>
        <w:rPr>
          <w:rFonts w:ascii="Times New Roman" w:cs="Times New Roman" w:eastAsia="Times New Roman" w:hAnsi="Times New Roman"/>
          <w:sz w:val="18"/>
          <w:szCs w:val="18"/>
          <w:b w:val="1"/>
          <w:bCs w:val="1"/>
          <w:color w:val="auto"/>
        </w:rPr>
        <w:t>Series 2021-6 Notes</w:t>
      </w:r>
      <w:r>
        <w:rPr>
          <w:rFonts w:ascii="Times New Roman" w:cs="Times New Roman" w:eastAsia="Times New Roman" w:hAnsi="Times New Roman"/>
          <w:sz w:val="18"/>
          <w:szCs w:val="18"/>
          <w:color w:val="auto"/>
        </w:rPr>
        <w:t>”) pursuant to a Trust Indenture held by UMB Bank, as trustee and disbursing agent, and NewLight Capital, LLC as servicer (the “</w:t>
      </w:r>
      <w:r>
        <w:rPr>
          <w:rFonts w:ascii="Times New Roman" w:cs="Times New Roman" w:eastAsia="Times New Roman" w:hAnsi="Times New Roman"/>
          <w:sz w:val="18"/>
          <w:szCs w:val="18"/>
          <w:b w:val="1"/>
          <w:bCs w:val="1"/>
          <w:color w:val="auto"/>
        </w:rPr>
        <w:t>Servicer</w:t>
      </w:r>
      <w:r>
        <w:rPr>
          <w:rFonts w:ascii="Times New Roman" w:cs="Times New Roman" w:eastAsia="Times New Roman" w:hAnsi="Times New Roman"/>
          <w:sz w:val="18"/>
          <w:szCs w:val="18"/>
          <w:color w:val="auto"/>
        </w:rPr>
        <w:t>”). The trust and debt documents also required the entry into a Lender Collateral Residual Value Insurance Policy (the “</w:t>
      </w:r>
      <w:r>
        <w:rPr>
          <w:rFonts w:ascii="Times New Roman" w:cs="Times New Roman" w:eastAsia="Times New Roman" w:hAnsi="Times New Roman"/>
          <w:sz w:val="18"/>
          <w:szCs w:val="18"/>
          <w:b w:val="1"/>
          <w:bCs w:val="1"/>
          <w:color w:val="auto"/>
        </w:rPr>
        <w:t>Insurance Policy</w:t>
      </w:r>
      <w:r>
        <w:rPr>
          <w:rFonts w:ascii="Times New Roman" w:cs="Times New Roman" w:eastAsia="Times New Roman" w:hAnsi="Times New Roman"/>
          <w:sz w:val="18"/>
          <w:szCs w:val="18"/>
          <w:color w:val="auto"/>
        </w:rPr>
        <w:t>”), with UMB Bank as named insured for $45,000, and engagement of a placement agent, Tribe Capital Markets,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closing date of the financing the Company received a wire for $35,474, which is comprised of the gross proceeds of $45,000 less $3,188 in deposits to certain reserve accounts (see subsection labeled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xml:space="preserve"> below), and $6,338 in expenses withdrawn from the gross proceeds, which included $4,725 in prepaid policy premiums and related costs underlying the Insurance Policy (see subsection labelled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xml:space="preserve"> below), a prepaid loan monitoring fee of $60 and $1,553 in debt issuance costs.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 w:cs="Times New Roman" w:eastAsia="Times New Roman" w:hAnsi="Times New Roman"/>
          <w:sz w:val="18"/>
          <w:szCs w:val="18"/>
          <w:i w:val="1"/>
          <w:iCs w:val="1"/>
          <w:color w:val="auto"/>
        </w:rPr>
        <w:t xml:space="preserve">Collateral </w:t>
      </w:r>
      <w:r>
        <w:rPr>
          <w:rFonts w:ascii="Times New Roman" w:cs="Times New Roman" w:eastAsia="Times New Roman" w:hAnsi="Times New Roman"/>
          <w:sz w:val="18"/>
          <w:szCs w:val="18"/>
          <w:color w:val="auto"/>
        </w:rPr>
        <w:t>below) as such funds must be reimbursed by the Company to the insurer.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Times New Roman" w:cs="Times New Roman" w:eastAsia="Times New Roman" w:hAnsi="Times New Roman"/>
          <w:sz w:val="18"/>
          <w:szCs w:val="18"/>
          <w:i w:val="1"/>
          <w:iCs w:val="1"/>
          <w:color w:val="auto"/>
        </w:rPr>
        <w:t>Term Loan Agreement</w:t>
      </w:r>
      <w:r>
        <w:rPr>
          <w:rFonts w:ascii="Times New Roman" w:cs="Times New Roman" w:eastAsia="Times New Roman" w:hAnsi="Times New Roman"/>
          <w:sz w:val="18"/>
          <w:szCs w:val="18"/>
          <w:color w:val="auto"/>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Reserve Accounts</w:t>
            </w:r>
          </w:p>
        </w:tc>
        <w:tc>
          <w:tcPr>
            <w:tcW w:w="57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29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r>
      <w:tr>
        <w:trPr>
          <w:trHeight w:val="23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the Company settled the Trust Indenture and the balance in the Payment Reserve Fund was offset against the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Collateral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Monitoring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prepayment on that date of $33 was expensed and included in debt extinguishment.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Covenants – Trust Indenture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7, 2022, in connection with the merger, CNTQ, Legacy Dragonfly and CCM Investments 5 LLC (“</w:t>
      </w:r>
      <w:r>
        <w:rPr>
          <w:rFonts w:ascii="Times New Roman" w:cs="Times New Roman" w:eastAsia="Times New Roman" w:hAnsi="Times New Roman"/>
          <w:sz w:val="17"/>
          <w:szCs w:val="17"/>
          <w:b w:val="1"/>
          <w:bCs w:val="1"/>
          <w:color w:val="auto"/>
        </w:rPr>
        <w:t>CCM 5</w:t>
      </w:r>
      <w:r>
        <w:rPr>
          <w:rFonts w:ascii="Times New Roman" w:cs="Times New Roman" w:eastAsia="Times New Roman" w:hAnsi="Times New Roman"/>
          <w:sz w:val="17"/>
          <w:szCs w:val="17"/>
          <w:color w:val="auto"/>
        </w:rPr>
        <w:t>”, and in connection with the Term Loan, the “Chardan Lender”), and EICF Agent LLC (“</w:t>
      </w:r>
      <w:r>
        <w:rPr>
          <w:rFonts w:ascii="Times New Roman" w:cs="Times New Roman" w:eastAsia="Times New Roman" w:hAnsi="Times New Roman"/>
          <w:sz w:val="17"/>
          <w:szCs w:val="17"/>
          <w:b w:val="1"/>
          <w:bCs w:val="1"/>
          <w:color w:val="auto"/>
        </w:rPr>
        <w:t>EIP</w:t>
      </w:r>
      <w:r>
        <w:rPr>
          <w:rFonts w:ascii="Times New Roman" w:cs="Times New Roman" w:eastAsia="Times New Roman" w:hAnsi="Times New Roman"/>
          <w:sz w:val="17"/>
          <w:szCs w:val="17"/>
          <w:color w:val="auto"/>
        </w:rPr>
        <w:t>” and, collectively with the Chardan Lender, the “</w:t>
      </w:r>
      <w:r>
        <w:rPr>
          <w:rFonts w:ascii="Times New Roman" w:cs="Times New Roman" w:eastAsia="Times New Roman" w:hAnsi="Times New Roman"/>
          <w:sz w:val="17"/>
          <w:szCs w:val="17"/>
          <w:b w:val="1"/>
          <w:bCs w:val="1"/>
          <w:color w:val="auto"/>
        </w:rPr>
        <w:t>Initial Term Loan Lenders</w:t>
      </w:r>
      <w:r>
        <w:rPr>
          <w:rFonts w:ascii="Times New Roman" w:cs="Times New Roman" w:eastAsia="Times New Roman" w:hAnsi="Times New Roman"/>
          <w:sz w:val="17"/>
          <w:szCs w:val="17"/>
          <w:color w:val="auto"/>
        </w:rPr>
        <w:t>”) entered into the Term Loan, Guarantee and Security Agreement (the “</w:t>
      </w:r>
      <w:r>
        <w:rPr>
          <w:rFonts w:ascii="Times New Roman" w:cs="Times New Roman" w:eastAsia="Times New Roman" w:hAnsi="Times New Roman"/>
          <w:sz w:val="17"/>
          <w:szCs w:val="17"/>
          <w:b w:val="1"/>
          <w:bCs w:val="1"/>
          <w:color w:val="auto"/>
        </w:rPr>
        <w:t>Term Loan Agreement</w:t>
      </w:r>
      <w:r>
        <w:rPr>
          <w:rFonts w:ascii="Times New Roman" w:cs="Times New Roman" w:eastAsia="Times New Roman" w:hAnsi="Times New Roman"/>
          <w:sz w:val="17"/>
          <w:szCs w:val="17"/>
          <w:color w:val="auto"/>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Times New Roman" w:cs="Times New Roman" w:eastAsia="Times New Roman" w:hAnsi="Times New Roman"/>
          <w:sz w:val="17"/>
          <w:szCs w:val="17"/>
          <w:b w:val="1"/>
          <w:bCs w:val="1"/>
          <w:color w:val="auto"/>
        </w:rPr>
        <w:t>Backstop 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b w:val="1"/>
          <w:b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and collectively with EIP,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pursuant to which the Backstop Lender committed to purchase from the Chardan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aggregate amount of the Term Loan held by the Chardan Lender (the “</w:t>
      </w:r>
      <w:r>
        <w:rPr>
          <w:rFonts w:ascii="Times New Roman" w:cs="Times New Roman" w:eastAsia="Times New Roman" w:hAnsi="Times New Roman"/>
          <w:sz w:val="17"/>
          <w:szCs w:val="17"/>
          <w:b w:val="1"/>
          <w:bCs w:val="1"/>
          <w:color w:val="auto"/>
        </w:rPr>
        <w:t>Backstopped Loans</w:t>
      </w:r>
      <w:r>
        <w:rPr>
          <w:rFonts w:ascii="Times New Roman" w:cs="Times New Roman" w:eastAsia="Times New Roman" w:hAnsi="Times New Roman"/>
          <w:sz w:val="17"/>
          <w:szCs w:val="17"/>
          <w:color w:val="auto"/>
        </w:rPr>
        <w:t>”) immediately following the issuance of the Term Loan on the Closing Date. Pursuant to an assignment agreement, the Backstopped Loans were assigned by CCM 5 to the Backstop Lender on the Closing 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Term Loan accrues interest (i) 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 – Term Loan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Senior Leverage Ratio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6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Test Period Ending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 Ratio</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 – March 31, 2023</w:t>
            </w:r>
          </w:p>
        </w:tc>
        <w:tc>
          <w:tcPr>
            <w:tcW w:w="2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6.75 to 1.00</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2023 – September 30, 2023</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 to 1.00</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 March 31, 2024</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 – September 30, 2024</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 March 31, 2025</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2025 and thereafter</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permit their liquidity (determined on a consolidated basis) to be less than $10,000 as of the last day of each fiscal month (commencing with month ending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Charge Coverage Ratio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consolidated EBITDA for the trailing twelve-month period ending on the most recently completed fiscal quarter is less than $15,000, then the level of capital expenditures is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Long-Term Debt Maturities</w:t>
            </w:r>
          </w:p>
        </w:tc>
        <w:tc>
          <w:tcPr>
            <w:tcW w:w="6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2022, the future debt maturities are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220" w:type="dxa"/>
            <w:vAlign w:val="bottom"/>
          </w:tcPr>
          <w:p>
            <w:pPr>
              <w:spacing w:after="0"/>
              <w:rPr>
                <w:sz w:val="24"/>
                <w:szCs w:val="24"/>
                <w:color w:val="auto"/>
              </w:rPr>
            </w:pPr>
          </w:p>
        </w:tc>
        <w:tc>
          <w:tcPr>
            <w:tcW w:w="20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Future Debt Maturities</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3,750</w:t>
            </w: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91,809</w:t>
            </w:r>
          </w:p>
        </w:tc>
      </w:tr>
      <w:tr>
        <w:trPr>
          <w:trHeight w:val="216"/>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36"/>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Unamortized debt issuance costs, non-current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(56,950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9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 of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9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REVOLVING NOTE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tcPr>
          <w:p>
            <w:pPr>
              <w:spacing w:after="0"/>
              <w:rPr>
                <w:sz w:val="20"/>
                <w:szCs w:val="20"/>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6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7,324</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8"/>
              </w:rPr>
              <w:t>(7,324)</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86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years ended December 31, 2022 and 2021, are as follows: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Percentage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Tax</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Percentage</w:t>
            </w:r>
          </w:p>
        </w:tc>
        <w:tc>
          <w:tcPr>
            <w:tcW w:w="60" w:type="dxa"/>
            <w:vAlign w:val="bottom"/>
          </w:tcPr>
          <w:p>
            <w:pPr>
              <w:spacing w:after="0"/>
              <w:rPr>
                <w:sz w:val="20"/>
                <w:szCs w:val="20"/>
                <w:color w:val="auto"/>
              </w:rPr>
            </w:pPr>
          </w:p>
        </w:tc>
      </w:tr>
      <w:tr>
        <w:trPr>
          <w:trHeight w:val="23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income (loss) before taxes</w:t>
            </w:r>
          </w:p>
        </w:tc>
        <w:tc>
          <w:tcPr>
            <w:tcW w:w="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40" w:type="dxa"/>
            <w:vAlign w:val="bottom"/>
            <w:tcBorders>
              <w:top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(transaction costs)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2,185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(warrants)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-other than tax)</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7,324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0"/>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tcBorders>
              <w:top w:val="single" w:sz="8" w:color="CCEEFF"/>
              <w:bottom w:val="single" w:sz="8" w:color="CCEEFF"/>
              <w:right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 tax rate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60" w:type="dxa"/>
            <w:vAlign w:val="bottom"/>
          </w:tcPr>
          <w:p>
            <w:pPr>
              <w:spacing w:after="0"/>
              <w:rPr>
                <w:sz w:val="18"/>
                <w:szCs w:val="18"/>
                <w:color w:val="auto"/>
              </w:rPr>
            </w:pPr>
          </w:p>
        </w:tc>
      </w:tr>
      <w:tr>
        <w:trPr>
          <w:trHeight w:val="27"/>
        </w:trPr>
        <w:tc>
          <w:tcPr>
            <w:tcW w:w="3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the statute of limitations for federal and state tax returns are open for the Company for 2019, 2020 and 2021.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 Company also had research and development credits of $200 as of December 31, 2022 to offset future federal income taxes, which are set to expire in 2042.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Company’s gross uncertain tax positions is as follows: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Gross Uncertain Tax</w:t>
            </w: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Position</w:t>
            </w: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3"/>
        </w:trPr>
        <w:tc>
          <w:tcPr>
            <w:tcW w:w="1140" w:type="dxa"/>
            <w:vAlign w:val="bottom"/>
          </w:tcPr>
          <w:p>
            <w:pPr>
              <w:spacing w:after="0"/>
              <w:rPr>
                <w:sz w:val="17"/>
                <w:szCs w:val="17"/>
                <w:color w:val="auto"/>
              </w:rPr>
            </w:pPr>
          </w:p>
        </w:tc>
        <w:tc>
          <w:tcPr>
            <w:tcW w:w="7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2021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Bourns Productions, Inc.</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January 1, 2022, the Company entered into an asset purchase agreement (the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Bourns Productions, Inc., a Nevada corporation (“</w:t>
      </w:r>
      <w:r>
        <w:rPr>
          <w:rFonts w:ascii="Times New Roman" w:cs="Times New Roman" w:eastAsia="Times New Roman" w:hAnsi="Times New Roman"/>
          <w:sz w:val="18"/>
          <w:szCs w:val="18"/>
          <w:b w:val="1"/>
          <w:bCs w:val="1"/>
          <w:color w:val="auto"/>
        </w:rPr>
        <w:t>Bourns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Productions</w:t>
      </w:r>
      <w:r>
        <w:rPr>
          <w:rFonts w:ascii="Times New Roman" w:cs="Times New Roman" w:eastAsia="Times New Roman" w:hAnsi="Times New Roman"/>
          <w:sz w:val="18"/>
          <w:szCs w:val="18"/>
          <w:color w:val="auto"/>
        </w:rPr>
        <w:t>”), pursuant to which the Company acquired machinery, equipment and a lease for a podcast studio from Bourns Production Productions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APA for a purchase price of $197 which approximated fair market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Thomason Jones Company,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whereby the Company acquired inventory and intellectual property assets for $444 cash plus contingent payments of $1,000 each to William Thomason and Richard Jones (the “</w:t>
      </w:r>
      <w:r>
        <w:rPr>
          <w:rFonts w:ascii="Times New Roman" w:cs="Times New Roman" w:eastAsia="Times New Roman" w:hAnsi="Times New Roman"/>
          <w:sz w:val="18"/>
          <w:szCs w:val="18"/>
          <w:b w:val="1"/>
          <w:bCs w:val="1"/>
          <w:color w:val="auto"/>
        </w:rPr>
        <w:t>Earn Out</w:t>
      </w:r>
      <w:r>
        <w:rPr>
          <w:rFonts w:ascii="Times New Roman" w:cs="Times New Roman" w:eastAsia="Times New Roman" w:hAnsi="Times New Roman"/>
          <w:sz w:val="18"/>
          <w:szCs w:val="18"/>
          <w:color w:val="auto"/>
        </w:rPr>
        <w:t>”). The Company determined the contingent consideration to be recognized as contingent compensation to Mr. Thomason and Mr. Jones. The entire purchase price of $444 was allocated to inventory.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Chief Operating Officer (“</w:t>
      </w:r>
      <w:r>
        <w:rPr>
          <w:rFonts w:ascii="Times New Roman" w:cs="Times New Roman" w:eastAsia="Times New Roman" w:hAnsi="Times New Roman"/>
          <w:sz w:val="18"/>
          <w:szCs w:val="18"/>
          <w:b w:val="1"/>
          <w:bCs w:val="1"/>
          <w:color w:val="auto"/>
        </w:rPr>
        <w:t>COO</w:t>
      </w:r>
      <w:r>
        <w:rPr>
          <w:rFonts w:ascii="Times New Roman" w:cs="Times New Roman" w:eastAsia="Times New Roman" w:hAnsi="Times New Roman"/>
          <w:sz w:val="18"/>
          <w:szCs w:val="18"/>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12 -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discussed in Note 3, the Company assumed the outstanding public and private placement warrants of CNTQ.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for further description of the warrants issued in connection with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Inception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Recognition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Expiration</w:t>
            </w:r>
          </w:p>
        </w:tc>
      </w:t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 Class</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Price</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Private Placement Warrants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8/11/2026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shares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w:t>
            </w:r>
          </w:p>
        </w:tc>
        <w:tc>
          <w:tcPr>
            <w:tcW w:w="27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Initial Measurement</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2022</w:t>
            </w:r>
          </w:p>
        </w:tc>
        <w:tc>
          <w:tcPr>
            <w:tcW w:w="27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272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F-26</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$10 Warrants: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Initial</w:t>
            </w:r>
          </w:p>
        </w:tc>
      </w:tr>
      <w:tr>
        <w:trPr>
          <w:trHeight w:val="241"/>
        </w:trPr>
        <w:tc>
          <w:tcPr>
            <w:tcW w:w="3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Measurement</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a roll-forward of the Company’s warrants from January 1, 2022 to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570039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were no warrants issued, exercised and outstanding prior to January 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570039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were no warrants issued, exercised and outstanding prior to January 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570039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4,627,858</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17145</wp:posOffset>
            </wp:positionV>
            <wp:extent cx="9601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34290</wp:posOffset>
            </wp:positionV>
            <wp:extent cx="960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9,487,500</w:t>
      </w:r>
    </w:p>
    <w:p>
      <w:pPr>
        <w:spacing w:after="0" w:line="9"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17145</wp:posOffset>
            </wp:positionV>
            <wp:extent cx="9601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34290</wp:posOffset>
            </wp:positionV>
            <wp:extent cx="9601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4,193,056</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(1,600,000)</w:t>
      </w:r>
    </w:p>
    <w:p>
      <w:pPr>
        <w:spacing w:after="0" w:line="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17145</wp:posOffset>
            </wp:positionV>
            <wp:extent cx="9601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34290</wp:posOffset>
            </wp:positionV>
            <wp:extent cx="9601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7520" w:space="720"/>
            <w:col w:w="3000"/>
          </w:cols>
          <w:pgMar w:left="320" w:top="688" w:right="339" w:bottom="1440" w:gutter="0" w:footer="0" w:header="0"/>
          <w:type w:val="continuous"/>
        </w:sectPr>
      </w:pP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498919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98919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Warrant Liability</w:t>
      </w:r>
    </w:p>
    <w:p>
      <w:pPr>
        <w:spacing w:after="0" w:line="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52,956</w:t>
      </w:r>
    </w:p>
    <w:p>
      <w:pPr>
        <w:spacing w:after="0" w:line="9"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18"/>
          <w:szCs w:val="18"/>
          <w:color w:val="auto"/>
        </w:rPr>
        <w:t>(16,669)</w:t>
      </w:r>
    </w:p>
    <w:p>
      <w:pPr>
        <w:spacing w:after="0" w:line="9"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18"/>
          <w:szCs w:val="18"/>
          <w:color w:val="auto"/>
        </w:rPr>
        <w:t>(5,446)</w:t>
      </w:r>
    </w:p>
    <w:p>
      <w:pPr>
        <w:spacing w:after="0" w:line="45" w:lineRule="exact"/>
        <w:rPr>
          <w:sz w:val="20"/>
          <w:szCs w:val="20"/>
          <w:color w:val="auto"/>
        </w:rPr>
      </w:pPr>
    </w:p>
    <w:p>
      <w:pPr>
        <w:ind w:left="1020" w:hanging="101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518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688" w:right="339" w:bottom="1440" w:gutter="0" w:footer="0" w:header="0"/>
          <w:type w:val="continuous"/>
        </w:sectPr>
      </w:pP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**There were no warrants issued, exercised and outstanding prior to January 1, 2022.</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NOTE 13 -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shares of common stock for issuance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3,690,955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43,272,728</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36,496,998</w:t>
            </w:r>
          </w:p>
        </w:tc>
        <w:tc>
          <w:tcPr>
            <w:tcW w:w="80" w:type="dxa"/>
            <w:vAlign w:val="bottom"/>
          </w:tcPr>
          <w:p>
            <w:pPr>
              <w:spacing w:after="0"/>
              <w:rPr>
                <w:sz w:val="18"/>
                <w:szCs w:val="18"/>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16,708,414</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99"/>
        </w:trPr>
        <w:tc>
          <w:tcPr>
            <w:tcW w:w="5940" w:type="dxa"/>
            <w:vAlign w:val="bottom"/>
            <w:tcBorders>
              <w:bottom w:val="single" w:sz="8" w:color="CCEEFF"/>
            </w:tcBorders>
            <w:shd w:val="clear" w:color="auto" w:fill="CCEEFF"/>
          </w:tcPr>
          <w:p>
            <w:pPr>
              <w:spacing w:after="0" w:line="278" w:lineRule="exact"/>
              <w:rPr>
                <w:sz w:val="20"/>
                <w:szCs w:val="20"/>
                <w:color w:val="auto"/>
              </w:rPr>
            </w:pPr>
            <w:r>
              <w:rPr>
                <w:rFonts w:ascii="Times New Roman" w:cs="Times New Roman" w:eastAsia="Times New Roman" w:hAnsi="Times New Roman"/>
                <w:sz w:val="18"/>
                <w:szCs w:val="18"/>
                <w:color w:val="auto"/>
              </w:rPr>
              <w:t xml:space="preserve">Shares available for future issuance </w:t>
            </w:r>
            <w:r>
              <w:rPr>
                <w:rFonts w:ascii="Times New Roman" w:cs="Times New Roman" w:eastAsia="Times New Roman" w:hAnsi="Times New Roman"/>
                <w:sz w:val="29"/>
                <w:szCs w:val="29"/>
                <w:color w:val="auto"/>
                <w:vertAlign w:val="superscript"/>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4,924,914</w:t>
            </w: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108,549,014</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40,200,160</w:t>
            </w:r>
          </w:p>
        </w:tc>
        <w:tc>
          <w:tcPr>
            <w:tcW w:w="8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7120" w:firstLine="68"/>
        <w:spacing w:after="0" w:line="499" w:lineRule="auto"/>
        <w:tabs>
          <w:tab w:leader="none" w:pos="351"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 to Stock Incentive Plan amendment at Note 14 ChEF Equity Facility</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and CCM LLC entered into a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Shares issued under this Plan may be drawn from authorized and unissued shares, or shares reacquired by the Company.</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and, together with the 2019 Plan, the “</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merger, shareholders and board members approved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maintains an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Weighted-</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line="181" w:lineRule="exact"/>
              <w:rPr>
                <w:sz w:val="20"/>
                <w:szCs w:val="20"/>
                <w:color w:val="auto"/>
              </w:rPr>
            </w:pPr>
            <w:r>
              <w:rPr>
                <w:rFonts w:ascii="Times New Roman" w:cs="Times New Roman" w:eastAsia="Times New Roman" w:hAnsi="Times New Roman"/>
                <w:sz w:val="18"/>
                <w:szCs w:val="18"/>
                <w:color w:val="auto"/>
                <w:w w:val="99"/>
              </w:rPr>
              <w:t>Average Grant</w:t>
            </w:r>
          </w:p>
        </w:tc>
        <w:tc>
          <w:tcPr>
            <w:tcW w:w="13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Contractual Life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77"/>
        </w:trPr>
        <w:tc>
          <w:tcPr>
            <w:tcW w:w="3620" w:type="dxa"/>
            <w:vAlign w:val="bottom"/>
          </w:tcPr>
          <w:p>
            <w:pPr>
              <w:spacing w:after="0"/>
              <w:rPr>
                <w:sz w:val="24"/>
                <w:szCs w:val="24"/>
                <w:color w:val="auto"/>
              </w:rPr>
            </w:pPr>
          </w:p>
        </w:tc>
        <w:tc>
          <w:tcPr>
            <w:tcW w:w="1600" w:type="dxa"/>
            <w:vAlign w:val="bottom"/>
            <w:gridSpan w:val="2"/>
          </w:tcPr>
          <w:p>
            <w:pPr>
              <w:jc w:val="right"/>
              <w:ind w:right="600"/>
              <w:spacing w:after="0" w:line="270"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24"/>
                <w:szCs w:val="24"/>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 years)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3,029,791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0.72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2,069,309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2.03</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(421,094)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(987,051)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0.53</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3,690,955</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1.38</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3,690,955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572,428</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1.57</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(39,074)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(581,351)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0.89</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1.21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1,646,304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3,642,958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292"/>
        <w:spacing w:after="0" w:line="284" w:lineRule="auto"/>
        <w:tabs>
          <w:tab w:leader="none" w:pos="36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4,924,914 shares of unissued authorized and available for future awards under the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582"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restricted stock units prior to October 7, 2022. The following table presents the restricted stock units activity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Number of Shares</w:t>
            </w:r>
          </w:p>
        </w:tc>
        <w:tc>
          <w:tcPr>
            <w:tcW w:w="12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Market Value</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and unvested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15 - REDEEMABLE PREFERRED STOCK RIGHTS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rights and preferences of the Legacy Dragonfly Redeemable Convertible Preferred Stock prior to the conversion in the merger: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Company (the “</w:t>
      </w:r>
      <w:r>
        <w:rPr>
          <w:rFonts w:ascii="Times New Roman" w:cs="Times New Roman" w:eastAsia="Times New Roman" w:hAnsi="Times New Roman"/>
          <w:sz w:val="18"/>
          <w:szCs w:val="18"/>
          <w:b w:val="1"/>
          <w:bCs w:val="1"/>
          <w:color w:val="auto"/>
        </w:rPr>
        <w:t>Series A Director</w:t>
      </w:r>
      <w:r>
        <w:rPr>
          <w:rFonts w:ascii="Times New Roman" w:cs="Times New Roman" w:eastAsia="Times New Roman" w:hAnsi="Times New Roman"/>
          <w:sz w:val="18"/>
          <w:szCs w:val="18"/>
          <w:color w:val="auto"/>
        </w:rPr>
        <w:t>”). The Series A Director shall be given two votes on any action requiring the vote or approval of the Board of Directors.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Company, the “</w:t>
      </w:r>
      <w:r>
        <w:rPr>
          <w:rFonts w:ascii="Times New Roman" w:cs="Times New Roman" w:eastAsia="Times New Roman" w:hAnsi="Times New Roman"/>
          <w:sz w:val="18"/>
          <w:szCs w:val="18"/>
          <w:b w:val="1"/>
          <w:bCs w:val="1"/>
          <w:color w:val="auto"/>
        </w:rPr>
        <w:t>Common Stock Director A</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Common Stock Director B</w:t>
      </w:r>
      <w:r>
        <w:rPr>
          <w:rFonts w:ascii="Times New Roman" w:cs="Times New Roman" w:eastAsia="Times New Roman" w:hAnsi="Times New Roman"/>
          <w:sz w:val="18"/>
          <w:szCs w:val="18"/>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as defined, the holders of shares of Series A Preferred Stock then outstanding (the “</w:t>
      </w:r>
      <w:r>
        <w:rPr>
          <w:rFonts w:ascii="Times New Roman" w:cs="Times New Roman" w:eastAsia="Times New Roman" w:hAnsi="Times New Roman"/>
          <w:sz w:val="18"/>
          <w:szCs w:val="18"/>
          <w:b w:val="1"/>
          <w:bCs w:val="1"/>
          <w:color w:val="auto"/>
        </w:rPr>
        <w:t>Series A shareholders</w:t>
      </w:r>
      <w:r>
        <w:rPr>
          <w:rFonts w:ascii="Times New Roman" w:cs="Times New Roman" w:eastAsia="Times New Roman" w:hAnsi="Times New Roman"/>
          <w:sz w:val="18"/>
          <w:szCs w:val="18"/>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(loss) earnings per share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94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4,338</w:t>
            </w: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38,565,307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35,579,137</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83"/>
        </w:trPr>
        <w:tc>
          <w:tcPr>
            <w:tcW w:w="3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1940" w:type="dxa"/>
            <w:vAlign w:val="bottom"/>
          </w:tcPr>
          <w:p>
            <w:pPr>
              <w:spacing w:after="0"/>
              <w:rPr>
                <w:sz w:val="24"/>
                <w:szCs w:val="24"/>
                <w:color w:val="auto"/>
              </w:rPr>
            </w:pPr>
          </w:p>
        </w:tc>
      </w:tr>
      <w:tr>
        <w:trPr>
          <w:trHeight w:val="197"/>
        </w:trPr>
        <w:tc>
          <w:tcPr>
            <w:tcW w:w="3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(39,571)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4,338</w:t>
            </w: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38,565,307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35,579,137</w:t>
            </w:r>
          </w:p>
        </w:tc>
        <w:tc>
          <w:tcPr>
            <w:tcW w:w="194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38,565,307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37,742,337</w:t>
            </w: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19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20"/>
        </w:trPr>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F-31</w:t>
            </w: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139" w:name="page140"/>
    <w:bookmarkEnd w:id="13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income per share net (loss) income per share because their effect was anti-dilutive:</w:t>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16,708,414</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3,642,958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20,531,372</w:t>
            </w:r>
          </w:p>
        </w:tc>
        <w:tc>
          <w:tcPr>
            <w:tcW w:w="26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31, 2023, the Company changed its state of incorporation from the State of Delaware to the State of Nevada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pursuant to a plan of conversion dated March 30, 2023 (the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described in Note 13 the Company issued 98,500 shares pursuant to the Purchase Agreement with CCM LLC for aggregate net proceeds to the Company of $671 through April 17,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lvl w:ilvl="1">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lowerRoman"/>
      <w:start w:val="2"/>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3"/>
    </w:lvl>
  </w:abstractNum>
  <w:abstractNum w:abstractNumId="43">
    <w:nsid w:val="61574095"/>
    <w:multiLevelType w:val="hybridMultilevel"/>
    <w:lvl w:ilvl="0">
      <w:lvlJc w:val="left"/>
      <w:lvlText w:val="(%1)"/>
      <w:numFmt w:val="lowerRoman"/>
      <w:start w:val="2"/>
    </w:lvl>
  </w:abstractNum>
  <w:abstractNum w:abstractNumId="44">
    <w:nsid w:val="7E0C57B1"/>
    <w:multiLevelType w:val="hybridMultilevel"/>
    <w:lvl w:ilvl="0">
      <w:lvlJc w:val="left"/>
      <w:lvlText w:val="(%1)"/>
      <w:numFmt w:val="lowerRoman"/>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lowerRoman"/>
      <w:start w:val="3"/>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lowerRoman"/>
      <w:start w:val="3"/>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lowerRoman"/>
      <w:start w:val="3"/>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2"/>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4"/>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2023-05-08T07:07:27Z</dcterms:created>
  <dcterms:modified xsi:type="dcterms:W3CDTF">2023-05-08T07:07:27Z</dcterms:modified>
</cp:coreProperties>
</file>