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23,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23, 2025, Dragonfly Energy Holdings Corp. (the “Company”) issued a press release containing certain preliminary financial results for the quarter ended March 31, 2025. A copy of the press release is furnished as Exhibit 99.1 hereto and is incorporated by reference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Exhibit 99.1 attached hereto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Dragonfly Energy Holdings Corp., dated April 23, 2025.</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00" w:type="dxa"/>
            <w:vAlign w:val="bottom"/>
            <w:gridSpan w:val="2"/>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23, 2025.</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640" w:type="dxa"/>
            <w:vAlign w:val="bottom"/>
          </w:tcPr>
          <w:p>
            <w:pPr>
              <w:spacing w:after="0"/>
              <w:rPr>
                <w:sz w:val="18"/>
                <w:szCs w:val="18"/>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Announces First Quarter 2025 Preliminary Net Sales and Adjusted EBITDA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First Quarter Net Sales and Adjusted EBITDA Above Guidance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RENO, Nev. (April 23, 2025) — </w:t>
      </w:r>
      <w:r>
        <w:rPr>
          <w:rFonts w:ascii="Times New Roman" w:cs="Times New Roman" w:eastAsia="Times New Roman" w:hAnsi="Times New Roman"/>
          <w:sz w:val="18"/>
          <w:szCs w:val="18"/>
          <w:color w:val="auto"/>
        </w:rPr>
        <w:t>Dragonfly Energy Holdings Corp. (“Dragonfly Energy” or the “Company”) (Nasdaq: DFLI), an industry leader in energy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storage and battery technology, today announced preliminary first quarter 2025 Net Sales and Adjusted EBITDA.</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anticipates first quarter 2025 Net Sales of $13.4 million and Adjusted EBITDA of $(3.6) million, above the guidance provided in the fourth quarter of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quarter results represent our second consecutive quarter of year over year growth as we continue to execute on a number of important growth initiatives while focusing on driving profitability.” said Dr. Denis Phares, Chief Executive Officer.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is a non-GAAP measure and should be considered only as supplemental to, and not as superior to, financial measures prepared in accordance with GAAP. Please refer to the reconciliation of Adjusted EBITDA to its nearest GAAP measure in this release.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first quarter 2025 Net Sales and Adjusted EBITDA are preliminary and are subject to finalization in connection with the preparation of the Company’s Quarterly Report on Form 10-Q for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Webcast Information</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Dragonfly Energy management team will host a conference call to discuss its first quarter 2025 financial and operational results on Thursday, May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at 4:30 PM Eastern Time. The call can be accessed live via webcast by clicking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or through the Events and Presentations page within the Investor Relations section of Dragonfly Energy’s website at </w:t>
      </w:r>
      <w:r>
        <w:rPr>
          <w:rFonts w:ascii="Times New Roman" w:cs="Times New Roman" w:eastAsia="Times New Roman" w:hAnsi="Times New Roman"/>
          <w:sz w:val="18"/>
          <w:szCs w:val="18"/>
          <w:u w:val="single" w:color="auto"/>
          <w:color w:val="auto"/>
        </w:rPr>
        <w:t>https://investors.dragonflyenergy.com/events-and-presentations/default.aspx</w:t>
      </w:r>
      <w:r>
        <w:rPr>
          <w:rFonts w:ascii="Times New Roman" w:cs="Times New Roman" w:eastAsia="Times New Roman" w:hAnsi="Times New Roman"/>
          <w:sz w:val="18"/>
          <w:szCs w:val="18"/>
          <w:color w:val="auto"/>
        </w:rPr>
        <w:t>. The call can also be accessed live via telephone by dialing (646) 564-2877, toll-free in North America (800) 549-8228, or for international callers +1 (289) 819-1520, and referencing conference ID: 76172. Please log in to the webcast or dial in to the call at least 10 minutes prior to the start of the event.</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archive of the webcast will be available for a period of time shortly after the call on the Events and Presentations page on the Investor Relations section of Dragonfly Energy’s website, along with the earnings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Dragonfly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Dragonfly Energy and its commitment to clean energy advancements, visit </w:t>
      </w:r>
      <w:r>
        <w:rPr>
          <w:rFonts w:ascii="Times New Roman" w:cs="Times New Roman" w:eastAsia="Times New Roman" w:hAnsi="Times New Roman"/>
          <w:sz w:val="18"/>
          <w:szCs w:val="18"/>
          <w:u w:val="single" w:color="auto"/>
          <w:color w:val="auto"/>
        </w:rPr>
        <w:t>investors.dragonflyenergy.com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first quarter 2025 preliminary Net Sales and Adjusted EBITDA,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the closing of the offerings, the use of proceeds from the offerings, the ability to successfully achieve the thresholds for the additional funding from the offerings, the impact of the offering and the conversion and sale of the shares of common stock underlying the preferred stock on the Company’s stock price,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THOR Industries and THOR Industries’ affiliated brands (including Keystone RV Company); the Company’s ability to maintain the listing of its common stock and public warrants on the Nasdaq Capital Market;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2024 filed with the SEC and in the Company’s subsequent filings with the SEC available at </w:t>
      </w:r>
      <w:r>
        <w:rPr>
          <w:rFonts w:ascii="Times New Roman" w:cs="Times New Roman" w:eastAsia="Times New Roman" w:hAnsi="Times New Roman"/>
          <w:sz w:val="18"/>
          <w:szCs w:val="18"/>
          <w:u w:val="single" w:color="auto"/>
          <w:color w:val="auto"/>
        </w:rPr>
        <w:t>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280" w:type="dxa"/>
            <w:vAlign w:val="bottom"/>
          </w:tcPr>
          <w:p>
            <w:pPr>
              <w:spacing w:after="0"/>
              <w:rPr>
                <w:sz w:val="20"/>
                <w:szCs w:val="20"/>
                <w:color w:val="auto"/>
              </w:rPr>
            </w:pPr>
          </w:p>
        </w:tc>
        <w:tc>
          <w:tcPr>
            <w:tcW w:w="3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Calculation</w:t>
            </w:r>
          </w:p>
        </w:tc>
        <w:tc>
          <w:tcPr>
            <w:tcW w:w="1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Taxes</w:t>
            </w:r>
          </w:p>
        </w:tc>
        <w:tc>
          <w:tcPr>
            <w:tcW w:w="310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(6,797)</w:t>
            </w:r>
          </w:p>
        </w:tc>
        <w:tc>
          <w:tcPr>
            <w:tcW w:w="148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(10,367)</w:t>
            </w: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4,760</w:t>
            </w: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700" w:type="dxa"/>
            <w:vAlign w:val="bottom"/>
          </w:tcPr>
          <w:p>
            <w:pPr>
              <w:spacing w:after="0"/>
              <w:rPr>
                <w:sz w:val="18"/>
                <w:szCs w:val="18"/>
                <w:color w:val="auto"/>
              </w:rPr>
            </w:pPr>
          </w:p>
        </w:tc>
        <w:tc>
          <w:tcPr>
            <w:tcW w:w="1400" w:type="dxa"/>
            <w:vAlign w:val="bottom"/>
            <w:tcBorders>
              <w:top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EBITDA</w:t>
            </w: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Financing expenses</w:t>
            </w: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Fees and Loss on Settlement</w:t>
            </w:r>
          </w:p>
        </w:tc>
        <w:tc>
          <w:tcPr>
            <w:tcW w:w="17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Reverse Stock Split</w:t>
            </w: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7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r>
      <w:tr>
        <w:trPr>
          <w:trHeight w:val="22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700" w:type="dxa"/>
            <w:vAlign w:val="bottom"/>
          </w:tcPr>
          <w:p>
            <w:pPr>
              <w:spacing w:after="0"/>
              <w:rPr>
                <w:sz w:val="19"/>
                <w:szCs w:val="19"/>
                <w:color w:val="auto"/>
              </w:rPr>
            </w:pPr>
          </w:p>
        </w:tc>
        <w:tc>
          <w:tcPr>
            <w:tcW w:w="1400" w:type="dxa"/>
            <w:vAlign w:val="bottom"/>
            <w:tcBorders>
              <w:top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(3,646)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tcPr>
          <w:p>
            <w:pPr>
              <w:spacing w:after="0"/>
              <w:rPr>
                <w:sz w:val="19"/>
                <w:szCs w:val="19"/>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Prouty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Szymon Serowiecki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AdvisIRy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DragonflyIR@advisiry.com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2025-04-23T15:34:26Z</dcterms:created>
  <dcterms:modified xsi:type="dcterms:W3CDTF">2025-04-23T15:34:26Z</dcterms:modified>
</cp:coreProperties>
</file>