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Seaburg Wade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1190 TRADEMARK DRIVE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Dragonfly Energy Holdings Corp.</w:t>
              </w:r>
            </w:hyperlink>
            <w:r>
              <w:rPr/>
              <w:t xml:space="preserve"> [ </w:t>
            </w:r>
            <w:r>
              <w:rPr>
                <w:rFonts w:ascii="Times;serif" w:hAnsi="Times;serif"/>
                <w:color w:val="0000FF"/>
                <w:sz w:val="24"/>
                <w:shd w:fill="FFFFFF" w:val="clear"/>
              </w:rPr>
              <w:t>DFLI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Revenue Officer</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122,252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88,656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35,462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06/09/2030</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10/19/2030</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6,408</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0.59</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vested as to 25% of the options on August 4, 2022. The remaining options vest in 36 equal monthly installments commencing on September 4,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25% of the options on December 6, 2021. The remaining options vest in 36 equal monthly installments commencing on January 6,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 as to 3,184 shares in 13 monthly installments commencing on November 19, 2021. The remainder of the options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Wade Seaburg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ex24.htm"/>
      <w:bookmarkStart w:id="3" w:name="ksex24"/>
      <w:bookmarkEnd w:id="2"/>
      <w:bookmarkEnd w:id="3"/>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the undersigned hereby constitutes and appoints each of Sarah Cole and Denis Phares as his true and lawful attorney-in-fact to:</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Schedules 13D and 13G, and Forms 3, 4 and 5 in accordance with Sections 13 and 16(a)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the execution of any such Schedules 13D or 13G, and Forms 3, 4 or 5, and the timely filing of such Forms with the United States Securities and Exchange Commission and any other authority;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his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Sections 13 and 16 of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Schedules 13D and 13G and Forms 3, 4 and 5 in accordance with Sections 13 and 16(a) of the Exchange Act and the rules thereunder with respect to the undersigned’s holdings of and transactions in securities issued by Dragonfly Energy Holdings Corp., its predecessors or assigns, unless earlier revoked by the undersigned in a signed writing delivered to the foregoing attorneys-in-fact.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6, 2023.</w:t>
      </w:r>
    </w:p>
    <w:p>
      <w:pPr>
        <w:pStyle w:val="TextBody"/>
        <w:bidi w:val="0"/>
        <w:ind w:left="0" w:right="0" w:firstLine="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425"/>
        <w:gridCol w:w="1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pPr>
            <w:r>
              <w:rPr>
                <w:rFonts w:ascii="Times New Roman;Times;Serif" w:hAnsi="Times New Roman;Times;Serif"/>
              </w:rPr>
              <w:t>By:</w:t>
            </w:r>
            <w:r>
              <w:rPr/>
              <w:t xml:space="preserve"> </w:t>
            </w:r>
          </w:p>
        </w:tc>
        <w:tc>
          <w:tcPr>
            <w:tcW w:w="147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Wade Seaburg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Wade Seaburg</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6350" TargetMode="External"/><Relationship Id="rId3" Type="http://schemas.openxmlformats.org/officeDocument/2006/relationships/hyperlink" Target="http://www.sec.gov/cgi-bin/browse-edgar?action=getcompany&amp;CIK=0001847986"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1004</Words>
  <Characters>5143</Characters>
  <CharactersWithSpaces>6080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