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820" w:type="dxa"/>
            <w:vAlign w:val="bottom"/>
            <w:gridSpan w:val="4"/>
          </w:tcPr>
          <w:p>
            <w:pPr>
              <w:jc w:val="right"/>
              <w:ind w:right="1400"/>
              <w:spacing w:after="0"/>
              <w:rPr>
                <w:sz w:val="20"/>
                <w:szCs w:val="20"/>
                <w:color w:val="auto"/>
              </w:rPr>
            </w:pPr>
            <w:r>
              <w:rPr>
                <w:rFonts w:ascii="Arial" w:cs="Arial" w:eastAsia="Arial" w:hAnsi="Arial"/>
                <w:sz w:val="18"/>
                <w:szCs w:val="18"/>
                <w:b w:val="1"/>
                <w:bCs w:val="1"/>
                <w:color w:val="auto"/>
              </w:rPr>
              <w:t>001-40730</w:t>
            </w:r>
          </w:p>
        </w:tc>
        <w:tc>
          <w:tcPr>
            <w:tcW w:w="22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85-1873463</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20" w:type="dxa"/>
            <w:vAlign w:val="bottom"/>
          </w:tcPr>
          <w:p>
            <w:pPr>
              <w:spacing w:after="0"/>
              <w:rPr>
                <w:sz w:val="20"/>
                <w:szCs w:val="20"/>
                <w:color w:val="auto"/>
              </w:rPr>
            </w:pPr>
          </w:p>
        </w:tc>
        <w:tc>
          <w:tcPr>
            <w:tcW w:w="3820" w:type="dxa"/>
            <w:vAlign w:val="bottom"/>
            <w:gridSpan w:val="4"/>
          </w:tcPr>
          <w:p>
            <w:pPr>
              <w:jc w:val="center"/>
              <w:ind w:right="200"/>
              <w:spacing w:after="0"/>
              <w:rPr>
                <w:sz w:val="20"/>
                <w:szCs w:val="20"/>
                <w:color w:val="auto"/>
              </w:rPr>
            </w:pPr>
            <w:r>
              <w:rPr>
                <w:rFonts w:ascii="Arial" w:cs="Arial" w:eastAsia="Arial" w:hAnsi="Arial"/>
                <w:sz w:val="18"/>
                <w:szCs w:val="18"/>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4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92"/>
              </w:rPr>
              <w:t>1190 Trademark Drive, #108</w:t>
            </w:r>
          </w:p>
        </w:tc>
        <w:tc>
          <w:tcPr>
            <w:tcW w:w="3600" w:type="dxa"/>
            <w:vAlign w:val="bottom"/>
          </w:tcPr>
          <w:p>
            <w:pPr>
              <w:spacing w:after="0"/>
              <w:rPr>
                <w:sz w:val="24"/>
                <w:szCs w:val="24"/>
                <w:color w:val="auto"/>
              </w:rPr>
            </w:pPr>
          </w:p>
        </w:tc>
      </w:tr>
      <w:tr>
        <w:trPr>
          <w:trHeight w:val="241"/>
        </w:trPr>
        <w:tc>
          <w:tcPr>
            <w:tcW w:w="360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90"/>
              </w:rPr>
              <w:t>Reno, Nevada</w:t>
            </w: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89521</w:t>
            </w:r>
          </w:p>
        </w:tc>
      </w:tr>
      <w:tr>
        <w:trPr>
          <w:trHeight w:val="230"/>
        </w:trPr>
        <w:tc>
          <w:tcPr>
            <w:tcW w:w="3600" w:type="dxa"/>
            <w:vAlign w:val="bottom"/>
          </w:tcPr>
          <w:p>
            <w:pPr>
              <w:ind w:left="1260"/>
              <w:spacing w:after="0"/>
              <w:rPr>
                <w:sz w:val="20"/>
                <w:szCs w:val="20"/>
                <w:color w:val="auto"/>
              </w:rPr>
            </w:pPr>
            <w:r>
              <w:rPr>
                <w:rFonts w:ascii="Arial" w:cs="Arial" w:eastAsia="Arial" w:hAnsi="Arial"/>
                <w:sz w:val="18"/>
                <w:szCs w:val="18"/>
                <w:color w:val="auto"/>
                <w:w w:val="93"/>
              </w:rPr>
              <w:t>(Address of Principal Executive</w:t>
            </w: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Offices)</w:t>
            </w:r>
          </w:p>
        </w:tc>
        <w:tc>
          <w:tcPr>
            <w:tcW w:w="22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r>
        <w:trPr>
          <w:trHeight w:val="403"/>
        </w:trPr>
        <w:tc>
          <w:tcPr>
            <w:tcW w:w="3600" w:type="dxa"/>
            <w:vAlign w:val="bottom"/>
          </w:tcPr>
          <w:p>
            <w:pPr>
              <w:spacing w:after="0"/>
              <w:rPr>
                <w:sz w:val="24"/>
                <w:szCs w:val="24"/>
                <w:color w:val="auto"/>
              </w:rPr>
            </w:pPr>
          </w:p>
        </w:tc>
        <w:tc>
          <w:tcPr>
            <w:tcW w:w="382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(775) 622-3448</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404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Common stock, par value $0.0001</w:t>
            </w:r>
          </w:p>
        </w:tc>
        <w:tc>
          <w:tcPr>
            <w:tcW w:w="2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DLFI</w:t>
            </w:r>
          </w:p>
        </w:tc>
        <w:tc>
          <w:tcPr>
            <w:tcW w:w="2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The Nasdaq Global Market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0"/>
              </w:rPr>
              <w:t>Redeemable warrants, exercisable for common stock at</w:t>
            </w: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DLFIW</w:t>
            </w: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The Nasdaq Capital Market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an exercise price of $11.50 per share, subject to</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20, 2023, Dragonfly Energy Holdings Corp.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Roth Capital Partners, LLC, as representative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pursuant to which the Company agreed to sell to the Underwriters, in a firm commitment underwritten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an aggregate of (i) 10,000,000 shares (the “</w:t>
      </w:r>
      <w:r>
        <w:rPr>
          <w:rFonts w:ascii="Arial" w:cs="Arial" w:eastAsia="Arial" w:hAnsi="Arial"/>
          <w:sz w:val="17"/>
          <w:szCs w:val="17"/>
          <w:b w:val="1"/>
          <w:bCs w:val="1"/>
          <w:color w:val="auto"/>
        </w:rPr>
        <w:t>Shares</w:t>
      </w:r>
      <w:r>
        <w:rPr>
          <w:rFonts w:ascii="Arial" w:cs="Arial" w:eastAsia="Arial" w:hAnsi="Arial"/>
          <w:sz w:val="17"/>
          <w:szCs w:val="17"/>
          <w:color w:val="auto"/>
        </w:rPr>
        <w:t>”) of its common stock, par value $0.0001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and (ii) accompanying warrants to purchase up to 10,000,000 shares of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and, together with the Shares, the “</w:t>
      </w:r>
      <w:r>
        <w:rPr>
          <w:rFonts w:ascii="Arial" w:cs="Arial" w:eastAsia="Arial" w:hAnsi="Arial"/>
          <w:sz w:val="17"/>
          <w:szCs w:val="17"/>
          <w:b w:val="1"/>
          <w:bCs w:val="1"/>
          <w:color w:val="auto"/>
        </w:rPr>
        <w:t>Securities</w:t>
      </w:r>
      <w:r>
        <w:rPr>
          <w:rFonts w:ascii="Arial" w:cs="Arial" w:eastAsia="Arial" w:hAnsi="Arial"/>
          <w:sz w:val="17"/>
          <w:szCs w:val="17"/>
          <w:color w:val="auto"/>
        </w:rPr>
        <w:t>”), at the combined public offering price of $2.00 per Share and accompanying Warrant, less underwriting discounts and commissions. In addition, 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The Offering is expected to close on June 22, 2023.</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Underwriting Agreement, the Company will issue to the Underwriters warrants to purchase up to an aggregate of 500,000 shares of Common Stock (or up to 575,000 shares of Common Stock if the Underwriters’ option to purchase additional shares is exercised in full) (the “</w:t>
      </w:r>
      <w:r>
        <w:rPr>
          <w:rFonts w:ascii="Arial" w:cs="Arial" w:eastAsia="Arial" w:hAnsi="Arial"/>
          <w:sz w:val="18"/>
          <w:szCs w:val="18"/>
          <w:b w:val="1"/>
          <w:bCs w:val="1"/>
          <w:color w:val="auto"/>
        </w:rPr>
        <w:t>Underwriters’ Warrants</w:t>
      </w:r>
      <w:r>
        <w:rPr>
          <w:rFonts w:ascii="Arial" w:cs="Arial" w:eastAsia="Arial" w:hAnsi="Arial"/>
          <w:sz w:val="18"/>
          <w:szCs w:val="18"/>
          <w:color w:val="auto"/>
        </w:rPr>
        <w:t>”). The Underwriters’ Warrants are exercisable upon issuance and will expire on June 20, 2028. The initial exercise price of the Underwriters’ Warrants is $2.50 per share, which equals 125% of the per share public offering price in the Offering.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proceeds to the Company from the Offering are expected to be approximately $18.2 million (or approximately $21.0 million if the Underwriters’ option to purchase additional Shares and/or Warrants is exercised in full), after deducting underwriting discounts and commissions and estimated offering expenses. The Company expects to use the proceeds from the Offering for working capital and general corporate purposes.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are exercisable for five years from the closing date of the Offering, have an exercise price of $2.00 per share and are immediately exercisable. In the event of certain fundamental transactions, holders of the Warrants will have the right to receive the Black Scholes Value (as defined in the Warrants) of their Warrants calculated pursuant to the formula set forth in the Warrants, payable either in cash or in the same type or form of consideration that is being offered and being paid to the holders of Common Stock.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Securities are being sold to the public pursuant to the Company’s registration statement on Form S-1 (File No. 333-272401), initially filed by the Company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on June 5, 2023, and declared effective on June 20, 2023.</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Further, pursuant to the terms of the Underwriting Agreement and related “lock-up” agreements, the Company and each director and executive officer of the Company have agreed with the Underwriters not to offer for sale, issue, sell, contract to sell, pledge or otherwise dispose of any of our Common Stock or securities convertible into Common Stock for a period of 90 days commencing on the date of the Underwriting Agreement.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Underwriting Agreement, the Warrants and the Underwriters’ Warrants are not complete and are qualified in their entirety by references to the full text of the form of Underwriting Agreement, the form of Warrant and the form of Underwriters’ Warrant, which are filed as Exhibits 1.1, 4.1 and 4.2, respectively, to this report and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2023, the Company issued a press release announcing the pricing of the Offering. A copy of the press release is attached as Exhibit 99.1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10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241"/>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Form of Underwriting Agreement (incorporated by reference to Exhibit 1.1 to the Company’s Registration Statement on Form S-1/A filed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with the SEC on June 14, 2023).</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Form of Warrant.</w:t>
            </w:r>
          </w:p>
        </w:tc>
        <w:tc>
          <w:tcPr>
            <w:tcW w:w="1080" w:type="dxa"/>
            <w:vAlign w:val="bottom"/>
            <w:tcBorders>
              <w:top w:val="single" w:sz="8" w:color="0000EE"/>
            </w:tcBorders>
            <w:gridSpan w:val="2"/>
          </w:tcPr>
          <w:p>
            <w:pPr>
              <w:spacing w:after="0"/>
              <w:rPr>
                <w:sz w:val="17"/>
                <w:szCs w:val="17"/>
                <w:color w:val="auto"/>
              </w:rPr>
            </w:pPr>
          </w:p>
        </w:tc>
        <w:tc>
          <w:tcPr>
            <w:tcW w:w="780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Form of Underwriters’ Warrant (incorporated by reference to Exhibit 4.8 to the Company’s Registration Statement on Form S-1/A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the SEC on June 14,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Arial" w:cs="Arial" w:eastAsia="Arial" w:hAnsi="Arial"/>
                <w:sz w:val="18"/>
                <w:szCs w:val="18"/>
                <w:color w:val="0000EE"/>
              </w:rPr>
              <w:t>Press Release issued by the Company on June 20,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66"/>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21, 2023</w:t>
      </w:r>
      <w:r>
        <w:rPr>
          <w:sz w:val="20"/>
          <w:szCs w:val="20"/>
          <w:color w:val="auto"/>
        </w:rPr>
        <w:tab/>
      </w:r>
      <w:r>
        <w:rPr>
          <w:rFonts w:ascii="Arial" w:cs="Arial" w:eastAsia="Arial" w:hAnsi="Arial"/>
          <w:sz w:val="17"/>
          <w:szCs w:val="17"/>
          <w:b w:val="1"/>
          <w:bCs w:val="1"/>
          <w:color w:val="auto"/>
        </w:rPr>
        <w:t>DRAGONFLY ENERGY HOLDINGS CORP.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1040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DRAGONFLY ENERGY HOLDINGS CORP.</w:t>
      </w:r>
    </w:p>
    <w:p>
      <w:pPr>
        <w:sectPr>
          <w:pgSz w:w="11900" w:h="16838" w:orient="portrait"/>
          <w:cols w:equalWidth="0" w:num="1">
            <w:col w:w="11240"/>
          </w:cols>
          <w:pgMar w:left="320" w:top="337"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_______, 2023</w:t>
      </w:r>
    </w:p>
    <w:p>
      <w:pPr>
        <w:spacing w:after="0" w:line="200" w:lineRule="exact"/>
        <w:rPr>
          <w:sz w:val="20"/>
          <w:szCs w:val="20"/>
          <w:color w:val="auto"/>
        </w:rPr>
      </w:pPr>
    </w:p>
    <w:p>
      <w:pPr>
        <w:sectPr>
          <w:pgSz w:w="11900" w:h="16838" w:orient="portrait"/>
          <w:cols w:equalWidth="0" w:num="2">
            <w:col w:w="4900" w:space="720"/>
            <w:col w:w="5620"/>
          </w:cols>
          <w:pgMar w:left="320" w:top="337" w:right="3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is entitled, upon the terms and subject to the limitations on exercise and the conditions hereinafter set forth, at any time on or after the date</w:t>
      </w:r>
    </w:p>
    <w:p>
      <w:pPr>
        <w:spacing w:after="0" w:line="223" w:lineRule="auto"/>
        <w:rPr>
          <w:sz w:val="20"/>
          <w:szCs w:val="20"/>
          <w:color w:val="auto"/>
        </w:rPr>
      </w:pPr>
      <w:r>
        <w:rPr>
          <w:rFonts w:ascii="Arial" w:cs="Arial" w:eastAsia="Arial" w:hAnsi="Arial"/>
          <w:sz w:val="16"/>
          <w:szCs w:val="16"/>
          <w:color w:val="auto"/>
        </w:rPr>
        <w:t>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_____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and purchase from Dragonfly Energy Holdings Corp.,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w:t>
      </w:r>
    </w:p>
    <w:p>
      <w:pPr>
        <w:spacing w:after="0" w:line="3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(as defined below). The purchase price of one share of Common Stock under this Warrant shall be equal to the Exercise Price, as defined in Section 2(b).</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(based on a Trading Day from 9:30 a.m. (New York City time) to 4:02 p.m. (New York City time)), (b) if OTCQB or OTCQX is not a Trading Market, the VWAP (as defined below)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0" w:lineRule="exact"/>
        <w:rPr>
          <w:sz w:val="20"/>
          <w:szCs w:val="20"/>
          <w:color w:val="auto"/>
        </w:rPr>
      </w:pPr>
    </w:p>
    <w:p>
      <w:pPr>
        <w:ind w:firstLine="8"/>
        <w:spacing w:after="0" w:line="194" w:lineRule="auto"/>
        <w:tabs>
          <w:tab w:leader="none" w:pos="136"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Insert the date that is the five year anniversary of the Initial Exercise Date, provided that, if such date is not a Trading Day, insert the immediately following Trading Day.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that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S-1 (File No. 333- 272401).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the current transfer agent of the Company, with a mailing address of 6201 15th Avenue, Brooklyn, NY 11219 and an email address of john.lundberg@equiniti.com, and any successor transfer agent of the Company.</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the underwriting agreement, dated as of June __, 2023, among the Company and Roth Capital Partners, LLC as representative of the underwriters named therein, as amended, modified or supplemented from time to time in accordance with its terms.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this Warrant and other Common Stock purchase warrants issued by the Company pursuant to the Underwriting Agreement and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5" w:lineRule="auto"/>
        <w:tabs>
          <w:tab w:leader="none" w:pos="83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(with a PDF copy to the Transfer Agent delivered via email at the email address set forth in the definition of Transfer Agent above (or such other office or agency as the Company may designate by notice in writing to the registered Holder at the address of the Holder appearing on the books of the Company)) of a duly executed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w:t>
      </w:r>
      <w:r>
        <w:rPr>
          <w:rFonts w:ascii="Arial" w:cs="Arial" w:eastAsia="Arial" w:hAnsi="Arial"/>
          <w:sz w:val="16"/>
          <w:szCs w:val="16"/>
          <w:color w:val="auto"/>
        </w:rPr>
        <w:t xml:space="preserve"> </w:t>
      </w:r>
      <w:r>
        <w:rPr>
          <w:rFonts w:ascii="Arial" w:cs="Arial" w:eastAsia="Arial" w:hAnsi="Arial"/>
          <w:sz w:val="16"/>
          <w:szCs w:val="16"/>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7" w:name="page8"/>
    <w:bookmarkEnd w:id="7"/>
    <w:p>
      <w:pPr>
        <w:ind w:left="380" w:hanging="196"/>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Warrant Share shall be $_____, subject to adjustment hereunder (the “</w:t>
      </w:r>
      <w:r>
        <w:rPr>
          <w:rFonts w:ascii="Arial" w:cs="Arial" w:eastAsia="Arial" w:hAnsi="Arial"/>
          <w:sz w:val="17"/>
          <w:szCs w:val="17"/>
          <w:u w:val="single" w:color="auto"/>
          <w:color w:val="auto"/>
        </w:rPr>
        <w:t>Exercise Price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460" w:firstLine="644"/>
        <w:spacing w:after="0" w:line="259" w:lineRule="auto"/>
        <w:tabs>
          <w:tab w:leader="none" w:pos="3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jc w:val="right"/>
        <w:ind w:left="840" w:hanging="656"/>
        <w:spacing w:after="0" w:line="285" w:lineRule="auto"/>
        <w:tabs>
          <w:tab w:leader="none" w:pos="627" w:val="left"/>
        </w:tabs>
        <w:numPr>
          <w:ilvl w:val="0"/>
          <w:numId w:val="5"/>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1" w:lineRule="exact"/>
        <w:rPr>
          <w:rFonts w:ascii="Arial" w:cs="Arial" w:eastAsia="Arial" w:hAnsi="Arial"/>
          <w:sz w:val="16"/>
          <w:szCs w:val="16"/>
          <w:color w:val="auto"/>
        </w:rPr>
      </w:pPr>
    </w:p>
    <w:p>
      <w:pPr>
        <w:jc w:val="both"/>
        <w:ind w:left="840" w:hanging="8"/>
        <w:spacing w:after="0" w:line="270" w:lineRule="auto"/>
        <w:tabs>
          <w:tab w:leader="none" w:pos="1088"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Bid Price of the Common Stock on the principal Trading Market as reported by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8" w:lineRule="exact"/>
        <w:rPr>
          <w:rFonts w:ascii="Arial" w:cs="Arial" w:eastAsia="Arial" w:hAnsi="Arial"/>
          <w:sz w:val="17"/>
          <w:szCs w:val="17"/>
          <w:color w:val="auto"/>
        </w:rPr>
      </w:pPr>
    </w:p>
    <w:p>
      <w:pPr>
        <w:ind w:left="620" w:hanging="436"/>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840" w:hanging="656"/>
        <w:spacing w:after="0" w:line="277" w:lineRule="auto"/>
        <w:tabs>
          <w:tab w:leader="none" w:pos="627"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8" w:name="page9"/>
    <w:bookmarkEnd w:id="8"/>
    <w:p>
      <w:pPr>
        <w:jc w:val="both"/>
        <w:ind w:left="328"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ind w:left="188" w:hanging="188"/>
        <w:spacing w:after="0"/>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sz w:val="20"/>
          <w:szCs w:val="20"/>
          <w:color w:val="auto"/>
        </w:rPr>
      </w:pPr>
    </w:p>
    <w:p>
      <w:pPr>
        <w:jc w:val="both"/>
        <w:ind w:left="1628" w:firstLine="648"/>
        <w:spacing w:after="0" w:line="267"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The Company shall cause the Warrant Shares purchased hereunder to be transmitted by the Transfer Agent to the Holder by crediting the account of the Holder’s or its designee’s balance account with DTC through its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(as defined below) after the delivery to the Company of the Notice of Exercise (such date, the “</w:t>
      </w:r>
      <w:r>
        <w:rPr>
          <w:rFonts w:ascii="Arial" w:cs="Arial" w:eastAsia="Arial" w:hAnsi="Arial"/>
          <w:sz w:val="17"/>
          <w:szCs w:val="17"/>
          <w:u w:val="single" w:color="auto"/>
          <w:color w:val="auto"/>
        </w:rPr>
        <w:t>Warrant Share Delivery Date</w:t>
      </w:r>
      <w:r>
        <w:rPr>
          <w:rFonts w:ascii="Arial" w:cs="Arial" w:eastAsia="Arial" w:hAnsi="Arial"/>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181" w:lineRule="exact"/>
        <w:rPr>
          <w:sz w:val="20"/>
          <w:szCs w:val="20"/>
          <w:color w:val="auto"/>
        </w:rPr>
      </w:pPr>
    </w:p>
    <w:p>
      <w:pPr>
        <w:jc w:val="both"/>
        <w:ind w:left="1628" w:firstLine="640"/>
        <w:spacing w:after="0" w:line="279" w:lineRule="auto"/>
        <w:tabs>
          <w:tab w:leader="none" w:pos="2466"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628" w:firstLine="640"/>
        <w:spacing w:after="0" w:line="342" w:lineRule="auto"/>
        <w:tabs>
          <w:tab w:leader="none" w:pos="253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1628" w:firstLine="640"/>
        <w:spacing w:after="0" w:line="283" w:lineRule="auto"/>
        <w:tabs>
          <w:tab w:leader="none" w:pos="252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reasonable and customary brokerage commissions, if any) for the shares of Common Stock so purchased exceeds (y) the amount obtained by multiplying (1) the number of Warrant Shares that the Company was required to deliver to the Holder in connection with the exercise at issue times</w:t>
      </w:r>
    </w:p>
    <w:p>
      <w:pPr>
        <w:spacing w:after="0" w:line="5" w:lineRule="exact"/>
        <w:rPr>
          <w:rFonts w:ascii="Arial" w:cs="Arial" w:eastAsia="Arial" w:hAnsi="Arial"/>
          <w:sz w:val="16"/>
          <w:szCs w:val="16"/>
          <w:color w:val="auto"/>
        </w:rPr>
      </w:pPr>
    </w:p>
    <w:p>
      <w:pPr>
        <w:jc w:val="both"/>
        <w:ind w:left="1628" w:hanging="8"/>
        <w:spacing w:after="0" w:line="267" w:lineRule="auto"/>
        <w:tabs>
          <w:tab w:leader="none" w:pos="18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9" w:name="page10"/>
    <w:bookmarkEnd w:id="9"/>
    <w:p>
      <w:pPr>
        <w:jc w:val="both"/>
        <w:ind w:left="84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840" w:firstLine="640"/>
        <w:spacing w:after="0" w:line="289" w:lineRule="auto"/>
        <w:tabs>
          <w:tab w:leader="none" w:pos="172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17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0" w:name="page11"/>
    <w:bookmarkEnd w:id="10"/>
    <w:p>
      <w:pPr>
        <w:jc w:val="both"/>
        <w:ind w:firstLine="644"/>
        <w:spacing w:after="0" w:line="282" w:lineRule="auto"/>
        <w:tabs>
          <w:tab w:leader="none" w:pos="85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of its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of its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provided that in making such representation, the Holder is relying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 of the Exchange Act.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w:t>
      </w:r>
      <w:r>
        <w:rPr>
          <w:rFonts w:ascii="Arial" w:cs="Arial" w:eastAsia="Arial" w:hAnsi="Arial"/>
          <w:sz w:val="16"/>
          <w:szCs w:val="16"/>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continue to apply. Any increase in the Beneficial Ownership Limitation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5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ind w:left="840" w:hanging="19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firstLine="644"/>
        <w:spacing w:after="0" w:line="268" w:lineRule="auto"/>
        <w:tabs>
          <w:tab w:leader="none" w:pos="86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while this Warrant is outstanding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provided, that such Purchase Right shall terminate on, and shall not be held in abeyance for any period subsequent to the Termination Date.</w:t>
      </w:r>
    </w:p>
    <w:p>
      <w:pPr>
        <w:spacing w:after="0" w:line="1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2" w:name="page13"/>
    <w:bookmarkEnd w:id="12"/>
    <w:p>
      <w:pPr>
        <w:jc w:val="both"/>
        <w:ind w:left="-460" w:firstLine="644"/>
        <w:spacing w:after="0" w:line="268" w:lineRule="auto"/>
        <w:tabs>
          <w:tab w:leader="none" w:pos="39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3" w:name="page14"/>
    <w:bookmarkEnd w:id="13"/>
    <w:p>
      <w:pPr>
        <w:jc w:val="both"/>
        <w:ind w:left="-460" w:firstLine="644"/>
        <w:spacing w:after="0" w:line="282" w:lineRule="auto"/>
        <w:tabs>
          <w:tab w:leader="none" w:pos="3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(x) the last VWAP immediately prior to the public announcement of such Fundamental Transaction and (y) the highest VWAP between the public announcement of the contemplated Fundamental Transaction and the redemption request from the Holder,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occurrence or consummation of such Fundamental Transaction, each and every provision of this Warrant referring to the “Company” shall refer instead to the Successor Entity or Successor Entities, jointly and severally) and may exercise every right and power of the Company and shall assume all of the obligations of the Company under this Warrant with the same effect as if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118" w:gutter="0" w:footer="0" w:header="0"/>
        </w:sectPr>
      </w:pPr>
    </w:p>
    <w:bookmarkStart w:id="14" w:name="page15"/>
    <w:bookmarkEnd w:id="14"/>
    <w:p>
      <w:pPr>
        <w:jc w:val="both"/>
        <w:ind w:left="-460" w:firstLine="644"/>
        <w:spacing w:after="0" w:line="286" w:lineRule="auto"/>
        <w:tabs>
          <w:tab w:leader="none" w:pos="36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80" w:hanging="196"/>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311" w:lineRule="auto"/>
        <w:tabs>
          <w:tab w:leader="none" w:pos="161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48" w:lineRule="exact"/>
        <w:rPr>
          <w:rFonts w:ascii="Arial" w:cs="Arial" w:eastAsia="Arial" w:hAnsi="Arial"/>
          <w:sz w:val="16"/>
          <w:szCs w:val="16"/>
          <w:color w:val="auto"/>
        </w:rPr>
      </w:pPr>
    </w:p>
    <w:p>
      <w:pPr>
        <w:jc w:val="both"/>
        <w:ind w:left="840" w:firstLine="640"/>
        <w:spacing w:after="0" w:line="284" w:lineRule="auto"/>
        <w:tabs>
          <w:tab w:leader="none" w:pos="170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5" w:name="page16"/>
    <w:bookmarkEnd w:id="15"/>
    <w:p>
      <w:pPr>
        <w:jc w:val="both"/>
        <w:ind w:firstLine="644"/>
        <w:spacing w:after="0" w:line="263" w:lineRule="auto"/>
        <w:tabs>
          <w:tab w:leader="none" w:pos="84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39"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6" w:name="page17"/>
    <w:bookmarkEnd w:id="16"/>
    <w:p>
      <w:pPr>
        <w:jc w:val="both"/>
        <w:ind w:firstLine="644"/>
        <w:spacing w:after="0" w:line="254" w:lineRule="auto"/>
        <w:tabs>
          <w:tab w:leader="none" w:pos="85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94" w:lineRule="exact"/>
        <w:rPr>
          <w:rFonts w:ascii="Arial" w:cs="Arial" w:eastAsia="Arial" w:hAnsi="Arial"/>
          <w:sz w:val="18"/>
          <w:szCs w:val="18"/>
          <w:color w:val="auto"/>
        </w:rPr>
      </w:pPr>
    </w:p>
    <w:p>
      <w:pPr>
        <w:jc w:val="both"/>
        <w:ind w:firstLine="644"/>
        <w:spacing w:after="0" w:line="259" w:lineRule="auto"/>
        <w:tabs>
          <w:tab w:leader="none" w:pos="85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Comapny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6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84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firstLine="644"/>
        <w:spacing w:after="0" w:line="342" w:lineRule="auto"/>
        <w:tabs>
          <w:tab w:leader="none" w:pos="84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820" w:hanging="17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64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7" w:name="page18"/>
    <w:bookmarkEnd w:id="17"/>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jc w:val="both"/>
        <w:ind w:left="-460" w:firstLine="644"/>
        <w:spacing w:after="0" w:line="286" w:lineRule="auto"/>
        <w:tabs>
          <w:tab w:leader="none" w:pos="38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8" w:name="page19"/>
    <w:bookmarkEnd w:id="18"/>
    <w:p>
      <w:pPr>
        <w:ind w:left="-460" w:firstLine="644"/>
        <w:spacing w:after="0" w:line="308" w:lineRule="auto"/>
        <w:tabs>
          <w:tab w:leader="none" w:pos="36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55" w:lineRule="auto"/>
        <w:tabs>
          <w:tab w:leader="none" w:pos="40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41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Dragonfly Energy Holdings Corp., Attention: , email address: jmarchetti@dragonflyenergy.com,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9" w:name="page20"/>
    <w:bookmarkEnd w:id="19"/>
    <w:p>
      <w:pPr>
        <w:jc w:val="both"/>
        <w:ind w:firstLine="644"/>
        <w:spacing w:after="0" w:line="259" w:lineRule="auto"/>
        <w:tabs>
          <w:tab w:leader="none" w:pos="80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jc w:val="both"/>
        <w:ind w:firstLine="644"/>
        <w:spacing w:after="0" w:line="311" w:lineRule="auto"/>
        <w:tabs>
          <w:tab w:leader="none" w:pos="79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holders of at least a majority of the Common Stock issuable upon the exercise of the then outstanding Warrants (determined without giving effect to Section 2(e) of the Warrants); provided such modification, amendment or waiver applies to all of the then outstanding Warrants.</w:t>
      </w:r>
    </w:p>
    <w:p>
      <w:pPr>
        <w:spacing w:after="0" w:line="148" w:lineRule="exact"/>
        <w:rPr>
          <w:rFonts w:ascii="Arial" w:cs="Arial" w:eastAsia="Arial" w:hAnsi="Arial"/>
          <w:sz w:val="16"/>
          <w:szCs w:val="16"/>
          <w:color w:val="auto"/>
        </w:rPr>
      </w:pPr>
    </w:p>
    <w:p>
      <w:pPr>
        <w:jc w:val="both"/>
        <w:ind w:firstLine="644"/>
        <w:spacing w:after="0" w:line="31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firstLine="644"/>
        <w:spacing w:after="0" w:line="277" w:lineRule="auto"/>
        <w:tabs>
          <w:tab w:leader="none" w:pos="8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rFonts w:ascii="Arial" w:cs="Arial" w:eastAsia="Arial" w:hAnsi="Arial"/>
          <w:sz w:val="18"/>
          <w:szCs w:val="18"/>
          <w:color w:val="auto"/>
        </w:rPr>
      </w:pPr>
    </w:p>
    <w:p>
      <w:pPr>
        <w:ind w:firstLine="644"/>
        <w:spacing w:after="0" w:line="277"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Electronic Signatures</w:t>
      </w:r>
      <w:r>
        <w:rPr>
          <w:rFonts w:ascii="Arial" w:cs="Arial" w:eastAsia="Arial" w:hAnsi="Arial"/>
          <w:sz w:val="18"/>
          <w:szCs w:val="18"/>
          <w:u w:val="single" w:color="auto"/>
          <w:color w:val="auto"/>
        </w:rPr>
        <w:t>. Electronically scanned and transmitted signatures, including by email attachment, shall be deemed originals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 purposes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20" w:name="page21"/>
    <w:bookmarkEnd w:id="20"/>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DRAGONFLY ENERGY HOLDINGS CORP.</w:t>
      </w:r>
    </w:p>
    <w:p>
      <w:pPr>
        <w:spacing w:after="0" w:line="225" w:lineRule="exact"/>
        <w:rPr>
          <w:sz w:val="20"/>
          <w:szCs w:val="20"/>
          <w:color w:val="auto"/>
        </w:rPr>
      </w:pPr>
    </w:p>
    <w:p>
      <w:pPr>
        <w:ind w:firstLine="1304"/>
        <w:spacing w:after="0" w:line="308" w:lineRule="auto"/>
        <w:tabs>
          <w:tab w:leader="none" w:pos="155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hanging="8"/>
        <w:spacing w:after="0" w:line="263" w:lineRule="auto"/>
        <w:tabs>
          <w:tab w:leader="none" w:pos="21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24942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580390</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871855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47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200" w:right="819"/>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3" w:name="page24"/>
    <w:bookmarkEnd w:id="2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Announces Pricing of $20.0 Million Underwritten Public Offering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RENO, NEVADA – June 20, 2023 - Dragonfly Energy Holdings Corp. (Nasdaq: DFLI) (“Dragonfly Energy” or the “Company”), an industry leader in energy storage and producer of deep cycle lithium-ion storage batteries, today announced the pricing of an underwritten public offering of 10,000,000 shares of common stock and investor warrants to purchase up to an aggregate of 10,000,000 shares of common stock. Each share of common stock is being sold together with one investor warrant to purchase one share of common stock at a combined offering price of $2.00. The investor warrants have an exercise price of $2.00 per share, are immediately exercisable and will expire five years from the date of issuance. The Company has granted the underwriters a 45-day option to purchase up to an additional 1,500,000 shares of common stock, and/or investor warrants to purchase up to 1,500,000 shares of common stock, in any combinations thereof, at the public offering price per security, less the underwriting discounts and commission. The offering is expected to close on or about June 22, 2023, subject to customary closing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gross proceeds from this offering are expected to be approximately $20.0 million, before deducting underwriting discounts and commissions and estimated offering expenses payable by the Company and excluding the exercise of any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use the net proceeds from the offering for working capital and general corporate purposes.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Roth Capital Partners is acting as lead bookrunner and as representative of the underwriters for the offering. Chardan is acting as an additional bookrunner for the offering.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registration statement on Form S-1 (File No. 333-272401) relating to these securities was filed with the Securities and Exchange Commission (“SEC”) on June 5, 2023 and was declared effective by the SEC on June 20, 2023. The offering is being made only by means of a prospectus. Copies of the preliminary prospectus and, when available, copies of the final prospectus relating to the offering may be obtained on the SEC’s website at http://www.sec.gov or by contacting the offices of Roth Capital Partners, LLC, 888 San Clemente, Newport Beach, CA 92660 Attention: Prospectus Department, by telephone at (800) 678-9147; or Chardan Capital Markets, LLC, 17 State Street, Suite 2130, New York, New York 10004, at (646) 465-9000, or by email at prospectus@chardan.com.</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offer or sale of these securities in any state or jurisdiction in which such offer, solicitation or sale would be unlawful prior to the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Dragonfly Energy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Dragonfly Energy Holdings Corp. (Nasdaq: DFLI) headquartered in Reno, Nevada, is a leading supplier of deep cycle lithium-ion batteries. Dragonfly Energy’s research and development initiatives are revolutionizing the energy storage industry through innovative technologies and manufacturing processes. Today, Dragonfly Energy’s non-toxic deep cycle lithium-ion batteries are displacing lead-acid batteries across a wide range of end-markets, including RVs, marine vessels, off-grid installations, and other storage applications. Dragonfly Energy is also focused on delivering an energy storage solution to enable a more sustainable and reliable smart grid through the future deployment of its proprietary and patented solid-state cell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the closing of the underwritten public offering, the use of proceeds from the offering,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Such factors include those set forth in the sections entitled “Risk Factors” and “Cautionary Note Regarding Forward-Looking Statements” in the Company’s Annual Report on Form 10-K for the year ended December 31, 2022 and in the Company’s subsequent filings with the SEC available at </w:t>
      </w:r>
      <w:r>
        <w:rPr>
          <w:rFonts w:ascii="Arial" w:cs="Arial" w:eastAsia="Arial" w:hAnsi="Arial"/>
          <w:sz w:val="17"/>
          <w:szCs w:val="17"/>
          <w:u w:val="single" w:color="auto"/>
          <w:color w:val="auto"/>
        </w:rPr>
        <w:t>www.sec.gov.</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Demuth, RAD Strategies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team@radstrategiesinc.com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Dragonfly Energy Holdings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upperLetter"/>
      <w:start w:val="1"/>
    </w:lvl>
    <w:lvl w:ilvl="1">
      <w:lvlJc w:val="left"/>
      <w:lvlText w:val="(%2)"/>
      <w:numFmt w:val="lowerLetter"/>
      <w:start w:val="26"/>
    </w:lvl>
  </w:abstractNum>
  <w:abstractNum w:abstractNumId="5">
    <w:nsid w:val="1BEFD79F"/>
    <w:multiLevelType w:val="hybridMultilevel"/>
    <w:lvl w:ilvl="0">
      <w:lvlJc w:val="left"/>
      <w:lvlText w:val="(%1)"/>
      <w:numFmt w:val="upperLetter"/>
      <w:start w:val="24"/>
    </w:lvl>
  </w:abstractNum>
  <w:abstractNum w:abstractNumId="6">
    <w:nsid w:val="41A7C4C9"/>
    <w:multiLevelType w:val="hybridMultilevel"/>
    <w:lvl w:ilvl="0">
      <w:lvlJc w:val="left"/>
      <w:lvlText w:val="%1)"/>
      <w:numFmt w:val="lowerLetter"/>
      <w:start w:val="4"/>
    </w:lvl>
  </w:abstractNum>
  <w:abstractNum w:abstractNumId="7">
    <w:nsid w:val="6B68079A"/>
    <w:multiLevelType w:val="hybridMultilevel"/>
    <w:lvl w:ilvl="0">
      <w:lvlJc w:val="left"/>
      <w:lvlText w:val="%1"/>
      <w:numFmt w:val="decimal"/>
      <w:start w:val="1"/>
    </w:lvl>
    <w:lvl w:ilvl="1">
      <w:lvlJc w:val="left"/>
      <w:lvlText w:val="%2."/>
      <w:numFmt w:val="lowerRoman"/>
      <w:start w:val="2"/>
    </w:lvl>
  </w:abstractNum>
  <w:abstractNum w:abstractNumId="8">
    <w:nsid w:val="4E6AFB66"/>
    <w:multiLevelType w:val="hybridMultilevel"/>
    <w:lvl w:ilvl="0">
      <w:lvlJc w:val="left"/>
      <w:lvlText w:val="(%1)"/>
      <w:numFmt w:val="decimal"/>
      <w:start w:val="2"/>
    </w:lvl>
    <w:lvl w:ilvl="1">
      <w:lvlJc w:val="left"/>
      <w:lvlText w:val="%2"/>
      <w:numFmt w:val="lowerRoman"/>
      <w:start w:val="1"/>
    </w:lvl>
  </w:abstractNum>
  <w:abstractNum w:abstractNumId="9">
    <w:nsid w:val="25E45D32"/>
    <w:multiLevelType w:val="hybridMultilevel"/>
    <w:lvl w:ilvl="0">
      <w:lvlJc w:val="left"/>
      <w:lvlText w:val="%1."/>
      <w:numFmt w:val="lowerRoman"/>
      <w:start w:val="6"/>
    </w:lvl>
  </w:abstractNum>
  <w:abstractNum w:abstractNumId="10">
    <w:nsid w:val="519B500D"/>
    <w:multiLevelType w:val="hybridMultilevel"/>
    <w:lvl w:ilvl="0">
      <w:lvlJc w:val="left"/>
      <w:lvlText w:val="%1)"/>
      <w:numFmt w:val="lowerLetter"/>
      <w:start w:val="5"/>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4"/>
    </w:lvl>
  </w:abstractNum>
  <w:abstractNum w:abstractNumId="13">
    <w:nsid w:val="7C83E458"/>
    <w:multiLevelType w:val="hybridMultilevel"/>
    <w:lvl w:ilvl="0">
      <w:lvlJc w:val="left"/>
      <w:lvlText w:val="%1)"/>
      <w:numFmt w:val="lowerLetter"/>
      <w:start w:val="5"/>
    </w:lvl>
  </w:abstractNum>
  <w:abstractNum w:abstractNumId="14">
    <w:nsid w:val="257130A3"/>
    <w:multiLevelType w:val="hybridMultilevel"/>
    <w:lvl w:ilvl="0">
      <w:lvlJc w:val="left"/>
      <w:lvlText w:val="%1)"/>
      <w:numFmt w:val="lowerLetter"/>
      <w:start w:val="6"/>
    </w:lvl>
    <w:lvl w:ilvl="1">
      <w:lvlJc w:val="left"/>
      <w:lvlText w:val="%2."/>
      <w:numFmt w:val="lowerRoman"/>
      <w:start w:val="1"/>
    </w:lvl>
  </w:abstractNum>
  <w:abstractNum w:abstractNumId="15">
    <w:nsid w:val="62BBD95A"/>
    <w:multiLevelType w:val="hybridMultilevel"/>
    <w:lvl w:ilvl="0">
      <w:lvlJc w:val="left"/>
      <w:lvlText w:val="%1)"/>
      <w:numFmt w:val="lowerLetter"/>
      <w:start w:val="8"/>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5"/>
    </w:lvl>
  </w:abstractNum>
  <w:abstractNum w:abstractNumId="20">
    <w:nsid w:val="2443A858"/>
    <w:multiLevelType w:val="hybridMultilevel"/>
    <w:lvl w:ilvl="0">
      <w:lvlJc w:val="left"/>
      <w:lvlText w:val="%1)"/>
      <w:numFmt w:val="lowerLetter"/>
      <w:start w:val="6"/>
    </w:lvl>
  </w:abstractNum>
  <w:abstractNum w:abstractNumId="21">
    <w:nsid w:val="2D1D5AE9"/>
    <w:multiLevelType w:val="hybridMultilevel"/>
    <w:lvl w:ilvl="0">
      <w:lvlJc w:val="left"/>
      <w:lvlText w:val="%1)"/>
      <w:numFmt w:val="lowerLetter"/>
      <w:start w:val="9"/>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18" Type="http://schemas.openxmlformats.org/officeDocument/2006/relationships/hyperlink" Target="https://www.sec.gov/Archives/edgar/data/1847986/000149315223021293/ex1-1.htm" TargetMode="External"/><Relationship Id="rId19" Type="http://schemas.openxmlformats.org/officeDocument/2006/relationships/hyperlink" Target="https://www.sec.gov/Archives/edgar/data/1847986/000149315223021293/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2023-06-21T15:14:15Z</dcterms:created>
  <dcterms:modified xsi:type="dcterms:W3CDTF">2023-06-21T15:14:15Z</dcterms:modified>
</cp:coreProperties>
</file>